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7BE2D">
      <w:pPr>
        <w:wordWrap w:val="0"/>
        <w:adjustRightInd w:val="0"/>
        <w:snapToGrid w:val="0"/>
        <w:spacing w:line="800" w:lineRule="exact"/>
        <w:jc w:val="center"/>
        <w:textAlignment w:val="center"/>
        <w:outlineLvl w:val="9"/>
        <w:rPr>
          <w:rFonts w:hint="eastAsia" w:hAnsi="宋体"/>
          <w:b/>
          <w:bCs/>
          <w:color w:val="000000"/>
          <w:sz w:val="52"/>
          <w:szCs w:val="52"/>
          <w:lang w:val="en-US" w:eastAsia="zh-CN"/>
        </w:rPr>
      </w:pPr>
      <w:bookmarkStart w:id="0" w:name="_Toc28874"/>
    </w:p>
    <w:p w14:paraId="4BC66134">
      <w:pPr>
        <w:wordWrap w:val="0"/>
        <w:adjustRightInd w:val="0"/>
        <w:snapToGrid w:val="0"/>
        <w:spacing w:line="800" w:lineRule="exact"/>
        <w:jc w:val="center"/>
        <w:textAlignment w:val="center"/>
        <w:outlineLvl w:val="9"/>
        <w:rPr>
          <w:rFonts w:hint="eastAsia" w:hAnsi="宋体"/>
          <w:b/>
          <w:bCs/>
          <w:color w:val="000000"/>
          <w:sz w:val="52"/>
          <w:szCs w:val="52"/>
          <w:lang w:val="en-US" w:eastAsia="zh-CN"/>
        </w:rPr>
      </w:pPr>
    </w:p>
    <w:p w14:paraId="5AD2007C">
      <w:pPr>
        <w:wordWrap w:val="0"/>
        <w:adjustRightInd w:val="0"/>
        <w:snapToGrid w:val="0"/>
        <w:spacing w:line="800" w:lineRule="exact"/>
        <w:jc w:val="center"/>
        <w:textAlignment w:val="center"/>
        <w:outlineLvl w:val="9"/>
        <w:rPr>
          <w:b/>
          <w:bCs/>
          <w:color w:val="000000"/>
          <w:sz w:val="52"/>
          <w:szCs w:val="52"/>
        </w:rPr>
      </w:pPr>
      <w:r>
        <w:rPr>
          <w:rFonts w:hint="eastAsia" w:hAnsi="宋体"/>
          <w:b/>
          <w:bCs/>
          <w:color w:val="000000"/>
          <w:sz w:val="52"/>
          <w:szCs w:val="52"/>
          <w:lang w:val="en-US" w:eastAsia="zh-CN"/>
        </w:rPr>
        <w:t>鄱阳县昌洲宏图</w:t>
      </w:r>
      <w:r>
        <w:rPr>
          <w:rFonts w:hint="eastAsia" w:hAnsi="宋体"/>
          <w:b/>
          <w:bCs/>
          <w:color w:val="000000"/>
          <w:sz w:val="52"/>
          <w:szCs w:val="52"/>
        </w:rPr>
        <w:t>加油站</w:t>
      </w:r>
      <w:bookmarkEnd w:id="0"/>
    </w:p>
    <w:p w14:paraId="51DBDBB2">
      <w:pPr>
        <w:wordWrap w:val="0"/>
        <w:adjustRightInd w:val="0"/>
        <w:snapToGrid w:val="0"/>
        <w:spacing w:line="800" w:lineRule="exact"/>
        <w:jc w:val="center"/>
        <w:textAlignment w:val="center"/>
        <w:rPr>
          <w:rFonts w:eastAsia="黑体"/>
          <w:b/>
          <w:bCs/>
          <w:color w:val="000000"/>
          <w:sz w:val="52"/>
          <w:szCs w:val="52"/>
        </w:rPr>
      </w:pPr>
      <w:r>
        <w:rPr>
          <w:rFonts w:eastAsia="黑体"/>
          <w:b/>
          <w:bCs/>
          <w:color w:val="000000"/>
          <w:sz w:val="52"/>
          <w:szCs w:val="52"/>
        </w:rPr>
        <w:t>安全</w:t>
      </w:r>
      <w:r>
        <w:rPr>
          <w:rFonts w:hint="eastAsia" w:eastAsia="黑体"/>
          <w:b/>
          <w:bCs/>
          <w:color w:val="000000"/>
          <w:sz w:val="52"/>
          <w:szCs w:val="52"/>
        </w:rPr>
        <w:t>现状</w:t>
      </w:r>
      <w:r>
        <w:rPr>
          <w:rFonts w:eastAsia="黑体"/>
          <w:b/>
          <w:bCs/>
          <w:color w:val="000000"/>
          <w:sz w:val="52"/>
          <w:szCs w:val="52"/>
        </w:rPr>
        <w:t>评价报告</w:t>
      </w:r>
      <w:r>
        <w:rPr>
          <w:rFonts w:eastAsia="黑体"/>
          <w:b/>
          <w:bCs/>
          <w:color w:val="000000"/>
          <w:sz w:val="52"/>
          <w:szCs w:val="52"/>
        </w:rPr>
        <w:br w:type="textWrapping"/>
      </w:r>
      <w:r>
        <w:rPr>
          <w:rFonts w:hint="default" w:ascii="Times New Roman" w:hAnsi="Times New Roman" w:cs="Times New Roman"/>
          <w:b/>
          <w:bCs/>
          <w:color w:val="auto"/>
          <w:sz w:val="44"/>
          <w:szCs w:val="44"/>
        </w:rPr>
        <w:t>（</w:t>
      </w:r>
      <w:r>
        <w:rPr>
          <w:rFonts w:hint="eastAsia" w:cs="Times New Roman"/>
          <w:b/>
          <w:bCs/>
          <w:color w:val="auto"/>
          <w:sz w:val="44"/>
          <w:szCs w:val="44"/>
          <w:lang w:val="en-US" w:eastAsia="zh-CN"/>
        </w:rPr>
        <w:t>终稿</w:t>
      </w:r>
      <w:r>
        <w:rPr>
          <w:rFonts w:hint="default" w:ascii="Times New Roman" w:hAnsi="Times New Roman" w:cs="Times New Roman"/>
          <w:b/>
          <w:bCs/>
          <w:color w:val="auto"/>
          <w:sz w:val="44"/>
          <w:szCs w:val="44"/>
        </w:rPr>
        <w:t>）</w:t>
      </w:r>
      <w:r>
        <w:rPr>
          <w:rFonts w:eastAsia="黑体"/>
          <w:b/>
          <w:bCs/>
          <w:color w:val="000000"/>
          <w:sz w:val="52"/>
          <w:szCs w:val="52"/>
        </w:rPr>
        <w:br w:type="textWrapping"/>
      </w:r>
      <w:r>
        <w:rPr>
          <w:rFonts w:eastAsia="黑体"/>
          <w:b/>
          <w:bCs/>
          <w:color w:val="000000"/>
          <w:sz w:val="52"/>
          <w:szCs w:val="52"/>
        </w:rPr>
        <w:br w:type="textWrapping"/>
      </w:r>
      <w:r>
        <w:rPr>
          <w:rFonts w:eastAsia="黑体"/>
          <w:b/>
          <w:bCs/>
          <w:color w:val="000000"/>
          <w:sz w:val="52"/>
          <w:szCs w:val="52"/>
        </w:rPr>
        <w:br w:type="textWrapping"/>
      </w:r>
      <w:r>
        <w:rPr>
          <w:rFonts w:eastAsia="黑体"/>
          <w:b/>
          <w:bCs/>
          <w:color w:val="000000"/>
          <w:sz w:val="52"/>
          <w:szCs w:val="52"/>
        </w:rPr>
        <w:br w:type="textWrapping"/>
      </w:r>
      <w:r>
        <w:rPr>
          <w:rFonts w:eastAsia="黑体"/>
          <w:b/>
          <w:bCs/>
          <w:color w:val="000000"/>
          <w:sz w:val="52"/>
          <w:szCs w:val="52"/>
        </w:rPr>
        <w:br w:type="textWrapping"/>
      </w:r>
      <w:r>
        <w:rPr>
          <w:rFonts w:eastAsia="黑体"/>
          <w:b/>
          <w:bCs/>
          <w:color w:val="000000"/>
          <w:sz w:val="52"/>
          <w:szCs w:val="52"/>
        </w:rPr>
        <w:br w:type="textWrapping"/>
      </w:r>
    </w:p>
    <w:p w14:paraId="2116E541">
      <w:pPr>
        <w:wordWrap w:val="0"/>
        <w:adjustRightInd w:val="0"/>
        <w:snapToGrid w:val="0"/>
        <w:spacing w:line="800" w:lineRule="exact"/>
        <w:jc w:val="center"/>
        <w:textAlignment w:val="center"/>
        <w:rPr>
          <w:rFonts w:eastAsia="黑体"/>
          <w:b/>
          <w:bCs/>
          <w:color w:val="000000"/>
          <w:sz w:val="52"/>
          <w:szCs w:val="52"/>
        </w:rPr>
      </w:pPr>
    </w:p>
    <w:p w14:paraId="093F2064">
      <w:pPr>
        <w:wordWrap w:val="0"/>
        <w:adjustRightInd w:val="0"/>
        <w:snapToGrid w:val="0"/>
        <w:spacing w:line="800" w:lineRule="exact"/>
        <w:jc w:val="center"/>
        <w:textAlignment w:val="center"/>
        <w:rPr>
          <w:rFonts w:eastAsia="黑体"/>
          <w:b/>
          <w:bCs/>
          <w:color w:val="000000"/>
          <w:sz w:val="52"/>
          <w:szCs w:val="52"/>
        </w:rPr>
      </w:pPr>
      <w:r>
        <w:rPr>
          <w:rFonts w:eastAsia="黑体"/>
          <w:b/>
          <w:bCs/>
          <w:color w:val="000000"/>
          <w:sz w:val="52"/>
          <w:szCs w:val="52"/>
        </w:rPr>
        <w:br w:type="textWrapping"/>
      </w:r>
    </w:p>
    <w:p w14:paraId="7889D6B7">
      <w:pPr>
        <w:wordWrap w:val="0"/>
        <w:adjustRightInd w:val="0"/>
        <w:snapToGrid w:val="0"/>
        <w:spacing w:line="700" w:lineRule="exact"/>
        <w:jc w:val="center"/>
        <w:textAlignment w:val="center"/>
        <w:outlineLvl w:val="9"/>
        <w:rPr>
          <w:b/>
          <w:bCs/>
          <w:color w:val="000000"/>
          <w:sz w:val="44"/>
          <w:szCs w:val="44"/>
        </w:rPr>
      </w:pPr>
      <w:bookmarkStart w:id="1" w:name="_Toc12019"/>
      <w:r>
        <w:rPr>
          <w:rFonts w:hAnsi="宋体"/>
          <w:b/>
          <w:bCs/>
          <w:color w:val="000000"/>
          <w:sz w:val="44"/>
          <w:szCs w:val="44"/>
        </w:rPr>
        <w:t>江西赣安安全生产科学技术咨询服务中心</w:t>
      </w:r>
      <w:bookmarkEnd w:id="1"/>
    </w:p>
    <w:p w14:paraId="3A74BF8F">
      <w:pPr>
        <w:wordWrap w:val="0"/>
        <w:adjustRightInd w:val="0"/>
        <w:snapToGrid w:val="0"/>
        <w:spacing w:line="700" w:lineRule="exact"/>
        <w:jc w:val="center"/>
        <w:textAlignment w:val="center"/>
        <w:outlineLvl w:val="9"/>
        <w:rPr>
          <w:rFonts w:hint="eastAsia"/>
          <w:b/>
          <w:bCs/>
          <w:color w:val="000000"/>
          <w:sz w:val="32"/>
        </w:rPr>
      </w:pPr>
      <w:bookmarkStart w:id="2" w:name="_Toc3874"/>
      <w:r>
        <w:rPr>
          <w:b/>
          <w:bCs/>
          <w:color w:val="000000"/>
          <w:sz w:val="32"/>
        </w:rPr>
        <w:t>APJ-（赣）-002</w:t>
      </w:r>
      <w:bookmarkEnd w:id="2"/>
    </w:p>
    <w:p w14:paraId="4750555F">
      <w:pPr>
        <w:wordWrap w:val="0"/>
        <w:adjustRightInd w:val="0"/>
        <w:snapToGrid w:val="0"/>
        <w:spacing w:line="700" w:lineRule="exact"/>
        <w:jc w:val="center"/>
        <w:textAlignment w:val="center"/>
        <w:rPr>
          <w:b/>
          <w:color w:val="000000"/>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pgNumType w:start="0"/>
          <w:cols w:space="720" w:num="1"/>
          <w:titlePg/>
          <w:docGrid w:type="lines" w:linePitch="312" w:charSpace="0"/>
        </w:sectPr>
      </w:pPr>
      <w:r>
        <w:rPr>
          <w:b/>
          <w:bCs/>
          <w:color w:val="000000"/>
          <w:sz w:val="32"/>
        </w:rPr>
        <w:t>20</w:t>
      </w:r>
      <w:r>
        <w:rPr>
          <w:rFonts w:hint="eastAsia"/>
          <w:b/>
          <w:bCs/>
          <w:color w:val="000000"/>
          <w:sz w:val="32"/>
        </w:rPr>
        <w:t>2</w:t>
      </w:r>
      <w:r>
        <w:rPr>
          <w:rFonts w:hint="eastAsia"/>
          <w:b/>
          <w:bCs/>
          <w:color w:val="000000"/>
          <w:sz w:val="32"/>
          <w:lang w:val="en-US" w:eastAsia="zh-CN"/>
        </w:rPr>
        <w:t>6</w:t>
      </w:r>
      <w:r>
        <w:rPr>
          <w:rFonts w:hAnsi="宋体"/>
          <w:b/>
          <w:bCs/>
          <w:color w:val="000000"/>
          <w:sz w:val="32"/>
        </w:rPr>
        <w:t>年</w:t>
      </w:r>
      <w:r>
        <w:rPr>
          <w:rFonts w:hint="eastAsia"/>
          <w:b/>
          <w:bCs/>
          <w:color w:val="000000"/>
          <w:sz w:val="32"/>
          <w:lang w:val="en-US" w:eastAsia="zh-CN"/>
        </w:rPr>
        <w:t>4</w:t>
      </w:r>
      <w:r>
        <w:rPr>
          <w:rFonts w:hAnsi="宋体"/>
          <w:b/>
          <w:bCs/>
          <w:color w:val="000000"/>
          <w:sz w:val="32"/>
        </w:rPr>
        <w:t>月</w:t>
      </w:r>
      <w:r>
        <w:rPr>
          <w:rFonts w:hint="eastAsia" w:hAnsi="宋体"/>
          <w:b/>
          <w:bCs/>
          <w:color w:val="000000"/>
          <w:sz w:val="32"/>
          <w:lang w:val="en-US" w:eastAsia="zh-CN"/>
        </w:rPr>
        <w:t>30日</w:t>
      </w:r>
    </w:p>
    <w:p w14:paraId="0ECCB375">
      <w:pPr>
        <w:wordWrap w:val="0"/>
        <w:adjustRightInd w:val="0"/>
        <w:snapToGrid w:val="0"/>
        <w:spacing w:line="700" w:lineRule="exact"/>
        <w:jc w:val="both"/>
        <w:textAlignment w:val="center"/>
        <w:outlineLvl w:val="9"/>
        <w:rPr>
          <w:rFonts w:hint="eastAsia" w:hAnsi="宋体"/>
          <w:b/>
          <w:bCs/>
          <w:color w:val="000000"/>
          <w:sz w:val="44"/>
          <w:szCs w:val="44"/>
          <w:lang w:val="en-US" w:eastAsia="zh-CN"/>
        </w:rPr>
      </w:pPr>
    </w:p>
    <w:p w14:paraId="4DA49BA8">
      <w:pPr>
        <w:wordWrap w:val="0"/>
        <w:adjustRightInd w:val="0"/>
        <w:snapToGrid w:val="0"/>
        <w:spacing w:line="700" w:lineRule="exact"/>
        <w:jc w:val="both"/>
        <w:textAlignment w:val="center"/>
        <w:outlineLvl w:val="9"/>
        <w:rPr>
          <w:rFonts w:hint="eastAsia" w:hAnsi="宋体"/>
          <w:b/>
          <w:bCs/>
          <w:color w:val="000000"/>
          <w:sz w:val="44"/>
          <w:szCs w:val="44"/>
          <w:lang w:val="en-US" w:eastAsia="zh-CN"/>
        </w:rPr>
      </w:pPr>
    </w:p>
    <w:p w14:paraId="5ED931AA">
      <w:pPr>
        <w:wordWrap w:val="0"/>
        <w:adjustRightInd w:val="0"/>
        <w:snapToGrid w:val="0"/>
        <w:spacing w:line="700" w:lineRule="exact"/>
        <w:jc w:val="center"/>
        <w:textAlignment w:val="center"/>
        <w:outlineLvl w:val="9"/>
        <w:rPr>
          <w:rFonts w:hint="eastAsia" w:hAnsi="宋体"/>
          <w:b/>
          <w:bCs/>
          <w:color w:val="000000"/>
          <w:sz w:val="44"/>
          <w:szCs w:val="44"/>
          <w:lang w:val="en-US" w:eastAsia="zh-CN"/>
        </w:rPr>
      </w:pPr>
    </w:p>
    <w:p w14:paraId="2B829355">
      <w:pPr>
        <w:wordWrap w:val="0"/>
        <w:adjustRightInd w:val="0"/>
        <w:snapToGrid w:val="0"/>
        <w:spacing w:line="700" w:lineRule="exact"/>
        <w:jc w:val="center"/>
        <w:textAlignment w:val="center"/>
        <w:outlineLvl w:val="9"/>
        <w:rPr>
          <w:rFonts w:hint="eastAsia" w:hAnsi="宋体"/>
          <w:b/>
          <w:bCs/>
          <w:color w:val="000000"/>
          <w:sz w:val="44"/>
          <w:szCs w:val="44"/>
          <w:lang w:val="en-US" w:eastAsia="zh-CN"/>
        </w:rPr>
      </w:pPr>
      <w:r>
        <w:rPr>
          <w:rFonts w:hint="eastAsia" w:hAnsi="宋体"/>
          <w:b/>
          <w:bCs/>
          <w:color w:val="000000"/>
          <w:sz w:val="44"/>
          <w:szCs w:val="44"/>
          <w:lang w:val="en-US" w:eastAsia="zh-CN"/>
        </w:rPr>
        <w:t>鄱阳县昌洲宏图加油站</w:t>
      </w:r>
    </w:p>
    <w:p w14:paraId="1168F495">
      <w:pPr>
        <w:wordWrap w:val="0"/>
        <w:adjustRightInd w:val="0"/>
        <w:snapToGrid w:val="0"/>
        <w:spacing w:line="700" w:lineRule="exact"/>
        <w:jc w:val="center"/>
        <w:textAlignment w:val="center"/>
        <w:outlineLvl w:val="9"/>
        <w:rPr>
          <w:rFonts w:hint="eastAsia"/>
          <w:b/>
          <w:bCs/>
          <w:color w:val="000000"/>
          <w:sz w:val="44"/>
          <w:szCs w:val="44"/>
        </w:rPr>
      </w:pPr>
      <w:r>
        <w:rPr>
          <w:rFonts w:hint="eastAsia" w:hAnsi="宋体"/>
          <w:b/>
          <w:bCs/>
          <w:color w:val="000000"/>
          <w:sz w:val="44"/>
          <w:szCs w:val="44"/>
          <w:lang w:val="en-US" w:eastAsia="zh-CN"/>
        </w:rPr>
        <w:t>安全现状评价报告</w:t>
      </w:r>
    </w:p>
    <w:p w14:paraId="66B83F4C">
      <w:pPr>
        <w:pStyle w:val="29"/>
        <w:jc w:val="center"/>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w:t>
      </w:r>
      <w:r>
        <w:rPr>
          <w:rFonts w:hint="eastAsia" w:cs="Times New Roman"/>
          <w:b/>
          <w:bCs/>
          <w:color w:val="auto"/>
          <w:sz w:val="36"/>
          <w:szCs w:val="36"/>
          <w:lang w:val="en-US" w:eastAsia="zh-CN"/>
        </w:rPr>
        <w:t>终稿</w:t>
      </w:r>
      <w:r>
        <w:rPr>
          <w:rFonts w:hint="default" w:ascii="Times New Roman" w:hAnsi="Times New Roman" w:cs="Times New Roman"/>
          <w:b/>
          <w:bCs/>
          <w:color w:val="auto"/>
          <w:sz w:val="36"/>
          <w:szCs w:val="36"/>
        </w:rPr>
        <w:t>）</w:t>
      </w:r>
    </w:p>
    <w:p w14:paraId="70E931A0">
      <w:pPr>
        <w:wordWrap w:val="0"/>
        <w:adjustRightInd w:val="0"/>
        <w:snapToGrid w:val="0"/>
        <w:spacing w:line="700" w:lineRule="exact"/>
        <w:jc w:val="center"/>
        <w:textAlignment w:val="center"/>
        <w:rPr>
          <w:b/>
          <w:color w:val="000000"/>
          <w:sz w:val="44"/>
          <w:szCs w:val="44"/>
        </w:rPr>
      </w:pPr>
    </w:p>
    <w:p w14:paraId="3D86D84E">
      <w:pPr>
        <w:wordWrap w:val="0"/>
        <w:adjustRightInd w:val="0"/>
        <w:snapToGrid w:val="0"/>
        <w:spacing w:line="700" w:lineRule="exact"/>
        <w:jc w:val="center"/>
        <w:textAlignment w:val="center"/>
        <w:rPr>
          <w:b/>
          <w:color w:val="000000"/>
          <w:sz w:val="28"/>
          <w:szCs w:val="28"/>
        </w:rPr>
      </w:pPr>
    </w:p>
    <w:p w14:paraId="11A35AAF">
      <w:pPr>
        <w:wordWrap w:val="0"/>
        <w:adjustRightInd w:val="0"/>
        <w:snapToGrid w:val="0"/>
        <w:spacing w:line="600" w:lineRule="exact"/>
        <w:textAlignment w:val="center"/>
        <w:rPr>
          <w:rFonts w:hint="eastAsia" w:hAnsi="宋体"/>
          <w:color w:val="000000"/>
          <w:sz w:val="28"/>
          <w:szCs w:val="28"/>
        </w:rPr>
      </w:pPr>
    </w:p>
    <w:p w14:paraId="0A4D1805">
      <w:pPr>
        <w:wordWrap w:val="0"/>
        <w:adjustRightInd w:val="0"/>
        <w:snapToGrid w:val="0"/>
        <w:spacing w:line="600" w:lineRule="exact"/>
        <w:textAlignment w:val="center"/>
        <w:rPr>
          <w:rFonts w:hint="eastAsia" w:hAnsi="宋体"/>
          <w:color w:val="000000"/>
          <w:sz w:val="28"/>
          <w:szCs w:val="28"/>
        </w:rPr>
      </w:pPr>
    </w:p>
    <w:p w14:paraId="52B5875C">
      <w:pPr>
        <w:wordWrap w:val="0"/>
        <w:adjustRightInd w:val="0"/>
        <w:snapToGrid w:val="0"/>
        <w:spacing w:line="600" w:lineRule="exact"/>
        <w:textAlignment w:val="center"/>
        <w:rPr>
          <w:rFonts w:hint="eastAsia" w:hAnsi="宋体"/>
          <w:color w:val="000000"/>
          <w:sz w:val="28"/>
          <w:szCs w:val="28"/>
        </w:rPr>
      </w:pPr>
    </w:p>
    <w:p w14:paraId="071A8A66">
      <w:pPr>
        <w:wordWrap w:val="0"/>
        <w:adjustRightInd w:val="0"/>
        <w:snapToGrid w:val="0"/>
        <w:spacing w:line="600" w:lineRule="exact"/>
        <w:textAlignment w:val="center"/>
        <w:rPr>
          <w:rFonts w:hint="eastAsia" w:hAnsi="宋体"/>
          <w:color w:val="000000"/>
          <w:sz w:val="28"/>
          <w:szCs w:val="28"/>
        </w:rPr>
      </w:pPr>
    </w:p>
    <w:p w14:paraId="16722574">
      <w:pPr>
        <w:wordWrap w:val="0"/>
        <w:adjustRightInd w:val="0"/>
        <w:snapToGrid w:val="0"/>
        <w:spacing w:line="600" w:lineRule="exact"/>
        <w:textAlignment w:val="center"/>
        <w:rPr>
          <w:rFonts w:hint="eastAsia" w:hAnsi="宋体"/>
          <w:color w:val="000000"/>
          <w:sz w:val="28"/>
          <w:szCs w:val="28"/>
        </w:rPr>
      </w:pPr>
    </w:p>
    <w:p w14:paraId="0C55AD1E">
      <w:pPr>
        <w:wordWrap w:val="0"/>
        <w:adjustRightInd w:val="0"/>
        <w:snapToGrid w:val="0"/>
        <w:spacing w:line="600" w:lineRule="exact"/>
        <w:jc w:val="center"/>
        <w:textAlignment w:val="center"/>
        <w:rPr>
          <w:rFonts w:hint="eastAsia"/>
          <w:color w:val="000000"/>
          <w:sz w:val="28"/>
          <w:szCs w:val="28"/>
        </w:rPr>
      </w:pPr>
      <w:r>
        <w:rPr>
          <w:rFonts w:hint="eastAsia" w:hAnsi="宋体"/>
          <w:color w:val="000000"/>
          <w:sz w:val="28"/>
          <w:szCs w:val="28"/>
        </w:rPr>
        <w:t>法定代表人</w:t>
      </w:r>
      <w:r>
        <w:rPr>
          <w:rFonts w:hAnsi="宋体"/>
          <w:color w:val="000000"/>
          <w:sz w:val="28"/>
          <w:szCs w:val="28"/>
        </w:rPr>
        <w:t>：</w:t>
      </w:r>
      <w:r>
        <w:rPr>
          <w:rFonts w:hint="eastAsia" w:hAnsi="宋体"/>
          <w:color w:val="000000"/>
          <w:sz w:val="28"/>
          <w:szCs w:val="28"/>
        </w:rPr>
        <w:t>应宏</w:t>
      </w:r>
    </w:p>
    <w:p w14:paraId="5CE343B2">
      <w:pPr>
        <w:wordWrap w:val="0"/>
        <w:adjustRightInd w:val="0"/>
        <w:snapToGrid w:val="0"/>
        <w:spacing w:line="600" w:lineRule="exact"/>
        <w:jc w:val="center"/>
        <w:textAlignment w:val="center"/>
        <w:rPr>
          <w:rFonts w:hint="eastAsia"/>
          <w:color w:val="000000"/>
          <w:sz w:val="28"/>
          <w:szCs w:val="28"/>
        </w:rPr>
      </w:pPr>
      <w:r>
        <w:rPr>
          <w:rFonts w:hAnsi="宋体"/>
          <w:color w:val="000000"/>
          <w:sz w:val="28"/>
          <w:szCs w:val="28"/>
        </w:rPr>
        <w:t>技术负责人：</w:t>
      </w:r>
      <w:r>
        <w:rPr>
          <w:rFonts w:hint="eastAsia" w:hAnsi="宋体"/>
          <w:color w:val="000000"/>
          <w:sz w:val="28"/>
          <w:szCs w:val="28"/>
        </w:rPr>
        <w:t>周红波</w:t>
      </w:r>
    </w:p>
    <w:p w14:paraId="248AC977">
      <w:pPr>
        <w:wordWrap w:val="0"/>
        <w:adjustRightInd w:val="0"/>
        <w:snapToGrid w:val="0"/>
        <w:spacing w:line="600" w:lineRule="exact"/>
        <w:jc w:val="center"/>
        <w:textAlignment w:val="center"/>
        <w:rPr>
          <w:rFonts w:hint="default" w:hAnsi="宋体" w:eastAsia="宋体"/>
          <w:color w:val="000000"/>
          <w:sz w:val="28"/>
          <w:szCs w:val="28"/>
          <w:lang w:val="en-US" w:eastAsia="zh-CN"/>
        </w:rPr>
      </w:pPr>
      <w:r>
        <w:rPr>
          <w:rFonts w:hint="eastAsia" w:hAnsi="宋体"/>
          <w:color w:val="000000"/>
          <w:sz w:val="28"/>
          <w:szCs w:val="28"/>
        </w:rPr>
        <w:t>项目负责人：</w:t>
      </w:r>
      <w:r>
        <w:rPr>
          <w:rFonts w:hint="eastAsia" w:hAnsi="宋体"/>
          <w:color w:val="000000"/>
          <w:sz w:val="28"/>
          <w:szCs w:val="28"/>
          <w:lang w:val="en-US" w:eastAsia="zh-CN"/>
        </w:rPr>
        <w:t>谢寒梅</w:t>
      </w:r>
    </w:p>
    <w:p w14:paraId="6010BC06">
      <w:pPr>
        <w:wordWrap w:val="0"/>
        <w:adjustRightInd w:val="0"/>
        <w:snapToGrid w:val="0"/>
        <w:spacing w:line="600" w:lineRule="exact"/>
        <w:textAlignment w:val="center"/>
        <w:rPr>
          <w:rFonts w:hint="eastAsia"/>
          <w:b/>
          <w:color w:val="000000"/>
          <w:kern w:val="0"/>
          <w:sz w:val="24"/>
        </w:rPr>
      </w:pPr>
    </w:p>
    <w:p w14:paraId="3D00B4FD">
      <w:pPr>
        <w:wordWrap w:val="0"/>
        <w:adjustRightInd w:val="0"/>
        <w:snapToGrid w:val="0"/>
        <w:spacing w:line="600" w:lineRule="exact"/>
        <w:jc w:val="center"/>
        <w:textAlignment w:val="center"/>
        <w:rPr>
          <w:rFonts w:hint="default" w:eastAsia="宋体"/>
          <w:b/>
          <w:color w:val="000000"/>
          <w:sz w:val="24"/>
          <w:lang w:val="en-US" w:eastAsia="zh-CN"/>
        </w:rPr>
      </w:pPr>
      <w:r>
        <w:rPr>
          <w:b/>
          <w:color w:val="000000"/>
          <w:kern w:val="0"/>
          <w:sz w:val="24"/>
        </w:rPr>
        <w:t>评价报告完成日期：</w:t>
      </w:r>
      <w:r>
        <w:rPr>
          <w:rFonts w:hint="eastAsia" w:ascii="Times New Roman" w:eastAsia="宋体"/>
          <w:b/>
          <w:color w:val="000000"/>
          <w:kern w:val="0"/>
          <w:sz w:val="24"/>
          <w:lang w:val="en-US" w:eastAsia="zh-CN"/>
        </w:rPr>
        <w:t>202</w:t>
      </w:r>
      <w:r>
        <w:rPr>
          <w:rFonts w:hint="eastAsia"/>
          <w:b/>
          <w:color w:val="000000"/>
          <w:kern w:val="0"/>
          <w:sz w:val="24"/>
          <w:lang w:val="en-US" w:eastAsia="zh-CN"/>
        </w:rPr>
        <w:t>6</w:t>
      </w:r>
      <w:r>
        <w:rPr>
          <w:rFonts w:hint="eastAsia" w:ascii="Times New Roman" w:eastAsia="宋体"/>
          <w:b/>
          <w:color w:val="000000"/>
          <w:kern w:val="0"/>
          <w:sz w:val="24"/>
          <w:lang w:val="en-US" w:eastAsia="zh-CN"/>
        </w:rPr>
        <w:t>年</w:t>
      </w:r>
      <w:r>
        <w:rPr>
          <w:rFonts w:hint="eastAsia"/>
          <w:b/>
          <w:color w:val="000000"/>
          <w:kern w:val="0"/>
          <w:sz w:val="24"/>
          <w:lang w:val="en-US" w:eastAsia="zh-CN"/>
        </w:rPr>
        <w:t>4</w:t>
      </w:r>
      <w:r>
        <w:rPr>
          <w:rFonts w:hint="eastAsia" w:ascii="Times New Roman" w:eastAsia="宋体"/>
          <w:b/>
          <w:color w:val="000000"/>
          <w:kern w:val="0"/>
          <w:sz w:val="24"/>
          <w:lang w:val="en-US" w:eastAsia="zh-CN"/>
        </w:rPr>
        <w:t>月</w:t>
      </w:r>
      <w:r>
        <w:rPr>
          <w:rFonts w:hint="eastAsia"/>
          <w:b/>
          <w:color w:val="000000"/>
          <w:kern w:val="0"/>
          <w:sz w:val="24"/>
          <w:lang w:val="en-US" w:eastAsia="zh-CN"/>
        </w:rPr>
        <w:t>30日</w:t>
      </w:r>
    </w:p>
    <w:p w14:paraId="7D010ED4">
      <w:r>
        <w:br w:type="page"/>
      </w:r>
    </w:p>
    <w:p w14:paraId="13697F43">
      <w:pPr>
        <w:jc w:val="center"/>
        <w:outlineLvl w:val="9"/>
        <w:rPr>
          <w:rFonts w:hint="eastAsia"/>
          <w:b/>
          <w:bCs/>
          <w:color w:val="000000"/>
          <w:sz w:val="36"/>
          <w:szCs w:val="36"/>
        </w:rPr>
      </w:pPr>
      <w:bookmarkStart w:id="3" w:name="_Toc27314"/>
      <w:r>
        <w:rPr>
          <w:rFonts w:hint="eastAsia" w:ascii="Times New Roman" w:eastAsia="宋体"/>
          <w:b/>
          <w:bCs/>
          <w:color w:val="000000"/>
          <w:sz w:val="36"/>
          <w:szCs w:val="36"/>
          <w:lang w:val="en-US" w:eastAsia="zh-CN"/>
        </w:rPr>
        <w:t>鄱阳县昌洲宏图</w:t>
      </w:r>
      <w:r>
        <w:rPr>
          <w:rFonts w:hint="eastAsia"/>
          <w:b/>
          <w:bCs/>
          <w:color w:val="000000"/>
          <w:sz w:val="36"/>
          <w:szCs w:val="36"/>
          <w:lang w:val="en-US" w:eastAsia="zh-CN"/>
        </w:rPr>
        <w:t>加油站</w:t>
      </w:r>
      <w:bookmarkEnd w:id="3"/>
    </w:p>
    <w:p w14:paraId="12C8F516">
      <w:pPr>
        <w:pStyle w:val="7"/>
        <w:bidi w:val="0"/>
        <w:ind w:left="2520" w:leftChars="0" w:firstLine="420" w:firstLineChars="0"/>
        <w:rPr>
          <w:rFonts w:hint="default" w:eastAsia="宋体"/>
          <w:lang w:val="en-US" w:eastAsia="zh-CN"/>
        </w:rPr>
      </w:pPr>
      <w:r>
        <w:rPr>
          <w:rFonts w:hint="default" w:eastAsia="宋体"/>
          <w:b/>
          <w:bCs/>
          <w:sz w:val="30"/>
          <w:szCs w:val="30"/>
          <w:lang w:val="en-US" w:eastAsia="zh-CN"/>
        </w:rPr>
        <w:t>安全现状评价报告</w:t>
      </w:r>
    </w:p>
    <w:p w14:paraId="5EE94DC7">
      <w:pPr>
        <w:widowControl/>
        <w:spacing w:before="100" w:beforeAutospacing="1" w:after="100" w:afterAutospacing="1" w:line="540" w:lineRule="exact"/>
        <w:jc w:val="center"/>
        <w:outlineLvl w:val="9"/>
        <w:rPr>
          <w:b/>
          <w:color w:val="000000"/>
          <w:kern w:val="0"/>
          <w:sz w:val="36"/>
          <w:szCs w:val="36"/>
        </w:rPr>
      </w:pPr>
      <w:bookmarkStart w:id="4" w:name="_Toc32532"/>
      <w:r>
        <w:rPr>
          <w:b/>
          <w:color w:val="000000"/>
          <w:kern w:val="0"/>
          <w:sz w:val="36"/>
          <w:szCs w:val="36"/>
        </w:rPr>
        <w:t>安全评价技术服务承诺书</w:t>
      </w:r>
      <w:bookmarkEnd w:id="4"/>
    </w:p>
    <w:p w14:paraId="112F350B">
      <w:pPr>
        <w:widowControl/>
        <w:spacing w:before="100" w:beforeAutospacing="1" w:after="100" w:afterAutospacing="1" w:line="540" w:lineRule="exact"/>
        <w:jc w:val="center"/>
        <w:rPr>
          <w:b/>
          <w:color w:val="000000"/>
          <w:kern w:val="0"/>
          <w:sz w:val="36"/>
          <w:szCs w:val="36"/>
        </w:rPr>
      </w:pPr>
    </w:p>
    <w:p w14:paraId="33ADF387">
      <w:pPr>
        <w:widowControl/>
        <w:wordWrap w:val="0"/>
        <w:spacing w:line="425" w:lineRule="auto"/>
        <w:ind w:firstLine="640" w:firstLineChars="200"/>
        <w:jc w:val="left"/>
        <w:rPr>
          <w:rFonts w:hint="eastAsia" w:eastAsia="仿宋"/>
          <w:color w:val="000000"/>
          <w:kern w:val="0"/>
          <w:sz w:val="32"/>
          <w:szCs w:val="32"/>
        </w:rPr>
      </w:pPr>
      <w:r>
        <w:rPr>
          <w:rFonts w:eastAsia="仿宋"/>
          <w:color w:val="000000"/>
          <w:kern w:val="0"/>
          <w:sz w:val="32"/>
          <w:szCs w:val="32"/>
        </w:rPr>
        <w:t>一、在本项目安全评价活动过程中，我单位严格遵守《安全生产法》及相关法律、法规和标准的要求。</w:t>
      </w:r>
    </w:p>
    <w:p w14:paraId="0D7EEB45">
      <w:pPr>
        <w:widowControl/>
        <w:wordWrap w:val="0"/>
        <w:spacing w:line="425" w:lineRule="auto"/>
        <w:ind w:firstLine="640" w:firstLineChars="200"/>
        <w:jc w:val="left"/>
        <w:rPr>
          <w:rFonts w:hint="eastAsia" w:eastAsia="仿宋"/>
          <w:color w:val="000000"/>
          <w:kern w:val="0"/>
          <w:sz w:val="32"/>
          <w:szCs w:val="32"/>
        </w:rPr>
      </w:pPr>
      <w:r>
        <w:rPr>
          <w:rFonts w:eastAsia="仿宋"/>
          <w:color w:val="000000"/>
          <w:kern w:val="0"/>
          <w:sz w:val="32"/>
          <w:szCs w:val="32"/>
        </w:rPr>
        <w:t>二、在本项目安全评价活动过程中，我单位作为第三方，未受到任何组织和个人的干预和影响，依法独立开展工作，保证了技术服务活动的客观公正性。</w:t>
      </w:r>
    </w:p>
    <w:p w14:paraId="47FE23FC">
      <w:pPr>
        <w:widowControl/>
        <w:wordWrap w:val="0"/>
        <w:spacing w:line="425" w:lineRule="auto"/>
        <w:ind w:firstLine="640" w:firstLineChars="200"/>
        <w:jc w:val="left"/>
        <w:rPr>
          <w:rFonts w:hint="eastAsia" w:eastAsia="仿宋"/>
          <w:color w:val="000000"/>
          <w:kern w:val="0"/>
          <w:sz w:val="32"/>
          <w:szCs w:val="32"/>
        </w:rPr>
      </w:pPr>
      <w:r>
        <w:rPr>
          <w:rFonts w:eastAsia="仿宋"/>
          <w:color w:val="000000"/>
          <w:kern w:val="0"/>
          <w:sz w:val="32"/>
          <w:szCs w:val="32"/>
        </w:rPr>
        <w:t>三、我单位按照实事求是的原则，对本项目进行安全评价，确保出具的报告均真实有效，报告所提出的措施具有针对性、有效性和可行性。</w:t>
      </w:r>
    </w:p>
    <w:p w14:paraId="45449309">
      <w:pPr>
        <w:widowControl/>
        <w:wordWrap w:val="0"/>
        <w:spacing w:line="425" w:lineRule="auto"/>
        <w:ind w:firstLine="640" w:firstLineChars="200"/>
        <w:jc w:val="left"/>
        <w:outlineLvl w:val="9"/>
        <w:rPr>
          <w:rFonts w:eastAsia="仿宋"/>
          <w:color w:val="000000"/>
          <w:kern w:val="0"/>
          <w:sz w:val="32"/>
          <w:szCs w:val="32"/>
        </w:rPr>
      </w:pPr>
      <w:bookmarkStart w:id="5" w:name="_Toc24433"/>
      <w:r>
        <w:rPr>
          <w:rFonts w:eastAsia="仿宋"/>
          <w:color w:val="000000"/>
          <w:kern w:val="0"/>
          <w:sz w:val="32"/>
          <w:szCs w:val="32"/>
        </w:rPr>
        <w:t>四、我单位对本项目安全评价报告中结论性内容承担法律责任。</w:t>
      </w:r>
      <w:bookmarkEnd w:id="5"/>
    </w:p>
    <w:p w14:paraId="5B4F5C38">
      <w:pPr>
        <w:widowControl/>
        <w:wordWrap w:val="0"/>
        <w:spacing w:before="100" w:beforeAutospacing="1" w:after="100" w:afterAutospacing="1" w:line="425" w:lineRule="auto"/>
        <w:ind w:firstLine="480"/>
        <w:jc w:val="left"/>
        <w:rPr>
          <w:color w:val="000000"/>
          <w:kern w:val="0"/>
          <w:sz w:val="32"/>
          <w:szCs w:val="32"/>
        </w:rPr>
      </w:pPr>
    </w:p>
    <w:p w14:paraId="5793646F">
      <w:pPr>
        <w:widowControl/>
        <w:wordWrap w:val="0"/>
        <w:spacing w:before="100" w:beforeAutospacing="1" w:after="100" w:afterAutospacing="1" w:line="425" w:lineRule="auto"/>
        <w:ind w:firstLine="480"/>
        <w:jc w:val="right"/>
        <w:rPr>
          <w:color w:val="000000"/>
          <w:kern w:val="0"/>
          <w:sz w:val="32"/>
          <w:szCs w:val="32"/>
        </w:rPr>
      </w:pPr>
      <w:r>
        <w:rPr>
          <w:color w:val="000000"/>
          <w:kern w:val="0"/>
          <w:sz w:val="32"/>
          <w:szCs w:val="32"/>
        </w:rPr>
        <w:t>江西赣安安全生产科学技术咨询服务中心（公章）</w:t>
      </w:r>
    </w:p>
    <w:p w14:paraId="15B0E6E9">
      <w:pPr>
        <w:pStyle w:val="29"/>
        <w:ind w:left="5040" w:leftChars="0" w:firstLine="420" w:firstLineChars="0"/>
        <w:rPr>
          <w:color w:val="000000"/>
          <w:kern w:val="0"/>
          <w:sz w:val="32"/>
          <w:szCs w:val="32"/>
        </w:rPr>
      </w:pPr>
      <w:r>
        <w:rPr>
          <w:color w:val="000000"/>
          <w:kern w:val="0"/>
          <w:sz w:val="32"/>
          <w:szCs w:val="32"/>
        </w:rPr>
        <w:t>202</w:t>
      </w:r>
      <w:r>
        <w:rPr>
          <w:rFonts w:hint="eastAsia"/>
          <w:color w:val="000000"/>
          <w:kern w:val="0"/>
          <w:sz w:val="32"/>
          <w:szCs w:val="32"/>
          <w:lang w:val="en-US" w:eastAsia="zh-CN"/>
        </w:rPr>
        <w:t>6</w:t>
      </w:r>
      <w:r>
        <w:rPr>
          <w:color w:val="000000"/>
          <w:kern w:val="0"/>
          <w:sz w:val="32"/>
          <w:szCs w:val="32"/>
        </w:rPr>
        <w:t>年</w:t>
      </w:r>
      <w:r>
        <w:rPr>
          <w:rFonts w:hint="eastAsia"/>
          <w:color w:val="000000"/>
          <w:kern w:val="0"/>
          <w:sz w:val="32"/>
          <w:szCs w:val="32"/>
          <w:lang w:val="en-US" w:eastAsia="zh-CN"/>
        </w:rPr>
        <w:t>4</w:t>
      </w:r>
      <w:r>
        <w:rPr>
          <w:color w:val="000000"/>
          <w:kern w:val="0"/>
          <w:sz w:val="32"/>
          <w:szCs w:val="32"/>
        </w:rPr>
        <w:t>月</w:t>
      </w:r>
      <w:r>
        <w:rPr>
          <w:rFonts w:hint="eastAsia"/>
          <w:color w:val="000000"/>
          <w:kern w:val="0"/>
          <w:sz w:val="32"/>
          <w:szCs w:val="32"/>
          <w:lang w:val="en-US" w:eastAsia="zh-CN"/>
        </w:rPr>
        <w:t>30</w:t>
      </w:r>
      <w:r>
        <w:rPr>
          <w:color w:val="000000"/>
          <w:kern w:val="0"/>
          <w:sz w:val="32"/>
          <w:szCs w:val="32"/>
        </w:rPr>
        <w:t>日</w:t>
      </w:r>
    </w:p>
    <w:p w14:paraId="7C018F01">
      <w:pPr>
        <w:rPr>
          <w:color w:val="000000"/>
          <w:kern w:val="0"/>
          <w:sz w:val="32"/>
          <w:szCs w:val="32"/>
        </w:rPr>
      </w:pPr>
      <w:r>
        <w:rPr>
          <w:color w:val="000000"/>
          <w:kern w:val="0"/>
          <w:sz w:val="32"/>
          <w:szCs w:val="32"/>
        </w:rPr>
        <w:br w:type="page"/>
      </w:r>
    </w:p>
    <w:p w14:paraId="12349E7A">
      <w:pPr>
        <w:jc w:val="center"/>
        <w:rPr>
          <w:rFonts w:eastAsia="黑体"/>
          <w:color w:val="000000"/>
          <w:sz w:val="36"/>
        </w:rPr>
      </w:pPr>
    </w:p>
    <w:p w14:paraId="42047F3B">
      <w:pPr>
        <w:pStyle w:val="29"/>
        <w:rPr>
          <w:color w:val="000000"/>
        </w:rPr>
      </w:pPr>
    </w:p>
    <w:p w14:paraId="56DD437B">
      <w:pPr>
        <w:spacing w:line="600" w:lineRule="exact"/>
        <w:jc w:val="center"/>
        <w:rPr>
          <w:b/>
          <w:color w:val="000000"/>
          <w:sz w:val="32"/>
        </w:rPr>
      </w:pPr>
      <w:r>
        <w:rPr>
          <w:b/>
          <w:color w:val="000000"/>
          <w:sz w:val="32"/>
        </w:rPr>
        <w:t>评价人员</w:t>
      </w:r>
    </w:p>
    <w:p w14:paraId="134A5E5F">
      <w:pPr>
        <w:pStyle w:val="29"/>
        <w:rPr>
          <w:color w:val="000000"/>
        </w:rPr>
      </w:pPr>
    </w:p>
    <w:p w14:paraId="4644E435">
      <w:pPr>
        <w:pStyle w:val="29"/>
        <w:jc w:val="center"/>
        <w:rPr>
          <w:color w:val="000000"/>
        </w:rPr>
      </w:pPr>
    </w:p>
    <w:tbl>
      <w:tblPr>
        <w:tblStyle w:val="20"/>
        <w:tblW w:w="10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115"/>
        <w:gridCol w:w="1543"/>
        <w:gridCol w:w="2897"/>
        <w:gridCol w:w="1611"/>
        <w:gridCol w:w="1420"/>
      </w:tblGrid>
      <w:tr w14:paraId="146F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69D128">
            <w:pPr>
              <w:spacing w:beforeLines="0" w:afterLines="0"/>
              <w:jc w:val="center"/>
              <w:rPr>
                <w:rFonts w:hint="default"/>
                <w:color w:val="auto"/>
                <w:sz w:val="24"/>
                <w:szCs w:val="24"/>
              </w:rPr>
            </w:pP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9442A3">
            <w:pPr>
              <w:spacing w:beforeLines="0" w:afterLines="0"/>
              <w:jc w:val="center"/>
              <w:rPr>
                <w:rFonts w:hint="default"/>
                <w:color w:val="auto"/>
                <w:sz w:val="24"/>
                <w:szCs w:val="24"/>
              </w:rPr>
            </w:pPr>
            <w:r>
              <w:rPr>
                <w:rFonts w:hint="default" w:ascii="宋体" w:hAnsi="Times New Roman" w:eastAsia="宋体"/>
                <w:color w:val="auto"/>
                <w:sz w:val="24"/>
                <w:szCs w:val="24"/>
              </w:rPr>
              <w:t>姓名</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639E43">
            <w:pPr>
              <w:spacing w:beforeLines="0" w:afterLines="0"/>
              <w:jc w:val="center"/>
              <w:rPr>
                <w:rFonts w:hint="default" w:ascii="宋体" w:hAnsi="Times New Roman" w:eastAsia="宋体"/>
                <w:color w:val="auto"/>
                <w:sz w:val="24"/>
                <w:szCs w:val="24"/>
              </w:rPr>
            </w:pPr>
            <w:r>
              <w:rPr>
                <w:rFonts w:hint="default" w:ascii="宋体" w:hAnsi="Times New Roman" w:eastAsia="宋体"/>
                <w:color w:val="auto"/>
                <w:sz w:val="24"/>
                <w:szCs w:val="24"/>
              </w:rPr>
              <w:t>专业</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822995">
            <w:pPr>
              <w:spacing w:beforeLines="0" w:afterLines="0"/>
              <w:jc w:val="center"/>
              <w:rPr>
                <w:rFonts w:hint="default"/>
                <w:color w:val="auto"/>
                <w:sz w:val="24"/>
                <w:szCs w:val="24"/>
              </w:rPr>
            </w:pPr>
            <w:r>
              <w:rPr>
                <w:rFonts w:hint="default" w:ascii="宋体" w:hAnsi="Times New Roman" w:eastAsia="宋体"/>
                <w:color w:val="auto"/>
                <w:sz w:val="24"/>
                <w:szCs w:val="24"/>
              </w:rPr>
              <w:t>职业资格证书编号</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DF0571">
            <w:pPr>
              <w:spacing w:beforeLines="0" w:afterLines="0"/>
              <w:jc w:val="center"/>
              <w:rPr>
                <w:rFonts w:hint="default"/>
                <w:color w:val="auto"/>
                <w:sz w:val="24"/>
                <w:szCs w:val="24"/>
              </w:rPr>
            </w:pPr>
            <w:r>
              <w:rPr>
                <w:rFonts w:hint="default" w:ascii="宋体" w:hAnsi="Times New Roman" w:eastAsia="宋体"/>
                <w:color w:val="auto"/>
                <w:sz w:val="24"/>
                <w:szCs w:val="24"/>
              </w:rPr>
              <w:t>从业信息识别卡编号</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0C8E8E">
            <w:pPr>
              <w:spacing w:beforeLines="0" w:afterLines="0"/>
              <w:jc w:val="center"/>
              <w:rPr>
                <w:rFonts w:hint="default"/>
                <w:color w:val="auto"/>
                <w:sz w:val="24"/>
                <w:szCs w:val="24"/>
              </w:rPr>
            </w:pPr>
            <w:r>
              <w:rPr>
                <w:rFonts w:hint="default" w:ascii="宋体" w:hAnsi="Times New Roman" w:eastAsia="宋体"/>
                <w:color w:val="auto"/>
                <w:sz w:val="24"/>
                <w:szCs w:val="24"/>
              </w:rPr>
              <w:t>签字</w:t>
            </w:r>
          </w:p>
        </w:tc>
      </w:tr>
      <w:tr w14:paraId="3CB7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EEEE01">
            <w:pPr>
              <w:spacing w:beforeLines="0" w:afterLines="0"/>
              <w:jc w:val="center"/>
              <w:rPr>
                <w:rFonts w:hint="default"/>
                <w:color w:val="auto"/>
                <w:sz w:val="24"/>
                <w:szCs w:val="24"/>
              </w:rPr>
            </w:pPr>
            <w:r>
              <w:rPr>
                <w:rFonts w:hint="default" w:ascii="宋体" w:hAnsi="Times New Roman" w:eastAsia="宋体"/>
                <w:color w:val="auto"/>
                <w:sz w:val="24"/>
                <w:szCs w:val="24"/>
              </w:rPr>
              <w:t>项目负责人</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AAC41C">
            <w:pPr>
              <w:spacing w:beforeLines="0" w:afterLines="0" w:line="520" w:lineRule="exact"/>
              <w:jc w:val="center"/>
              <w:rPr>
                <w:rFonts w:hint="default"/>
                <w:color w:val="auto"/>
                <w:sz w:val="24"/>
                <w:szCs w:val="24"/>
              </w:rPr>
            </w:pPr>
            <w:r>
              <w:rPr>
                <w:rFonts w:hint="default" w:ascii="宋体" w:hAnsi="Times New Roman" w:eastAsia="宋体"/>
                <w:color w:val="auto"/>
                <w:sz w:val="24"/>
                <w:szCs w:val="24"/>
              </w:rPr>
              <w:t>谢寒梅</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E17C8">
            <w:pPr>
              <w:spacing w:beforeLines="0" w:afterLines="0" w:line="520" w:lineRule="exact"/>
              <w:jc w:val="center"/>
              <w:rPr>
                <w:rFonts w:hint="default" w:ascii="宋体" w:hAnsi="Times New Roman" w:eastAsia="宋体"/>
                <w:color w:val="auto"/>
                <w:sz w:val="24"/>
                <w:szCs w:val="24"/>
              </w:rPr>
            </w:pPr>
            <w:r>
              <w:rPr>
                <w:rFonts w:hint="default" w:ascii="宋体" w:hAnsi="Times New Roman" w:eastAsia="宋体"/>
                <w:color w:val="auto"/>
                <w:sz w:val="24"/>
                <w:szCs w:val="24"/>
              </w:rPr>
              <w:t xml:space="preserve"> 电气自动化</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E75945">
            <w:pPr>
              <w:spacing w:beforeLines="0" w:afterLines="0" w:line="520" w:lineRule="exact"/>
              <w:jc w:val="center"/>
              <w:rPr>
                <w:rFonts w:hint="default"/>
                <w:color w:val="auto"/>
                <w:sz w:val="24"/>
                <w:szCs w:val="24"/>
              </w:rPr>
            </w:pPr>
            <w:r>
              <w:rPr>
                <w:rFonts w:hint="default"/>
                <w:color w:val="auto"/>
                <w:sz w:val="24"/>
                <w:szCs w:val="24"/>
              </w:rPr>
              <w:t>S011035000110192001584</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5679A3">
            <w:pPr>
              <w:spacing w:beforeLines="0" w:afterLines="0" w:line="520" w:lineRule="exact"/>
              <w:jc w:val="center"/>
              <w:rPr>
                <w:rFonts w:hint="default"/>
                <w:color w:val="auto"/>
                <w:sz w:val="24"/>
                <w:szCs w:val="24"/>
              </w:rPr>
            </w:pPr>
            <w:r>
              <w:rPr>
                <w:rFonts w:hint="default"/>
                <w:color w:val="auto"/>
                <w:sz w:val="24"/>
                <w:szCs w:val="24"/>
              </w:rPr>
              <w:t>027089</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2AF928">
            <w:pPr>
              <w:spacing w:beforeLines="0" w:afterLines="0"/>
              <w:jc w:val="center"/>
              <w:rPr>
                <w:rFonts w:hint="default"/>
                <w:color w:val="auto"/>
                <w:sz w:val="24"/>
                <w:szCs w:val="24"/>
              </w:rPr>
            </w:pPr>
          </w:p>
        </w:tc>
      </w:tr>
      <w:tr w14:paraId="3B1C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vMerge w:val="restart"/>
            <w:tcBorders>
              <w:top w:val="single" w:color="auto" w:sz="4" w:space="0"/>
              <w:left w:val="single" w:color="auto" w:sz="4" w:space="0"/>
              <w:right w:val="single" w:color="auto" w:sz="4" w:space="0"/>
              <w:tl2br w:val="nil"/>
              <w:tr2bl w:val="nil"/>
            </w:tcBorders>
            <w:noWrap w:val="0"/>
            <w:vAlign w:val="center"/>
          </w:tcPr>
          <w:p w14:paraId="022B7CC2">
            <w:pPr>
              <w:spacing w:beforeLines="0" w:afterLines="0"/>
              <w:jc w:val="center"/>
              <w:rPr>
                <w:rFonts w:hint="default"/>
                <w:color w:val="auto"/>
                <w:sz w:val="24"/>
                <w:szCs w:val="24"/>
              </w:rPr>
            </w:pPr>
            <w:r>
              <w:rPr>
                <w:rFonts w:hint="default" w:ascii="宋体" w:hAnsi="Times New Roman" w:eastAsia="宋体"/>
                <w:color w:val="auto"/>
                <w:sz w:val="24"/>
                <w:szCs w:val="24"/>
              </w:rPr>
              <w:t>项目组成员</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D97D66">
            <w:pPr>
              <w:spacing w:beforeLines="0" w:afterLines="0" w:line="520" w:lineRule="exact"/>
              <w:jc w:val="center"/>
              <w:rPr>
                <w:rFonts w:hint="default"/>
                <w:color w:val="auto"/>
                <w:sz w:val="24"/>
                <w:szCs w:val="24"/>
              </w:rPr>
            </w:pPr>
            <w:r>
              <w:rPr>
                <w:rFonts w:hint="default" w:ascii="宋体" w:hAnsi="Times New Roman" w:eastAsia="宋体"/>
                <w:color w:val="auto"/>
                <w:sz w:val="24"/>
                <w:szCs w:val="24"/>
              </w:rPr>
              <w:t>王</w:t>
            </w:r>
            <w:r>
              <w:rPr>
                <w:rFonts w:hint="default"/>
                <w:color w:val="auto"/>
                <w:sz w:val="24"/>
                <w:szCs w:val="24"/>
              </w:rPr>
              <w:t xml:space="preserve">  </w:t>
            </w:r>
            <w:r>
              <w:rPr>
                <w:rFonts w:hint="default" w:ascii="宋体" w:hAnsi="Times New Roman" w:eastAsia="宋体"/>
                <w:color w:val="auto"/>
                <w:sz w:val="24"/>
                <w:szCs w:val="24"/>
              </w:rPr>
              <w:t>冠</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1626A5">
            <w:pPr>
              <w:spacing w:beforeLines="0" w:afterLines="0" w:line="520" w:lineRule="exact"/>
              <w:jc w:val="center"/>
              <w:rPr>
                <w:rFonts w:hint="default" w:ascii="宋体" w:hAnsi="Times New Roman" w:eastAsia="宋体"/>
                <w:color w:val="auto"/>
                <w:sz w:val="24"/>
                <w:szCs w:val="24"/>
              </w:rPr>
            </w:pPr>
            <w:r>
              <w:rPr>
                <w:rFonts w:hint="default" w:ascii="宋体" w:hAnsi="Times New Roman" w:eastAsia="宋体"/>
                <w:color w:val="auto"/>
                <w:sz w:val="24"/>
                <w:szCs w:val="24"/>
              </w:rPr>
              <w:t>化工工艺</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3CC16C">
            <w:pPr>
              <w:spacing w:beforeLines="0" w:afterLines="0" w:line="520" w:lineRule="exact"/>
              <w:jc w:val="center"/>
              <w:rPr>
                <w:rFonts w:hint="default"/>
                <w:color w:val="auto"/>
                <w:sz w:val="24"/>
                <w:szCs w:val="24"/>
              </w:rPr>
            </w:pPr>
            <w:r>
              <w:rPr>
                <w:rFonts w:hint="default"/>
                <w:color w:val="auto"/>
                <w:sz w:val="24"/>
                <w:szCs w:val="24"/>
              </w:rPr>
              <w:t>S011035000110192001523</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FAE79A">
            <w:pPr>
              <w:spacing w:beforeLines="0" w:afterLines="0" w:line="520" w:lineRule="exact"/>
              <w:jc w:val="center"/>
              <w:rPr>
                <w:rFonts w:hint="default"/>
                <w:color w:val="auto"/>
                <w:sz w:val="24"/>
                <w:szCs w:val="24"/>
              </w:rPr>
            </w:pPr>
            <w:r>
              <w:rPr>
                <w:rFonts w:hint="default"/>
                <w:color w:val="auto"/>
                <w:sz w:val="24"/>
                <w:szCs w:val="24"/>
              </w:rPr>
              <w:t>027086</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4459F6">
            <w:pPr>
              <w:spacing w:beforeLines="0" w:afterLines="0"/>
              <w:jc w:val="center"/>
              <w:rPr>
                <w:rFonts w:hint="default"/>
                <w:color w:val="auto"/>
                <w:sz w:val="24"/>
                <w:szCs w:val="24"/>
              </w:rPr>
            </w:pPr>
          </w:p>
        </w:tc>
      </w:tr>
      <w:tr w14:paraId="6975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vMerge w:val="continue"/>
            <w:tcBorders>
              <w:left w:val="single" w:color="auto" w:sz="4" w:space="0"/>
              <w:right w:val="single" w:color="auto" w:sz="4" w:space="0"/>
              <w:tl2br w:val="nil"/>
              <w:tr2bl w:val="nil"/>
            </w:tcBorders>
            <w:noWrap w:val="0"/>
            <w:vAlign w:val="center"/>
          </w:tcPr>
          <w:p w14:paraId="136A946E">
            <w:pPr>
              <w:spacing w:beforeLines="0" w:afterLines="0"/>
              <w:jc w:val="center"/>
              <w:rPr>
                <w:rFonts w:hint="default"/>
                <w:color w:val="auto"/>
                <w:sz w:val="24"/>
                <w:szCs w:val="24"/>
              </w:rPr>
            </w:pP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4B1438">
            <w:pPr>
              <w:spacing w:beforeLines="0" w:afterLines="0"/>
              <w:jc w:val="center"/>
              <w:rPr>
                <w:rFonts w:hint="default" w:ascii="宋体" w:hAnsi="宋体" w:eastAsia="宋体"/>
                <w:color w:val="auto"/>
                <w:sz w:val="24"/>
                <w:szCs w:val="24"/>
              </w:rPr>
            </w:pPr>
            <w:r>
              <w:rPr>
                <w:rFonts w:hint="default" w:ascii="宋体" w:hAnsi="宋体" w:eastAsia="宋体"/>
                <w:color w:val="auto"/>
                <w:sz w:val="24"/>
                <w:szCs w:val="24"/>
              </w:rPr>
              <w:t>李景龙</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1C9D49">
            <w:pPr>
              <w:spacing w:beforeLines="0" w:afterLines="0"/>
              <w:jc w:val="center"/>
              <w:rPr>
                <w:rFonts w:hint="default" w:ascii="宋体" w:hAnsi="宋体" w:eastAsia="宋体"/>
                <w:color w:val="auto"/>
                <w:sz w:val="24"/>
                <w:szCs w:val="24"/>
              </w:rPr>
            </w:pPr>
            <w:r>
              <w:rPr>
                <w:rFonts w:hint="default" w:ascii="宋体" w:hAnsi="宋体" w:eastAsia="宋体"/>
                <w:color w:val="auto"/>
                <w:sz w:val="24"/>
                <w:szCs w:val="24"/>
              </w:rPr>
              <w:t>安全工程</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8D5718">
            <w:pPr>
              <w:spacing w:beforeLines="0" w:afterLines="0" w:line="400" w:lineRule="exact"/>
              <w:jc w:val="center"/>
              <w:rPr>
                <w:rFonts w:hint="eastAsia" w:ascii="Times New Roman" w:hAnsi="Times New Roman" w:eastAsia="Times New Roman"/>
                <w:color w:val="auto"/>
                <w:sz w:val="24"/>
                <w:szCs w:val="24"/>
              </w:rPr>
            </w:pPr>
            <w:r>
              <w:rPr>
                <w:rFonts w:hint="default"/>
                <w:color w:val="auto"/>
                <w:sz w:val="24"/>
                <w:szCs w:val="24"/>
              </w:rPr>
              <w:t>20231004636000000141</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4608F4">
            <w:pPr>
              <w:spacing w:beforeLines="0" w:afterLines="0" w:line="400" w:lineRule="exact"/>
              <w:jc w:val="center"/>
              <w:rPr>
                <w:rFonts w:hint="eastAsia" w:ascii="Times New Roman" w:hAnsi="Times New Roman" w:eastAsia="Times New Roman"/>
                <w:color w:val="auto"/>
                <w:sz w:val="24"/>
                <w:szCs w:val="24"/>
              </w:rPr>
            </w:pPr>
            <w:r>
              <w:rPr>
                <w:rFonts w:hint="default"/>
                <w:color w:val="auto"/>
                <w:sz w:val="24"/>
                <w:szCs w:val="24"/>
              </w:rPr>
              <w:t>36250406364</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CBF34B">
            <w:pPr>
              <w:spacing w:beforeLines="0" w:afterLines="0"/>
              <w:jc w:val="center"/>
              <w:rPr>
                <w:rFonts w:hint="default"/>
                <w:color w:val="auto"/>
                <w:sz w:val="24"/>
                <w:szCs w:val="24"/>
              </w:rPr>
            </w:pPr>
          </w:p>
        </w:tc>
      </w:tr>
      <w:tr w14:paraId="177A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vMerge w:val="continue"/>
            <w:tcBorders>
              <w:left w:val="single" w:color="auto" w:sz="4" w:space="0"/>
              <w:right w:val="single" w:color="auto" w:sz="4" w:space="0"/>
              <w:tl2br w:val="nil"/>
              <w:tr2bl w:val="nil"/>
            </w:tcBorders>
            <w:noWrap w:val="0"/>
            <w:vAlign w:val="center"/>
          </w:tcPr>
          <w:p w14:paraId="616BE192">
            <w:pPr>
              <w:spacing w:beforeLines="0" w:afterLines="0"/>
              <w:jc w:val="center"/>
              <w:rPr>
                <w:rFonts w:hint="default"/>
                <w:color w:val="auto"/>
                <w:sz w:val="24"/>
                <w:szCs w:val="24"/>
              </w:rPr>
            </w:pP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228845">
            <w:pPr>
              <w:spacing w:beforeLines="0" w:afterLines="0" w:line="400" w:lineRule="exact"/>
              <w:jc w:val="center"/>
              <w:rPr>
                <w:rFonts w:hint="default"/>
                <w:color w:val="auto"/>
                <w:sz w:val="24"/>
                <w:szCs w:val="24"/>
              </w:rPr>
            </w:pPr>
            <w:r>
              <w:rPr>
                <w:rFonts w:hint="default" w:ascii="宋体" w:hAnsi="Times New Roman" w:eastAsia="宋体"/>
                <w:color w:val="auto"/>
                <w:sz w:val="24"/>
                <w:szCs w:val="24"/>
              </w:rPr>
              <w:t>王</w:t>
            </w:r>
            <w:r>
              <w:rPr>
                <w:rFonts w:hint="default"/>
                <w:color w:val="auto"/>
                <w:sz w:val="24"/>
                <w:szCs w:val="24"/>
              </w:rPr>
              <w:t xml:space="preserve">  </w:t>
            </w:r>
            <w:r>
              <w:rPr>
                <w:rFonts w:hint="default" w:ascii="宋体" w:hAnsi="Times New Roman" w:eastAsia="宋体"/>
                <w:color w:val="auto"/>
                <w:sz w:val="24"/>
                <w:szCs w:val="24"/>
              </w:rPr>
              <w:t>波</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C5CB4C">
            <w:pPr>
              <w:spacing w:beforeLines="0" w:afterLines="0" w:line="400" w:lineRule="exact"/>
              <w:jc w:val="center"/>
              <w:rPr>
                <w:rFonts w:hint="default" w:ascii="宋体" w:hAnsi="Times New Roman" w:eastAsia="宋体"/>
                <w:color w:val="auto"/>
                <w:sz w:val="24"/>
                <w:szCs w:val="24"/>
              </w:rPr>
            </w:pPr>
            <w:r>
              <w:rPr>
                <w:rFonts w:hint="default" w:ascii="宋体" w:hAnsi="Times New Roman" w:eastAsia="宋体"/>
                <w:color w:val="auto"/>
                <w:sz w:val="24"/>
                <w:szCs w:val="24"/>
              </w:rPr>
              <w:t>化工工艺</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F5865">
            <w:pPr>
              <w:spacing w:beforeLines="0" w:afterLines="0" w:line="520" w:lineRule="exact"/>
              <w:jc w:val="center"/>
              <w:rPr>
                <w:rFonts w:hint="default"/>
                <w:color w:val="auto"/>
                <w:sz w:val="24"/>
                <w:szCs w:val="24"/>
              </w:rPr>
            </w:pPr>
            <w:r>
              <w:rPr>
                <w:rFonts w:hint="default"/>
                <w:color w:val="auto"/>
                <w:sz w:val="24"/>
                <w:szCs w:val="24"/>
              </w:rPr>
              <w:t>S011035000110202001263</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0C578D">
            <w:pPr>
              <w:spacing w:beforeLines="0" w:afterLines="0" w:line="520" w:lineRule="exact"/>
              <w:jc w:val="center"/>
              <w:rPr>
                <w:rFonts w:hint="default"/>
                <w:color w:val="auto"/>
                <w:sz w:val="24"/>
                <w:szCs w:val="24"/>
              </w:rPr>
            </w:pPr>
            <w:r>
              <w:rPr>
                <w:rFonts w:hint="default"/>
                <w:color w:val="auto"/>
                <w:sz w:val="24"/>
                <w:szCs w:val="24"/>
              </w:rPr>
              <w:t>040122</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66729A">
            <w:pPr>
              <w:spacing w:beforeLines="0" w:afterLines="0"/>
              <w:jc w:val="center"/>
              <w:rPr>
                <w:rFonts w:hint="default"/>
                <w:color w:val="auto"/>
                <w:sz w:val="24"/>
                <w:szCs w:val="24"/>
              </w:rPr>
            </w:pPr>
          </w:p>
        </w:tc>
      </w:tr>
      <w:tr w14:paraId="7FEB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vMerge w:val="continue"/>
            <w:tcBorders>
              <w:left w:val="single" w:color="auto" w:sz="4" w:space="0"/>
              <w:bottom w:val="single" w:color="auto" w:sz="4" w:space="0"/>
              <w:right w:val="single" w:color="auto" w:sz="4" w:space="0"/>
              <w:tl2br w:val="nil"/>
              <w:tr2bl w:val="nil"/>
            </w:tcBorders>
            <w:noWrap w:val="0"/>
            <w:vAlign w:val="center"/>
          </w:tcPr>
          <w:p w14:paraId="7454AE81">
            <w:pPr>
              <w:spacing w:beforeLines="0" w:afterLines="0"/>
              <w:jc w:val="center"/>
              <w:rPr>
                <w:rFonts w:hint="default"/>
                <w:color w:val="auto"/>
                <w:sz w:val="24"/>
                <w:szCs w:val="24"/>
              </w:rPr>
            </w:pP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3A7767">
            <w:pPr>
              <w:spacing w:beforeLines="0" w:afterLines="0" w:line="400" w:lineRule="exact"/>
              <w:jc w:val="center"/>
              <w:rPr>
                <w:rFonts w:hint="eastAsia" w:ascii="Times New Roman" w:hAnsi="Times New Roman" w:eastAsia="Times New Roman" w:cs="Times New Roman"/>
                <w:color w:val="auto"/>
                <w:sz w:val="24"/>
                <w:szCs w:val="24"/>
              </w:rPr>
            </w:pPr>
            <w:r>
              <w:rPr>
                <w:rFonts w:hint="default" w:ascii="宋体" w:hAnsi="Times New Roman" w:eastAsia="宋体" w:cs="Times New Roman"/>
                <w:color w:val="auto"/>
                <w:sz w:val="24"/>
                <w:szCs w:val="24"/>
              </w:rPr>
              <w:t>万宇浩</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D7534B">
            <w:pPr>
              <w:spacing w:beforeLines="0" w:afterLines="0" w:line="400" w:lineRule="exact"/>
              <w:jc w:val="center"/>
              <w:rPr>
                <w:rFonts w:hint="default" w:ascii="宋体" w:hAnsi="Times New Roman" w:eastAsia="宋体" w:cs="Times New Roman"/>
                <w:color w:val="auto"/>
                <w:sz w:val="24"/>
                <w:szCs w:val="24"/>
              </w:rPr>
            </w:pPr>
            <w:r>
              <w:rPr>
                <w:rFonts w:hint="default" w:ascii="宋体" w:hAnsi="宋体" w:eastAsia="宋体"/>
                <w:color w:val="auto"/>
                <w:sz w:val="24"/>
                <w:szCs w:val="24"/>
              </w:rPr>
              <w:t>安全工程</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364D3D">
            <w:pPr>
              <w:spacing w:beforeLines="0" w:afterLines="0" w:line="520" w:lineRule="exact"/>
              <w:jc w:val="center"/>
              <w:rPr>
                <w:rFonts w:hint="eastAsia" w:ascii="Times New Roman" w:hAnsi="Times New Roman" w:eastAsia="Times New Roman" w:cs="Times New Roman"/>
                <w:color w:val="auto"/>
                <w:sz w:val="24"/>
                <w:szCs w:val="24"/>
              </w:rPr>
            </w:pPr>
            <w:r>
              <w:rPr>
                <w:rFonts w:hint="default"/>
                <w:color w:val="auto"/>
                <w:sz w:val="24"/>
                <w:szCs w:val="24"/>
              </w:rPr>
              <w:t>03320241036000000123</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545F87">
            <w:pPr>
              <w:spacing w:beforeLines="0" w:afterLines="0" w:line="520" w:lineRule="exact"/>
              <w:jc w:val="center"/>
              <w:rPr>
                <w:rFonts w:hint="eastAsia" w:ascii="Times New Roman" w:hAnsi="Times New Roman" w:eastAsia="Times New Roman" w:cs="Times New Roman"/>
                <w:color w:val="auto"/>
                <w:sz w:val="24"/>
                <w:szCs w:val="24"/>
              </w:rPr>
            </w:pPr>
            <w:r>
              <w:rPr>
                <w:rFonts w:hint="default"/>
                <w:color w:val="auto"/>
                <w:sz w:val="24"/>
                <w:szCs w:val="24"/>
              </w:rPr>
              <w:t>36250423313</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36D7E8">
            <w:pPr>
              <w:spacing w:beforeLines="0" w:afterLines="0"/>
              <w:jc w:val="center"/>
              <w:rPr>
                <w:rFonts w:hint="default"/>
                <w:color w:val="auto"/>
                <w:sz w:val="24"/>
                <w:szCs w:val="24"/>
              </w:rPr>
            </w:pPr>
          </w:p>
        </w:tc>
      </w:tr>
      <w:tr w14:paraId="25C7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vMerge w:val="restart"/>
            <w:tcBorders>
              <w:top w:val="single" w:color="auto" w:sz="4" w:space="0"/>
              <w:left w:val="single" w:color="auto" w:sz="4" w:space="0"/>
              <w:right w:val="single" w:color="auto" w:sz="4" w:space="0"/>
              <w:tl2br w:val="nil"/>
              <w:tr2bl w:val="nil"/>
            </w:tcBorders>
            <w:noWrap w:val="0"/>
            <w:vAlign w:val="center"/>
          </w:tcPr>
          <w:p w14:paraId="101B0722">
            <w:pPr>
              <w:spacing w:beforeLines="0" w:afterLines="0"/>
              <w:jc w:val="center"/>
              <w:rPr>
                <w:rFonts w:hint="default"/>
                <w:color w:val="auto"/>
                <w:sz w:val="24"/>
                <w:szCs w:val="24"/>
              </w:rPr>
            </w:pPr>
            <w:r>
              <w:rPr>
                <w:rFonts w:hint="default" w:ascii="宋体" w:hAnsi="Times New Roman" w:eastAsia="宋体"/>
                <w:color w:val="auto"/>
                <w:sz w:val="24"/>
                <w:szCs w:val="24"/>
              </w:rPr>
              <w:t>报告编制人</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02760B">
            <w:pPr>
              <w:spacing w:beforeLines="0" w:afterLines="0" w:line="400" w:lineRule="exact"/>
              <w:jc w:val="center"/>
              <w:rPr>
                <w:rFonts w:hint="default"/>
                <w:color w:val="auto"/>
                <w:sz w:val="24"/>
                <w:szCs w:val="24"/>
              </w:rPr>
            </w:pPr>
            <w:r>
              <w:rPr>
                <w:rFonts w:hint="default" w:ascii="宋体" w:hAnsi="Times New Roman" w:eastAsia="宋体" w:cs="Times New Roman"/>
                <w:color w:val="auto"/>
                <w:sz w:val="24"/>
                <w:szCs w:val="24"/>
              </w:rPr>
              <w:t>万宇浩</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5B8F8B">
            <w:pPr>
              <w:spacing w:beforeLines="0" w:afterLines="0" w:line="400" w:lineRule="exact"/>
              <w:jc w:val="center"/>
              <w:rPr>
                <w:rFonts w:hint="default" w:ascii="宋体" w:hAnsi="Times New Roman" w:eastAsia="宋体" w:cs="Times New Roman"/>
                <w:color w:val="auto"/>
                <w:sz w:val="24"/>
                <w:szCs w:val="24"/>
              </w:rPr>
            </w:pPr>
            <w:r>
              <w:rPr>
                <w:rFonts w:hint="default" w:ascii="宋体" w:hAnsi="宋体" w:eastAsia="宋体"/>
                <w:color w:val="auto"/>
                <w:sz w:val="24"/>
                <w:szCs w:val="24"/>
              </w:rPr>
              <w:t>安全工程</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F468E3">
            <w:pPr>
              <w:spacing w:beforeLines="0" w:afterLines="0" w:line="520" w:lineRule="exact"/>
              <w:jc w:val="center"/>
              <w:rPr>
                <w:rFonts w:hint="default"/>
                <w:color w:val="auto"/>
                <w:sz w:val="24"/>
                <w:szCs w:val="24"/>
              </w:rPr>
            </w:pPr>
            <w:r>
              <w:rPr>
                <w:rFonts w:hint="default"/>
                <w:color w:val="auto"/>
                <w:sz w:val="24"/>
                <w:szCs w:val="24"/>
              </w:rPr>
              <w:t>03320241036000000123</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B4EF2">
            <w:pPr>
              <w:spacing w:beforeLines="0" w:afterLines="0" w:line="520" w:lineRule="exact"/>
              <w:jc w:val="center"/>
              <w:rPr>
                <w:rFonts w:hint="eastAsia" w:ascii="Times New Roman" w:hAnsi="Times New Roman" w:eastAsia="Times New Roman"/>
                <w:color w:val="auto"/>
                <w:sz w:val="24"/>
                <w:szCs w:val="24"/>
              </w:rPr>
            </w:pPr>
            <w:r>
              <w:rPr>
                <w:rFonts w:hint="default"/>
                <w:color w:val="auto"/>
                <w:sz w:val="24"/>
                <w:szCs w:val="24"/>
              </w:rPr>
              <w:t>36250423313</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199C75">
            <w:pPr>
              <w:spacing w:beforeLines="0" w:afterLines="0"/>
              <w:jc w:val="center"/>
              <w:rPr>
                <w:rFonts w:hint="default"/>
                <w:color w:val="auto"/>
                <w:sz w:val="24"/>
                <w:szCs w:val="24"/>
              </w:rPr>
            </w:pPr>
          </w:p>
        </w:tc>
      </w:tr>
      <w:tr w14:paraId="009A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vMerge w:val="continue"/>
            <w:tcBorders>
              <w:left w:val="single" w:color="auto" w:sz="4" w:space="0"/>
              <w:bottom w:val="single" w:color="auto" w:sz="4" w:space="0"/>
              <w:right w:val="single" w:color="auto" w:sz="4" w:space="0"/>
              <w:tl2br w:val="nil"/>
              <w:tr2bl w:val="nil"/>
            </w:tcBorders>
            <w:noWrap w:val="0"/>
            <w:vAlign w:val="center"/>
          </w:tcPr>
          <w:p w14:paraId="258E4CAD">
            <w:pPr>
              <w:spacing w:beforeLines="0" w:afterLines="0"/>
              <w:jc w:val="center"/>
              <w:rPr>
                <w:rFonts w:hint="default"/>
                <w:color w:val="auto"/>
                <w:sz w:val="24"/>
                <w:szCs w:val="24"/>
              </w:rPr>
            </w:pP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BA13C2">
            <w:pPr>
              <w:spacing w:beforeLines="0" w:afterLines="0" w:line="520" w:lineRule="exact"/>
              <w:jc w:val="center"/>
              <w:rPr>
                <w:rFonts w:hint="default"/>
                <w:color w:val="auto"/>
                <w:sz w:val="24"/>
                <w:szCs w:val="24"/>
              </w:rPr>
            </w:pPr>
            <w:r>
              <w:rPr>
                <w:rFonts w:hint="default" w:ascii="宋体" w:hAnsi="Times New Roman" w:eastAsia="宋体"/>
                <w:color w:val="auto"/>
                <w:sz w:val="24"/>
                <w:szCs w:val="24"/>
              </w:rPr>
              <w:t>谢寒梅</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4A5C2A">
            <w:pPr>
              <w:spacing w:beforeLines="0" w:afterLines="0" w:line="520" w:lineRule="exact"/>
              <w:jc w:val="center"/>
              <w:rPr>
                <w:rFonts w:hint="default" w:ascii="宋体" w:hAnsi="Times New Roman" w:eastAsia="宋体"/>
                <w:color w:val="auto"/>
                <w:sz w:val="24"/>
                <w:szCs w:val="24"/>
              </w:rPr>
            </w:pPr>
            <w:r>
              <w:rPr>
                <w:rFonts w:hint="default" w:ascii="宋体" w:hAnsi="Times New Roman" w:eastAsia="宋体"/>
                <w:color w:val="auto"/>
                <w:sz w:val="24"/>
                <w:szCs w:val="24"/>
              </w:rPr>
              <w:t>电气自动化</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4E2446">
            <w:pPr>
              <w:spacing w:beforeLines="0" w:afterLines="0" w:line="520" w:lineRule="exact"/>
              <w:jc w:val="center"/>
              <w:rPr>
                <w:rFonts w:hint="default"/>
                <w:color w:val="auto"/>
                <w:sz w:val="24"/>
                <w:szCs w:val="24"/>
              </w:rPr>
            </w:pPr>
            <w:r>
              <w:rPr>
                <w:rFonts w:hint="default"/>
                <w:color w:val="auto"/>
                <w:sz w:val="24"/>
                <w:szCs w:val="24"/>
              </w:rPr>
              <w:t>S011035000110192001584</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4FB800">
            <w:pPr>
              <w:spacing w:beforeLines="0" w:afterLines="0" w:line="520" w:lineRule="exact"/>
              <w:jc w:val="center"/>
              <w:rPr>
                <w:rFonts w:hint="default"/>
                <w:color w:val="auto"/>
                <w:sz w:val="24"/>
                <w:szCs w:val="24"/>
              </w:rPr>
            </w:pPr>
            <w:r>
              <w:rPr>
                <w:rFonts w:hint="default"/>
                <w:color w:val="auto"/>
                <w:sz w:val="24"/>
                <w:szCs w:val="24"/>
              </w:rPr>
              <w:t>027089</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0B2D9C">
            <w:pPr>
              <w:spacing w:beforeLines="0" w:afterLines="0"/>
              <w:jc w:val="center"/>
              <w:rPr>
                <w:rFonts w:hint="default"/>
                <w:color w:val="auto"/>
                <w:sz w:val="24"/>
                <w:szCs w:val="24"/>
              </w:rPr>
            </w:pPr>
          </w:p>
        </w:tc>
      </w:tr>
      <w:tr w14:paraId="5F92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1A5010">
            <w:pPr>
              <w:spacing w:beforeLines="0" w:afterLines="0"/>
              <w:jc w:val="center"/>
              <w:rPr>
                <w:rFonts w:hint="default"/>
                <w:color w:val="auto"/>
                <w:sz w:val="24"/>
                <w:szCs w:val="24"/>
              </w:rPr>
            </w:pPr>
            <w:r>
              <w:rPr>
                <w:rFonts w:hint="default" w:ascii="宋体" w:hAnsi="Times New Roman" w:eastAsia="宋体"/>
                <w:color w:val="auto"/>
                <w:sz w:val="24"/>
                <w:szCs w:val="24"/>
              </w:rPr>
              <w:t>报告审核人</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9C7923">
            <w:pPr>
              <w:spacing w:beforeLines="0" w:afterLines="0" w:line="540" w:lineRule="exact"/>
              <w:jc w:val="center"/>
              <w:rPr>
                <w:rFonts w:hint="default"/>
                <w:color w:val="auto"/>
                <w:sz w:val="24"/>
                <w:szCs w:val="24"/>
              </w:rPr>
            </w:pPr>
            <w:r>
              <w:rPr>
                <w:rFonts w:hint="default" w:ascii="宋体" w:hAnsi="Times New Roman" w:eastAsia="宋体"/>
                <w:color w:val="auto"/>
                <w:sz w:val="24"/>
                <w:szCs w:val="24"/>
              </w:rPr>
              <w:t>檀廷斌</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515C91">
            <w:pPr>
              <w:spacing w:beforeLines="0" w:afterLines="0" w:line="540" w:lineRule="exact"/>
              <w:jc w:val="center"/>
              <w:rPr>
                <w:rFonts w:hint="default" w:ascii="宋体" w:hAnsi="Times New Roman" w:eastAsia="宋体"/>
                <w:color w:val="auto"/>
                <w:sz w:val="24"/>
                <w:szCs w:val="24"/>
              </w:rPr>
            </w:pPr>
            <w:r>
              <w:rPr>
                <w:rFonts w:hint="default" w:ascii="宋体" w:hAnsi="Times New Roman" w:eastAsia="宋体"/>
                <w:color w:val="auto"/>
                <w:sz w:val="24"/>
                <w:szCs w:val="24"/>
              </w:rPr>
              <w:t>设备</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4E7956">
            <w:pPr>
              <w:spacing w:beforeLines="0" w:afterLines="0" w:line="520" w:lineRule="exact"/>
              <w:jc w:val="center"/>
              <w:rPr>
                <w:rFonts w:hint="default"/>
                <w:color w:val="auto"/>
                <w:sz w:val="24"/>
                <w:szCs w:val="24"/>
              </w:rPr>
            </w:pPr>
            <w:r>
              <w:rPr>
                <w:rFonts w:hint="default"/>
                <w:color w:val="auto"/>
                <w:sz w:val="24"/>
                <w:szCs w:val="24"/>
              </w:rPr>
              <w:t>1600000000200717</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980845">
            <w:pPr>
              <w:spacing w:beforeLines="0" w:afterLines="0" w:line="520" w:lineRule="exact"/>
              <w:jc w:val="center"/>
              <w:rPr>
                <w:rFonts w:hint="default"/>
                <w:color w:val="auto"/>
                <w:sz w:val="24"/>
                <w:szCs w:val="24"/>
              </w:rPr>
            </w:pPr>
            <w:r>
              <w:rPr>
                <w:rFonts w:hint="default"/>
                <w:color w:val="auto"/>
                <w:sz w:val="24"/>
                <w:szCs w:val="24"/>
              </w:rPr>
              <w:t>029648</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54C026">
            <w:pPr>
              <w:spacing w:beforeLines="0" w:afterLines="0"/>
              <w:jc w:val="center"/>
              <w:rPr>
                <w:rFonts w:hint="default"/>
                <w:color w:val="auto"/>
                <w:sz w:val="24"/>
                <w:szCs w:val="24"/>
              </w:rPr>
            </w:pPr>
          </w:p>
        </w:tc>
      </w:tr>
      <w:tr w14:paraId="5ECC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073B3F">
            <w:pPr>
              <w:spacing w:beforeLines="0" w:afterLines="0"/>
              <w:jc w:val="center"/>
              <w:rPr>
                <w:rFonts w:hint="default"/>
                <w:color w:val="auto"/>
                <w:sz w:val="24"/>
                <w:szCs w:val="24"/>
              </w:rPr>
            </w:pPr>
            <w:r>
              <w:rPr>
                <w:rFonts w:hint="default" w:ascii="宋体" w:hAnsi="Times New Roman" w:eastAsia="宋体"/>
                <w:color w:val="auto"/>
                <w:sz w:val="24"/>
                <w:szCs w:val="24"/>
              </w:rPr>
              <w:t>过程控制负责人</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400437">
            <w:pPr>
              <w:spacing w:beforeLines="0" w:afterLines="0"/>
              <w:jc w:val="center"/>
              <w:rPr>
                <w:rFonts w:hint="eastAsia" w:ascii="Times New Roman" w:hAnsi="Times New Roman" w:eastAsia="新宋体"/>
                <w:color w:val="auto"/>
                <w:sz w:val="24"/>
                <w:szCs w:val="24"/>
              </w:rPr>
            </w:pPr>
            <w:r>
              <w:rPr>
                <w:rFonts w:hint="eastAsia" w:ascii="Times New Roman" w:hAnsi="Times New Roman" w:eastAsia="新宋体"/>
                <w:color w:val="auto"/>
                <w:sz w:val="24"/>
                <w:szCs w:val="24"/>
              </w:rPr>
              <w:t>黄香港</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7D3212">
            <w:pPr>
              <w:spacing w:beforeLines="0" w:afterLines="0"/>
              <w:jc w:val="center"/>
              <w:rPr>
                <w:rFonts w:hint="eastAsia" w:ascii="Times New Roman" w:hAnsi="Times New Roman" w:eastAsia="新宋体"/>
                <w:color w:val="auto"/>
                <w:sz w:val="24"/>
                <w:szCs w:val="24"/>
              </w:rPr>
            </w:pPr>
            <w:r>
              <w:rPr>
                <w:rFonts w:hint="eastAsia" w:ascii="Times New Roman" w:hAnsi="Times New Roman" w:eastAsia="新宋体"/>
                <w:color w:val="auto"/>
                <w:sz w:val="24"/>
                <w:szCs w:val="24"/>
              </w:rPr>
              <w:t>化工工艺</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1E7832">
            <w:pPr>
              <w:spacing w:beforeLines="0" w:afterLines="0"/>
              <w:jc w:val="center"/>
              <w:rPr>
                <w:rFonts w:hint="default"/>
                <w:color w:val="auto"/>
                <w:sz w:val="24"/>
                <w:szCs w:val="24"/>
              </w:rPr>
            </w:pPr>
            <w:r>
              <w:rPr>
                <w:rFonts w:hint="default"/>
                <w:color w:val="auto"/>
                <w:sz w:val="24"/>
                <w:szCs w:val="24"/>
              </w:rPr>
              <w:t>S011035000110191000617</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1997D3">
            <w:pPr>
              <w:spacing w:beforeLines="0" w:afterLines="0"/>
              <w:jc w:val="center"/>
              <w:rPr>
                <w:rFonts w:hint="default"/>
                <w:color w:val="auto"/>
                <w:sz w:val="24"/>
                <w:szCs w:val="24"/>
              </w:rPr>
            </w:pPr>
            <w:r>
              <w:rPr>
                <w:rFonts w:hint="default"/>
                <w:color w:val="auto"/>
                <w:sz w:val="24"/>
                <w:szCs w:val="24"/>
              </w:rPr>
              <w:t>024436</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B015E7">
            <w:pPr>
              <w:spacing w:beforeLines="0" w:afterLines="0"/>
              <w:jc w:val="center"/>
              <w:rPr>
                <w:rFonts w:hint="default"/>
                <w:color w:val="auto"/>
                <w:sz w:val="24"/>
                <w:szCs w:val="24"/>
              </w:rPr>
            </w:pPr>
          </w:p>
        </w:tc>
      </w:tr>
      <w:tr w14:paraId="7A99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9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F009DA">
            <w:pPr>
              <w:spacing w:beforeLines="0" w:afterLines="0"/>
              <w:jc w:val="center"/>
              <w:rPr>
                <w:rFonts w:hint="default"/>
                <w:color w:val="auto"/>
                <w:sz w:val="24"/>
                <w:szCs w:val="24"/>
              </w:rPr>
            </w:pPr>
            <w:r>
              <w:rPr>
                <w:rFonts w:hint="default" w:ascii="宋体" w:hAnsi="Times New Roman" w:eastAsia="宋体"/>
                <w:color w:val="auto"/>
                <w:sz w:val="24"/>
                <w:szCs w:val="24"/>
              </w:rPr>
              <w:t>技术负责人</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C2A278">
            <w:pPr>
              <w:spacing w:beforeLines="0" w:afterLines="0" w:line="520" w:lineRule="exact"/>
              <w:jc w:val="center"/>
              <w:rPr>
                <w:rFonts w:hint="default"/>
                <w:color w:val="auto"/>
                <w:sz w:val="24"/>
                <w:szCs w:val="24"/>
              </w:rPr>
            </w:pPr>
            <w:r>
              <w:rPr>
                <w:rFonts w:hint="default" w:ascii="宋体" w:hAnsi="Times New Roman" w:eastAsia="宋体"/>
                <w:color w:val="auto"/>
                <w:sz w:val="24"/>
                <w:szCs w:val="24"/>
              </w:rPr>
              <w:t>周红波</w:t>
            </w:r>
          </w:p>
        </w:tc>
        <w:tc>
          <w:tcPr>
            <w:tcW w:w="15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8DB1B1">
            <w:pPr>
              <w:spacing w:beforeLines="0" w:afterLines="0" w:line="520" w:lineRule="exact"/>
              <w:jc w:val="center"/>
              <w:rPr>
                <w:rFonts w:hint="default" w:ascii="宋体" w:hAnsi="Times New Roman" w:eastAsia="宋体"/>
                <w:color w:val="auto"/>
                <w:sz w:val="24"/>
                <w:szCs w:val="24"/>
              </w:rPr>
            </w:pPr>
            <w:r>
              <w:rPr>
                <w:rFonts w:hint="default" w:ascii="宋体" w:hAnsi="Times New Roman" w:eastAsia="宋体"/>
                <w:color w:val="auto"/>
                <w:sz w:val="24"/>
                <w:szCs w:val="24"/>
              </w:rPr>
              <w:t>化工工艺</w:t>
            </w:r>
          </w:p>
        </w:tc>
        <w:tc>
          <w:tcPr>
            <w:tcW w:w="28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DD3F60">
            <w:pPr>
              <w:spacing w:beforeLines="0" w:afterLines="0" w:line="400" w:lineRule="exact"/>
              <w:jc w:val="center"/>
              <w:rPr>
                <w:rFonts w:hint="default"/>
                <w:color w:val="auto"/>
                <w:sz w:val="24"/>
                <w:szCs w:val="24"/>
              </w:rPr>
            </w:pPr>
            <w:r>
              <w:rPr>
                <w:rFonts w:hint="default"/>
                <w:color w:val="auto"/>
                <w:sz w:val="24"/>
                <w:szCs w:val="24"/>
              </w:rPr>
              <w:t>1700000000100121</w:t>
            </w:r>
          </w:p>
        </w:tc>
        <w:tc>
          <w:tcPr>
            <w:tcW w:w="161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50F75D">
            <w:pPr>
              <w:spacing w:beforeLines="0" w:afterLines="0" w:line="400" w:lineRule="exact"/>
              <w:jc w:val="center"/>
              <w:rPr>
                <w:rFonts w:hint="default"/>
                <w:color w:val="auto"/>
                <w:sz w:val="24"/>
                <w:szCs w:val="24"/>
              </w:rPr>
            </w:pPr>
            <w:r>
              <w:rPr>
                <w:rFonts w:hint="default"/>
                <w:color w:val="auto"/>
                <w:sz w:val="24"/>
                <w:szCs w:val="24"/>
              </w:rPr>
              <w:t>020702</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F263E7">
            <w:pPr>
              <w:spacing w:beforeLines="0" w:afterLines="0"/>
              <w:jc w:val="center"/>
              <w:rPr>
                <w:rFonts w:hint="default"/>
                <w:color w:val="auto"/>
                <w:sz w:val="24"/>
                <w:szCs w:val="24"/>
              </w:rPr>
            </w:pPr>
          </w:p>
        </w:tc>
      </w:tr>
    </w:tbl>
    <w:p w14:paraId="1605D671">
      <w:pPr>
        <w:rPr>
          <w:color w:val="000000"/>
          <w:kern w:val="0"/>
          <w:sz w:val="32"/>
          <w:szCs w:val="32"/>
        </w:rPr>
      </w:pPr>
      <w:r>
        <w:rPr>
          <w:color w:val="000000"/>
          <w:kern w:val="0"/>
          <w:sz w:val="32"/>
          <w:szCs w:val="32"/>
        </w:rPr>
        <w:br w:type="page"/>
      </w:r>
    </w:p>
    <w:p w14:paraId="5C366566">
      <w:pPr>
        <w:wordWrap w:val="0"/>
        <w:adjustRightInd w:val="0"/>
        <w:snapToGrid w:val="0"/>
        <w:spacing w:line="600" w:lineRule="exact"/>
        <w:jc w:val="center"/>
        <w:textAlignment w:val="center"/>
        <w:rPr>
          <w:b/>
          <w:bCs/>
          <w:color w:val="000000"/>
          <w:sz w:val="28"/>
          <w:szCs w:val="28"/>
        </w:rPr>
      </w:pPr>
      <w:r>
        <w:rPr>
          <w:b/>
          <w:bCs/>
          <w:color w:val="000000"/>
          <w:sz w:val="32"/>
          <w:szCs w:val="32"/>
        </w:rPr>
        <w:t>前言</w:t>
      </w:r>
    </w:p>
    <w:p w14:paraId="4747831E">
      <w:pPr>
        <w:widowControl/>
        <w:adjustRightInd w:val="0"/>
        <w:snapToGrid w:val="0"/>
        <w:spacing w:line="600" w:lineRule="exact"/>
        <w:ind w:firstLine="560" w:firstLineChars="200"/>
        <w:textAlignment w:val="center"/>
        <w:rPr>
          <w:rFonts w:hint="default" w:eastAsia="宋体"/>
          <w:color w:val="000000"/>
          <w:sz w:val="28"/>
          <w:szCs w:val="28"/>
          <w:lang w:val="en-US" w:eastAsia="zh-CN"/>
        </w:rPr>
      </w:pPr>
      <w:r>
        <w:rPr>
          <w:rFonts w:hint="eastAsia" w:ascii="Times New Roman" w:eastAsia="宋体"/>
          <w:color w:val="000000"/>
          <w:sz w:val="28"/>
          <w:szCs w:val="28"/>
          <w:lang w:val="en-US" w:eastAsia="zh-CN"/>
        </w:rPr>
        <w:t>鄱阳县昌洲宏图加油站</w:t>
      </w:r>
      <w:r>
        <w:rPr>
          <w:color w:val="000000"/>
          <w:sz w:val="28"/>
          <w:szCs w:val="28"/>
        </w:rPr>
        <w:t>是从事成品油经营的企业，</w:t>
      </w:r>
      <w:r>
        <w:rPr>
          <w:rFonts w:hint="eastAsia"/>
          <w:color w:val="000000"/>
          <w:sz w:val="28"/>
          <w:szCs w:val="28"/>
          <w:lang w:val="en-US" w:eastAsia="zh-CN"/>
        </w:rPr>
        <w:t>位于</w:t>
      </w:r>
      <w:r>
        <w:rPr>
          <w:rFonts w:hint="eastAsia" w:ascii="Times New Roman" w:hAnsi="Times New Roman" w:eastAsia="宋体" w:cs="Times New Roman"/>
          <w:color w:val="000000"/>
          <w:sz w:val="28"/>
          <w:szCs w:val="28"/>
          <w:lang w:val="en-US" w:eastAsia="zh-CN"/>
        </w:rPr>
        <w:t>鄱阳县昌洲乡永林村委会曹家村，</w:t>
      </w:r>
      <w:r>
        <w:rPr>
          <w:color w:val="000000"/>
          <w:sz w:val="28"/>
          <w:szCs w:val="28"/>
        </w:rPr>
        <w:t>主要经营汽油</w:t>
      </w:r>
      <w:r>
        <w:rPr>
          <w:rFonts w:hint="eastAsia"/>
          <w:color w:val="000000"/>
          <w:sz w:val="28"/>
          <w:szCs w:val="28"/>
        </w:rPr>
        <w:t>、</w:t>
      </w:r>
      <w:r>
        <w:rPr>
          <w:color w:val="000000"/>
          <w:sz w:val="28"/>
          <w:szCs w:val="28"/>
        </w:rPr>
        <w:t>柴油。</w:t>
      </w:r>
      <w:r>
        <w:rPr>
          <w:rFonts w:hint="eastAsia"/>
          <w:color w:val="000000"/>
          <w:sz w:val="28"/>
          <w:szCs w:val="28"/>
        </w:rPr>
        <w:t>站内</w:t>
      </w:r>
      <w:r>
        <w:rPr>
          <w:color w:val="000000"/>
          <w:sz w:val="28"/>
          <w:szCs w:val="28"/>
        </w:rPr>
        <w:t>建筑、设备为自有</w:t>
      </w:r>
      <w:r>
        <w:rPr>
          <w:rFonts w:hint="eastAsia"/>
          <w:color w:val="000000"/>
          <w:sz w:val="28"/>
          <w:szCs w:val="28"/>
        </w:rPr>
        <w:t>，</w:t>
      </w:r>
      <w:r>
        <w:rPr>
          <w:color w:val="000000"/>
          <w:sz w:val="28"/>
        </w:rPr>
        <w:t>主要经营0</w:t>
      </w:r>
      <w:r>
        <w:rPr>
          <w:rFonts w:hint="eastAsia" w:ascii="Times New Roman" w:eastAsia="宋体"/>
          <w:color w:val="000000"/>
          <w:sz w:val="28"/>
          <w:lang w:val="en-US" w:eastAsia="zh-CN"/>
        </w:rPr>
        <w:t>#</w:t>
      </w:r>
      <w:r>
        <w:rPr>
          <w:color w:val="000000"/>
          <w:sz w:val="28"/>
        </w:rPr>
        <w:t>柴油、92</w:t>
      </w:r>
      <w:r>
        <w:rPr>
          <w:rFonts w:hint="eastAsia" w:ascii="Times New Roman" w:eastAsia="宋体"/>
          <w:color w:val="000000"/>
          <w:sz w:val="28"/>
          <w:lang w:val="en-US" w:eastAsia="zh-CN"/>
        </w:rPr>
        <w:t>#</w:t>
      </w:r>
      <w:r>
        <w:rPr>
          <w:color w:val="000000"/>
          <w:sz w:val="28"/>
        </w:rPr>
        <w:t>汽油、9</w:t>
      </w:r>
      <w:r>
        <w:rPr>
          <w:rFonts w:hint="eastAsia"/>
          <w:color w:val="000000"/>
          <w:sz w:val="28"/>
        </w:rPr>
        <w:t>5</w:t>
      </w:r>
      <w:r>
        <w:rPr>
          <w:rFonts w:hint="eastAsia"/>
          <w:color w:val="000000"/>
          <w:sz w:val="28"/>
          <w:lang w:val="en-US" w:eastAsia="zh-CN"/>
        </w:rPr>
        <w:t>#</w:t>
      </w:r>
      <w:r>
        <w:rPr>
          <w:color w:val="000000"/>
          <w:sz w:val="28"/>
        </w:rPr>
        <w:t>汽油，</w:t>
      </w:r>
      <w:r>
        <w:rPr>
          <w:rFonts w:hint="eastAsia"/>
          <w:color w:val="000000"/>
          <w:sz w:val="28"/>
        </w:rPr>
        <w:t>站内设有</w:t>
      </w:r>
      <w:r>
        <w:rPr>
          <w:rFonts w:hint="eastAsia"/>
          <w:color w:val="000000"/>
          <w:sz w:val="28"/>
          <w:lang w:val="en-US" w:eastAsia="zh-CN"/>
        </w:rPr>
        <w:t>4</w:t>
      </w:r>
      <w:r>
        <w:rPr>
          <w:rFonts w:hint="eastAsia"/>
          <w:color w:val="000000"/>
          <w:sz w:val="28"/>
        </w:rPr>
        <w:t>个卧式埋地式油品储罐，其中</w:t>
      </w:r>
      <w:r>
        <w:rPr>
          <w:rFonts w:hint="eastAsia"/>
          <w:color w:val="000000"/>
          <w:sz w:val="28"/>
          <w:lang w:val="en-US" w:eastAsia="zh-CN"/>
        </w:rPr>
        <w:t>4</w:t>
      </w:r>
      <w:r>
        <w:rPr>
          <w:rFonts w:hint="eastAsia"/>
          <w:color w:val="000000"/>
          <w:sz w:val="28"/>
        </w:rPr>
        <w:t>0m³的0#柴油储罐</w:t>
      </w:r>
      <w:r>
        <w:rPr>
          <w:rFonts w:hint="eastAsia"/>
          <w:color w:val="000000"/>
          <w:sz w:val="28"/>
          <w:lang w:val="en-US" w:eastAsia="zh-CN"/>
        </w:rPr>
        <w:t>2</w:t>
      </w:r>
      <w:r>
        <w:rPr>
          <w:rFonts w:hint="eastAsia"/>
          <w:color w:val="000000"/>
          <w:sz w:val="28"/>
        </w:rPr>
        <w:t>个、</w:t>
      </w:r>
      <w:r>
        <w:rPr>
          <w:rFonts w:hint="eastAsia" w:ascii="Times New Roman" w:eastAsia="宋体"/>
          <w:color w:val="000000"/>
          <w:sz w:val="28"/>
          <w:lang w:val="en-US" w:eastAsia="zh-CN"/>
        </w:rPr>
        <w:t>30</w:t>
      </w:r>
      <w:r>
        <w:rPr>
          <w:rFonts w:hint="eastAsia"/>
          <w:color w:val="000000"/>
          <w:sz w:val="28"/>
        </w:rPr>
        <w:t>m³的92#汽油储罐1个、30m³95#汽油储罐1个，总容积</w:t>
      </w:r>
      <w:r>
        <w:rPr>
          <w:color w:val="000000"/>
          <w:sz w:val="28"/>
        </w:rPr>
        <w:t>为</w:t>
      </w:r>
      <w:r>
        <w:rPr>
          <w:rFonts w:hint="eastAsia"/>
          <w:color w:val="000000"/>
          <w:sz w:val="28"/>
          <w:lang w:val="en-US" w:eastAsia="zh-CN"/>
        </w:rPr>
        <w:t>140</w:t>
      </w:r>
      <w:r>
        <w:rPr>
          <w:color w:val="000000"/>
          <w:sz w:val="28"/>
        </w:rPr>
        <w:t>m</w:t>
      </w:r>
      <w:r>
        <w:rPr>
          <w:color w:val="000000"/>
          <w:sz w:val="28"/>
          <w:vertAlign w:val="superscript"/>
        </w:rPr>
        <w:t>3</w:t>
      </w:r>
      <w:r>
        <w:rPr>
          <w:color w:val="000000"/>
          <w:sz w:val="28"/>
        </w:rPr>
        <w:t>，</w:t>
      </w:r>
      <w:r>
        <w:rPr>
          <w:rFonts w:hint="eastAsia"/>
          <w:color w:val="000000"/>
          <w:sz w:val="28"/>
        </w:rPr>
        <w:t>（柴油折半）折算后容积为</w:t>
      </w:r>
      <w:r>
        <w:rPr>
          <w:rFonts w:hint="eastAsia"/>
          <w:color w:val="000000"/>
          <w:sz w:val="28"/>
          <w:lang w:val="en-US" w:eastAsia="zh-CN"/>
        </w:rPr>
        <w:t>100</w:t>
      </w:r>
      <w:r>
        <w:rPr>
          <w:color w:val="000000"/>
          <w:sz w:val="28"/>
        </w:rPr>
        <w:t>m</w:t>
      </w:r>
      <w:r>
        <w:rPr>
          <w:color w:val="000000"/>
          <w:sz w:val="28"/>
          <w:vertAlign w:val="superscript"/>
        </w:rPr>
        <w:t>3</w:t>
      </w:r>
      <w:r>
        <w:rPr>
          <w:rFonts w:hint="eastAsia"/>
          <w:color w:val="000000"/>
          <w:sz w:val="28"/>
        </w:rPr>
        <w:t>，为</w:t>
      </w:r>
      <w:r>
        <w:rPr>
          <w:rFonts w:hint="eastAsia"/>
          <w:color w:val="000000"/>
          <w:sz w:val="28"/>
          <w:lang w:val="en-US" w:eastAsia="zh-CN"/>
        </w:rPr>
        <w:t>二</w:t>
      </w:r>
      <w:r>
        <w:rPr>
          <w:rFonts w:hint="eastAsia"/>
          <w:color w:val="000000"/>
          <w:sz w:val="28"/>
        </w:rPr>
        <w:t>级加油站。</w:t>
      </w:r>
      <w:r>
        <w:rPr>
          <w:rFonts w:hint="eastAsia"/>
          <w:color w:val="auto"/>
          <w:sz w:val="28"/>
          <w:szCs w:val="28"/>
          <w:lang w:eastAsia="zh-CN"/>
        </w:rPr>
        <w:t>2023年5月31日</w:t>
      </w:r>
      <w:r>
        <w:rPr>
          <w:color w:val="auto"/>
          <w:sz w:val="28"/>
          <w:szCs w:val="28"/>
        </w:rPr>
        <w:t>取得</w:t>
      </w:r>
      <w:r>
        <w:rPr>
          <w:rFonts w:hint="eastAsia"/>
          <w:color w:val="auto"/>
          <w:sz w:val="28"/>
          <w:szCs w:val="28"/>
          <w:lang w:val="en-US" w:eastAsia="zh-CN"/>
        </w:rPr>
        <w:t>鄱阳县应急管理局</w:t>
      </w:r>
      <w:r>
        <w:rPr>
          <w:color w:val="auto"/>
          <w:sz w:val="28"/>
          <w:szCs w:val="28"/>
        </w:rPr>
        <w:t>颁发的危险化学品经营许可证</w:t>
      </w:r>
      <w:r>
        <w:rPr>
          <w:rFonts w:hint="eastAsia"/>
          <w:color w:val="auto"/>
          <w:sz w:val="28"/>
          <w:szCs w:val="28"/>
        </w:rPr>
        <w:t>，</w:t>
      </w:r>
      <w:r>
        <w:rPr>
          <w:color w:val="auto"/>
          <w:sz w:val="28"/>
          <w:szCs w:val="28"/>
        </w:rPr>
        <w:t>证号：</w:t>
      </w:r>
      <w:r>
        <w:rPr>
          <w:rFonts w:hint="eastAsia"/>
          <w:color w:val="auto"/>
          <w:sz w:val="28"/>
          <w:szCs w:val="28"/>
          <w:lang w:eastAsia="zh-CN"/>
        </w:rPr>
        <w:t>赣鄱危化经字［2023］C-010</w:t>
      </w:r>
      <w:r>
        <w:rPr>
          <w:rFonts w:hint="eastAsia"/>
          <w:color w:val="auto"/>
          <w:sz w:val="28"/>
          <w:szCs w:val="28"/>
        </w:rPr>
        <w:t>号</w:t>
      </w:r>
      <w:r>
        <w:rPr>
          <w:color w:val="auto"/>
          <w:sz w:val="28"/>
          <w:szCs w:val="28"/>
        </w:rPr>
        <w:t>，</w:t>
      </w:r>
      <w:r>
        <w:rPr>
          <w:rFonts w:hint="eastAsia"/>
          <w:color w:val="auto"/>
          <w:sz w:val="28"/>
          <w:szCs w:val="28"/>
        </w:rPr>
        <w:t>有效期至</w:t>
      </w:r>
      <w:r>
        <w:rPr>
          <w:rFonts w:hint="eastAsia"/>
          <w:color w:val="auto"/>
          <w:sz w:val="28"/>
          <w:szCs w:val="28"/>
          <w:lang w:eastAsia="zh-CN"/>
        </w:rPr>
        <w:t>2026年5月27日</w:t>
      </w:r>
      <w:r>
        <w:rPr>
          <w:rFonts w:hint="eastAsia"/>
          <w:color w:val="auto"/>
          <w:sz w:val="28"/>
          <w:szCs w:val="28"/>
        </w:rPr>
        <w:t>，</w:t>
      </w:r>
      <w:r>
        <w:rPr>
          <w:color w:val="auto"/>
          <w:sz w:val="28"/>
          <w:szCs w:val="28"/>
        </w:rPr>
        <w:t>许可经营范围为</w:t>
      </w:r>
      <w:r>
        <w:rPr>
          <w:rFonts w:hint="eastAsia"/>
          <w:color w:val="auto"/>
          <w:sz w:val="28"/>
          <w:szCs w:val="28"/>
        </w:rPr>
        <w:t>汽油、柴油</w:t>
      </w:r>
      <w:r>
        <w:rPr>
          <w:color w:val="auto"/>
          <w:sz w:val="28"/>
          <w:szCs w:val="28"/>
        </w:rPr>
        <w:t>。</w:t>
      </w:r>
      <w:r>
        <w:rPr>
          <w:rFonts w:hint="eastAsia"/>
          <w:color w:val="000000"/>
          <w:sz w:val="28"/>
          <w:szCs w:val="28"/>
          <w:lang w:val="en-US" w:eastAsia="zh-CN"/>
        </w:rPr>
        <w:t>此加油站自2020年换证后，一直处于未经营状态。</w:t>
      </w:r>
    </w:p>
    <w:p w14:paraId="6DFA769C">
      <w:pPr>
        <w:widowControl/>
        <w:wordWrap w:val="0"/>
        <w:adjustRightInd w:val="0"/>
        <w:snapToGrid w:val="0"/>
        <w:spacing w:line="600" w:lineRule="exact"/>
        <w:ind w:firstLine="560" w:firstLineChars="200"/>
        <w:jc w:val="left"/>
        <w:textAlignment w:val="center"/>
        <w:rPr>
          <w:color w:val="000000"/>
          <w:sz w:val="28"/>
          <w:szCs w:val="28"/>
        </w:rPr>
      </w:pPr>
      <w:r>
        <w:rPr>
          <w:rFonts w:hint="default" w:ascii="Times New Roman" w:hAnsi="Times New Roman" w:cs="Times New Roman"/>
          <w:color w:val="auto"/>
          <w:szCs w:val="28"/>
        </w:rPr>
        <w:t>根据《中华人民共和国安全生产法》（中华人民共和国主席令第</w:t>
      </w:r>
      <w:r>
        <w:rPr>
          <w:rFonts w:hint="default" w:ascii="Times New Roman" w:hAnsi="Times New Roman" w:cs="Times New Roman"/>
          <w:color w:val="auto"/>
          <w:szCs w:val="28"/>
          <w:lang w:val="en-US" w:eastAsia="zh-CN"/>
        </w:rPr>
        <w:t>88</w:t>
      </w:r>
      <w:r>
        <w:rPr>
          <w:rFonts w:hint="default" w:ascii="Times New Roman" w:hAnsi="Times New Roman" w:cs="Times New Roman"/>
          <w:color w:val="auto"/>
          <w:szCs w:val="28"/>
        </w:rPr>
        <w:t>号）和《危险化学品安全管理条例》（国务院第591号（</w:t>
      </w:r>
      <w:r>
        <w:rPr>
          <w:rFonts w:hint="default" w:ascii="Times New Roman" w:hAnsi="Times New Roman" w:cs="Times New Roman"/>
          <w:color w:val="auto"/>
          <w:szCs w:val="21"/>
        </w:rPr>
        <w:t>645号修订</w:t>
      </w:r>
      <w:r>
        <w:rPr>
          <w:rFonts w:hint="default" w:ascii="Times New Roman" w:hAnsi="Times New Roman" w:cs="Times New Roman"/>
          <w:color w:val="auto"/>
          <w:szCs w:val="28"/>
        </w:rPr>
        <w:t>））及</w:t>
      </w:r>
      <w:r>
        <w:rPr>
          <w:rFonts w:hint="default" w:ascii="Times New Roman" w:hAnsi="Times New Roman" w:cs="Times New Roman"/>
          <w:color w:val="auto"/>
        </w:rPr>
        <w:t>《危险化学品经营许可证管理办法》（国家安全生产监督管理总局第55号令、第79号修订）的规定要求，</w:t>
      </w:r>
      <w:r>
        <w:rPr>
          <w:rFonts w:hint="default" w:ascii="Times New Roman" w:hAnsi="Times New Roman" w:cs="Times New Roman"/>
          <w:color w:val="auto"/>
          <w:szCs w:val="28"/>
        </w:rPr>
        <w:t>危险化学品</w:t>
      </w:r>
      <w:r>
        <w:rPr>
          <w:rFonts w:hint="default" w:ascii="Times New Roman" w:hAnsi="Times New Roman" w:cs="Times New Roman"/>
          <w:color w:val="auto"/>
          <w:kern w:val="0"/>
          <w:szCs w:val="28"/>
        </w:rPr>
        <w:t>经营许可证有效期为3年。有效期满后，经营单位继续从事危险化学品经营活动的，应当在经营许可证有效期满前3个月内向原发证机关提出换证申请。</w:t>
      </w:r>
    </w:p>
    <w:p w14:paraId="2751F3B3">
      <w:pPr>
        <w:pStyle w:val="7"/>
        <w:wordWrap w:val="0"/>
        <w:adjustRightInd w:val="0"/>
        <w:snapToGrid w:val="0"/>
        <w:spacing w:before="0" w:beforeAutospacing="0" w:after="0" w:afterAutospacing="0" w:line="600" w:lineRule="exact"/>
        <w:ind w:firstLine="560" w:firstLineChars="200"/>
        <w:textAlignment w:val="center"/>
        <w:rPr>
          <w:rFonts w:ascii="Times New Roman" w:hAnsi="Times New Roman"/>
          <w:color w:val="000000"/>
          <w:sz w:val="28"/>
          <w:szCs w:val="28"/>
        </w:rPr>
      </w:pPr>
      <w:r>
        <w:rPr>
          <w:rFonts w:ascii="Times New Roman" w:hAnsi="Times New Roman"/>
          <w:color w:val="000000"/>
          <w:sz w:val="28"/>
          <w:szCs w:val="28"/>
        </w:rPr>
        <w:t>江西赣安安全生产科学技术咨询服务中心受</w:t>
      </w:r>
      <w:r>
        <w:rPr>
          <w:rFonts w:hint="eastAsia" w:ascii="Times New Roman" w:hAnsi="Times New Roman"/>
          <w:color w:val="000000"/>
          <w:sz w:val="28"/>
          <w:szCs w:val="28"/>
          <w:lang w:val="en-US" w:eastAsia="zh-CN"/>
        </w:rPr>
        <w:t>鄱阳县昌洲宏图加油站</w:t>
      </w:r>
      <w:r>
        <w:rPr>
          <w:rFonts w:ascii="Times New Roman" w:hAnsi="Times New Roman"/>
          <w:color w:val="000000"/>
          <w:sz w:val="28"/>
          <w:szCs w:val="28"/>
        </w:rPr>
        <w:t>的委托，</w:t>
      </w:r>
      <w:r>
        <w:rPr>
          <w:rFonts w:hint="eastAsia" w:ascii="Times New Roman" w:hAnsi="Times New Roman" w:eastAsia="新宋体" w:cs="Times New Roman"/>
          <w:color w:val="auto"/>
          <w:szCs w:val="28"/>
          <w:lang w:eastAsia="zh-CN"/>
        </w:rPr>
        <w:t>我公司</w:t>
      </w:r>
      <w:r>
        <w:rPr>
          <w:rFonts w:hint="default" w:ascii="Times New Roman" w:hAnsi="Times New Roman" w:eastAsia="新宋体" w:cs="Times New Roman"/>
          <w:color w:val="auto"/>
          <w:szCs w:val="28"/>
        </w:rPr>
        <w:t>组织安全评价人员，针对该加油站经营、储存场所、经营条件、人员培训、安全生产管理制度、事故应急救</w:t>
      </w:r>
      <w:r>
        <w:rPr>
          <w:rFonts w:hint="eastAsia" w:ascii="Times New Roman" w:hAnsi="Times New Roman" w:eastAsia="新宋体" w:cs="Times New Roman"/>
          <w:color w:val="auto"/>
          <w:szCs w:val="28"/>
          <w:lang w:eastAsia="zh-CN"/>
        </w:rPr>
        <w:t>援等</w:t>
      </w:r>
      <w:r>
        <w:rPr>
          <w:rFonts w:hint="default" w:ascii="Times New Roman" w:hAnsi="Times New Roman" w:eastAsia="新宋体" w:cs="Times New Roman"/>
          <w:color w:val="auto"/>
          <w:szCs w:val="28"/>
        </w:rPr>
        <w:t>方面进行检查评价，依据</w:t>
      </w:r>
      <w:r>
        <w:rPr>
          <w:rFonts w:hint="default" w:ascii="Times New Roman" w:hAnsi="Times New Roman" w:cs="Times New Roman"/>
          <w:color w:val="auto"/>
          <w:szCs w:val="28"/>
        </w:rPr>
        <w:t>《安全评价通则》（AQ8001-2007）、《危险化学品经营单位安全评价导则（试行）》（国家安监总局安监管管二字</w:t>
      </w:r>
      <w:r>
        <w:rPr>
          <w:rFonts w:hint="default" w:ascii="Times New Roman" w:hAnsi="Times New Roman" w:cs="Times New Roman"/>
          <w:color w:val="auto"/>
          <w:szCs w:val="28"/>
          <w:lang w:eastAsia="zh-CN"/>
        </w:rPr>
        <w:t>〔2003〕38号</w:t>
      </w:r>
      <w:r>
        <w:rPr>
          <w:rFonts w:hint="default" w:ascii="Times New Roman" w:hAnsi="Times New Roman" w:cs="Times New Roman"/>
          <w:color w:val="auto"/>
          <w:szCs w:val="28"/>
        </w:rPr>
        <w:t>）等现行危险化学品安全评价标准的要求</w:t>
      </w:r>
      <w:r>
        <w:rPr>
          <w:rFonts w:hint="default" w:ascii="Times New Roman" w:hAnsi="Times New Roman" w:eastAsia="新宋体" w:cs="Times New Roman"/>
          <w:color w:val="auto"/>
          <w:szCs w:val="28"/>
        </w:rPr>
        <w:t>编制本安全现状评价报告</w:t>
      </w:r>
      <w:r>
        <w:rPr>
          <w:rFonts w:hint="eastAsia" w:ascii="Times New Roman" w:hAnsi="Times New Roman"/>
          <w:color w:val="000000"/>
          <w:sz w:val="28"/>
          <w:szCs w:val="28"/>
        </w:rPr>
        <w:t>。</w:t>
      </w:r>
      <w:r>
        <w:rPr>
          <w:rFonts w:hint="eastAsia" w:ascii="Times New Roman" w:hAnsi="Times New Roman"/>
          <w:color w:val="000000"/>
          <w:sz w:val="28"/>
          <w:szCs w:val="28"/>
        </w:rPr>
        <w:br w:type="textWrapping"/>
      </w:r>
      <w:r>
        <w:rPr>
          <w:rFonts w:hint="eastAsia"/>
          <w:color w:val="000000"/>
          <w:sz w:val="28"/>
          <w:szCs w:val="28"/>
          <w:lang w:val="en-US" w:eastAsia="zh-CN"/>
        </w:rPr>
        <w:tab/>
      </w:r>
      <w:r>
        <w:rPr>
          <w:rFonts w:ascii="Times New Roman" w:hAnsi="Times New Roman"/>
          <w:color w:val="000000"/>
          <w:sz w:val="28"/>
          <w:szCs w:val="28"/>
        </w:rPr>
        <w:t>在评价过程中，得到了</w:t>
      </w:r>
      <w:r>
        <w:rPr>
          <w:rFonts w:hint="eastAsia" w:ascii="Times New Roman" w:hAnsi="Times New Roman"/>
          <w:color w:val="000000"/>
          <w:sz w:val="28"/>
          <w:szCs w:val="28"/>
          <w:lang w:val="en-US" w:eastAsia="zh-CN"/>
        </w:rPr>
        <w:t>鄱阳县昌洲宏图加油站</w:t>
      </w:r>
      <w:r>
        <w:rPr>
          <w:rFonts w:ascii="Times New Roman" w:hAnsi="Times New Roman"/>
          <w:color w:val="000000"/>
          <w:sz w:val="28"/>
          <w:szCs w:val="28"/>
        </w:rPr>
        <w:t>的大力支持。评价组全体成员对此表示感谢。</w:t>
      </w:r>
    </w:p>
    <w:p w14:paraId="12843FD6">
      <w:pPr>
        <w:pStyle w:val="7"/>
        <w:wordWrap w:val="0"/>
        <w:adjustRightInd w:val="0"/>
        <w:snapToGrid w:val="0"/>
        <w:spacing w:before="0" w:beforeAutospacing="0" w:after="0" w:afterAutospacing="0" w:line="600" w:lineRule="exact"/>
        <w:ind w:firstLine="560" w:firstLineChars="200"/>
        <w:textAlignment w:val="center"/>
        <w:rPr>
          <w:rFonts w:ascii="Times New Roman" w:hAnsi="Times New Roman"/>
          <w:color w:val="000000"/>
          <w:sz w:val="28"/>
          <w:szCs w:val="28"/>
        </w:rPr>
      </w:pPr>
    </w:p>
    <w:sdt>
      <w:sdtPr>
        <w:rPr>
          <w:rFonts w:ascii="宋体" w:hAnsi="宋体" w:eastAsia="宋体" w:cs="Times New Roman"/>
          <w:kern w:val="2"/>
          <w:sz w:val="21"/>
          <w:szCs w:val="24"/>
          <w:lang w:val="en-US" w:eastAsia="zh-CN" w:bidi="ar-SA"/>
        </w:rPr>
        <w:id w:val="147480824"/>
        <w15:color w:val="DBDBDB"/>
        <w:docPartObj>
          <w:docPartGallery w:val="Table of Contents"/>
          <w:docPartUnique/>
        </w:docPartObj>
      </w:sdtPr>
      <w:sdtEndPr>
        <w:rPr>
          <w:rStyle w:val="25"/>
          <w:rFonts w:hint="eastAsia" w:ascii="Times New Roman" w:hAnsi="Times New Roman" w:eastAsia="宋体" w:cs="Times New Roman"/>
          <w:bCs/>
          <w:smallCaps/>
          <w:strike w:val="0"/>
          <w:dstrike w:val="0"/>
          <w:color w:val="auto"/>
          <w:kern w:val="2"/>
          <w:sz w:val="24"/>
          <w:szCs w:val="24"/>
          <w:lang w:val="en-US" w:eastAsia="zh-CN" w:bidi="ar-SA"/>
        </w:rPr>
      </w:sdtEndPr>
      <w:sdtContent>
        <w:p w14:paraId="4AB1C26B">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CC9D59C">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2CCD466">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4916E02">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34ECC88F">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4075142">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E1BF88E">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9C2162F">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46EF831D">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AE3F220">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A6649A7">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3B8E3214">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0EBF71EA">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2E89806">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6026FB0">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23B872D">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2CF7889">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EE2B054">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90F2799">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0C00FBAD">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427BD6D1">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672B145">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2DEED3B">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0653C763">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0B57BFE">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D28C478">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8FDE7A1">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0FDF216">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3B673F8">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5F9FC89A">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B0D99E8">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08BC5B78">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63DCC79">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6B5BDC2C">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101911AA">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75EF3531">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08E5CF53">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3018FDE3">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DA22774">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3E7613EB">
          <w:pPr>
            <w:pStyle w:val="16"/>
            <w:tabs>
              <w:tab w:val="right" w:leader="dot" w:pos="9060"/>
            </w:tabs>
            <w:spacing w:line="360" w:lineRule="auto"/>
            <w:ind w:left="280" w:leftChars="100"/>
            <w:jc w:val="center"/>
            <w:rPr>
              <w:rStyle w:val="25"/>
              <w:rFonts w:hint="default" w:ascii="Times New Roman" w:hAnsi="Times New Roman" w:eastAsia="宋体" w:cs="Times New Roman"/>
              <w:bCs/>
              <w:smallCaps/>
              <w:strike w:val="0"/>
              <w:dstrike w:val="0"/>
              <w:color w:val="auto"/>
              <w:sz w:val="24"/>
              <w:szCs w:val="24"/>
            </w:rPr>
          </w:pPr>
          <w:r>
            <w:rPr>
              <w:rStyle w:val="25"/>
              <w:rFonts w:hint="default" w:ascii="Times New Roman" w:hAnsi="Times New Roman" w:eastAsia="宋体" w:cs="Times New Roman"/>
              <w:bCs/>
              <w:smallCaps/>
              <w:strike w:val="0"/>
              <w:dstrike w:val="0"/>
              <w:color w:val="auto"/>
              <w:sz w:val="24"/>
              <w:szCs w:val="24"/>
            </w:rPr>
            <w:t>目</w:t>
          </w:r>
          <w:r>
            <w:rPr>
              <w:rStyle w:val="25"/>
              <w:rFonts w:hint="eastAsia" w:ascii="Times New Roman" w:hAnsi="Times New Roman" w:eastAsia="宋体" w:cs="Times New Roman"/>
              <w:bCs/>
              <w:smallCaps/>
              <w:strike w:val="0"/>
              <w:dstrike w:val="0"/>
              <w:color w:val="auto"/>
              <w:sz w:val="24"/>
              <w:szCs w:val="24"/>
              <w:lang w:val="en-US" w:eastAsia="zh-CN"/>
            </w:rPr>
            <w:t xml:space="preserve">   </w:t>
          </w:r>
          <w:r>
            <w:rPr>
              <w:rStyle w:val="25"/>
              <w:rFonts w:hint="default" w:ascii="Times New Roman" w:hAnsi="Times New Roman" w:eastAsia="宋体" w:cs="Times New Roman"/>
              <w:bCs/>
              <w:smallCaps/>
              <w:strike w:val="0"/>
              <w:dstrike w:val="0"/>
              <w:color w:val="auto"/>
              <w:sz w:val="24"/>
              <w:szCs w:val="24"/>
            </w:rPr>
            <w:t>录</w:t>
          </w:r>
        </w:p>
        <w:p w14:paraId="68C3A67A">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TOC \o "1-3" \h \u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_Toc11319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1评价概述</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_Toc11319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64AD1D36">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_Toc3225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1.1评价的目的</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_Toc3225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1E8B84CA">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_Toc27012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1.2评价的原则</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_Toc27012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0238CA03">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_Toc12992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eastAsia" w:ascii="Times New Roman" w:hAnsi="Times New Roman" w:eastAsia="宋体" w:cs="Times New Roman"/>
              <w:bCs/>
              <w:smallCaps/>
              <w:strike w:val="0"/>
              <w:dstrike w:val="0"/>
              <w:color w:val="auto"/>
              <w:sz w:val="24"/>
              <w:szCs w:val="24"/>
            </w:rPr>
            <w:t>3</w:t>
          </w:r>
          <w:r>
            <w:rPr>
              <w:rStyle w:val="25"/>
              <w:rFonts w:hint="default" w:ascii="Times New Roman" w:hAnsi="Times New Roman" w:eastAsia="宋体" w:cs="Times New Roman"/>
              <w:bCs/>
              <w:smallCaps/>
              <w:strike w:val="0"/>
              <w:dstrike w:val="0"/>
              <w:color w:val="auto"/>
              <w:sz w:val="24"/>
              <w:szCs w:val="24"/>
            </w:rPr>
            <w:t>评价依据</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_Toc12992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5C8F9728">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_Toc6231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eastAsia" w:ascii="Times New Roman" w:hAnsi="Times New Roman" w:eastAsia="宋体" w:cs="Times New Roman"/>
              <w:bCs/>
              <w:smallCaps/>
              <w:strike w:val="0"/>
              <w:dstrike w:val="0"/>
              <w:color w:val="auto"/>
              <w:sz w:val="24"/>
              <w:szCs w:val="24"/>
            </w:rPr>
            <w:t>4</w:t>
          </w:r>
          <w:r>
            <w:rPr>
              <w:rStyle w:val="25"/>
              <w:rFonts w:hint="default" w:ascii="Times New Roman" w:hAnsi="Times New Roman" w:eastAsia="宋体" w:cs="Times New Roman"/>
              <w:bCs/>
              <w:smallCaps/>
              <w:strike w:val="0"/>
              <w:dstrike w:val="0"/>
              <w:color w:val="auto"/>
              <w:sz w:val="24"/>
              <w:szCs w:val="24"/>
            </w:rPr>
            <w:t>评价范围</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_Toc6231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10</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4C235F67">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_Toc8844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1.</w:t>
          </w:r>
          <w:r>
            <w:rPr>
              <w:rStyle w:val="25"/>
              <w:rFonts w:hint="eastAsia" w:ascii="Times New Roman" w:hAnsi="Times New Roman" w:eastAsia="宋体" w:cs="Times New Roman"/>
              <w:bCs/>
              <w:smallCaps/>
              <w:strike w:val="0"/>
              <w:dstrike w:val="0"/>
              <w:color w:val="auto"/>
              <w:sz w:val="24"/>
              <w:szCs w:val="24"/>
            </w:rPr>
            <w:t>5</w:t>
          </w:r>
          <w:r>
            <w:rPr>
              <w:rStyle w:val="25"/>
              <w:rFonts w:hint="default" w:ascii="Times New Roman" w:hAnsi="Times New Roman" w:eastAsia="宋体" w:cs="Times New Roman"/>
              <w:bCs/>
              <w:smallCaps/>
              <w:strike w:val="0"/>
              <w:dstrike w:val="0"/>
              <w:color w:val="auto"/>
              <w:sz w:val="24"/>
              <w:szCs w:val="24"/>
            </w:rPr>
            <w:t>评价程序</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_Toc8844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11</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519B6488">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_Toc3390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2加油站基本情况</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_Toc3390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13</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484F6E31">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_Toc31014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2.1加油站基本情况</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_Toc31014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13</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5646A066">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_Toc6568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2.2加油站主要情况</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_Toc6568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14</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0EA5443A">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_Toc11737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2.</w:t>
          </w:r>
          <w:r>
            <w:rPr>
              <w:rStyle w:val="25"/>
              <w:rFonts w:hint="eastAsia" w:ascii="Times New Roman" w:hAnsi="Times New Roman" w:eastAsia="宋体" w:cs="Times New Roman"/>
              <w:bCs/>
              <w:smallCaps/>
              <w:strike w:val="0"/>
              <w:dstrike w:val="0"/>
              <w:color w:val="auto"/>
              <w:sz w:val="24"/>
              <w:szCs w:val="24"/>
            </w:rPr>
            <w:t>3</w:t>
          </w:r>
          <w:r>
            <w:rPr>
              <w:rStyle w:val="25"/>
              <w:rFonts w:hint="default" w:ascii="Times New Roman" w:hAnsi="Times New Roman" w:eastAsia="宋体" w:cs="Times New Roman"/>
              <w:bCs/>
              <w:smallCaps/>
              <w:strike w:val="0"/>
              <w:dstrike w:val="0"/>
              <w:color w:val="auto"/>
              <w:sz w:val="24"/>
              <w:szCs w:val="24"/>
            </w:rPr>
            <w:t>主要设备、建筑物</w:t>
          </w:r>
          <w:r>
            <w:rPr>
              <w:rStyle w:val="25"/>
              <w:rFonts w:hint="eastAsia" w:ascii="Times New Roman" w:hAnsi="Times New Roman" w:eastAsia="宋体" w:cs="Times New Roman"/>
              <w:bCs/>
              <w:smallCaps/>
              <w:strike w:val="0"/>
              <w:dstrike w:val="0"/>
              <w:color w:val="auto"/>
              <w:sz w:val="24"/>
              <w:szCs w:val="24"/>
            </w:rPr>
            <w:t>及工艺</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_Toc11737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17</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1BD9557B">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_Toc13833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lang w:val="en-US" w:eastAsia="zh-CN"/>
            </w:rPr>
            <w:t>2.4消防、安全设施</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_Toc13833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20</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8DE7D1E">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_Toc20930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lang w:val="en-US" w:eastAsia="zh-CN"/>
            </w:rPr>
            <w:t>2.5安全管理体系</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_Toc20930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21</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23A4D92D">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_Toc15149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lang w:val="en-US" w:eastAsia="zh-CN"/>
            </w:rPr>
            <w:t>2.6加油站近三年变化情况</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_Toc15149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22</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4F707CC6">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_Toc32598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3主要危险、有害因素分析</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_Toc32598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23</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4EF2FDF">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_Toc20240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lang w:val="en-US" w:eastAsia="zh-CN"/>
            </w:rPr>
            <w:t>3.1物料的危险、有害因素分析</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_Toc20240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23</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01CB5645">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_Toc29423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lang w:val="en-US" w:eastAsia="zh-CN"/>
            </w:rPr>
            <w:t>3.2危险化学品及危险工艺辨识</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_Toc29423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26</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6440BCE">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_Toc22297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3</w:t>
          </w:r>
          <w:r>
            <w:rPr>
              <w:rStyle w:val="25"/>
              <w:rFonts w:hint="default" w:ascii="Times New Roman" w:hAnsi="Times New Roman" w:eastAsia="宋体" w:cs="Times New Roman"/>
              <w:bCs/>
              <w:smallCaps/>
              <w:strike w:val="0"/>
              <w:dstrike w:val="0"/>
              <w:color w:val="auto"/>
              <w:sz w:val="24"/>
              <w:szCs w:val="24"/>
            </w:rPr>
            <w:t>重大危险源辨识</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_Toc22297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27</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F4B8F8E">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_Toc24694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4经营过程中的危险辨识</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_Toc24694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30</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B42D321">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_Toc13578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5</w:t>
          </w:r>
          <w:r>
            <w:rPr>
              <w:rStyle w:val="25"/>
              <w:rFonts w:hint="default" w:ascii="Times New Roman" w:hAnsi="Times New Roman" w:eastAsia="宋体" w:cs="Times New Roman"/>
              <w:bCs/>
              <w:smallCaps/>
              <w:strike w:val="0"/>
              <w:dstrike w:val="0"/>
              <w:color w:val="auto"/>
              <w:sz w:val="24"/>
              <w:szCs w:val="24"/>
            </w:rPr>
            <w:t xml:space="preserve"> 作业过程危害因素分析</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_Toc13578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35</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8EA9D4E">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_Toc5805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6</w:t>
          </w:r>
          <w:r>
            <w:rPr>
              <w:rStyle w:val="25"/>
              <w:rFonts w:hint="default" w:ascii="Times New Roman" w:hAnsi="Times New Roman" w:eastAsia="宋体" w:cs="Times New Roman"/>
              <w:bCs/>
              <w:smallCaps/>
              <w:strike w:val="0"/>
              <w:dstrike w:val="0"/>
              <w:color w:val="auto"/>
              <w:sz w:val="24"/>
              <w:szCs w:val="24"/>
            </w:rPr>
            <w:t>环境、自然危害因素分析</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_Toc5805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37</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2CB37E96">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_Toc12194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7</w:t>
          </w:r>
          <w:r>
            <w:rPr>
              <w:rStyle w:val="25"/>
              <w:rFonts w:hint="default" w:ascii="Times New Roman" w:hAnsi="Times New Roman" w:eastAsia="宋体" w:cs="Times New Roman"/>
              <w:bCs/>
              <w:smallCaps/>
              <w:strike w:val="0"/>
              <w:dstrike w:val="0"/>
              <w:color w:val="auto"/>
              <w:sz w:val="24"/>
              <w:szCs w:val="24"/>
            </w:rPr>
            <w:t xml:space="preserve"> 有害因素分析</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_Toc12194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37</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2EB8DF5C">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_Toc13507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8</w:t>
          </w:r>
          <w:r>
            <w:rPr>
              <w:rStyle w:val="25"/>
              <w:rFonts w:hint="default" w:ascii="Times New Roman" w:hAnsi="Times New Roman" w:eastAsia="宋体" w:cs="Times New Roman"/>
              <w:bCs/>
              <w:smallCaps/>
              <w:strike w:val="0"/>
              <w:dstrike w:val="0"/>
              <w:color w:val="auto"/>
              <w:sz w:val="24"/>
              <w:szCs w:val="24"/>
            </w:rPr>
            <w:t>危险和有害因素分析总结</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_Toc13507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38</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2CEE7DB2">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_Toc14711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9</w:t>
          </w:r>
          <w:r>
            <w:rPr>
              <w:rStyle w:val="25"/>
              <w:rFonts w:hint="default" w:ascii="Times New Roman" w:hAnsi="Times New Roman" w:eastAsia="宋体" w:cs="Times New Roman"/>
              <w:bCs/>
              <w:smallCaps/>
              <w:strike w:val="0"/>
              <w:dstrike w:val="0"/>
              <w:color w:val="auto"/>
              <w:sz w:val="24"/>
              <w:szCs w:val="24"/>
            </w:rPr>
            <w:t>爆炸危险区域划分</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_Toc14711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38</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66388AE5">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_Toc14031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3.</w:t>
          </w:r>
          <w:r>
            <w:rPr>
              <w:rStyle w:val="25"/>
              <w:rFonts w:hint="eastAsia" w:ascii="Times New Roman" w:hAnsi="Times New Roman" w:eastAsia="宋体" w:cs="Times New Roman"/>
              <w:bCs/>
              <w:smallCaps/>
              <w:strike w:val="0"/>
              <w:dstrike w:val="0"/>
              <w:color w:val="auto"/>
              <w:sz w:val="24"/>
              <w:szCs w:val="24"/>
              <w:lang w:val="en-US" w:eastAsia="zh-CN"/>
            </w:rPr>
            <w:t>10</w:t>
          </w:r>
          <w:r>
            <w:rPr>
              <w:rStyle w:val="25"/>
              <w:rFonts w:hint="default" w:ascii="Times New Roman" w:hAnsi="Times New Roman" w:eastAsia="宋体" w:cs="Times New Roman"/>
              <w:bCs/>
              <w:smallCaps/>
              <w:strike w:val="0"/>
              <w:dstrike w:val="0"/>
              <w:color w:val="auto"/>
              <w:sz w:val="24"/>
              <w:szCs w:val="24"/>
            </w:rPr>
            <w:t>事故案例</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_Toc14031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39</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064248FE">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_Toc6363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4评价单元的确定及评价方法选择</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_Toc6363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42</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1B7C0D68">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_Toc12079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4.1评价单元的确定</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_Toc12079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42</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484BABE8">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_Toc16564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rPr>
            <w:t>4.2评价方法简介</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_Toc16564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42</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B2E0D76">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_Toc25111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5综合安全评价</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_Toc25111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45</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66659C7F">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_Toc17259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rPr>
            <w:t>5.1 安全条件单元</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_Toc17259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45</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8AB90AF">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_Toc5530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5.2站址和总平面布置及建（构）筑物单元</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_Toc5530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48</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2AD1A6BB">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_Toc31610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w:t>
          </w:r>
          <w:r>
            <w:rPr>
              <w:rStyle w:val="25"/>
              <w:rFonts w:hint="eastAsia" w:ascii="Times New Roman" w:hAnsi="Times New Roman" w:eastAsia="宋体" w:cs="Times New Roman"/>
              <w:bCs/>
              <w:smallCaps/>
              <w:strike w:val="0"/>
              <w:dstrike w:val="0"/>
              <w:color w:val="auto"/>
              <w:sz w:val="24"/>
              <w:szCs w:val="24"/>
              <w:lang w:val="en-US" w:eastAsia="zh-CN"/>
            </w:rPr>
            <w:t>3</w:t>
          </w:r>
          <w:r>
            <w:rPr>
              <w:rStyle w:val="25"/>
              <w:rFonts w:hint="eastAsia" w:ascii="Times New Roman" w:hAnsi="Times New Roman" w:eastAsia="宋体" w:cs="Times New Roman"/>
              <w:bCs/>
              <w:smallCaps/>
              <w:strike w:val="0"/>
              <w:dstrike w:val="0"/>
              <w:color w:val="auto"/>
              <w:sz w:val="24"/>
              <w:szCs w:val="24"/>
            </w:rPr>
            <w:t>加油工艺及设备设施单元</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_Toc31610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54</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152DEE28">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_Toc2107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w:t>
          </w:r>
          <w:r>
            <w:rPr>
              <w:rStyle w:val="25"/>
              <w:rFonts w:hint="eastAsia" w:ascii="Times New Roman" w:hAnsi="Times New Roman" w:eastAsia="宋体" w:cs="Times New Roman"/>
              <w:bCs/>
              <w:smallCaps/>
              <w:strike w:val="0"/>
              <w:dstrike w:val="0"/>
              <w:color w:val="auto"/>
              <w:sz w:val="24"/>
              <w:szCs w:val="24"/>
              <w:lang w:val="en-US" w:eastAsia="zh-CN"/>
            </w:rPr>
            <w:t>4</w:t>
          </w:r>
          <w:r>
            <w:rPr>
              <w:rStyle w:val="25"/>
              <w:rFonts w:hint="eastAsia" w:ascii="Times New Roman" w:hAnsi="Times New Roman" w:eastAsia="宋体" w:cs="Times New Roman"/>
              <w:bCs/>
              <w:smallCaps/>
              <w:strike w:val="0"/>
              <w:dstrike w:val="0"/>
              <w:color w:val="auto"/>
              <w:sz w:val="24"/>
              <w:szCs w:val="24"/>
            </w:rPr>
            <w:t>消防安全设施单元</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_Toc2107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59</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54B689AD">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_Toc5832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5.5公用工程及辅助配套设施符合性评价</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_Toc5832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60</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1589E11E">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_Toc29987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w:t>
          </w:r>
          <w:r>
            <w:rPr>
              <w:rStyle w:val="25"/>
              <w:rFonts w:hint="eastAsia" w:ascii="Times New Roman" w:hAnsi="Times New Roman" w:eastAsia="宋体" w:cs="Times New Roman"/>
              <w:bCs/>
              <w:smallCaps/>
              <w:strike w:val="0"/>
              <w:dstrike w:val="0"/>
              <w:color w:val="auto"/>
              <w:sz w:val="24"/>
              <w:szCs w:val="24"/>
              <w:lang w:val="en-US" w:eastAsia="zh-CN"/>
            </w:rPr>
            <w:t>6</w:t>
          </w:r>
          <w:r>
            <w:rPr>
              <w:rStyle w:val="25"/>
              <w:rFonts w:hint="default" w:ascii="Times New Roman" w:hAnsi="Times New Roman" w:eastAsia="宋体" w:cs="Times New Roman"/>
              <w:bCs/>
              <w:smallCaps/>
              <w:strike w:val="0"/>
              <w:dstrike w:val="0"/>
              <w:color w:val="auto"/>
              <w:sz w:val="24"/>
              <w:szCs w:val="24"/>
            </w:rPr>
            <w:t>危险度评价</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_Toc29987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64</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41EDA13">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_Toc700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5.</w:t>
          </w:r>
          <w:r>
            <w:rPr>
              <w:rStyle w:val="25"/>
              <w:rFonts w:hint="eastAsia" w:ascii="Times New Roman" w:hAnsi="Times New Roman" w:eastAsia="宋体" w:cs="Times New Roman"/>
              <w:bCs/>
              <w:smallCaps/>
              <w:strike w:val="0"/>
              <w:dstrike w:val="0"/>
              <w:color w:val="auto"/>
              <w:sz w:val="24"/>
              <w:szCs w:val="24"/>
              <w:lang w:val="en-US" w:eastAsia="zh-CN"/>
            </w:rPr>
            <w:t>7</w:t>
          </w:r>
          <w:r>
            <w:rPr>
              <w:rStyle w:val="25"/>
              <w:rFonts w:hint="default" w:ascii="Times New Roman" w:hAnsi="Times New Roman" w:eastAsia="宋体" w:cs="Times New Roman"/>
              <w:bCs/>
              <w:smallCaps/>
              <w:strike w:val="0"/>
              <w:dstrike w:val="0"/>
              <w:color w:val="auto"/>
              <w:sz w:val="24"/>
              <w:szCs w:val="24"/>
            </w:rPr>
            <w:t>综合安全评价</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_Toc700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65</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356944CA">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_Toc31744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rPr>
            <w:t>6安全对策措施与建议</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_Toc31744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77</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054BB45B">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_Toc23685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default" w:ascii="Times New Roman" w:hAnsi="Times New Roman" w:eastAsia="宋体" w:cs="Times New Roman"/>
              <w:bCs/>
              <w:smallCaps/>
              <w:strike w:val="0"/>
              <w:dstrike w:val="0"/>
              <w:color w:val="auto"/>
              <w:sz w:val="24"/>
              <w:szCs w:val="24"/>
            </w:rPr>
            <w:t>7评价结论</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_Toc23685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77</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6DE96CBA">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rPr>
          </w:pPr>
          <w:r>
            <w:rPr>
              <w:rStyle w:val="25"/>
              <w:rFonts w:hint="eastAsia" w:ascii="Times New Roman" w:hAnsi="Times New Roman" w:eastAsia="宋体" w:cs="Times New Roman"/>
              <w:bCs/>
              <w:smallCaps/>
              <w:strike w:val="0"/>
              <w:dstrike w:val="0"/>
              <w:color w:val="auto"/>
              <w:sz w:val="24"/>
              <w:szCs w:val="24"/>
              <w:lang w:val="en-US" w:eastAsia="zh-CN"/>
            </w:rPr>
            <w:fldChar w:fldCharType="begin"/>
          </w:r>
          <w:r>
            <w:rPr>
              <w:rStyle w:val="25"/>
              <w:rFonts w:hint="eastAsia" w:ascii="Times New Roman" w:hAnsi="Times New Roman" w:eastAsia="宋体" w:cs="Times New Roman"/>
              <w:bCs/>
              <w:smallCaps/>
              <w:strike w:val="0"/>
              <w:dstrike w:val="0"/>
              <w:color w:val="auto"/>
              <w:sz w:val="24"/>
              <w:szCs w:val="24"/>
              <w:lang w:val="en-US" w:eastAsia="zh-CN"/>
            </w:rPr>
            <w:instrText xml:space="preserve"> HYPERLINK \l _Toc2777 </w:instrText>
          </w:r>
          <w:r>
            <w:rPr>
              <w:rStyle w:val="25"/>
              <w:rFonts w:hint="eastAsia" w:ascii="Times New Roman" w:hAnsi="Times New Roman" w:eastAsia="宋体" w:cs="Times New Roman"/>
              <w:bCs/>
              <w:smallCaps/>
              <w:strike w:val="0"/>
              <w:dstrike w:val="0"/>
              <w:color w:val="auto"/>
              <w:sz w:val="24"/>
              <w:szCs w:val="24"/>
              <w:lang w:val="en-US" w:eastAsia="zh-CN"/>
            </w:rPr>
            <w:fldChar w:fldCharType="separate"/>
          </w:r>
          <w:r>
            <w:rPr>
              <w:rStyle w:val="25"/>
              <w:rFonts w:hint="eastAsia" w:ascii="Times New Roman" w:hAnsi="Times New Roman" w:eastAsia="宋体" w:cs="Times New Roman"/>
              <w:bCs/>
              <w:smallCaps/>
              <w:strike w:val="0"/>
              <w:dstrike w:val="0"/>
              <w:color w:val="auto"/>
              <w:sz w:val="24"/>
              <w:szCs w:val="24"/>
              <w:lang w:val="en-US" w:eastAsia="zh-CN"/>
            </w:rPr>
            <w:t xml:space="preserve">8 </w:t>
          </w:r>
          <w:r>
            <w:rPr>
              <w:rStyle w:val="25"/>
              <w:rFonts w:hint="default" w:ascii="Times New Roman" w:hAnsi="Times New Roman" w:eastAsia="宋体" w:cs="Times New Roman"/>
              <w:bCs/>
              <w:smallCaps/>
              <w:strike w:val="0"/>
              <w:dstrike w:val="0"/>
              <w:color w:val="auto"/>
              <w:sz w:val="24"/>
              <w:szCs w:val="24"/>
              <w:lang w:val="en-US" w:eastAsia="zh-CN"/>
            </w:rPr>
            <w:t>附件</w:t>
          </w:r>
          <w:r>
            <w:rPr>
              <w:rStyle w:val="25"/>
              <w:rFonts w:hint="default" w:ascii="Times New Roman" w:hAnsi="Times New Roman" w:eastAsia="宋体" w:cs="Times New Roman"/>
              <w:bCs/>
              <w:smallCaps/>
              <w:strike w:val="0"/>
              <w:dstrike w:val="0"/>
              <w:color w:val="auto"/>
              <w:sz w:val="24"/>
              <w:szCs w:val="24"/>
            </w:rPr>
            <w:tab/>
          </w:r>
          <w:r>
            <w:rPr>
              <w:rStyle w:val="25"/>
              <w:rFonts w:hint="default" w:ascii="Times New Roman" w:hAnsi="Times New Roman" w:eastAsia="宋体" w:cs="Times New Roman"/>
              <w:bCs/>
              <w:smallCaps/>
              <w:strike w:val="0"/>
              <w:dstrike w:val="0"/>
              <w:color w:val="auto"/>
              <w:sz w:val="24"/>
              <w:szCs w:val="24"/>
            </w:rPr>
            <w:fldChar w:fldCharType="begin"/>
          </w:r>
          <w:r>
            <w:rPr>
              <w:rStyle w:val="25"/>
              <w:rFonts w:hint="default" w:ascii="Times New Roman" w:hAnsi="Times New Roman" w:eastAsia="宋体" w:cs="Times New Roman"/>
              <w:bCs/>
              <w:smallCaps/>
              <w:strike w:val="0"/>
              <w:dstrike w:val="0"/>
              <w:color w:val="auto"/>
              <w:sz w:val="24"/>
              <w:szCs w:val="24"/>
            </w:rPr>
            <w:instrText xml:space="preserve"> PAGEREF _Toc2777 \h </w:instrText>
          </w:r>
          <w:r>
            <w:rPr>
              <w:rStyle w:val="25"/>
              <w:rFonts w:hint="default" w:ascii="Times New Roman" w:hAnsi="Times New Roman" w:eastAsia="宋体" w:cs="Times New Roman"/>
              <w:bCs/>
              <w:smallCaps/>
              <w:strike w:val="0"/>
              <w:dstrike w:val="0"/>
              <w:color w:val="auto"/>
              <w:sz w:val="24"/>
              <w:szCs w:val="24"/>
            </w:rPr>
            <w:fldChar w:fldCharType="separate"/>
          </w:r>
          <w:r>
            <w:rPr>
              <w:rStyle w:val="25"/>
              <w:rFonts w:hint="default" w:ascii="Times New Roman" w:hAnsi="Times New Roman" w:eastAsia="宋体" w:cs="Times New Roman"/>
              <w:bCs/>
              <w:smallCaps/>
              <w:strike w:val="0"/>
              <w:dstrike w:val="0"/>
              <w:color w:val="auto"/>
              <w:sz w:val="24"/>
              <w:szCs w:val="24"/>
            </w:rPr>
            <w:t>80</w:t>
          </w:r>
          <w:r>
            <w:rPr>
              <w:rStyle w:val="25"/>
              <w:rFonts w:hint="default" w:ascii="Times New Roman" w:hAnsi="Times New Roman" w:eastAsia="宋体" w:cs="Times New Roman"/>
              <w:bCs/>
              <w:smallCaps/>
              <w:strike w:val="0"/>
              <w:dstrike w:val="0"/>
              <w:color w:val="auto"/>
              <w:sz w:val="24"/>
              <w:szCs w:val="24"/>
            </w:rPr>
            <w:fldChar w:fldCharType="end"/>
          </w:r>
          <w:r>
            <w:rPr>
              <w:rStyle w:val="25"/>
              <w:rFonts w:hint="eastAsia" w:ascii="Times New Roman" w:hAnsi="Times New Roman" w:eastAsia="宋体" w:cs="Times New Roman"/>
              <w:bCs/>
              <w:smallCaps/>
              <w:strike w:val="0"/>
              <w:dstrike w:val="0"/>
              <w:color w:val="auto"/>
              <w:sz w:val="24"/>
              <w:szCs w:val="24"/>
              <w:lang w:val="en-US" w:eastAsia="zh-CN"/>
            </w:rPr>
            <w:fldChar w:fldCharType="end"/>
          </w:r>
        </w:p>
        <w:p w14:paraId="718CEFD0">
          <w:pPr>
            <w:pStyle w:val="16"/>
            <w:tabs>
              <w:tab w:val="right" w:leader="dot" w:pos="9060"/>
            </w:tabs>
            <w:spacing w:line="360" w:lineRule="auto"/>
            <w:ind w:left="280" w:leftChars="100"/>
            <w:jc w:val="left"/>
            <w:rPr>
              <w:rStyle w:val="25"/>
              <w:rFonts w:hint="default" w:ascii="Times New Roman" w:hAnsi="Times New Roman" w:eastAsia="宋体" w:cs="Times New Roman"/>
              <w:bCs/>
              <w:smallCaps/>
              <w:strike w:val="0"/>
              <w:dstrike w:val="0"/>
              <w:color w:val="auto"/>
              <w:sz w:val="24"/>
              <w:szCs w:val="24"/>
              <w:lang w:val="en-US" w:eastAsia="zh-CN"/>
            </w:rPr>
            <w:sectPr>
              <w:headerReference r:id="rId9" w:type="default"/>
              <w:footerReference r:id="rId10" w:type="default"/>
              <w:pgSz w:w="11906" w:h="16838"/>
              <w:pgMar w:top="1440" w:right="1800" w:bottom="1440" w:left="1800" w:header="851" w:footer="992" w:gutter="0"/>
              <w:pgNumType w:fmt="upperRoman" w:start="1"/>
              <w:cols w:space="425" w:num="1"/>
              <w:docGrid w:type="lines" w:linePitch="312" w:charSpace="0"/>
            </w:sectPr>
          </w:pPr>
          <w:r>
            <w:rPr>
              <w:rStyle w:val="25"/>
              <w:rFonts w:hint="eastAsia" w:ascii="Times New Roman" w:hAnsi="Times New Roman" w:eastAsia="宋体" w:cs="Times New Roman"/>
              <w:bCs/>
              <w:smallCaps/>
              <w:strike w:val="0"/>
              <w:dstrike w:val="0"/>
              <w:color w:val="auto"/>
              <w:sz w:val="24"/>
              <w:szCs w:val="24"/>
              <w:lang w:val="en-US" w:eastAsia="zh-CN"/>
            </w:rPr>
            <w:fldChar w:fldCharType="end"/>
          </w:r>
        </w:p>
      </w:sdtContent>
    </w:sdt>
    <w:p w14:paraId="73EF3562">
      <w:pPr>
        <w:adjustRightInd w:val="0"/>
        <w:snapToGrid w:val="0"/>
        <w:spacing w:line="600" w:lineRule="exact"/>
        <w:jc w:val="center"/>
        <w:textAlignment w:val="center"/>
        <w:rPr>
          <w:rFonts w:hint="eastAsia"/>
          <w:b/>
          <w:color w:val="000000"/>
          <w:sz w:val="36"/>
          <w:szCs w:val="36"/>
          <w:lang w:val="en-US" w:eastAsia="zh-CN"/>
        </w:rPr>
      </w:pPr>
      <w:r>
        <w:rPr>
          <w:rFonts w:hint="eastAsia" w:ascii="Times New Roman" w:eastAsia="宋体"/>
          <w:b/>
          <w:color w:val="000000"/>
          <w:sz w:val="36"/>
          <w:szCs w:val="36"/>
          <w:lang w:val="en-US" w:eastAsia="zh-CN"/>
        </w:rPr>
        <w:t>鄱阳县昌洲宏图加油站</w:t>
      </w:r>
    </w:p>
    <w:p w14:paraId="28D75D86">
      <w:pPr>
        <w:adjustRightInd w:val="0"/>
        <w:snapToGrid w:val="0"/>
        <w:spacing w:line="600" w:lineRule="exact"/>
        <w:jc w:val="center"/>
        <w:textAlignment w:val="center"/>
        <w:rPr>
          <w:rFonts w:hint="eastAsia" w:ascii="宋体" w:hAnsi="宋体"/>
          <w:b/>
          <w:bCs/>
          <w:color w:val="000000"/>
          <w:sz w:val="36"/>
          <w:szCs w:val="36"/>
        </w:rPr>
      </w:pPr>
      <w:r>
        <w:rPr>
          <w:rFonts w:hint="eastAsia" w:ascii="宋体" w:hAnsi="宋体"/>
          <w:b/>
          <w:bCs/>
          <w:color w:val="000000"/>
          <w:sz w:val="36"/>
          <w:szCs w:val="36"/>
        </w:rPr>
        <w:t>安全现状评价报告</w:t>
      </w:r>
    </w:p>
    <w:p w14:paraId="6F0285F4">
      <w:pPr>
        <w:wordWrap w:val="0"/>
        <w:adjustRightInd w:val="0"/>
        <w:snapToGrid w:val="0"/>
        <w:spacing w:line="600" w:lineRule="exact"/>
        <w:jc w:val="left"/>
        <w:textAlignment w:val="center"/>
        <w:outlineLvl w:val="0"/>
        <w:rPr>
          <w:b/>
          <w:color w:val="000000"/>
          <w:sz w:val="28"/>
          <w:szCs w:val="28"/>
        </w:rPr>
      </w:pPr>
      <w:bookmarkStart w:id="6" w:name="_Toc120957298"/>
      <w:bookmarkStart w:id="7" w:name="_Toc11319"/>
      <w:bookmarkStart w:id="8" w:name="_Toc5423"/>
      <w:bookmarkStart w:id="9" w:name="_Toc29311"/>
      <w:bookmarkStart w:id="10" w:name="_Toc350517370"/>
      <w:bookmarkStart w:id="11" w:name="_Toc12676"/>
      <w:r>
        <w:rPr>
          <w:b/>
          <w:color w:val="000000"/>
          <w:sz w:val="28"/>
          <w:szCs w:val="28"/>
        </w:rPr>
        <w:t>1评价概述</w:t>
      </w:r>
      <w:bookmarkEnd w:id="6"/>
      <w:bookmarkEnd w:id="7"/>
      <w:bookmarkEnd w:id="8"/>
      <w:bookmarkEnd w:id="9"/>
      <w:bookmarkEnd w:id="10"/>
      <w:bookmarkEnd w:id="11"/>
    </w:p>
    <w:p w14:paraId="2D7BE2EE">
      <w:pPr>
        <w:wordWrap w:val="0"/>
        <w:adjustRightInd w:val="0"/>
        <w:snapToGrid w:val="0"/>
        <w:spacing w:line="600" w:lineRule="exact"/>
        <w:jc w:val="left"/>
        <w:textAlignment w:val="center"/>
        <w:outlineLvl w:val="1"/>
        <w:rPr>
          <w:b/>
          <w:bCs/>
          <w:color w:val="000000"/>
          <w:sz w:val="28"/>
          <w:szCs w:val="28"/>
        </w:rPr>
      </w:pPr>
      <w:bookmarkStart w:id="12" w:name="_Toc3225"/>
      <w:bookmarkStart w:id="13" w:name="_Toc120957299"/>
      <w:bookmarkStart w:id="14" w:name="_Toc350517371"/>
      <w:bookmarkStart w:id="15" w:name="_Toc274"/>
      <w:r>
        <w:rPr>
          <w:b/>
          <w:color w:val="000000"/>
          <w:sz w:val="28"/>
          <w:szCs w:val="28"/>
        </w:rPr>
        <w:t>1.1</w:t>
      </w:r>
      <w:r>
        <w:rPr>
          <w:b/>
          <w:bCs/>
          <w:color w:val="000000"/>
          <w:sz w:val="28"/>
          <w:szCs w:val="28"/>
        </w:rPr>
        <w:t>评价的目的</w:t>
      </w:r>
      <w:bookmarkEnd w:id="12"/>
      <w:bookmarkEnd w:id="13"/>
      <w:bookmarkEnd w:id="14"/>
      <w:bookmarkEnd w:id="15"/>
    </w:p>
    <w:p w14:paraId="4F0C1576">
      <w:pPr>
        <w:wordWrap w:val="0"/>
        <w:adjustRightInd w:val="0"/>
        <w:snapToGrid w:val="0"/>
        <w:spacing w:line="600" w:lineRule="exact"/>
        <w:ind w:firstLine="560" w:firstLineChars="200"/>
        <w:jc w:val="left"/>
        <w:textAlignment w:val="center"/>
        <w:rPr>
          <w:color w:val="000000"/>
          <w:sz w:val="28"/>
          <w:szCs w:val="28"/>
        </w:rPr>
      </w:pPr>
      <w:r>
        <w:rPr>
          <w:color w:val="000000"/>
          <w:sz w:val="28"/>
          <w:szCs w:val="28"/>
        </w:rPr>
        <w:t>1、根据《中华人民共和国安全生产法》、国务院《危险化学品安全管理条例》及《危险化学品经营许可证管理办法》国家安监总局55号令</w:t>
      </w:r>
      <w:r>
        <w:rPr>
          <w:rFonts w:hint="eastAsia"/>
          <w:color w:val="000000"/>
          <w:sz w:val="28"/>
          <w:szCs w:val="28"/>
        </w:rPr>
        <w:t>、</w:t>
      </w:r>
      <w:r>
        <w:rPr>
          <w:color w:val="000000"/>
          <w:sz w:val="28"/>
          <w:szCs w:val="28"/>
        </w:rPr>
        <w:t>安监总局第79号令修正的要求，为加强危险品安全管理，保障社会安全，规范危险化学品经营销售活动，配合国家对危险化学品经营单位经营资质的行政许可工作。</w:t>
      </w:r>
    </w:p>
    <w:p w14:paraId="22734F10">
      <w:pPr>
        <w:pStyle w:val="8"/>
        <w:tabs>
          <w:tab w:val="left" w:pos="5940"/>
        </w:tabs>
        <w:wordWrap w:val="0"/>
        <w:adjustRightInd w:val="0"/>
        <w:snapToGrid w:val="0"/>
        <w:spacing w:after="0" w:line="600" w:lineRule="exact"/>
        <w:ind w:left="0" w:leftChars="0" w:firstLine="537" w:firstLineChars="192"/>
        <w:jc w:val="left"/>
        <w:textAlignment w:val="center"/>
        <w:rPr>
          <w:color w:val="000000"/>
          <w:sz w:val="28"/>
          <w:szCs w:val="28"/>
        </w:rPr>
      </w:pPr>
      <w:r>
        <w:rPr>
          <w:color w:val="000000"/>
          <w:sz w:val="28"/>
          <w:szCs w:val="28"/>
        </w:rPr>
        <w:t>2、本评价以实现系统安全为目的，在对系统存在的危险因素进行全面、深入分析的基础上，重点考核、评价加油站为保障安全运营所采取的安全技术措施和管理措施的完备性、科学性、有效性，以判定该加油站是否具备国家规定的危险化学品经营单位各项</w:t>
      </w:r>
      <w:r>
        <w:rPr>
          <w:rFonts w:hint="eastAsia"/>
          <w:color w:val="000000"/>
          <w:sz w:val="28"/>
          <w:szCs w:val="28"/>
          <w:lang w:val="en-US" w:eastAsia="zh-CN"/>
        </w:rPr>
        <w:t>安全</w:t>
      </w:r>
      <w:r>
        <w:rPr>
          <w:color w:val="000000"/>
          <w:sz w:val="28"/>
          <w:szCs w:val="28"/>
        </w:rPr>
        <w:t>条件。</w:t>
      </w:r>
    </w:p>
    <w:p w14:paraId="1857CDF4">
      <w:pPr>
        <w:wordWrap w:val="0"/>
        <w:adjustRightInd w:val="0"/>
        <w:snapToGrid w:val="0"/>
        <w:spacing w:line="600" w:lineRule="exact"/>
        <w:jc w:val="left"/>
        <w:textAlignment w:val="center"/>
        <w:outlineLvl w:val="1"/>
        <w:rPr>
          <w:b/>
          <w:color w:val="000000"/>
          <w:sz w:val="28"/>
          <w:szCs w:val="28"/>
        </w:rPr>
      </w:pPr>
      <w:bookmarkStart w:id="16" w:name="_Toc120957300"/>
      <w:bookmarkStart w:id="17" w:name="_Toc27012"/>
      <w:bookmarkStart w:id="18" w:name="_Toc30945"/>
      <w:r>
        <w:rPr>
          <w:b/>
          <w:color w:val="000000"/>
          <w:sz w:val="28"/>
          <w:szCs w:val="28"/>
        </w:rPr>
        <w:t>1.2评价的原则</w:t>
      </w:r>
      <w:bookmarkEnd w:id="16"/>
      <w:bookmarkEnd w:id="17"/>
      <w:bookmarkEnd w:id="18"/>
    </w:p>
    <w:p w14:paraId="673E1D04">
      <w:pPr>
        <w:wordWrap w:val="0"/>
        <w:adjustRightInd w:val="0"/>
        <w:snapToGrid w:val="0"/>
        <w:spacing w:line="600" w:lineRule="exact"/>
        <w:ind w:firstLine="560" w:firstLineChars="200"/>
        <w:jc w:val="left"/>
        <w:textAlignment w:val="center"/>
        <w:rPr>
          <w:color w:val="000000"/>
          <w:sz w:val="28"/>
          <w:szCs w:val="28"/>
        </w:rPr>
      </w:pPr>
      <w:r>
        <w:rPr>
          <w:color w:val="000000"/>
          <w:sz w:val="28"/>
          <w:szCs w:val="28"/>
        </w:rPr>
        <w:t>坚持权威性、科学性、公正性、严肃性和针对性的原则，以国家有关法律、法规、规范标准为依据，采用科学的态度，对安全评价的每一项工作都力求做到客观公正，针对现状危险、有害因素及其产生条件进行分析评价，从实际经济技术条件出发，提出有效的整改意见和措施。</w:t>
      </w:r>
    </w:p>
    <w:p w14:paraId="64EBA0A8">
      <w:pPr>
        <w:wordWrap w:val="0"/>
        <w:adjustRightInd w:val="0"/>
        <w:snapToGrid w:val="0"/>
        <w:spacing w:line="600" w:lineRule="exact"/>
        <w:jc w:val="left"/>
        <w:textAlignment w:val="center"/>
        <w:outlineLvl w:val="1"/>
        <w:rPr>
          <w:b/>
          <w:color w:val="000000"/>
          <w:sz w:val="28"/>
          <w:szCs w:val="28"/>
        </w:rPr>
      </w:pPr>
      <w:bookmarkStart w:id="19" w:name="_Toc12992"/>
      <w:bookmarkStart w:id="20" w:name="_Toc120957301"/>
      <w:bookmarkStart w:id="21" w:name="_Toc3451"/>
      <w:bookmarkStart w:id="22" w:name="_Toc350517372"/>
      <w:r>
        <w:rPr>
          <w:b/>
          <w:color w:val="000000"/>
          <w:sz w:val="28"/>
          <w:szCs w:val="28"/>
        </w:rPr>
        <w:t>1.</w:t>
      </w:r>
      <w:r>
        <w:rPr>
          <w:rFonts w:hint="eastAsia"/>
          <w:b/>
          <w:color w:val="000000"/>
          <w:sz w:val="28"/>
          <w:szCs w:val="28"/>
        </w:rPr>
        <w:t>3</w:t>
      </w:r>
      <w:r>
        <w:rPr>
          <w:b/>
          <w:color w:val="000000"/>
          <w:sz w:val="28"/>
          <w:szCs w:val="28"/>
        </w:rPr>
        <w:t>评价依据</w:t>
      </w:r>
      <w:bookmarkEnd w:id="19"/>
      <w:bookmarkEnd w:id="20"/>
      <w:bookmarkEnd w:id="21"/>
      <w:bookmarkEnd w:id="22"/>
    </w:p>
    <w:p w14:paraId="71041542">
      <w:pPr>
        <w:pStyle w:val="4"/>
        <w:pageBreakBefore w:val="0"/>
        <w:kinsoku/>
        <w:overflowPunct/>
        <w:topLinePunct w:val="0"/>
        <w:autoSpaceDE/>
        <w:autoSpaceDN/>
        <w:bidi w:val="0"/>
        <w:spacing w:before="0" w:beforeLines="0" w:after="0" w:afterLines="0"/>
        <w:rPr>
          <w:rFonts w:hint="default" w:ascii="Times New Roman" w:hAnsi="Times New Roman" w:cs="Times New Roman"/>
          <w:color w:val="auto"/>
        </w:rPr>
      </w:pPr>
      <w:bookmarkStart w:id="23" w:name="_Toc26756"/>
      <w:bookmarkStart w:id="24" w:name="_Toc13584"/>
      <w:bookmarkStart w:id="25" w:name="_Toc23379"/>
      <w:bookmarkStart w:id="26" w:name="_Toc120957304"/>
      <w:bookmarkStart w:id="27" w:name="_Toc6935"/>
      <w:r>
        <w:rPr>
          <w:rFonts w:hint="default" w:ascii="Times New Roman" w:hAnsi="Times New Roman" w:cs="Times New Roman"/>
          <w:color w:val="auto"/>
        </w:rPr>
        <w:t>1.</w:t>
      </w:r>
      <w:r>
        <w:rPr>
          <w:rFonts w:hint="eastAsia" w:ascii="Times New Roman" w:hAnsi="Times New Roman" w:cs="Times New Roman"/>
          <w:color w:val="auto"/>
          <w:lang w:val="en-US" w:eastAsia="zh-CN"/>
        </w:rPr>
        <w:t>3</w:t>
      </w:r>
      <w:r>
        <w:rPr>
          <w:rFonts w:hint="default" w:ascii="Times New Roman" w:hAnsi="Times New Roman" w:cs="Times New Roman"/>
          <w:color w:val="auto"/>
        </w:rPr>
        <w:t>.1法律、法规、规章和规范性技术文件</w:t>
      </w:r>
      <w:bookmarkEnd w:id="23"/>
      <w:bookmarkEnd w:id="24"/>
      <w:bookmarkEnd w:id="25"/>
    </w:p>
    <w:p w14:paraId="7F68106C">
      <w:pPr>
        <w:pageBreakBefore w:val="0"/>
        <w:kinsoku/>
        <w:wordWrap w:val="0"/>
        <w:overflowPunct/>
        <w:topLinePunct w:val="0"/>
        <w:autoSpaceDE/>
        <w:autoSpaceDN/>
        <w:bidi w:val="0"/>
        <w:adjustRightInd w:val="0"/>
        <w:snapToGrid w:val="0"/>
        <w:spacing w:line="600" w:lineRule="exact"/>
        <w:ind w:firstLine="560" w:firstLineChars="200"/>
        <w:jc w:val="left"/>
        <w:textAlignment w:val="center"/>
      </w:pPr>
      <w:r>
        <w:rPr>
          <w:rFonts w:hint="default" w:ascii="Times New Roman" w:hAnsi="Times New Roman" w:cs="Times New Roman"/>
          <w:color w:val="auto"/>
          <w:szCs w:val="28"/>
        </w:rPr>
        <w:t>《中华人民共和国安全生产法》国家主席令【2021】第八十八号，自2021年9月1日起实施</w:t>
      </w:r>
    </w:p>
    <w:p w14:paraId="44AEBF62">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《中华人民共和国危险化学品安全法》（2025年12月27日第十四届全国人民代表大会常务委员会第十九次会议通过，2026年5月1日起施行）</w:t>
      </w:r>
    </w:p>
    <w:p w14:paraId="318A30FC">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《中华人民共和国劳动法》（1994年）国家主席令第28号（2018年12月29日修正）</w:t>
      </w:r>
    </w:p>
    <w:p w14:paraId="1BD49BE7">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《中华人民共和国消防法》国家主席令</w:t>
      </w:r>
      <w:r>
        <w:rPr>
          <w:rFonts w:hint="default" w:ascii="Times New Roman" w:hAnsi="Times New Roman" w:cs="Times New Roman"/>
          <w:color w:val="auto"/>
          <w:szCs w:val="28"/>
          <w:lang w:eastAsia="zh-CN"/>
        </w:rPr>
        <w:t>〔2008〕6号</w:t>
      </w:r>
      <w:r>
        <w:rPr>
          <w:rFonts w:hint="default" w:ascii="Times New Roman" w:hAnsi="Times New Roman" w:cs="Times New Roman"/>
          <w:color w:val="auto"/>
          <w:szCs w:val="28"/>
        </w:rPr>
        <w:t>（国家主席令【2021】第八十一号修订，自2021年4月29日起实施）</w:t>
      </w:r>
    </w:p>
    <w:p w14:paraId="41F2EEBD">
      <w:pPr>
        <w:pageBreakBefore w:val="0"/>
        <w:shd w:val="clear" w:color="auto" w:fill="auto"/>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w:t>
      </w:r>
      <w:bookmarkStart w:id="28" w:name="OLE_LINK16"/>
      <w:r>
        <w:rPr>
          <w:rFonts w:hint="default" w:ascii="Times New Roman" w:hAnsi="Times New Roman" w:cs="Times New Roman"/>
          <w:color w:val="auto"/>
          <w:szCs w:val="28"/>
        </w:rPr>
        <w:t>危险化学品安全管理条例</w:t>
      </w:r>
      <w:bookmarkEnd w:id="28"/>
      <w:r>
        <w:rPr>
          <w:rFonts w:hint="default" w:ascii="Times New Roman" w:hAnsi="Times New Roman" w:cs="Times New Roman"/>
          <w:color w:val="auto"/>
          <w:szCs w:val="28"/>
        </w:rPr>
        <w:t>》国务院令</w:t>
      </w:r>
      <w:r>
        <w:rPr>
          <w:rFonts w:hint="default" w:ascii="Times New Roman" w:hAnsi="Times New Roman" w:cs="Times New Roman"/>
          <w:color w:val="auto"/>
          <w:szCs w:val="28"/>
          <w:lang w:eastAsia="zh-CN"/>
        </w:rPr>
        <w:t>〔2011〕591号</w:t>
      </w:r>
      <w:r>
        <w:rPr>
          <w:rFonts w:hint="default" w:ascii="Times New Roman" w:hAnsi="Times New Roman" w:cs="Times New Roman"/>
          <w:color w:val="auto"/>
          <w:szCs w:val="28"/>
        </w:rPr>
        <w:t>（2013年第645号修订）</w:t>
      </w:r>
    </w:p>
    <w:p w14:paraId="4BFACBBB">
      <w:pPr>
        <w:pageBreakBefore w:val="0"/>
        <w:shd w:val="clear" w:color="auto" w:fill="auto"/>
        <w:kinsoku/>
        <w:overflowPunct/>
        <w:topLinePunct w:val="0"/>
        <w:autoSpaceDE/>
        <w:autoSpaceDN/>
        <w:bidi w:val="0"/>
        <w:spacing w:line="600" w:lineRule="exact"/>
        <w:ind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《中华人民共和国突发事件应对法》（主席令</w:t>
      </w:r>
      <w:r>
        <w:rPr>
          <w:rFonts w:hint="eastAsia" w:ascii="Times New Roman" w:hAnsi="Times New Roman" w:cs="Times New Roman"/>
          <w:color w:val="auto"/>
          <w:szCs w:val="28"/>
          <w:lang w:eastAsia="zh-CN"/>
        </w:rPr>
        <w:t>〔2024〕</w:t>
      </w:r>
      <w:r>
        <w:rPr>
          <w:rFonts w:hint="default" w:ascii="Times New Roman" w:hAnsi="Times New Roman" w:cs="Times New Roman"/>
          <w:color w:val="auto"/>
          <w:szCs w:val="28"/>
        </w:rPr>
        <w:t>第二十五号修订，自2024年11月1日起施行</w:t>
      </w:r>
    </w:p>
    <w:p w14:paraId="006C063D">
      <w:pPr>
        <w:pageBreakBefore w:val="0"/>
        <w:shd w:val="clear" w:color="auto" w:fill="auto"/>
        <w:kinsoku/>
        <w:overflowPunct/>
        <w:topLinePunct w:val="0"/>
        <w:autoSpaceDE/>
        <w:autoSpaceDN/>
        <w:bidi w:val="0"/>
        <w:spacing w:line="600" w:lineRule="exact"/>
        <w:ind w:firstLine="528" w:firstLineChars="200"/>
        <w:rPr>
          <w:rFonts w:hint="default" w:ascii="Times New Roman" w:hAnsi="Times New Roman" w:cs="Times New Roman"/>
          <w:color w:val="auto"/>
          <w:spacing w:val="-8"/>
          <w:szCs w:val="28"/>
        </w:rPr>
      </w:pPr>
      <w:r>
        <w:rPr>
          <w:rFonts w:hint="default" w:ascii="Times New Roman" w:hAnsi="Times New Roman" w:cs="Times New Roman"/>
          <w:color w:val="auto"/>
          <w:spacing w:val="-8"/>
          <w:szCs w:val="28"/>
        </w:rPr>
        <w:t>《公路安全保护条例》中华人民共和国国务院令</w:t>
      </w:r>
      <w:r>
        <w:rPr>
          <w:rFonts w:hint="default" w:ascii="Times New Roman" w:hAnsi="Times New Roman" w:cs="Times New Roman"/>
          <w:color w:val="auto"/>
          <w:spacing w:val="-8"/>
          <w:szCs w:val="28"/>
          <w:lang w:eastAsia="zh-CN"/>
        </w:rPr>
        <w:t>〔2011〕593号</w:t>
      </w:r>
    </w:p>
    <w:p w14:paraId="1FBBAB89">
      <w:pPr>
        <w:pageBreakBefore w:val="0"/>
        <w:shd w:val="clear" w:color="auto" w:fill="auto"/>
        <w:kinsoku/>
        <w:overflowPunct/>
        <w:topLinePunct w:val="0"/>
        <w:autoSpaceDE/>
        <w:autoSpaceDN/>
        <w:bidi w:val="0"/>
        <w:spacing w:line="600" w:lineRule="exact"/>
        <w:ind w:firstLine="528" w:firstLineChars="200"/>
        <w:rPr>
          <w:rFonts w:hint="default" w:ascii="Times New Roman" w:hAnsi="Times New Roman" w:cs="Times New Roman"/>
          <w:color w:val="auto"/>
          <w:spacing w:val="-8"/>
          <w:szCs w:val="28"/>
        </w:rPr>
      </w:pPr>
      <w:r>
        <w:rPr>
          <w:rFonts w:hint="default" w:ascii="Times New Roman" w:hAnsi="Times New Roman" w:cs="Times New Roman"/>
          <w:color w:val="auto"/>
          <w:spacing w:val="-8"/>
          <w:szCs w:val="28"/>
        </w:rPr>
        <w:t>《工伤保险条例》（国务院令第586号，2011年1月1日起施行）</w:t>
      </w:r>
    </w:p>
    <w:p w14:paraId="15379555">
      <w:pPr>
        <w:pageBreakBefore w:val="0"/>
        <w:shd w:val="clear" w:color="auto" w:fill="auto"/>
        <w:kinsoku/>
        <w:overflowPunct/>
        <w:topLinePunct w:val="0"/>
        <w:autoSpaceDE/>
        <w:autoSpaceDN/>
        <w:bidi w:val="0"/>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《安全生产事故应急预案管理办法》（2016年6月3日国家安全生产监督管理总局令第88号公布，根据2019年7月11日应急管理部令第2号《应急管理部关于修改</w:t>
      </w:r>
      <w:r>
        <w:rPr>
          <w:rFonts w:hint="default" w:ascii="Times New Roman" w:hAnsi="Times New Roman" w:cs="Times New Roman"/>
          <w:color w:val="auto"/>
          <w:lang w:eastAsia="zh-CN"/>
        </w:rPr>
        <w:t>〈</w:t>
      </w:r>
      <w:r>
        <w:rPr>
          <w:rFonts w:hint="default" w:ascii="Times New Roman" w:hAnsi="Times New Roman" w:cs="Times New Roman"/>
          <w:color w:val="auto"/>
        </w:rPr>
        <w:t>生产安全事故应急预案管理办法</w:t>
      </w:r>
      <w:r>
        <w:rPr>
          <w:rFonts w:hint="default" w:ascii="Times New Roman" w:hAnsi="Times New Roman" w:cs="Times New Roman"/>
          <w:color w:val="auto"/>
          <w:lang w:eastAsia="zh-CN"/>
        </w:rPr>
        <w:t>〉</w:t>
      </w:r>
      <w:r>
        <w:rPr>
          <w:rFonts w:hint="default" w:ascii="Times New Roman" w:hAnsi="Times New Roman" w:cs="Times New Roman"/>
          <w:color w:val="auto"/>
        </w:rPr>
        <w:t>的决定》修正）</w:t>
      </w:r>
    </w:p>
    <w:p w14:paraId="74C7D078">
      <w:pPr>
        <w:pStyle w:val="29"/>
        <w:pageBreakBefore w:val="0"/>
        <w:kinsoku/>
        <w:overflowPunct/>
        <w:topLinePunct w:val="0"/>
        <w:autoSpaceDE/>
        <w:autoSpaceDN/>
        <w:bidi w:val="0"/>
        <w:ind w:firstLine="536" w:firstLineChars="200"/>
        <w:rPr>
          <w:rFonts w:hint="eastAsia" w:ascii="Times New Roman" w:hAnsi="Times New Roman" w:eastAsia="宋体" w:cs="Times New Roman"/>
          <w:color w:val="auto"/>
          <w:spacing w:val="-6"/>
          <w:sz w:val="28"/>
          <w:szCs w:val="28"/>
          <w:lang w:val="en-US" w:eastAsia="zh-CN"/>
        </w:rPr>
      </w:pPr>
      <w:r>
        <w:rPr>
          <w:rFonts w:hint="eastAsia" w:ascii="Times New Roman" w:hAnsi="Times New Roman" w:eastAsia="宋体" w:cs="Times New Roman"/>
          <w:color w:val="auto"/>
          <w:spacing w:val="-6"/>
          <w:sz w:val="28"/>
          <w:szCs w:val="28"/>
          <w:lang w:val="en-US" w:eastAsia="zh-CN"/>
        </w:rPr>
        <w:t>《危险化学品经营许可证管理办法》（国家安监总局令55号，79号修正）</w:t>
      </w:r>
    </w:p>
    <w:p w14:paraId="1C985E7C">
      <w:pPr>
        <w:pageBreakBefore w:val="0"/>
        <w:shd w:val="clear" w:color="auto" w:fill="auto"/>
        <w:kinsoku/>
        <w:overflowPunct/>
        <w:topLinePunct w:val="0"/>
        <w:autoSpaceDE/>
        <w:autoSpaceDN/>
        <w:bidi w:val="0"/>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《危险化学品建设项目安全监督管理办法》（国家安监总局令第45号，第79号修改）</w:t>
      </w:r>
    </w:p>
    <w:p w14:paraId="09993F33">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《劳动保障监察条例》                 </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rPr>
        <w:t>国务院令</w:t>
      </w:r>
      <w:r>
        <w:rPr>
          <w:rFonts w:hint="default" w:ascii="Times New Roman" w:hAnsi="Times New Roman" w:cs="Times New Roman"/>
          <w:color w:val="auto"/>
          <w:szCs w:val="28"/>
          <w:lang w:eastAsia="zh-CN"/>
        </w:rPr>
        <w:t>〔2004〕423号</w:t>
      </w:r>
    </w:p>
    <w:p w14:paraId="5FF27994">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《生产安全事故应急条例》国务院令</w:t>
      </w:r>
      <w:r>
        <w:rPr>
          <w:rFonts w:hint="default" w:ascii="Times New Roman" w:hAnsi="Times New Roman" w:cs="Times New Roman"/>
          <w:color w:val="auto"/>
          <w:szCs w:val="28"/>
          <w:lang w:eastAsia="zh-CN"/>
        </w:rPr>
        <w:t>〔2019〕708号</w:t>
      </w:r>
      <w:r>
        <w:rPr>
          <w:rFonts w:hint="default" w:ascii="Times New Roman" w:hAnsi="Times New Roman" w:cs="Times New Roman"/>
          <w:color w:val="auto"/>
          <w:szCs w:val="28"/>
        </w:rPr>
        <w:t>2018年12月5日国务院第33次常务会议通过，2019年4</w:t>
      </w:r>
      <w:r>
        <w:rPr>
          <w:rFonts w:hint="default" w:ascii="Times New Roman" w:hAnsi="Times New Roman" w:cs="Times New Roman"/>
          <w:color w:val="auto"/>
          <w:szCs w:val="28"/>
          <w:lang w:val="en-US" w:eastAsia="zh-CN"/>
        </w:rPr>
        <w:t>月</w:t>
      </w:r>
      <w:r>
        <w:rPr>
          <w:rFonts w:hint="default" w:ascii="Times New Roman" w:hAnsi="Times New Roman" w:cs="Times New Roman"/>
          <w:color w:val="auto"/>
          <w:szCs w:val="28"/>
        </w:rPr>
        <w:t>1日起施行</w:t>
      </w:r>
    </w:p>
    <w:p w14:paraId="31A2D199">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《安全生产事故隐患排查治理暂行规定》（国家安监总局令第16号，自2008年2月1日起施行）</w:t>
      </w:r>
    </w:p>
    <w:p w14:paraId="1C9A94F4">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《国务院办公厅关于加快发展流通促进商业消费的意见》国办发〔2019〕42号</w:t>
      </w:r>
    </w:p>
    <w:p w14:paraId="43812CC5">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eastAsia="宋体" w:cs="Times New Roman"/>
          <w:color w:val="auto"/>
          <w:szCs w:val="28"/>
        </w:rPr>
      </w:pPr>
      <w:r>
        <w:rPr>
          <w:rFonts w:hint="eastAsia" w:ascii="Times New Roman" w:hAnsi="Times New Roman" w:eastAsia="宋体" w:cs="Times New Roman"/>
          <w:color w:val="auto"/>
          <w:szCs w:val="28"/>
          <w:lang w:val="en-US" w:eastAsia="zh-CN"/>
        </w:rPr>
        <w:t>《危险化学品经营许可证管理办法》（安监总局55号令，第79号修正）</w:t>
      </w:r>
    </w:p>
    <w:p w14:paraId="275B97FF">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《生产经营单位安全培训规定》2015年5月29日国家安全生产监督管理总局令第80号修正</w:t>
      </w:r>
    </w:p>
    <w:p w14:paraId="42101362">
      <w:pPr>
        <w:pStyle w:val="29"/>
        <w:pageBreakBefore w:val="0"/>
        <w:kinsoku/>
        <w:overflowPunct/>
        <w:topLinePunct w:val="0"/>
        <w:autoSpaceDE/>
        <w:autoSpaceDN/>
        <w:bidi w:val="0"/>
        <w:ind w:firstLine="536" w:firstLineChars="200"/>
        <w:rPr>
          <w:rFonts w:hint="default" w:ascii="Times New Roman" w:hAnsi="Times New Roman" w:eastAsia="宋体" w:cs="Times New Roman"/>
          <w:color w:val="auto"/>
          <w:spacing w:val="-6"/>
          <w:sz w:val="28"/>
          <w:szCs w:val="28"/>
          <w:lang w:val="en-US" w:eastAsia="zh-CN"/>
        </w:rPr>
      </w:pPr>
      <w:r>
        <w:rPr>
          <w:rFonts w:hint="default" w:ascii="Times New Roman" w:hAnsi="Times New Roman" w:eastAsia="宋体" w:cs="Times New Roman"/>
          <w:color w:val="auto"/>
          <w:spacing w:val="-6"/>
          <w:sz w:val="28"/>
          <w:szCs w:val="28"/>
          <w:lang w:val="en-US" w:eastAsia="zh-CN"/>
        </w:rPr>
        <w:t>《生产安全事故罚款处罚规定》（中华人民共和国应急管理部令第14号）</w:t>
      </w:r>
    </w:p>
    <w:p w14:paraId="37310747">
      <w:pPr>
        <w:pageBreakBefore w:val="0"/>
        <w:kinsoku/>
        <w:wordWrap w:val="0"/>
        <w:overflowPunct/>
        <w:topLinePunct w:val="0"/>
        <w:autoSpaceDE/>
        <w:autoSpaceDN/>
        <w:bidi w:val="0"/>
        <w:adjustRightInd w:val="0"/>
        <w:snapToGrid w:val="0"/>
        <w:spacing w:line="600" w:lineRule="exact"/>
        <w:ind w:firstLine="560" w:firstLineChars="200"/>
        <w:jc w:val="left"/>
        <w:textAlignment w:val="center"/>
        <w:rPr>
          <w:rFonts w:hint="default" w:ascii="Times New Roman" w:hAnsi="Times New Roman" w:cs="Times New Roman"/>
          <w:color w:val="auto"/>
          <w:szCs w:val="28"/>
          <w:lang w:eastAsia="zh-CN"/>
        </w:rPr>
      </w:pPr>
      <w:r>
        <w:rPr>
          <w:rFonts w:hint="default" w:ascii="Times New Roman" w:hAnsi="Times New Roman" w:cs="Times New Roman"/>
          <w:color w:val="auto"/>
          <w:szCs w:val="28"/>
        </w:rPr>
        <w:t>《危险化学品目录》（2026年修订）中华人民共和国应急管理部等10部门公告(2026年第3号</w:t>
      </w:r>
      <w:r>
        <w:rPr>
          <w:rFonts w:hint="default" w:ascii="Times New Roman" w:hAnsi="Times New Roman" w:cs="Times New Roman"/>
          <w:color w:val="auto"/>
          <w:szCs w:val="28"/>
          <w:lang w:eastAsia="zh-CN"/>
        </w:rPr>
        <w:t>）</w:t>
      </w:r>
    </w:p>
    <w:p w14:paraId="4BAA8B79">
      <w:pPr>
        <w:pStyle w:val="6"/>
        <w:pageBreakBefore w:val="0"/>
        <w:kinsoku/>
        <w:overflowPunct/>
        <w:topLinePunct w:val="0"/>
        <w:autoSpaceDE/>
        <w:autoSpaceDN/>
        <w:bidi w:val="0"/>
        <w:ind w:firstLine="560" w:firstLineChars="200"/>
        <w:rPr>
          <w:rFonts w:hint="default" w:ascii="Times New Roman" w:hAnsi="Times New Roman" w:cs="Times New Roman"/>
          <w:color w:val="auto"/>
          <w:szCs w:val="28"/>
          <w:lang w:eastAsia="zh-CN"/>
        </w:rPr>
      </w:pPr>
      <w:r>
        <w:rPr>
          <w:rFonts w:hint="default" w:ascii="Times New Roman" w:hAnsi="Times New Roman" w:cs="Times New Roman"/>
          <w:color w:val="auto"/>
          <w:szCs w:val="28"/>
          <w:lang w:eastAsia="zh-CN"/>
        </w:rPr>
        <w:t>《应急管理部办公厅关于认真做好柴油安全许可有关工作的通知》应急厅函〔2022〕317号</w:t>
      </w:r>
    </w:p>
    <w:p w14:paraId="284C63CC">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《关于开展油气等危险化学品罐区专项安全大检查的通知》（安委办〔2015〕89号）；</w:t>
      </w:r>
    </w:p>
    <w:p w14:paraId="17FBC237">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《应急管理部关于进一步做好安全生产责任保险工作的紧急通知》（应急〔2021〕61号）</w:t>
      </w:r>
    </w:p>
    <w:p w14:paraId="0B643D2F">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《应急管理部办公厅关于印发〈</w:t>
      </w:r>
      <w:r>
        <w:rPr>
          <w:rFonts w:hint="eastAsia" w:ascii="Times New Roman" w:hAnsi="Times New Roman" w:eastAsia="宋体" w:cs="Times New Roman"/>
          <w:color w:val="auto"/>
          <w:sz w:val="28"/>
          <w:szCs w:val="28"/>
          <w:lang w:eastAsia="zh-CN"/>
        </w:rPr>
        <w:t>受限空间</w:t>
      </w:r>
      <w:r>
        <w:rPr>
          <w:rFonts w:hint="default" w:ascii="Times New Roman" w:hAnsi="Times New Roman" w:eastAsia="宋体" w:cs="Times New Roman"/>
          <w:color w:val="auto"/>
          <w:sz w:val="28"/>
          <w:szCs w:val="28"/>
        </w:rPr>
        <w:t>作业安全指导手册〉和4个专题系列折页的通知》（应急厅函〔2020〕299号）；</w:t>
      </w:r>
    </w:p>
    <w:p w14:paraId="7AFD055D">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《产业结构调整指导目录（2024年本）》（中华人民共和国国家发展和改革委员会令第7号）；</w:t>
      </w:r>
    </w:p>
    <w:p w14:paraId="5CE4AAD7">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《建设工程消防设计审查验收管理暂行规定》（2023年8月21日中华人民共和国住房和城乡建设部令第58号公布）</w:t>
      </w:r>
    </w:p>
    <w:p w14:paraId="56E15EDF">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《化工和危险化学品生产经营单位重大生产安全事故隐患判定标准（试行）》的通知（安监总管三</w:t>
      </w:r>
      <w:r>
        <w:rPr>
          <w:rFonts w:hint="default" w:ascii="Times New Roman" w:hAnsi="Times New Roman" w:eastAsia="宋体" w:cs="Times New Roman"/>
          <w:color w:val="auto"/>
          <w:sz w:val="28"/>
          <w:szCs w:val="28"/>
          <w:lang w:eastAsia="zh-CN"/>
        </w:rPr>
        <w:t>〔2017〕121号</w:t>
      </w:r>
      <w:r>
        <w:rPr>
          <w:rFonts w:hint="default" w:ascii="Times New Roman" w:hAnsi="Times New Roman" w:eastAsia="宋体" w:cs="Times New Roman"/>
          <w:color w:val="auto"/>
          <w:sz w:val="28"/>
          <w:szCs w:val="28"/>
        </w:rPr>
        <w:t>）</w:t>
      </w:r>
    </w:p>
    <w:p w14:paraId="3C2F8F31">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《企业安全生产费用提取和使用管理办法》（财资〔2022〕136号）</w:t>
      </w:r>
    </w:p>
    <w:p w14:paraId="57941ADF">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color w:val="auto"/>
          <w:sz w:val="28"/>
          <w:szCs w:val="28"/>
        </w:rPr>
        <w:t>《易制毒化学品管理条例》（中华人民共和国国务院令2005年第445号，根据2018年9月18日公布的国务院令第703号《国务院关于修改部分行政法规的决定》第六条修改。）</w:t>
      </w:r>
      <w:r>
        <w:rPr>
          <w:rFonts w:hint="default" w:ascii="Times New Roman" w:hAnsi="Times New Roman" w:eastAsia="宋体" w:cs="Times New Roman"/>
          <w:color w:val="auto"/>
          <w:sz w:val="28"/>
          <w:szCs w:val="28"/>
          <w:lang w:val="en-US" w:eastAsia="zh-CN"/>
        </w:rPr>
        <w:t>《易制爆危险化学品名录》（2017年版）</w:t>
      </w:r>
      <w:r>
        <w:rPr>
          <w:rFonts w:hint="default" w:ascii="Times New Roman" w:hAnsi="Times New Roman" w:eastAsia="宋体" w:cs="Times New Roman"/>
          <w:color w:val="auto"/>
          <w:sz w:val="28"/>
          <w:szCs w:val="28"/>
          <w:lang w:eastAsia="zh-CN"/>
        </w:rPr>
        <w:t>公安部，</w:t>
      </w:r>
      <w:r>
        <w:rPr>
          <w:rFonts w:hint="default" w:ascii="Times New Roman" w:hAnsi="Times New Roman" w:eastAsia="宋体" w:cs="Times New Roman"/>
          <w:color w:val="auto"/>
          <w:sz w:val="28"/>
          <w:szCs w:val="28"/>
          <w:lang w:val="en-US" w:eastAsia="zh-CN"/>
        </w:rPr>
        <w:t>2017年5月11日发布</w:t>
      </w:r>
    </w:p>
    <w:p w14:paraId="4A723EF6">
      <w:pPr>
        <w:pStyle w:val="29"/>
        <w:pageBreakBefore w:val="0"/>
        <w:kinsoku/>
        <w:overflowPunct/>
        <w:topLinePunct w:val="0"/>
        <w:autoSpaceDE/>
        <w:autoSpaceDN/>
        <w:bidi w:val="0"/>
        <w:ind w:firstLine="560" w:firstLineChars="200"/>
        <w:rPr>
          <w:rFonts w:hint="eastAsia"/>
          <w:color w:val="auto"/>
          <w:sz w:val="28"/>
          <w:szCs w:val="28"/>
        </w:rPr>
      </w:pPr>
      <w:r>
        <w:rPr>
          <w:rFonts w:hint="eastAsia"/>
          <w:color w:val="auto"/>
          <w:sz w:val="28"/>
          <w:szCs w:val="28"/>
        </w:rPr>
        <w:t>《关于将4-(N-苯基氨基)哌啶、1-叔丁氧羰基-4-(N-苯基氨基)哌啶、N-苯基-N-(4-哌啶基)丙酰胺、大麻二酚、2-甲基-3-苯基缩水甘油酸及其酯类、3-氧-2-苯基丁酸及其酯类、2-甲基-3-[3,4-(亚甲二氧基)苯基]缩水甘油酸酯类列入易制毒化学品管理的公告》（公安部、商务部、国家卫生健康委员会、海关总署、国家药品监督管理局、应急管理部 2024年8月2日）</w:t>
      </w:r>
    </w:p>
    <w:p w14:paraId="10B622CD">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2"/>
          <w:lang w:val="en-US" w:eastAsia="zh-CN"/>
        </w:rPr>
        <w:t>《关于将4-哌啶酮和1-叔丁氧羰基-4-哌啶酮列为易制毒化学品管理的公告》公安部，商务部，国家卫生健康委员会，应急管理部海关总署国家药品监督管理局2025年6月20日联合公告</w:t>
      </w:r>
    </w:p>
    <w:p w14:paraId="70A414D2">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《各类监控化学品名录》（工业和信息化部令第52号）</w:t>
      </w:r>
    </w:p>
    <w:p w14:paraId="23D91113">
      <w:pPr>
        <w:pageBreakBefore w:val="0"/>
        <w:kinsoku/>
        <w:overflowPunct/>
        <w:topLinePunct w:val="0"/>
        <w:autoSpaceDE/>
        <w:autoSpaceDN/>
        <w:bidi w:val="0"/>
        <w:spacing w:line="600" w:lineRule="exact"/>
        <w:ind w:firstLine="561"/>
        <w:rPr>
          <w:color w:val="auto"/>
          <w:kern w:val="0"/>
          <w:sz w:val="28"/>
          <w:szCs w:val="28"/>
        </w:rPr>
      </w:pPr>
      <w:r>
        <w:rPr>
          <w:rFonts w:hint="eastAsia"/>
          <w:color w:val="auto"/>
          <w:kern w:val="0"/>
          <w:sz w:val="28"/>
          <w:szCs w:val="28"/>
        </w:rPr>
        <w:t>《</w:t>
      </w:r>
      <w:r>
        <w:rPr>
          <w:color w:val="auto"/>
          <w:kern w:val="0"/>
          <w:sz w:val="28"/>
          <w:szCs w:val="28"/>
        </w:rPr>
        <w:t>关于公布首批重点监管的危险化工工艺目录的通知</w:t>
      </w:r>
      <w:r>
        <w:rPr>
          <w:rFonts w:hint="eastAsia"/>
          <w:color w:val="auto"/>
          <w:kern w:val="0"/>
          <w:sz w:val="28"/>
          <w:szCs w:val="28"/>
        </w:rPr>
        <w:t>》国家安全生产监督管理总</w:t>
      </w:r>
      <w:r>
        <w:rPr>
          <w:color w:val="auto"/>
          <w:kern w:val="0"/>
          <w:sz w:val="28"/>
          <w:szCs w:val="28"/>
        </w:rPr>
        <w:t>局安监总管三〔2009〕116号</w:t>
      </w:r>
    </w:p>
    <w:p w14:paraId="0EEA2CB1">
      <w:pPr>
        <w:pStyle w:val="12"/>
        <w:pageBreakBefore w:val="0"/>
        <w:widowControl w:val="0"/>
        <w:kinsoku/>
        <w:overflowPunct/>
        <w:topLinePunct w:val="0"/>
        <w:autoSpaceDE/>
        <w:autoSpaceDN/>
        <w:bidi w:val="0"/>
        <w:spacing w:before="0" w:beforeAutospacing="0" w:after="0" w:afterAutospacing="0" w:line="600" w:lineRule="exact"/>
        <w:ind w:firstLine="561"/>
        <w:jc w:val="both"/>
        <w:rPr>
          <w:rFonts w:hint="eastAsia" w:ascii="Times New Roman" w:hAnsi="Times New Roman"/>
          <w:color w:val="auto"/>
          <w:sz w:val="28"/>
          <w:szCs w:val="28"/>
        </w:rPr>
      </w:pPr>
      <w:r>
        <w:rPr>
          <w:rFonts w:hint="eastAsia" w:ascii="Times New Roman" w:hAnsi="Times New Roman"/>
          <w:color w:val="auto"/>
          <w:sz w:val="28"/>
          <w:szCs w:val="28"/>
        </w:rPr>
        <w:t>《国家安全监管总局关于公布第二批重点监管危险化工工艺目录和调整首批重点监管危险化工工艺中部分典型工艺的通知》原国家安全生产管理监督管理总局安监总管三〔2013〕3号</w:t>
      </w:r>
    </w:p>
    <w:p w14:paraId="7953E78E">
      <w:pPr>
        <w:pStyle w:val="12"/>
        <w:pageBreakBefore w:val="0"/>
        <w:widowControl w:val="0"/>
        <w:kinsoku/>
        <w:overflowPunct/>
        <w:topLinePunct w:val="0"/>
        <w:autoSpaceDE/>
        <w:autoSpaceDN/>
        <w:bidi w:val="0"/>
        <w:spacing w:before="0" w:beforeAutospacing="0" w:after="0" w:afterAutospacing="0" w:line="600" w:lineRule="exact"/>
        <w:ind w:firstLine="561"/>
        <w:jc w:val="both"/>
        <w:rPr>
          <w:rFonts w:hint="eastAsia" w:ascii="Times New Roman" w:hAnsi="Times New Roman"/>
          <w:color w:val="auto"/>
          <w:sz w:val="28"/>
          <w:szCs w:val="28"/>
        </w:rPr>
      </w:pPr>
      <w:r>
        <w:rPr>
          <w:rFonts w:hint="eastAsia"/>
          <w:color w:val="auto"/>
          <w:sz w:val="28"/>
          <w:szCs w:val="28"/>
        </w:rPr>
        <w:t>《</w:t>
      </w:r>
      <w:r>
        <w:rPr>
          <w:rFonts w:hint="eastAsia" w:cs="宋体"/>
          <w:color w:val="auto"/>
          <w:sz w:val="28"/>
          <w:szCs w:val="28"/>
        </w:rPr>
        <w:t>国家安全监管总局关于公布首批重点监管的危险化学品名录的通知》原</w:t>
      </w:r>
      <w:r>
        <w:rPr>
          <w:color w:val="auto"/>
          <w:sz w:val="28"/>
          <w:szCs w:val="28"/>
        </w:rPr>
        <w:t>国家安</w:t>
      </w:r>
      <w:r>
        <w:rPr>
          <w:rFonts w:ascii="Times New Roman" w:hAnsi="Times New Roman"/>
          <w:color w:val="auto"/>
          <w:sz w:val="28"/>
          <w:szCs w:val="28"/>
        </w:rPr>
        <w:t>全监管总局安监总管三〔20</w:t>
      </w:r>
      <w:r>
        <w:rPr>
          <w:rFonts w:hint="eastAsia" w:ascii="Times New Roman" w:hAnsi="Times New Roman"/>
          <w:color w:val="auto"/>
          <w:sz w:val="28"/>
          <w:szCs w:val="28"/>
        </w:rPr>
        <w:t>11</w:t>
      </w:r>
      <w:r>
        <w:rPr>
          <w:rFonts w:ascii="Times New Roman" w:hAnsi="Times New Roman"/>
          <w:color w:val="auto"/>
          <w:sz w:val="28"/>
          <w:szCs w:val="28"/>
        </w:rPr>
        <w:t>〕</w:t>
      </w:r>
      <w:r>
        <w:rPr>
          <w:rFonts w:hint="eastAsia" w:ascii="Times New Roman" w:hAnsi="Times New Roman"/>
          <w:color w:val="auto"/>
          <w:sz w:val="28"/>
          <w:szCs w:val="28"/>
        </w:rPr>
        <w:t>95</w:t>
      </w:r>
      <w:r>
        <w:rPr>
          <w:rFonts w:ascii="Times New Roman" w:hAnsi="Times New Roman"/>
          <w:color w:val="auto"/>
          <w:sz w:val="28"/>
          <w:szCs w:val="28"/>
        </w:rPr>
        <w:t>号</w:t>
      </w:r>
    </w:p>
    <w:p w14:paraId="37E873ED">
      <w:pPr>
        <w:pStyle w:val="12"/>
        <w:pageBreakBefore w:val="0"/>
        <w:widowControl w:val="0"/>
        <w:kinsoku/>
        <w:overflowPunct/>
        <w:topLinePunct w:val="0"/>
        <w:autoSpaceDE/>
        <w:autoSpaceDN/>
        <w:bidi w:val="0"/>
        <w:spacing w:before="0" w:beforeAutospacing="0" w:after="0" w:afterAutospacing="0" w:line="600" w:lineRule="exact"/>
        <w:ind w:firstLine="561"/>
        <w:jc w:val="both"/>
        <w:rPr>
          <w:rFonts w:ascii="Times New Roman" w:hAnsi="Times New Roman"/>
          <w:color w:val="auto"/>
          <w:sz w:val="28"/>
          <w:szCs w:val="28"/>
        </w:rPr>
      </w:pPr>
      <w:r>
        <w:rPr>
          <w:rFonts w:hint="eastAsia" w:ascii="Times New Roman" w:hAnsi="Times New Roman"/>
          <w:color w:val="auto"/>
          <w:sz w:val="28"/>
          <w:szCs w:val="28"/>
        </w:rPr>
        <w:t>《国家安全监管总局关于公布第二批重点监管危险化学品名录的通知》国家安全生产监督管理总局安监总管三〔2013〕12号</w:t>
      </w:r>
    </w:p>
    <w:p w14:paraId="5348B6E0">
      <w:pPr>
        <w:pStyle w:val="29"/>
        <w:pageBreakBefore w:val="0"/>
        <w:kinsoku/>
        <w:overflowPunct/>
        <w:topLinePunct w:val="0"/>
        <w:autoSpaceDE/>
        <w:autoSpaceDN/>
        <w:bidi w:val="0"/>
        <w:ind w:firstLine="536" w:firstLineChars="200"/>
        <w:rPr>
          <w:rFonts w:hint="eastAsia" w:ascii="Times New Roman" w:hAnsi="Times New Roman" w:eastAsia="宋体" w:cs="Times New Roman"/>
          <w:color w:val="auto"/>
          <w:spacing w:val="-6"/>
          <w:sz w:val="28"/>
          <w:szCs w:val="28"/>
          <w:lang w:val="en-US" w:eastAsia="zh-CN"/>
        </w:rPr>
      </w:pPr>
      <w:r>
        <w:rPr>
          <w:rFonts w:hint="eastAsia" w:ascii="Times New Roman" w:hAnsi="Times New Roman" w:eastAsia="宋体" w:cs="Times New Roman"/>
          <w:color w:val="auto"/>
          <w:spacing w:val="-6"/>
          <w:sz w:val="28"/>
          <w:szCs w:val="28"/>
          <w:lang w:val="en-US" w:eastAsia="zh-CN"/>
        </w:rPr>
        <w:t>《</w:t>
      </w:r>
      <w:r>
        <w:rPr>
          <w:rFonts w:hint="default" w:ascii="Times New Roman" w:hAnsi="Times New Roman" w:eastAsia="宋体" w:cs="Times New Roman"/>
          <w:color w:val="auto"/>
          <w:spacing w:val="-6"/>
          <w:sz w:val="28"/>
          <w:szCs w:val="28"/>
          <w:lang w:val="en-US" w:eastAsia="zh-CN"/>
        </w:rPr>
        <w:t>国家安全监管总局办公厅关于印发首批重点监管的危险化学品安全措施和应急处置原则的通知</w:t>
      </w:r>
      <w:r>
        <w:rPr>
          <w:rFonts w:hint="eastAsia" w:ascii="Times New Roman" w:hAnsi="Times New Roman" w:eastAsia="宋体" w:cs="Times New Roman"/>
          <w:color w:val="auto"/>
          <w:spacing w:val="-6"/>
          <w:sz w:val="28"/>
          <w:szCs w:val="28"/>
          <w:lang w:val="en-US" w:eastAsia="zh-CN"/>
        </w:rPr>
        <w:t>》原</w:t>
      </w:r>
      <w:r>
        <w:rPr>
          <w:rFonts w:hint="default" w:ascii="Times New Roman" w:hAnsi="Times New Roman" w:eastAsia="宋体" w:cs="Times New Roman"/>
          <w:color w:val="auto"/>
          <w:spacing w:val="-6"/>
          <w:sz w:val="28"/>
          <w:szCs w:val="28"/>
          <w:lang w:val="en-US" w:eastAsia="zh-CN"/>
        </w:rPr>
        <w:t>国家安全监管总局安监总厅管三〔2011〕142号</w:t>
      </w:r>
    </w:p>
    <w:p w14:paraId="58509135">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《高毒物品目录》卫法监发 </w:t>
      </w:r>
      <w:r>
        <w:rPr>
          <w:rFonts w:hint="default" w:ascii="Times New Roman" w:hAnsi="Times New Roman" w:eastAsia="宋体" w:cs="Times New Roman"/>
          <w:color w:val="auto"/>
          <w:sz w:val="28"/>
          <w:szCs w:val="28"/>
          <w:lang w:eastAsia="zh-CN"/>
        </w:rPr>
        <w:t>〔2003〕142号</w:t>
      </w:r>
    </w:p>
    <w:p w14:paraId="12B69980">
      <w:pPr>
        <w:pStyle w:val="29"/>
        <w:pageBreakBefore w:val="0"/>
        <w:kinsoku/>
        <w:overflowPunct/>
        <w:topLinePunct w:val="0"/>
        <w:autoSpaceDE/>
        <w:autoSpaceDN/>
        <w:bidi w:val="0"/>
        <w:ind w:firstLine="516" w:firstLineChars="200"/>
        <w:rPr>
          <w:rFonts w:hint="default" w:ascii="Times New Roman" w:hAnsi="Times New Roman" w:eastAsia="宋体" w:cs="Times New Roman"/>
          <w:color w:val="auto"/>
          <w:spacing w:val="-11"/>
          <w:sz w:val="28"/>
          <w:szCs w:val="28"/>
          <w:lang w:val="en-US" w:eastAsia="zh-CN"/>
        </w:rPr>
      </w:pPr>
      <w:r>
        <w:rPr>
          <w:rFonts w:hint="default" w:ascii="Times New Roman" w:hAnsi="Times New Roman" w:eastAsia="宋体" w:cs="Times New Roman"/>
          <w:color w:val="auto"/>
          <w:spacing w:val="-11"/>
          <w:sz w:val="28"/>
          <w:szCs w:val="28"/>
          <w:lang w:val="en-US" w:eastAsia="zh-CN"/>
        </w:rPr>
        <w:t>《特别管控危险化学品目录（第一版）》应急部等四部〔2020〕第3号公告</w:t>
      </w:r>
    </w:p>
    <w:p w14:paraId="767575AB">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《国家安全监管总局办公厅关于进一步加强加油站安全生产工作的通知》（安监总厅管三〔2016〕8号）</w:t>
      </w:r>
    </w:p>
    <w:p w14:paraId="72592C2A">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《危险化学品经营单位安全评价导则（试行）》（国家安监总局安监管管二字〔2003〕38号）</w:t>
      </w:r>
    </w:p>
    <w:p w14:paraId="69096970">
      <w:pPr>
        <w:pStyle w:val="6"/>
        <w:pageBreakBefore w:val="0"/>
        <w:kinsoku/>
        <w:overflowPunct/>
        <w:topLinePunct w:val="0"/>
        <w:autoSpaceDE/>
        <w:autoSpaceDN/>
        <w:bidi w:val="0"/>
        <w:ind w:firstLine="560" w:firstLineChars="200"/>
        <w:rPr>
          <w:color w:val="000000"/>
          <w:sz w:val="28"/>
          <w:szCs w:val="28"/>
        </w:rPr>
      </w:pPr>
      <w:r>
        <w:rPr>
          <w:color w:val="000000"/>
          <w:sz w:val="28"/>
          <w:szCs w:val="28"/>
        </w:rPr>
        <w:t>《应急管理部关于印发危险化学品生产储存企业安全风险评估诊断分级指南（试行）的通知》</w:t>
      </w:r>
      <w:r>
        <w:rPr>
          <w:rFonts w:hint="default"/>
          <w:color w:val="000000"/>
          <w:sz w:val="28"/>
          <w:szCs w:val="28"/>
        </w:rPr>
        <w:fldChar w:fldCharType="begin"/>
      </w:r>
      <w:r>
        <w:rPr>
          <w:rFonts w:hint="default"/>
          <w:color w:val="000000"/>
          <w:sz w:val="28"/>
          <w:szCs w:val="28"/>
        </w:rPr>
        <w:instrText xml:space="preserve"> HYPERLINK "http://www.baidu.com/link?url=R1kEolD_v2ye7-RXTGbY_dev5bnHdJ7TQatJSKyZr70Pm-JQqIOOnB3CzwSLBrVn6e3qkXS0eTbWeGemEq8m6A-rxfZqChVOILPBwPe8Xa3" \t "_blank" </w:instrText>
      </w:r>
      <w:r>
        <w:rPr>
          <w:rFonts w:hint="default"/>
          <w:color w:val="000000"/>
          <w:sz w:val="28"/>
          <w:szCs w:val="28"/>
        </w:rPr>
        <w:fldChar w:fldCharType="separate"/>
      </w:r>
      <w:r>
        <w:rPr>
          <w:color w:val="000000"/>
          <w:sz w:val="28"/>
          <w:szCs w:val="28"/>
        </w:rPr>
        <w:t>应急</w:t>
      </w:r>
      <w:r>
        <w:rPr>
          <w:rFonts w:hint="default"/>
          <w:color w:val="000000"/>
          <w:sz w:val="28"/>
          <w:szCs w:val="28"/>
        </w:rPr>
        <w:t>[2018]</w:t>
      </w:r>
      <w:r>
        <w:rPr>
          <w:rFonts w:hint="default"/>
          <w:color w:val="000000"/>
          <w:sz w:val="28"/>
          <w:szCs w:val="28"/>
        </w:rPr>
        <w:fldChar w:fldCharType="end"/>
      </w:r>
      <w:r>
        <w:rPr>
          <w:rFonts w:hint="default"/>
          <w:color w:val="000000"/>
          <w:sz w:val="28"/>
          <w:szCs w:val="28"/>
        </w:rPr>
        <w:t>19</w:t>
      </w:r>
      <w:r>
        <w:rPr>
          <w:color w:val="000000"/>
          <w:sz w:val="28"/>
          <w:szCs w:val="28"/>
        </w:rPr>
        <w:t>号</w:t>
      </w:r>
    </w:p>
    <w:p w14:paraId="4D317097">
      <w:pPr>
        <w:pStyle w:val="6"/>
        <w:pageBreakBefore w:val="0"/>
        <w:kinsoku/>
        <w:overflowPunct/>
        <w:topLinePunct w:val="0"/>
        <w:autoSpaceDE/>
        <w:autoSpaceDN/>
        <w:bidi w:val="0"/>
        <w:ind w:firstLine="560" w:firstLineChars="200"/>
        <w:rPr>
          <w:color w:val="000000"/>
          <w:sz w:val="28"/>
          <w:szCs w:val="28"/>
        </w:rPr>
      </w:pPr>
      <w:r>
        <w:rPr>
          <w:color w:val="000000"/>
          <w:sz w:val="28"/>
          <w:szCs w:val="28"/>
        </w:rPr>
        <w:t>《应急管理部关于全面实施危险化学品企业安全风险研判与承诺公告制度的通知》应急〔</w:t>
      </w:r>
      <w:r>
        <w:rPr>
          <w:rFonts w:hint="default"/>
          <w:color w:val="000000"/>
          <w:sz w:val="28"/>
          <w:szCs w:val="28"/>
        </w:rPr>
        <w:t>2018</w:t>
      </w:r>
      <w:r>
        <w:rPr>
          <w:color w:val="000000"/>
          <w:sz w:val="28"/>
          <w:szCs w:val="28"/>
        </w:rPr>
        <w:t>〕</w:t>
      </w:r>
      <w:r>
        <w:rPr>
          <w:rFonts w:hint="default"/>
          <w:color w:val="000000"/>
          <w:sz w:val="28"/>
          <w:szCs w:val="28"/>
        </w:rPr>
        <w:t>74</w:t>
      </w:r>
      <w:r>
        <w:rPr>
          <w:color w:val="000000"/>
          <w:sz w:val="28"/>
          <w:szCs w:val="28"/>
        </w:rPr>
        <w:t>号</w:t>
      </w:r>
    </w:p>
    <w:p w14:paraId="0046CC47">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《江西省商务厅关于取消和下放石油成品油经营资格审批权限有关事项的通知》赣商务运行函〔2020〕27号</w:t>
      </w:r>
    </w:p>
    <w:p w14:paraId="756CA565">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b w:val="0"/>
          <w:bCs w:val="0"/>
          <w:i w:val="0"/>
          <w:iCs w:val="0"/>
          <w:color w:val="auto"/>
          <w:sz w:val="28"/>
          <w:szCs w:val="28"/>
          <w:lang w:val="en-US" w:eastAsia="zh-CN"/>
        </w:rPr>
      </w:pPr>
      <w:r>
        <w:rPr>
          <w:rFonts w:hint="default" w:ascii="Times New Roman" w:hAnsi="Times New Roman" w:eastAsia="宋体" w:cs="Times New Roman"/>
          <w:color w:val="auto"/>
          <w:sz w:val="28"/>
          <w:szCs w:val="28"/>
          <w:lang w:val="en-US" w:eastAsia="zh-CN"/>
        </w:rPr>
        <w:t>《江西省安全生产条例》2023年7月26日江西省第十四届人大常委会第三次会议第二次修订</w:t>
      </w:r>
      <w:r>
        <w:rPr>
          <w:rFonts w:hint="eastAsia"/>
          <w:lang w:eastAsia="zh-CN"/>
        </w:rPr>
        <w:t>，</w:t>
      </w:r>
      <w:r>
        <w:rPr>
          <w:rFonts w:hint="eastAsia" w:ascii="宋体" w:hAnsi="宋体" w:eastAsia="宋体" w:cs="宋体"/>
          <w:i w:val="0"/>
          <w:iCs w:val="0"/>
          <w:color w:val="auto"/>
          <w:sz w:val="28"/>
          <w:szCs w:val="28"/>
        </w:rPr>
        <w:t>自2023年9月1日起施行</w:t>
      </w:r>
    </w:p>
    <w:p w14:paraId="04762103">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《江西省消防条例》2020年11月25日江西省第十三届人民代表大会常务委员会第二十五次会议第六次修正</w:t>
      </w:r>
    </w:p>
    <w:p w14:paraId="20308390">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《江西省消防安全责任制实施办法》（江西省人民政府</w:t>
      </w:r>
      <w:r>
        <w:rPr>
          <w:rFonts w:hint="default" w:ascii="Times New Roman" w:hAnsi="Times New Roman" w:cs="Times New Roman"/>
          <w:color w:val="auto"/>
          <w:szCs w:val="28"/>
        </w:rPr>
        <w:t>令</w:t>
      </w:r>
      <w:r>
        <w:rPr>
          <w:rFonts w:hint="default" w:ascii="Times New Roman" w:hAnsi="Times New Roman" w:eastAsia="宋体" w:cs="Times New Roman"/>
          <w:color w:val="auto"/>
          <w:sz w:val="28"/>
          <w:szCs w:val="28"/>
          <w:lang w:val="en-US" w:eastAsia="zh-CN"/>
        </w:rPr>
        <w:t>[2021]第252号发布）</w:t>
      </w:r>
    </w:p>
    <w:p w14:paraId="2FA9D129">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《江西省生产安全事故隐患排查治理办法》（江西省人民政府令第238号，2021年6月9日省人民政府令第250号第一次修正）</w:t>
      </w:r>
    </w:p>
    <w:p w14:paraId="2A056910">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《江西省应急管理厅办公室关于印发《加油站安全检查表》的通知》赣应急办字〔2023〕111号</w:t>
      </w:r>
    </w:p>
    <w:p w14:paraId="14382059">
      <w:pPr>
        <w:pStyle w:val="6"/>
        <w:pageBreakBefore w:val="0"/>
        <w:kinsoku/>
        <w:overflowPunct/>
        <w:topLinePunct w:val="0"/>
        <w:autoSpaceDE/>
        <w:autoSpaceDN/>
        <w:bidi w:val="0"/>
        <w:ind w:firstLine="560" w:firstLineChars="200"/>
        <w:rPr>
          <w:color w:val="000000"/>
          <w:sz w:val="28"/>
          <w:szCs w:val="28"/>
        </w:rPr>
      </w:pPr>
      <w:r>
        <w:rPr>
          <w:color w:val="000000"/>
          <w:sz w:val="28"/>
          <w:szCs w:val="28"/>
        </w:rPr>
        <w:t>《江西省安全生产应急预案管理办法》江西省人民政府办公厅2022年9月16日</w:t>
      </w:r>
    </w:p>
    <w:p w14:paraId="5A7138ED">
      <w:pPr>
        <w:pStyle w:val="29"/>
        <w:pageBreakBefore w:val="0"/>
        <w:kinsoku/>
        <w:overflowPunct/>
        <w:topLinePunct w:val="0"/>
        <w:autoSpaceDE/>
        <w:autoSpaceDN/>
        <w:bidi w:val="0"/>
        <w:ind w:firstLine="536" w:firstLineChars="200"/>
        <w:rPr>
          <w:rFonts w:hint="default" w:ascii="Times New Roman" w:hAnsi="Times New Roman" w:eastAsia="宋体" w:cs="Times New Roman"/>
          <w:color w:val="auto"/>
          <w:spacing w:val="-6"/>
          <w:sz w:val="28"/>
          <w:szCs w:val="28"/>
          <w:lang w:val="en-US" w:eastAsia="zh-CN"/>
        </w:rPr>
      </w:pPr>
      <w:r>
        <w:rPr>
          <w:rFonts w:hint="default" w:ascii="Times New Roman" w:hAnsi="Times New Roman" w:eastAsia="宋体" w:cs="Times New Roman"/>
          <w:color w:val="auto"/>
          <w:spacing w:val="-6"/>
          <w:sz w:val="28"/>
          <w:szCs w:val="28"/>
          <w:lang w:val="en-US" w:eastAsia="zh-CN"/>
        </w:rPr>
        <w:t>《江西省安委会办公室关于江西省生产经营单位落实一线从业人员安全生产责任的指导意见》江西省安全生产委员会办公室赣安办字〔2022〕27号</w:t>
      </w:r>
    </w:p>
    <w:p w14:paraId="16355FDD">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《江西省人民政府办公厅关于印发《江西省生产经营单位安全生产主体责任规定》的通知》赣府厅发〔2024〕20号</w:t>
      </w:r>
    </w:p>
    <w:p w14:paraId="40CB6C2C">
      <w:pPr>
        <w:pStyle w:val="29"/>
        <w:pageBreakBefore w:val="0"/>
        <w:kinsoku/>
        <w:overflowPunct/>
        <w:topLinePunct w:val="0"/>
        <w:autoSpaceDE/>
        <w:autoSpaceDN/>
        <w:bidi w:val="0"/>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《江西省安全生产监督管理局关于贯彻﹤危险化学品经营许可证管理办法的通知》（赣安监管二字﹝2013﹞14号）；</w:t>
      </w:r>
    </w:p>
    <w:p w14:paraId="76ECE1B3">
      <w:pPr>
        <w:pStyle w:val="29"/>
        <w:pageBreakBefore w:val="0"/>
        <w:kinsoku/>
        <w:overflowPunct/>
        <w:topLinePunct w:val="0"/>
        <w:autoSpaceDE/>
        <w:autoSpaceDN/>
        <w:bidi w:val="0"/>
        <w:ind w:firstLine="536" w:firstLineChars="200"/>
      </w:pPr>
      <w:r>
        <w:rPr>
          <w:rFonts w:hint="default" w:ascii="Times New Roman" w:hAnsi="Times New Roman" w:eastAsia="宋体" w:cs="Times New Roman"/>
          <w:color w:val="auto"/>
          <w:spacing w:val="-6"/>
          <w:sz w:val="28"/>
          <w:szCs w:val="28"/>
          <w:lang w:val="en-US" w:eastAsia="zh-CN"/>
        </w:rPr>
        <w:t>《江西省应急管理厅关于印发江西省化工和危险化学品等安全生产治本攻坚三年行动实施方案（2024</w:t>
      </w:r>
      <w:r>
        <w:rPr>
          <w:rFonts w:hint="eastAsia" w:ascii="Times New Roman" w:hAnsi="Times New Roman" w:eastAsia="宋体" w:cs="Times New Roman"/>
          <w:color w:val="auto"/>
          <w:spacing w:val="-6"/>
          <w:sz w:val="28"/>
          <w:szCs w:val="28"/>
          <w:lang w:val="en-US" w:eastAsia="zh-CN"/>
        </w:rPr>
        <w:t>-</w:t>
      </w:r>
      <w:r>
        <w:rPr>
          <w:rFonts w:hint="default" w:ascii="Times New Roman" w:hAnsi="Times New Roman" w:eastAsia="宋体" w:cs="Times New Roman"/>
          <w:color w:val="auto"/>
          <w:spacing w:val="-6"/>
          <w:sz w:val="28"/>
          <w:szCs w:val="28"/>
          <w:lang w:val="en-US" w:eastAsia="zh-CN"/>
        </w:rPr>
        <w:t>2026年）的通知》（赣应急字〔2024〕23号）</w:t>
      </w:r>
    </w:p>
    <w:p w14:paraId="7151A089">
      <w:pPr>
        <w:pageBreakBefore w:val="0"/>
        <w:numPr>
          <w:ilvl w:val="0"/>
          <w:numId w:val="0"/>
        </w:numPr>
        <w:kinsoku/>
        <w:overflowPunct/>
        <w:topLinePunct w:val="0"/>
        <w:autoSpaceDE/>
        <w:autoSpaceDN/>
        <w:bidi w:val="0"/>
        <w:spacing w:line="360" w:lineRule="auto"/>
        <w:ind w:firstLine="560" w:firstLineChars="200"/>
        <w:rPr>
          <w:rFonts w:hint="eastAsia" w:ascii="Times New Roman" w:hAnsi="Times New Roman" w:eastAsia="宋体" w:cs="Times New Roman"/>
          <w:color w:val="auto"/>
          <w:sz w:val="28"/>
          <w:szCs w:val="36"/>
        </w:rPr>
      </w:pPr>
      <w:r>
        <w:rPr>
          <w:rFonts w:hint="eastAsia" w:ascii="Times New Roman" w:hAnsi="Times New Roman" w:eastAsia="宋体" w:cs="Times New Roman"/>
          <w:color w:val="auto"/>
          <w:sz w:val="28"/>
          <w:szCs w:val="36"/>
        </w:rPr>
        <w:t>《江西省应急管理厅办公室关于规范危险化学品经营许可工作的通知》（赣应急办字〔2025〕58号）</w:t>
      </w:r>
    </w:p>
    <w:p w14:paraId="66851671">
      <w:pPr>
        <w:keepNext w:val="0"/>
        <w:keepLines w:val="0"/>
        <w:pageBreakBefore w:val="0"/>
        <w:kinsoku/>
        <w:wordWrap/>
        <w:overflowPunct/>
        <w:topLinePunct w:val="0"/>
        <w:autoSpaceDE/>
        <w:autoSpaceDN/>
        <w:bidi w:val="0"/>
        <w:adjustRightInd w:val="0"/>
        <w:spacing w:line="600" w:lineRule="exact"/>
        <w:ind w:firstLine="560" w:firstLineChars="200"/>
        <w:jc w:val="left"/>
        <w:textAlignment w:val="auto"/>
      </w:pPr>
      <w:r>
        <w:rPr>
          <w:rFonts w:hint="eastAsia" w:ascii="宋体" w:hAnsi="宋体" w:eastAsia="宋体" w:cs="宋体"/>
          <w:b w:val="0"/>
          <w:bCs w:val="0"/>
          <w:i w:val="0"/>
          <w:iCs w:val="0"/>
          <w:color w:val="auto"/>
          <w:sz w:val="28"/>
          <w:szCs w:val="28"/>
          <w:lang w:val="en-US" w:eastAsia="zh-CN"/>
        </w:rPr>
        <w:t>其他相关安全生产法律法规规章</w:t>
      </w:r>
    </w:p>
    <w:p w14:paraId="68C458FA">
      <w:pPr>
        <w:pStyle w:val="4"/>
        <w:pageBreakBefore w:val="0"/>
        <w:widowControl w:val="0"/>
        <w:kinsoku/>
        <w:overflowPunct/>
        <w:topLinePunct w:val="0"/>
        <w:autoSpaceDE/>
        <w:autoSpaceDN/>
        <w:bidi w:val="0"/>
        <w:adjustRightInd/>
        <w:spacing w:before="0" w:beforeLines="0" w:after="0" w:afterLines="0" w:line="560" w:lineRule="exact"/>
        <w:rPr>
          <w:rFonts w:hint="default" w:ascii="Times New Roman" w:hAnsi="Times New Roman" w:cs="Times New Roman"/>
          <w:bCs w:val="0"/>
          <w:color w:val="auto"/>
        </w:rPr>
      </w:pPr>
      <w:bookmarkStart w:id="29" w:name="_Toc16002"/>
      <w:bookmarkStart w:id="30" w:name="_Toc28112"/>
      <w:bookmarkStart w:id="31" w:name="_Toc15674"/>
      <w:bookmarkStart w:id="32" w:name="_Toc2959"/>
      <w:bookmarkStart w:id="33" w:name="_Toc26043"/>
      <w:r>
        <w:rPr>
          <w:rFonts w:hint="default" w:ascii="Times New Roman" w:hAnsi="Times New Roman" w:cs="Times New Roman"/>
          <w:bCs w:val="0"/>
          <w:color w:val="auto"/>
        </w:rPr>
        <w:t>1.</w:t>
      </w:r>
      <w:r>
        <w:rPr>
          <w:rFonts w:hint="eastAsia" w:ascii="Times New Roman" w:hAnsi="Times New Roman" w:cs="Times New Roman"/>
          <w:bCs w:val="0"/>
          <w:color w:val="auto"/>
          <w:lang w:val="en-US" w:eastAsia="zh-CN"/>
        </w:rPr>
        <w:t>3</w:t>
      </w:r>
      <w:r>
        <w:rPr>
          <w:rFonts w:hint="default" w:ascii="Times New Roman" w:hAnsi="Times New Roman" w:cs="Times New Roman"/>
          <w:bCs w:val="0"/>
          <w:color w:val="auto"/>
        </w:rPr>
        <w:t>.2评价标准、规范</w:t>
      </w:r>
      <w:bookmarkEnd w:id="29"/>
      <w:bookmarkEnd w:id="30"/>
      <w:bookmarkEnd w:id="31"/>
      <w:bookmarkEnd w:id="32"/>
      <w:bookmarkEnd w:id="33"/>
    </w:p>
    <w:p w14:paraId="153439F9">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《汽车加油加气加氢站技术标准》            GB50156-2021</w:t>
      </w:r>
    </w:p>
    <w:p w14:paraId="14DFF5C6">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《建筑设计防火规范》             GB50016-2014（2018年版）</w:t>
      </w:r>
    </w:p>
    <w:p w14:paraId="35ED53E1">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《建筑防火通用规范》                       GB55037-2022</w:t>
      </w:r>
    </w:p>
    <w:p w14:paraId="715AEDE8">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《消防设施通用规范》                       GB55036-2022</w:t>
      </w:r>
    </w:p>
    <w:p w14:paraId="1909125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《爆炸危险环境电力装置设计规范》           GB50058-2014</w:t>
      </w:r>
    </w:p>
    <w:p w14:paraId="497ACBBF">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《供配电系统设计规范》                     GB50052-2009</w:t>
      </w:r>
    </w:p>
    <w:p w14:paraId="57A05BF7">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《危险化学品重大危险源辨识》               GB18218-2018</w:t>
      </w:r>
    </w:p>
    <w:p w14:paraId="767040D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《建筑物防雷设计规范》                     GB50057-2010</w:t>
      </w:r>
    </w:p>
    <w:p w14:paraId="4D2476C8">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《易燃易爆商品储存养护技术条件</w:t>
      </w:r>
      <w:r>
        <w:rPr>
          <w:rFonts w:hint="eastAsia" w:cs="Times New Roman"/>
          <w:color w:val="auto"/>
          <w:szCs w:val="28"/>
          <w:lang w:eastAsia="zh-CN"/>
        </w:rPr>
        <w:t>》</w:t>
      </w:r>
      <w:r>
        <w:rPr>
          <w:rFonts w:hint="default" w:ascii="Times New Roman" w:hAnsi="Times New Roman" w:cs="Times New Roman"/>
          <w:color w:val="auto"/>
          <w:szCs w:val="28"/>
        </w:rPr>
        <w:t xml:space="preserve">           GB17914-2013</w:t>
      </w:r>
    </w:p>
    <w:p w14:paraId="6C3CEB40">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《建筑照明设计标准》                     GB/T50034-2024</w:t>
      </w:r>
    </w:p>
    <w:p w14:paraId="213C2DC0">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《石油化工可燃气体和有毒气体检测报警设计标准》 </w:t>
      </w:r>
    </w:p>
    <w:p w14:paraId="486B8365">
      <w:pPr>
        <w:keepNext w:val="0"/>
        <w:keepLines w:val="0"/>
        <w:pageBreakBefore w:val="0"/>
        <w:kinsoku/>
        <w:wordWrap w:val="0"/>
        <w:overflowPunct/>
        <w:topLinePunct w:val="0"/>
        <w:autoSpaceDE/>
        <w:autoSpaceDN/>
        <w:bidi w:val="0"/>
        <w:adjustRightInd w:val="0"/>
        <w:snapToGrid w:val="0"/>
        <w:spacing w:line="560" w:lineRule="exact"/>
        <w:ind w:firstLine="6160" w:firstLineChars="2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GB/T50493-2019</w:t>
      </w:r>
    </w:p>
    <w:p w14:paraId="1D13AD17">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《危险化学品企业特殊作业安全规范》         GB30871-2022</w:t>
      </w:r>
    </w:p>
    <w:p w14:paraId="07163BA7">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《建筑抗震设计标准》          GB/T50011-2010（2024年版）</w:t>
      </w:r>
    </w:p>
    <w:p w14:paraId="617ED88B">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《构筑物抗震设计规范》                    GB 50191-2012</w:t>
      </w:r>
    </w:p>
    <w:p w14:paraId="47F39506">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《建筑灭火器配置设计规范》                GB50140-2005</w:t>
      </w:r>
    </w:p>
    <w:p w14:paraId="1E4B74A3">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《个体防护装备配备规范 第1部分：总则》 GB39800.1-2020</w:t>
      </w:r>
    </w:p>
    <w:p w14:paraId="078B45BD">
      <w:pPr>
        <w:keepNext w:val="0"/>
        <w:keepLines w:val="0"/>
        <w:pageBreakBefore w:val="0"/>
        <w:kinsoku/>
        <w:wordWrap w:val="0"/>
        <w:overflowPunct/>
        <w:topLinePunct w:val="0"/>
        <w:autoSpaceDE/>
        <w:autoSpaceDN/>
        <w:bidi w:val="0"/>
        <w:adjustRightInd w:val="0"/>
        <w:snapToGrid w:val="0"/>
        <w:spacing w:line="560" w:lineRule="exact"/>
        <w:ind w:firstLine="560" w:firstLineChars="200"/>
        <w:jc w:val="righ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《个体防护装备配备规范 第2部分：石油、化工、天然气》        GB39800.2-2020</w:t>
      </w:r>
    </w:p>
    <w:p w14:paraId="364B7A86">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《个体防护装备安全管理规范》               AQ6111-2023</w:t>
      </w:r>
    </w:p>
    <w:p w14:paraId="5176377C">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《危险化学品单位应急救援物资配备要求》     GB30077-2023</w:t>
      </w:r>
    </w:p>
    <w:p w14:paraId="255905A2">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《低压配电设计规范》              </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rPr>
        <w:t xml:space="preserve">      GB50054-2011</w:t>
      </w:r>
    </w:p>
    <w:p w14:paraId="49B20647">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《消防应急照明和疏散指示系统》             GB17945-2024</w:t>
      </w:r>
    </w:p>
    <w:p w14:paraId="32C7C137">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《用电安全导则》                         GB/T13869-2017</w:t>
      </w:r>
    </w:p>
    <w:p w14:paraId="2392BF0D">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lang w:val="en-US"/>
        </w:rPr>
      </w:pPr>
      <w:r>
        <w:rPr>
          <w:rFonts w:hint="default" w:ascii="Times New Roman" w:hAnsi="Times New Roman" w:cs="Times New Roman"/>
          <w:color w:val="auto"/>
          <w:szCs w:val="28"/>
        </w:rPr>
        <w:t>《防止静电事故通用要求》                   GB12158-20</w:t>
      </w:r>
      <w:r>
        <w:rPr>
          <w:rFonts w:hint="eastAsia" w:cs="Times New Roman"/>
          <w:color w:val="auto"/>
          <w:szCs w:val="28"/>
          <w:lang w:val="en-US" w:eastAsia="zh-CN"/>
        </w:rPr>
        <w:t>24</w:t>
      </w:r>
    </w:p>
    <w:p w14:paraId="1A7E13B3">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《生产经营单位生产安全事故应急预案编制导则》</w:t>
      </w:r>
    </w:p>
    <w:p w14:paraId="2651C259">
      <w:pPr>
        <w:keepNext w:val="0"/>
        <w:keepLines w:val="0"/>
        <w:pageBreakBefore w:val="0"/>
        <w:kinsoku/>
        <w:wordWrap w:val="0"/>
        <w:overflowPunct/>
        <w:topLinePunct w:val="0"/>
        <w:autoSpaceDE/>
        <w:autoSpaceDN/>
        <w:bidi w:val="0"/>
        <w:adjustRightInd w:val="0"/>
        <w:snapToGrid w:val="0"/>
        <w:spacing w:line="560" w:lineRule="exact"/>
        <w:ind w:firstLine="560" w:firstLineChars="200"/>
        <w:jc w:val="righ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 GB/T 29639-2020</w:t>
      </w:r>
    </w:p>
    <w:p w14:paraId="1F86EBDD">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《液体石油产品静电安全规程》               GB13348-2009</w:t>
      </w:r>
    </w:p>
    <w:p w14:paraId="573E37C8">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《燃油加油站防爆安全技术 第1部分：燃油加油机防爆安全技术要求》                                    GB/T22380.1-2017    《燃油加油站防爆安全技术 第2部分：加油机用安全拉断阀结构和性能的安全要求》                       GB/T 22380.2-2019</w:t>
      </w:r>
    </w:p>
    <w:p w14:paraId="6F89D4D9">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《燃油加油站防爆安全技术 第3部分：剪切阀结构和性能的安全要求》</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rPr>
        <w:t>GB/T 22380.3-2019</w:t>
      </w:r>
    </w:p>
    <w:p w14:paraId="7A28593F">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《危险化学品经营企业安全技术基本要求》     GB18265-2019</w:t>
      </w:r>
    </w:p>
    <w:p w14:paraId="13AB215C">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《生产过程危险和有害因素分类与代码》     GB/T13861-2022</w:t>
      </w:r>
    </w:p>
    <w:p w14:paraId="124DDD7B">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eastAsia" w:ascii="Times New Roman" w:hAnsi="Times New Roman" w:eastAsia="宋体" w:cs="Times New Roman"/>
          <w:color w:val="auto"/>
          <w:szCs w:val="28"/>
          <w:lang w:eastAsia="zh-CN"/>
        </w:rPr>
      </w:pPr>
      <w:r>
        <w:rPr>
          <w:rFonts w:hint="default" w:ascii="Times New Roman" w:hAnsi="Times New Roman" w:cs="Times New Roman"/>
          <w:color w:val="auto"/>
          <w:szCs w:val="28"/>
        </w:rPr>
        <w:t xml:space="preserve">《生产安全事故分类与编码》                 </w:t>
      </w:r>
      <w:r>
        <w:rPr>
          <w:rFonts w:hint="eastAsia" w:ascii="Times New Roman" w:hAnsi="Times New Roman" w:cs="Times New Roman"/>
          <w:color w:val="auto"/>
          <w:szCs w:val="28"/>
          <w:lang w:eastAsia="zh-CN"/>
        </w:rPr>
        <w:t xml:space="preserve"> GB6441-2025</w:t>
      </w:r>
    </w:p>
    <w:p w14:paraId="2D34DF28">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《安全色和安全标志》            </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rPr>
        <w:t xml:space="preserve">          GB 2894-2025</w:t>
      </w:r>
    </w:p>
    <w:p w14:paraId="6FCAB11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《消防安全标志设置要求》                   GB15630-1995</w:t>
      </w:r>
    </w:p>
    <w:p w14:paraId="1FADE703">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《消防安全标志第1部分：标志》           GB13495.1-2015</w:t>
      </w:r>
    </w:p>
    <w:p w14:paraId="6876EF31">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《车用汽油》                              GB 17930-2016</w:t>
      </w:r>
    </w:p>
    <w:p w14:paraId="17CA3B56">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《〈车用柴油〉国家标准第1号修改单》</w:t>
      </w:r>
    </w:p>
    <w:p w14:paraId="1DDBCAEF">
      <w:pPr>
        <w:keepNext w:val="0"/>
        <w:keepLines w:val="0"/>
        <w:pageBreakBefore w:val="0"/>
        <w:kinsoku/>
        <w:wordWrap w:val="0"/>
        <w:overflowPunct/>
        <w:topLinePunct w:val="0"/>
        <w:autoSpaceDE/>
        <w:autoSpaceDN/>
        <w:bidi w:val="0"/>
        <w:adjustRightInd w:val="0"/>
        <w:snapToGrid w:val="0"/>
        <w:spacing w:line="560" w:lineRule="exact"/>
        <w:ind w:firstLine="560" w:firstLineChars="200"/>
        <w:jc w:val="righ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  GB19147-2016/XG1-2018</w:t>
      </w:r>
    </w:p>
    <w:p w14:paraId="7FF57074">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《中国地震参数区划图》                     GB18306-2015</w:t>
      </w:r>
    </w:p>
    <w:p w14:paraId="0D88586B">
      <w:pPr>
        <w:keepNext w:val="0"/>
        <w:keepLines w:val="0"/>
        <w:pageBreakBefore w:val="0"/>
        <w:kinsoku/>
        <w:wordWrap w:val="0"/>
        <w:overflowPunct/>
        <w:topLinePunct w:val="0"/>
        <w:autoSpaceDE/>
        <w:autoSpaceDN/>
        <w:bidi w:val="0"/>
        <w:adjustRightInd w:val="0"/>
        <w:snapToGrid w:val="0"/>
        <w:spacing w:line="560" w:lineRule="exact"/>
        <w:ind w:left="560" w:leftChars="200" w:firstLine="0" w:firstLineChars="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《双层罐渗漏检测系统 第1部分：通则 》 GB/T30040.1-2013《双层罐渗漏检测系统 第2部分:压力和真空系统》 </w:t>
      </w:r>
    </w:p>
    <w:p w14:paraId="10C607D2">
      <w:pPr>
        <w:keepNext w:val="0"/>
        <w:keepLines w:val="0"/>
        <w:pageBreakBefore w:val="0"/>
        <w:kinsoku/>
        <w:wordWrap w:val="0"/>
        <w:overflowPunct/>
        <w:topLinePunct w:val="0"/>
        <w:autoSpaceDE/>
        <w:autoSpaceDN/>
        <w:bidi w:val="0"/>
        <w:adjustRightInd w:val="0"/>
        <w:snapToGrid w:val="0"/>
        <w:spacing w:line="560" w:lineRule="exact"/>
        <w:ind w:firstLine="560" w:firstLineChars="200"/>
        <w:jc w:val="righ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 GB/T 30040.2-2013</w:t>
      </w:r>
    </w:p>
    <w:p w14:paraId="5B31422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《双层罐渗漏检测系统 第3部分：储罐的液体媒介系统》</w:t>
      </w:r>
    </w:p>
    <w:p w14:paraId="7D0E14F8">
      <w:pPr>
        <w:keepNext w:val="0"/>
        <w:keepLines w:val="0"/>
        <w:pageBreakBefore w:val="0"/>
        <w:kinsoku/>
        <w:wordWrap w:val="0"/>
        <w:overflowPunct/>
        <w:topLinePunct w:val="0"/>
        <w:autoSpaceDE/>
        <w:autoSpaceDN/>
        <w:bidi w:val="0"/>
        <w:adjustRightInd w:val="0"/>
        <w:snapToGrid w:val="0"/>
        <w:spacing w:line="560" w:lineRule="exact"/>
        <w:ind w:firstLine="560" w:firstLineChars="200"/>
        <w:jc w:val="righ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GB/T 30040.3-2013</w:t>
      </w:r>
    </w:p>
    <w:p w14:paraId="0CE7356B">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《双层罐渗漏检测系统 第4部分：应用于防渗漏设施或双层间隙的液体或蒸气传感器系统》                GB/T 30040.4-2013</w:t>
      </w:r>
    </w:p>
    <w:p w14:paraId="6CA62ED4">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《双层罐渗漏检测系统 第5部分：储罐液位仪测漏系统》</w:t>
      </w:r>
    </w:p>
    <w:p w14:paraId="3102AA2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righ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GB/T 30040.5-2013</w:t>
      </w:r>
    </w:p>
    <w:p w14:paraId="7893F382">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 xml:space="preserve">《油气回收处理设施技术标准》             GB/T50759-2022《油气回收装置通用技术条件》          </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rPr>
        <w:t xml:space="preserve">     GB/T 35579-2017</w:t>
      </w:r>
    </w:p>
    <w:p w14:paraId="04DBC4D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《油气回收系统防爆技术要求》            GB/T 34661-2017</w:t>
      </w:r>
    </w:p>
    <w:p w14:paraId="49FF190D">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《化工设备安全管理规范》                 GB/T44958-2024</w:t>
      </w:r>
    </w:p>
    <w:p w14:paraId="4D0610CD">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《危险化学品储罐区作业安全通则》            AQ3018-2008</w:t>
      </w:r>
    </w:p>
    <w:p w14:paraId="39F23EBD">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《生产安全事故应急演练基本规范》          YJ/T 9007-2019</w:t>
      </w:r>
    </w:p>
    <w:p w14:paraId="658A880E">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《钢制常压储罐 第1部分：储存对水有污染的易燃和不易燃液体的埋地卧式圆筒形单层和双层                   AQ3020-2008    《加油站作业安全规范》                      AQ3010-2022</w:t>
      </w:r>
    </w:p>
    <w:p w14:paraId="1E8C3746">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《危险场所电气防爆安全规范》                AQ3009-2007</w:t>
      </w:r>
    </w:p>
    <w:p w14:paraId="1E1436C7">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《安全评价通则》                            AQ8001-2007</w:t>
      </w:r>
    </w:p>
    <w:p w14:paraId="05D0696B">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《汽车加油站雷电防护装置检测技术规范》  DB36/T 720-2023</w:t>
      </w:r>
    </w:p>
    <w:p w14:paraId="6452D7B2">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《汽车加油加气站消防安全管理》            XF/T3004-2020</w:t>
      </w:r>
    </w:p>
    <w:p w14:paraId="5AAA9D34">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《加油站用埋地钢-玻璃纤维增强塑料双层油罐工程技术规范》</w:t>
      </w:r>
    </w:p>
    <w:p w14:paraId="0E545CB2">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SH/T 3178-2015</w:t>
      </w:r>
    </w:p>
    <w:p w14:paraId="6C0AE153">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《成品油零售企业管理技术规范》           SB/T10390-2004</w:t>
      </w:r>
    </w:p>
    <w:p w14:paraId="36508372">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《加油站服务技术规范》                   SB/T 10591-2011</w:t>
      </w:r>
    </w:p>
    <w:p w14:paraId="62A4DBBF">
      <w:pPr>
        <w:keepNext w:val="0"/>
        <w:keepLines w:val="0"/>
        <w:pageBreakBefore w:val="0"/>
        <w:kinsoku/>
        <w:wordWrap w:val="0"/>
        <w:overflowPunct/>
        <w:topLinePunct w:val="0"/>
        <w:autoSpaceDE/>
        <w:autoSpaceDN/>
        <w:bidi w:val="0"/>
        <w:adjustRightInd w:val="0"/>
        <w:snapToGrid w:val="0"/>
        <w:spacing w:line="560" w:lineRule="exact"/>
        <w:ind w:firstLine="560" w:firstLineChars="200"/>
        <w:jc w:val="left"/>
        <w:textAlignment w:val="center"/>
        <w:rPr>
          <w:rFonts w:hint="default" w:ascii="Times New Roman" w:hAnsi="Times New Roman" w:cs="Times New Roman"/>
          <w:color w:val="auto"/>
          <w:szCs w:val="28"/>
        </w:rPr>
      </w:pPr>
      <w:r>
        <w:rPr>
          <w:rFonts w:hint="default" w:ascii="Times New Roman" w:hAnsi="Times New Roman" w:cs="Times New Roman"/>
          <w:color w:val="auto"/>
          <w:szCs w:val="28"/>
        </w:rPr>
        <w:t>其他相关的专业性国家标准、行业标准和地方标准及规定。</w:t>
      </w:r>
    </w:p>
    <w:p w14:paraId="4A6F59B7">
      <w:pPr>
        <w:wordWrap w:val="0"/>
        <w:adjustRightInd w:val="0"/>
        <w:snapToGrid w:val="0"/>
        <w:spacing w:line="600" w:lineRule="exact"/>
        <w:jc w:val="left"/>
        <w:textAlignment w:val="center"/>
        <w:outlineLvl w:val="2"/>
        <w:rPr>
          <w:b/>
          <w:color w:val="000000"/>
          <w:sz w:val="28"/>
          <w:szCs w:val="28"/>
        </w:rPr>
      </w:pPr>
      <w:bookmarkStart w:id="34" w:name="_Toc9738"/>
      <w:bookmarkStart w:id="35" w:name="_Toc5015"/>
      <w:r>
        <w:rPr>
          <w:b/>
          <w:color w:val="000000"/>
          <w:sz w:val="28"/>
          <w:szCs w:val="28"/>
        </w:rPr>
        <w:t>1.</w:t>
      </w:r>
      <w:r>
        <w:rPr>
          <w:rFonts w:hint="eastAsia"/>
          <w:b/>
          <w:color w:val="000000"/>
          <w:sz w:val="28"/>
          <w:szCs w:val="28"/>
        </w:rPr>
        <w:t>3</w:t>
      </w:r>
      <w:r>
        <w:rPr>
          <w:b/>
          <w:color w:val="000000"/>
          <w:sz w:val="28"/>
          <w:szCs w:val="28"/>
        </w:rPr>
        <w:t>.3其他相关资料</w:t>
      </w:r>
      <w:bookmarkEnd w:id="26"/>
      <w:bookmarkEnd w:id="27"/>
      <w:bookmarkEnd w:id="34"/>
      <w:bookmarkEnd w:id="35"/>
    </w:p>
    <w:p w14:paraId="5CBAD2AD">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营业执照</w:t>
      </w:r>
    </w:p>
    <w:p w14:paraId="2AFEEE9C">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成品油零售经营批准证书</w:t>
      </w:r>
    </w:p>
    <w:p w14:paraId="404FF9DC">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危险化学品经营许可证</w:t>
      </w:r>
    </w:p>
    <w:p w14:paraId="1817B948">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eastAsia" w:ascii="Times New Roman" w:hAnsi="Times New Roman" w:cs="Times New Roman"/>
          <w:color w:val="auto"/>
          <w:szCs w:val="28"/>
          <w:lang w:eastAsia="zh-CN"/>
        </w:rPr>
        <w:t>土地使用证</w:t>
      </w:r>
    </w:p>
    <w:p w14:paraId="168D4220">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eastAsia" w:ascii="Times New Roman" w:hAnsi="Times New Roman" w:cs="Times New Roman"/>
          <w:color w:val="auto"/>
          <w:szCs w:val="28"/>
          <w:lang w:eastAsia="zh-CN"/>
        </w:rPr>
        <w:t>消防验收意见书</w:t>
      </w:r>
    </w:p>
    <w:p w14:paraId="383431A1">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应急预案备案登记表</w:t>
      </w:r>
    </w:p>
    <w:p w14:paraId="71D62709">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安全生产管理制度、操作规程</w:t>
      </w:r>
    </w:p>
    <w:p w14:paraId="7AD78B51">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主要负责人和安全管理人员安全资格证</w:t>
      </w:r>
    </w:p>
    <w:p w14:paraId="55014845">
      <w:pPr>
        <w:pageBreakBefore w:val="0"/>
        <w:numPr>
          <w:ilvl w:val="0"/>
          <w:numId w:val="1"/>
        </w:numPr>
        <w:kinsoku/>
        <w:overflowPunct/>
        <w:topLinePunct w:val="0"/>
        <w:autoSpaceDE/>
        <w:autoSpaceDN/>
        <w:bidi w:val="0"/>
        <w:spacing w:line="580" w:lineRule="exact"/>
        <w:ind w:left="0" w:firstLine="560" w:firstLineChars="200"/>
        <w:rPr>
          <w:rFonts w:hint="default" w:ascii="Times New Roman" w:hAnsi="Times New Roman" w:cs="Times New Roman"/>
          <w:color w:val="auto"/>
          <w:szCs w:val="28"/>
        </w:rPr>
      </w:pPr>
      <w:r>
        <w:rPr>
          <w:rFonts w:hint="eastAsia" w:cs="Times New Roman"/>
          <w:color w:val="auto"/>
          <w:szCs w:val="28"/>
          <w:lang w:val="en-US" w:eastAsia="zh-CN"/>
        </w:rPr>
        <w:t>教育培训记录</w:t>
      </w:r>
    </w:p>
    <w:p w14:paraId="7443B363">
      <w:pPr>
        <w:pageBreakBefore w:val="0"/>
        <w:numPr>
          <w:ilvl w:val="0"/>
          <w:numId w:val="0"/>
        </w:numPr>
        <w:kinsoku/>
        <w:overflowPunct/>
        <w:topLinePunct w:val="0"/>
        <w:autoSpaceDE/>
        <w:autoSpaceDN/>
        <w:bidi w:val="0"/>
        <w:spacing w:line="580" w:lineRule="exact"/>
        <w:ind w:leftChars="200"/>
        <w:rPr>
          <w:rFonts w:hint="default" w:ascii="Times New Roman" w:hAnsi="Times New Roman" w:cs="Times New Roman"/>
          <w:color w:val="auto"/>
          <w:szCs w:val="28"/>
        </w:rPr>
      </w:pPr>
      <w:r>
        <w:rPr>
          <w:rFonts w:hint="eastAsia" w:cs="Times New Roman"/>
          <w:color w:val="auto"/>
          <w:szCs w:val="28"/>
          <w:lang w:val="en-US" w:eastAsia="zh-CN"/>
        </w:rPr>
        <w:t>10.</w:t>
      </w:r>
      <w:r>
        <w:rPr>
          <w:rFonts w:hint="default" w:ascii="Times New Roman" w:hAnsi="Times New Roman" w:cs="Times New Roman"/>
          <w:color w:val="auto"/>
          <w:szCs w:val="28"/>
        </w:rPr>
        <w:t>防雷装置质量检测检验报告</w:t>
      </w:r>
    </w:p>
    <w:p w14:paraId="26D772B2">
      <w:pPr>
        <w:pageBreakBefore w:val="0"/>
        <w:numPr>
          <w:ilvl w:val="0"/>
          <w:numId w:val="0"/>
        </w:numPr>
        <w:tabs>
          <w:tab w:val="left" w:pos="558"/>
        </w:tabs>
        <w:kinsoku/>
        <w:overflowPunct/>
        <w:topLinePunct w:val="0"/>
        <w:autoSpaceDE/>
        <w:autoSpaceDN/>
        <w:bidi w:val="0"/>
        <w:spacing w:line="580" w:lineRule="exact"/>
        <w:ind w:leftChars="200"/>
        <w:rPr>
          <w:rFonts w:hint="default" w:ascii="Times New Roman" w:hAnsi="Times New Roman" w:eastAsia="宋体" w:cs="Times New Roman"/>
          <w:color w:val="auto"/>
          <w:szCs w:val="28"/>
        </w:rPr>
      </w:pPr>
      <w:r>
        <w:rPr>
          <w:rFonts w:hint="eastAsia" w:cs="Times New Roman"/>
          <w:color w:val="auto"/>
          <w:szCs w:val="28"/>
          <w:lang w:val="en-US" w:eastAsia="zh-CN"/>
        </w:rPr>
        <w:t>11.</w:t>
      </w:r>
      <w:r>
        <w:rPr>
          <w:rFonts w:hint="default" w:ascii="Times New Roman" w:hAnsi="Times New Roman" w:eastAsia="宋体" w:cs="Times New Roman"/>
          <w:color w:val="auto"/>
          <w:szCs w:val="28"/>
        </w:rPr>
        <w:t>总平面布置图</w:t>
      </w:r>
    </w:p>
    <w:p w14:paraId="4719C42A">
      <w:pPr>
        <w:wordWrap w:val="0"/>
        <w:adjustRightInd w:val="0"/>
        <w:snapToGrid w:val="0"/>
        <w:spacing w:line="600" w:lineRule="exact"/>
        <w:jc w:val="left"/>
        <w:textAlignment w:val="center"/>
        <w:outlineLvl w:val="1"/>
        <w:rPr>
          <w:b/>
          <w:color w:val="000000"/>
          <w:sz w:val="28"/>
          <w:szCs w:val="28"/>
        </w:rPr>
      </w:pPr>
      <w:bookmarkStart w:id="36" w:name="_Toc1278"/>
      <w:bookmarkStart w:id="37" w:name="_Toc120957305"/>
      <w:bookmarkStart w:id="38" w:name="_Toc350517373"/>
      <w:bookmarkStart w:id="39" w:name="_Toc6231"/>
      <w:r>
        <w:rPr>
          <w:b/>
          <w:color w:val="000000"/>
          <w:sz w:val="28"/>
          <w:szCs w:val="28"/>
        </w:rPr>
        <w:t>1.</w:t>
      </w:r>
      <w:r>
        <w:rPr>
          <w:rFonts w:hint="eastAsia"/>
          <w:b/>
          <w:color w:val="000000"/>
          <w:sz w:val="28"/>
          <w:szCs w:val="28"/>
        </w:rPr>
        <w:t>4</w:t>
      </w:r>
      <w:r>
        <w:rPr>
          <w:b/>
          <w:color w:val="000000"/>
          <w:sz w:val="28"/>
          <w:szCs w:val="28"/>
        </w:rPr>
        <w:t>评价范围</w:t>
      </w:r>
      <w:bookmarkEnd w:id="36"/>
      <w:bookmarkEnd w:id="37"/>
      <w:bookmarkEnd w:id="38"/>
      <w:bookmarkEnd w:id="39"/>
    </w:p>
    <w:p w14:paraId="46070066">
      <w:pPr>
        <w:pStyle w:val="6"/>
        <w:spacing w:beforeLines="0" w:afterLines="0" w:line="560" w:lineRule="exact"/>
        <w:ind w:firstLine="560" w:firstLineChars="200"/>
        <w:rPr>
          <w:rFonts w:hint="eastAsia" w:ascii="Times New Roman" w:hAnsi="Times New Roman" w:eastAsia="Times New Roman" w:cs="Times New Roman"/>
          <w:color w:val="auto"/>
          <w:sz w:val="28"/>
          <w:szCs w:val="24"/>
        </w:rPr>
      </w:pPr>
      <w:r>
        <w:rPr>
          <w:rFonts w:hint="eastAsia" w:ascii="Times New Roman" w:hAnsi="Times New Roman" w:eastAsia="宋体" w:cs="Times New Roman"/>
          <w:color w:val="auto"/>
          <w:sz w:val="28"/>
          <w:szCs w:val="24"/>
        </w:rPr>
        <w:t>该加油站建设规模为：1座面积</w:t>
      </w:r>
      <w:r>
        <w:rPr>
          <w:rFonts w:hint="eastAsia" w:ascii="Times New Roman" w:hAnsi="Times New Roman" w:eastAsia="宋体" w:cs="Times New Roman"/>
          <w:color w:val="auto"/>
          <w:sz w:val="28"/>
          <w:szCs w:val="24"/>
          <w:lang w:val="en-US" w:eastAsia="zh-CN"/>
        </w:rPr>
        <w:t>90</w:t>
      </w:r>
      <w:r>
        <w:rPr>
          <w:rFonts w:hint="eastAsia" w:ascii="Times New Roman" w:hAnsi="Times New Roman" w:eastAsia="Times New Roman" w:cs="Times New Roman"/>
          <w:color w:val="auto"/>
          <w:sz w:val="28"/>
          <w:szCs w:val="24"/>
        </w:rPr>
        <w:t>m</w:t>
      </w:r>
      <w:r>
        <w:rPr>
          <w:rFonts w:hint="eastAsia" w:ascii="Times New Roman" w:hAnsi="Times New Roman" w:eastAsia="Times New Roman" w:cs="Times New Roman"/>
          <w:color w:val="auto"/>
          <w:sz w:val="28"/>
          <w:szCs w:val="24"/>
          <w:vertAlign w:val="superscript"/>
        </w:rPr>
        <w:t>2</w:t>
      </w:r>
      <w:r>
        <w:rPr>
          <w:rFonts w:hint="eastAsia" w:ascii="Times New Roman" w:hAnsi="Times New Roman" w:eastAsia="宋体" w:cs="Times New Roman"/>
          <w:color w:val="auto"/>
          <w:sz w:val="28"/>
          <w:szCs w:val="24"/>
        </w:rPr>
        <w:t>耐火等级二级二层站房、</w:t>
      </w:r>
      <w:r>
        <w:rPr>
          <w:rFonts w:hint="eastAsia" w:ascii="Times New Roman" w:hAnsi="Times New Roman" w:eastAsia="Times New Roman" w:cs="Times New Roman"/>
          <w:color w:val="auto"/>
          <w:sz w:val="28"/>
          <w:szCs w:val="24"/>
        </w:rPr>
        <w:t>1</w:t>
      </w:r>
      <w:r>
        <w:rPr>
          <w:rFonts w:hint="eastAsia" w:ascii="Times New Roman" w:hAnsi="Times New Roman" w:eastAsia="宋体" w:cs="Times New Roman"/>
          <w:color w:val="auto"/>
          <w:sz w:val="28"/>
          <w:szCs w:val="24"/>
        </w:rPr>
        <w:t>座</w:t>
      </w:r>
      <w:r>
        <w:rPr>
          <w:rFonts w:hint="eastAsia" w:ascii="Times New Roman" w:hAnsi="Times New Roman" w:eastAsia="宋体" w:cs="Times New Roman"/>
          <w:color w:val="auto"/>
          <w:sz w:val="28"/>
          <w:szCs w:val="24"/>
          <w:lang w:val="en-US" w:eastAsia="zh-CN"/>
        </w:rPr>
        <w:t>195</w:t>
      </w:r>
      <w:r>
        <w:rPr>
          <w:rFonts w:hint="eastAsia" w:ascii="Times New Roman" w:hAnsi="Times New Roman" w:eastAsia="宋体" w:cs="Times New Roman"/>
          <w:color w:val="auto"/>
          <w:sz w:val="28"/>
          <w:szCs w:val="24"/>
        </w:rPr>
        <w:t>/2</w:t>
      </w:r>
      <w:r>
        <w:rPr>
          <w:rFonts w:hint="eastAsia" w:ascii="Times New Roman" w:hAnsi="Times New Roman" w:eastAsia="Times New Roman" w:cs="Times New Roman"/>
          <w:color w:val="auto"/>
          <w:sz w:val="28"/>
          <w:szCs w:val="24"/>
        </w:rPr>
        <w:t>m</w:t>
      </w:r>
      <w:r>
        <w:rPr>
          <w:rFonts w:hint="eastAsia" w:ascii="Times New Roman" w:hAnsi="Times New Roman" w:eastAsia="Times New Roman" w:cs="Times New Roman"/>
          <w:color w:val="auto"/>
          <w:sz w:val="28"/>
          <w:szCs w:val="24"/>
          <w:vertAlign w:val="superscript"/>
        </w:rPr>
        <w:t>2</w:t>
      </w:r>
      <w:r>
        <w:rPr>
          <w:rFonts w:hint="eastAsia" w:ascii="Times New Roman" w:hAnsi="Times New Roman" w:eastAsia="宋体" w:cs="Times New Roman"/>
          <w:color w:val="auto"/>
          <w:sz w:val="28"/>
          <w:szCs w:val="24"/>
        </w:rPr>
        <w:t>(投影面积折半)螺栓球网架结构罩棚，1座</w:t>
      </w:r>
      <w:r>
        <w:rPr>
          <w:rFonts w:hint="eastAsia" w:ascii="Times New Roman" w:hAnsi="Times New Roman" w:eastAsia="宋体" w:cs="Times New Roman"/>
          <w:color w:val="auto"/>
          <w:sz w:val="28"/>
          <w:szCs w:val="24"/>
          <w:lang w:val="en-US" w:eastAsia="zh-CN"/>
        </w:rPr>
        <w:t>3</w:t>
      </w:r>
      <w:r>
        <w:rPr>
          <w:rFonts w:hint="eastAsia" w:ascii="Times New Roman" w:hAnsi="Times New Roman" w:eastAsia="宋体" w:cs="Times New Roman"/>
          <w:color w:val="auto"/>
          <w:sz w:val="28"/>
          <w:szCs w:val="24"/>
        </w:rPr>
        <w:t>6m</w:t>
      </w:r>
      <w:r>
        <w:rPr>
          <w:rFonts w:hint="eastAsia" w:ascii="Times New Roman" w:hAnsi="Times New Roman" w:eastAsia="宋体" w:cs="Times New Roman"/>
          <w:color w:val="auto"/>
          <w:sz w:val="28"/>
          <w:szCs w:val="24"/>
          <w:vertAlign w:val="superscript"/>
        </w:rPr>
        <w:t>2</w:t>
      </w:r>
      <w:r>
        <w:rPr>
          <w:rFonts w:hint="eastAsia" w:ascii="Times New Roman" w:hAnsi="Times New Roman" w:eastAsia="宋体" w:cs="Times New Roman"/>
          <w:color w:val="auto"/>
          <w:sz w:val="28"/>
          <w:szCs w:val="24"/>
        </w:rPr>
        <w:t>耐火等级二级的</w:t>
      </w:r>
      <w:r>
        <w:rPr>
          <w:rFonts w:hint="eastAsia" w:ascii="Times New Roman" w:hAnsi="Times New Roman" w:eastAsia="宋体" w:cs="Times New Roman"/>
          <w:color w:val="auto"/>
          <w:sz w:val="28"/>
          <w:szCs w:val="24"/>
          <w:lang w:val="en-US" w:eastAsia="zh-CN"/>
        </w:rPr>
        <w:t>辅房（内含厕所、配电间、餐厅）</w:t>
      </w:r>
      <w:r>
        <w:rPr>
          <w:rFonts w:hint="eastAsia"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3</w:t>
      </w:r>
      <w:r>
        <w:rPr>
          <w:rFonts w:hint="eastAsia" w:ascii="Times New Roman" w:hAnsi="Times New Roman" w:eastAsia="宋体" w:cs="Times New Roman"/>
          <w:color w:val="auto"/>
          <w:sz w:val="28"/>
          <w:szCs w:val="24"/>
        </w:rPr>
        <w:t>台加油机、</w:t>
      </w:r>
      <w:r>
        <w:rPr>
          <w:rFonts w:hint="eastAsia" w:ascii="Times New Roman" w:hAnsi="Times New Roman" w:eastAsia="宋体" w:cs="Times New Roman"/>
          <w:color w:val="auto"/>
          <w:sz w:val="28"/>
          <w:szCs w:val="24"/>
          <w:lang w:val="en-US" w:eastAsia="zh-CN"/>
        </w:rPr>
        <w:t>2</w:t>
      </w:r>
      <w:r>
        <w:rPr>
          <w:rFonts w:hint="eastAsia" w:ascii="Times New Roman" w:hAnsi="Times New Roman" w:eastAsia="宋体" w:cs="Times New Roman"/>
          <w:color w:val="auto"/>
          <w:sz w:val="28"/>
          <w:szCs w:val="24"/>
        </w:rPr>
        <w:t>个</w:t>
      </w:r>
      <w:r>
        <w:rPr>
          <w:rFonts w:hint="eastAsia" w:ascii="Times New Roman" w:hAnsi="Times New Roman" w:eastAsia="宋体" w:cs="Times New Roman"/>
          <w:color w:val="auto"/>
          <w:sz w:val="28"/>
          <w:szCs w:val="24"/>
          <w:lang w:val="en-US" w:eastAsia="zh-CN"/>
        </w:rPr>
        <w:t>3</w:t>
      </w:r>
      <w:r>
        <w:rPr>
          <w:rFonts w:hint="eastAsia" w:ascii="Times New Roman" w:hAnsi="Times New Roman" w:eastAsia="Times New Roman" w:cs="Times New Roman"/>
          <w:color w:val="auto"/>
          <w:sz w:val="28"/>
          <w:szCs w:val="24"/>
        </w:rPr>
        <w:t>0m³</w:t>
      </w:r>
      <w:r>
        <w:rPr>
          <w:rFonts w:hint="eastAsia" w:ascii="Times New Roman" w:hAnsi="Times New Roman" w:eastAsia="宋体" w:cs="Times New Roman"/>
          <w:color w:val="auto"/>
          <w:sz w:val="28"/>
          <w:szCs w:val="24"/>
        </w:rPr>
        <w:t>的汽油罐、</w:t>
      </w:r>
      <w:r>
        <w:rPr>
          <w:rFonts w:hint="eastAsia" w:ascii="Times New Roman" w:hAnsi="Times New Roman" w:eastAsia="宋体" w:cs="Times New Roman"/>
          <w:color w:val="auto"/>
          <w:sz w:val="28"/>
          <w:szCs w:val="24"/>
          <w:lang w:val="en-US" w:eastAsia="zh-CN"/>
        </w:rPr>
        <w:t>2</w:t>
      </w:r>
      <w:r>
        <w:rPr>
          <w:rFonts w:hint="eastAsia" w:ascii="Times New Roman" w:hAnsi="Times New Roman" w:eastAsia="宋体" w:cs="Times New Roman"/>
          <w:color w:val="auto"/>
          <w:sz w:val="28"/>
          <w:szCs w:val="24"/>
        </w:rPr>
        <w:t>个4</w:t>
      </w:r>
      <w:r>
        <w:rPr>
          <w:rFonts w:hint="eastAsia" w:ascii="Times New Roman" w:hAnsi="Times New Roman" w:eastAsia="Times New Roman" w:cs="Times New Roman"/>
          <w:color w:val="auto"/>
          <w:sz w:val="28"/>
          <w:szCs w:val="24"/>
        </w:rPr>
        <w:t>0m³</w:t>
      </w:r>
      <w:r>
        <w:rPr>
          <w:rFonts w:hint="eastAsia" w:ascii="Times New Roman" w:hAnsi="Times New Roman" w:eastAsia="宋体" w:cs="Times New Roman"/>
          <w:color w:val="auto"/>
          <w:sz w:val="28"/>
          <w:szCs w:val="24"/>
        </w:rPr>
        <w:t>的柴油罐。</w:t>
      </w:r>
    </w:p>
    <w:p w14:paraId="09FE84FD">
      <w:pPr>
        <w:pStyle w:val="7"/>
        <w:bidi w:val="0"/>
        <w:ind w:firstLine="420" w:firstLineChars="0"/>
        <w:rPr>
          <w:rFonts w:hint="eastAsia"/>
          <w:color w:val="000000"/>
          <w:sz w:val="28"/>
          <w:szCs w:val="28"/>
        </w:rPr>
      </w:pPr>
      <w:r>
        <w:rPr>
          <w:color w:val="000000"/>
          <w:sz w:val="28"/>
          <w:szCs w:val="28"/>
        </w:rPr>
        <w:t>本评价范围为</w:t>
      </w:r>
      <w:r>
        <w:rPr>
          <w:rFonts w:hint="eastAsia" w:ascii="Times New Roman" w:eastAsia="宋体"/>
          <w:color w:val="000000"/>
          <w:sz w:val="28"/>
          <w:szCs w:val="28"/>
          <w:lang w:val="en-US" w:eastAsia="zh-CN"/>
        </w:rPr>
        <w:t>鄱阳县昌洲宏图加油站</w:t>
      </w:r>
      <w:r>
        <w:rPr>
          <w:color w:val="000000"/>
          <w:sz w:val="28"/>
          <w:szCs w:val="28"/>
        </w:rPr>
        <w:t>成品油储存及卸、加油作业所涉及的经营危险化学品安全及安全管理方面。主要包括周边环境，平面布置，站内建（构）筑物，工艺设备，电气及消防设施，从业人员培训，安全生产管理等方面，根据有关法律、法规及标准规范的要求进行符合性、有效性评价。</w:t>
      </w:r>
    </w:p>
    <w:p w14:paraId="486DD2C3">
      <w:pPr>
        <w:wordWrap w:val="0"/>
        <w:adjustRightInd w:val="0"/>
        <w:snapToGrid w:val="0"/>
        <w:spacing w:line="600" w:lineRule="exact"/>
        <w:ind w:firstLine="560" w:firstLineChars="200"/>
        <w:jc w:val="left"/>
        <w:textAlignment w:val="center"/>
        <w:rPr>
          <w:color w:val="000000"/>
          <w:sz w:val="28"/>
          <w:szCs w:val="28"/>
        </w:rPr>
      </w:pPr>
      <w:r>
        <w:rPr>
          <w:color w:val="000000"/>
          <w:sz w:val="28"/>
          <w:szCs w:val="28"/>
        </w:rPr>
        <w:t>如经营场所、</w:t>
      </w:r>
      <w:r>
        <w:rPr>
          <w:rFonts w:hint="eastAsia"/>
          <w:color w:val="000000"/>
          <w:sz w:val="28"/>
          <w:szCs w:val="28"/>
          <w:lang w:val="en-US" w:eastAsia="zh-CN"/>
        </w:rPr>
        <w:t>经营状况、</w:t>
      </w:r>
      <w:r>
        <w:rPr>
          <w:color w:val="000000"/>
          <w:sz w:val="28"/>
          <w:szCs w:val="28"/>
        </w:rPr>
        <w:t>储存条件、品种发生变化，不在本评价报告范围内。</w:t>
      </w:r>
    </w:p>
    <w:p w14:paraId="584F63AE">
      <w:pPr>
        <w:wordWrap w:val="0"/>
        <w:adjustRightInd w:val="0"/>
        <w:snapToGrid w:val="0"/>
        <w:spacing w:line="600" w:lineRule="exact"/>
        <w:jc w:val="left"/>
        <w:textAlignment w:val="center"/>
        <w:outlineLvl w:val="1"/>
        <w:rPr>
          <w:b/>
          <w:color w:val="000000"/>
          <w:sz w:val="28"/>
          <w:szCs w:val="28"/>
        </w:rPr>
      </w:pPr>
      <w:bookmarkStart w:id="40" w:name="_Toc26773"/>
      <w:bookmarkStart w:id="41" w:name="_Toc120957306"/>
      <w:bookmarkStart w:id="42" w:name="_Toc8844"/>
      <w:bookmarkStart w:id="43" w:name="_Toc350517374"/>
      <w:r>
        <w:rPr>
          <w:b/>
          <w:color w:val="000000"/>
          <w:sz w:val="28"/>
          <w:szCs w:val="28"/>
        </w:rPr>
        <w:t>1.</w:t>
      </w:r>
      <w:r>
        <w:rPr>
          <w:rFonts w:hint="eastAsia"/>
          <w:b/>
          <w:color w:val="000000"/>
          <w:sz w:val="28"/>
          <w:szCs w:val="28"/>
        </w:rPr>
        <w:t>5</w:t>
      </w:r>
      <w:r>
        <w:rPr>
          <w:b/>
          <w:color w:val="000000"/>
          <w:sz w:val="28"/>
          <w:szCs w:val="28"/>
        </w:rPr>
        <w:t>评价程序</w:t>
      </w:r>
      <w:bookmarkEnd w:id="40"/>
      <w:bookmarkEnd w:id="41"/>
      <w:bookmarkEnd w:id="42"/>
      <w:bookmarkEnd w:id="43"/>
    </w:p>
    <w:p w14:paraId="5784ED31">
      <w:pPr>
        <w:bidi w:val="0"/>
        <w:rPr>
          <w:rFonts w:hint="eastAsia" w:eastAsia="宋体"/>
          <w:lang w:val="en-US" w:eastAsia="zh-CN"/>
        </w:rPr>
      </w:pPr>
      <w:r>
        <w:rPr>
          <w:rFonts w:hint="eastAsia" w:eastAsia="宋体"/>
          <w:lang w:val="en-US" w:eastAsia="zh-CN"/>
        </w:rPr>
        <w:t>评价程序见下图1.5-1</w:t>
      </w:r>
    </w:p>
    <w:p w14:paraId="60209E5D">
      <w:pPr>
        <w:bidi w:val="0"/>
        <w:rPr>
          <w:rFonts w:hint="eastAsia" w:eastAsia="宋体"/>
          <w:lang w:val="en-US" w:eastAsia="zh-CN"/>
        </w:rPr>
      </w:pPr>
    </w:p>
    <w:p w14:paraId="4D7522D8">
      <w:pPr>
        <w:bidi w:val="0"/>
        <w:rPr>
          <w:rFonts w:hint="eastAsia" w:eastAsia="宋体"/>
          <w:lang w:val="en-US" w:eastAsia="zh-CN"/>
        </w:rPr>
      </w:pPr>
    </w:p>
    <w:p w14:paraId="5C764DA2">
      <w:pPr>
        <w:bidi w:val="0"/>
        <w:rPr>
          <w:rFonts w:hint="eastAsia" w:eastAsia="宋体"/>
          <w:lang w:val="en-US" w:eastAsia="zh-CN"/>
        </w:rPr>
      </w:pPr>
    </w:p>
    <w:p w14:paraId="79C02122">
      <w:pPr>
        <w:bidi w:val="0"/>
        <w:rPr>
          <w:rFonts w:hint="eastAsia" w:eastAsia="宋体"/>
          <w:lang w:val="en-US" w:eastAsia="zh-CN"/>
        </w:rPr>
      </w:pPr>
    </w:p>
    <w:p w14:paraId="2F4882E5">
      <w:pPr>
        <w:bidi w:val="0"/>
        <w:rPr>
          <w:rFonts w:hint="eastAsia" w:eastAsia="宋体"/>
          <w:lang w:val="en-US" w:eastAsia="zh-CN"/>
        </w:rPr>
      </w:pPr>
    </w:p>
    <w:p w14:paraId="5ED999F2">
      <w:pPr>
        <w:bidi w:val="0"/>
        <w:rPr>
          <w:rFonts w:hint="eastAsia" w:eastAsia="宋体"/>
          <w:lang w:val="en-US" w:eastAsia="zh-CN"/>
        </w:rPr>
      </w:pPr>
    </w:p>
    <w:p w14:paraId="4DAEB30E">
      <w:pPr>
        <w:bidi w:val="0"/>
        <w:rPr>
          <w:rFonts w:hint="eastAsia" w:eastAsia="宋体"/>
          <w:lang w:val="en-US" w:eastAsia="zh-CN"/>
        </w:rPr>
      </w:pPr>
    </w:p>
    <w:p w14:paraId="6CC79634">
      <w:pPr>
        <w:bidi w:val="0"/>
        <w:rPr>
          <w:rFonts w:hint="eastAsia" w:eastAsia="宋体"/>
          <w:lang w:val="en-US" w:eastAsia="zh-CN"/>
        </w:rPr>
      </w:pPr>
    </w:p>
    <w:p w14:paraId="68478A15">
      <w:pPr>
        <w:bidi w:val="0"/>
        <w:rPr>
          <w:rFonts w:hint="eastAsia" w:eastAsia="宋体"/>
          <w:lang w:val="en-US" w:eastAsia="zh-CN"/>
        </w:rPr>
      </w:pPr>
    </w:p>
    <w:p w14:paraId="50298269">
      <w:pPr>
        <w:bidi w:val="0"/>
        <w:rPr>
          <w:rFonts w:hint="eastAsia" w:eastAsia="宋体"/>
          <w:lang w:val="en-US" w:eastAsia="zh-CN"/>
        </w:rPr>
      </w:pPr>
    </w:p>
    <w:p w14:paraId="5C08A245">
      <w:pPr>
        <w:bidi w:val="0"/>
        <w:rPr>
          <w:rFonts w:hint="eastAsia" w:eastAsia="宋体"/>
          <w:lang w:val="en-US" w:eastAsia="zh-CN"/>
        </w:rPr>
      </w:pPr>
    </w:p>
    <w:p w14:paraId="17FB69DC">
      <w:pPr>
        <w:bidi w:val="0"/>
        <w:rPr>
          <w:rFonts w:hint="eastAsia" w:eastAsia="宋体"/>
          <w:lang w:val="en-US" w:eastAsia="zh-CN"/>
        </w:rPr>
      </w:pPr>
    </w:p>
    <w:p w14:paraId="6B2F44DC">
      <w:pPr>
        <w:bidi w:val="0"/>
        <w:rPr>
          <w:rFonts w:hint="eastAsia" w:eastAsia="宋体"/>
          <w:lang w:val="en-US" w:eastAsia="zh-CN"/>
        </w:rPr>
      </w:pPr>
    </w:p>
    <w:p w14:paraId="1F3E7646">
      <w:pPr>
        <w:bidi w:val="0"/>
        <w:rPr>
          <w:rFonts w:hint="eastAsia" w:eastAsia="宋体"/>
          <w:lang w:val="en-US" w:eastAsia="zh-CN"/>
        </w:rPr>
      </w:pPr>
    </w:p>
    <w:p w14:paraId="23671989">
      <w:pPr>
        <w:bidi w:val="0"/>
        <w:rPr>
          <w:rFonts w:hint="default" w:eastAsia="宋体"/>
          <w:lang w:val="en-US" w:eastAsia="zh-CN"/>
        </w:rPr>
      </w:pPr>
    </w:p>
    <w:p w14:paraId="2284914F">
      <w:pPr>
        <w:wordWrap w:val="0"/>
        <w:adjustRightInd w:val="0"/>
        <w:snapToGrid w:val="0"/>
        <w:spacing w:line="600" w:lineRule="exact"/>
        <w:ind w:firstLine="460" w:firstLineChars="192"/>
        <w:textAlignment w:val="center"/>
        <w:rPr>
          <w:color w:val="000000"/>
          <w:sz w:val="28"/>
          <w:szCs w:val="28"/>
        </w:rPr>
      </w:pPr>
      <w:r>
        <w:rPr>
          <w:color w:val="000000"/>
          <w:sz w:val="24"/>
        </w:rPr>
        <mc:AlternateContent>
          <mc:Choice Requires="wpg">
            <w:drawing>
              <wp:anchor distT="0" distB="0" distL="114300" distR="114300" simplePos="0" relativeHeight="251660288" behindDoc="0" locked="0" layoutInCell="1" allowOverlap="1">
                <wp:simplePos x="0" y="0"/>
                <wp:positionH relativeFrom="column">
                  <wp:posOffset>1371600</wp:posOffset>
                </wp:positionH>
                <wp:positionV relativeFrom="paragraph">
                  <wp:posOffset>67945</wp:posOffset>
                </wp:positionV>
                <wp:extent cx="2857500" cy="5687060"/>
                <wp:effectExtent l="4445" t="5080" r="14605" b="22860"/>
                <wp:wrapNone/>
                <wp:docPr id="14" name="组合 14"/>
                <wp:cNvGraphicFramePr/>
                <a:graphic xmlns:a="http://schemas.openxmlformats.org/drawingml/2006/main">
                  <a:graphicData uri="http://schemas.microsoft.com/office/word/2010/wordprocessingGroup">
                    <wpg:wgp>
                      <wpg:cNvGrpSpPr/>
                      <wpg:grpSpPr>
                        <a:xfrm>
                          <a:off x="0" y="0"/>
                          <a:ext cx="2857500" cy="5687060"/>
                          <a:chOff x="5507" y="138837"/>
                          <a:chExt cx="4500" cy="10140"/>
                        </a:xfrm>
                      </wpg:grpSpPr>
                      <wps:wsp>
                        <wps:cNvPr id="1" name="文本框 1"/>
                        <wps:cNvSpPr txBox="1"/>
                        <wps:spPr>
                          <a:xfrm>
                            <a:off x="5507" y="13883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2A04A3">
                              <w:pPr>
                                <w:jc w:val="center"/>
                                <w:rPr>
                                  <w:rFonts w:hint="eastAsia"/>
                                  <w:sz w:val="28"/>
                                  <w:szCs w:val="28"/>
                                </w:rPr>
                              </w:pPr>
                              <w:r>
                                <w:rPr>
                                  <w:rFonts w:hint="eastAsia"/>
                                  <w:sz w:val="28"/>
                                  <w:szCs w:val="28"/>
                                </w:rPr>
                                <w:t>前期准备</w:t>
                              </w:r>
                            </w:p>
                          </w:txbxContent>
                        </wps:txbx>
                        <wps:bodyPr upright="1"/>
                      </wps:wsp>
                      <wps:wsp>
                        <wps:cNvPr id="2" name="文本框 2"/>
                        <wps:cNvSpPr txBox="1"/>
                        <wps:spPr>
                          <a:xfrm>
                            <a:off x="5507" y="14039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98CD2">
                              <w:pPr>
                                <w:jc w:val="center"/>
                                <w:rPr>
                                  <w:rFonts w:hint="eastAsia"/>
                                  <w:sz w:val="28"/>
                                  <w:szCs w:val="28"/>
                                </w:rPr>
                              </w:pPr>
                              <w:r>
                                <w:rPr>
                                  <w:rFonts w:hint="eastAsia"/>
                                  <w:sz w:val="28"/>
                                  <w:szCs w:val="28"/>
                                </w:rPr>
                                <w:t>辩识与分析危险、有害因素</w:t>
                              </w:r>
                            </w:p>
                          </w:txbxContent>
                        </wps:txbx>
                        <wps:bodyPr upright="1"/>
                      </wps:wsp>
                      <wps:wsp>
                        <wps:cNvPr id="3" name="文本框 3"/>
                        <wps:cNvSpPr txBox="1"/>
                        <wps:spPr>
                          <a:xfrm>
                            <a:off x="5507" y="14195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BAB0AC">
                              <w:pPr>
                                <w:jc w:val="center"/>
                                <w:rPr>
                                  <w:rFonts w:hint="eastAsia"/>
                                  <w:sz w:val="28"/>
                                  <w:szCs w:val="28"/>
                                </w:rPr>
                              </w:pPr>
                              <w:r>
                                <w:rPr>
                                  <w:rFonts w:hint="eastAsia"/>
                                  <w:sz w:val="28"/>
                                  <w:szCs w:val="28"/>
                                </w:rPr>
                                <w:t>划分评价单元</w:t>
                              </w:r>
                            </w:p>
                          </w:txbxContent>
                        </wps:txbx>
                        <wps:bodyPr upright="1"/>
                      </wps:wsp>
                      <wps:wsp>
                        <wps:cNvPr id="4" name="文本框 4"/>
                        <wps:cNvSpPr txBox="1"/>
                        <wps:spPr>
                          <a:xfrm>
                            <a:off x="5507" y="14351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DBF8F4">
                              <w:pPr>
                                <w:jc w:val="center"/>
                                <w:rPr>
                                  <w:rFonts w:hint="eastAsia"/>
                                  <w:sz w:val="28"/>
                                  <w:szCs w:val="28"/>
                                </w:rPr>
                              </w:pPr>
                              <w:r>
                                <w:rPr>
                                  <w:rFonts w:hint="eastAsia"/>
                                  <w:sz w:val="28"/>
                                  <w:szCs w:val="28"/>
                                </w:rPr>
                                <w:t>定性、定量评价</w:t>
                              </w:r>
                            </w:p>
                          </w:txbxContent>
                        </wps:txbx>
                        <wps:bodyPr upright="1"/>
                      </wps:wsp>
                      <wps:wsp>
                        <wps:cNvPr id="5" name="文本框 5"/>
                        <wps:cNvSpPr txBox="1"/>
                        <wps:spPr>
                          <a:xfrm>
                            <a:off x="5507" y="14507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D05BBF">
                              <w:pPr>
                                <w:jc w:val="center"/>
                                <w:rPr>
                                  <w:rFonts w:hint="eastAsia"/>
                                  <w:sz w:val="28"/>
                                  <w:szCs w:val="28"/>
                                </w:rPr>
                              </w:pPr>
                              <w:r>
                                <w:rPr>
                                  <w:rFonts w:hint="eastAsia"/>
                                  <w:sz w:val="28"/>
                                  <w:szCs w:val="28"/>
                                </w:rPr>
                                <w:t>提出安全对策措施建议</w:t>
                              </w:r>
                            </w:p>
                          </w:txbxContent>
                        </wps:txbx>
                        <wps:bodyPr upright="1"/>
                      </wps:wsp>
                      <wps:wsp>
                        <wps:cNvPr id="6" name="文本框 6"/>
                        <wps:cNvSpPr txBox="1"/>
                        <wps:spPr>
                          <a:xfrm>
                            <a:off x="5507" y="14663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8826E5">
                              <w:pPr>
                                <w:jc w:val="center"/>
                                <w:rPr>
                                  <w:rFonts w:hint="eastAsia"/>
                                  <w:sz w:val="28"/>
                                  <w:szCs w:val="28"/>
                                </w:rPr>
                              </w:pPr>
                              <w:r>
                                <w:rPr>
                                  <w:rFonts w:hint="eastAsia"/>
                                  <w:sz w:val="28"/>
                                  <w:szCs w:val="28"/>
                                </w:rPr>
                                <w:t>做出评价结论</w:t>
                              </w:r>
                            </w:p>
                          </w:txbxContent>
                        </wps:txbx>
                        <wps:bodyPr upright="1"/>
                      </wps:wsp>
                      <wps:wsp>
                        <wps:cNvPr id="7" name="文本框 7"/>
                        <wps:cNvSpPr txBox="1"/>
                        <wps:spPr>
                          <a:xfrm>
                            <a:off x="5507" y="14819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8EA287">
                              <w:pPr>
                                <w:jc w:val="center"/>
                                <w:rPr>
                                  <w:rFonts w:hint="eastAsia"/>
                                  <w:sz w:val="28"/>
                                  <w:szCs w:val="28"/>
                                </w:rPr>
                              </w:pPr>
                              <w:r>
                                <w:rPr>
                                  <w:rFonts w:hint="eastAsia"/>
                                  <w:sz w:val="28"/>
                                  <w:szCs w:val="28"/>
                                </w:rPr>
                                <w:t>编制安全评价报告</w:t>
                              </w:r>
                            </w:p>
                          </w:txbxContent>
                        </wps:txbx>
                        <wps:bodyPr upright="1"/>
                      </wps:wsp>
                      <wps:wsp>
                        <wps:cNvPr id="8" name="直接连接符 8"/>
                        <wps:cNvCnPr/>
                        <wps:spPr>
                          <a:xfrm>
                            <a:off x="7772" y="139617"/>
                            <a:ext cx="0" cy="780"/>
                          </a:xfrm>
                          <a:prstGeom prst="line">
                            <a:avLst/>
                          </a:prstGeom>
                          <a:ln w="9525" cap="flat" cmpd="sng">
                            <a:solidFill>
                              <a:srgbClr val="000000"/>
                            </a:solidFill>
                            <a:prstDash val="solid"/>
                            <a:headEnd type="none" w="med" len="med"/>
                            <a:tailEnd type="triangle" w="med" len="med"/>
                          </a:ln>
                        </wps:spPr>
                        <wps:bodyPr upright="1"/>
                      </wps:wsp>
                      <wps:wsp>
                        <wps:cNvPr id="9" name="直接连接符 9"/>
                        <wps:cNvCnPr/>
                        <wps:spPr>
                          <a:xfrm>
                            <a:off x="7772" y="141177"/>
                            <a:ext cx="0" cy="780"/>
                          </a:xfrm>
                          <a:prstGeom prst="line">
                            <a:avLst/>
                          </a:prstGeom>
                          <a:ln w="9525" cap="flat" cmpd="sng">
                            <a:solidFill>
                              <a:srgbClr val="000000"/>
                            </a:solidFill>
                            <a:prstDash val="solid"/>
                            <a:headEnd type="none" w="med" len="med"/>
                            <a:tailEnd type="triangle" w="med" len="med"/>
                          </a:ln>
                        </wps:spPr>
                        <wps:bodyPr upright="1"/>
                      </wps:wsp>
                      <wps:wsp>
                        <wps:cNvPr id="10" name="直接连接符 10"/>
                        <wps:cNvCnPr/>
                        <wps:spPr>
                          <a:xfrm>
                            <a:off x="7772" y="142737"/>
                            <a:ext cx="0" cy="780"/>
                          </a:xfrm>
                          <a:prstGeom prst="line">
                            <a:avLst/>
                          </a:prstGeom>
                          <a:ln w="9525" cap="flat" cmpd="sng">
                            <a:solidFill>
                              <a:srgbClr val="000000"/>
                            </a:solidFill>
                            <a:prstDash val="solid"/>
                            <a:headEnd type="none" w="med" len="med"/>
                            <a:tailEnd type="triangle" w="med" len="med"/>
                          </a:ln>
                        </wps:spPr>
                        <wps:bodyPr upright="1"/>
                      </wps:wsp>
                      <wps:wsp>
                        <wps:cNvPr id="11" name="直接连接符 11"/>
                        <wps:cNvCnPr/>
                        <wps:spPr>
                          <a:xfrm>
                            <a:off x="7772" y="144297"/>
                            <a:ext cx="0" cy="780"/>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wps:spPr>
                          <a:xfrm>
                            <a:off x="7772" y="145857"/>
                            <a:ext cx="0" cy="780"/>
                          </a:xfrm>
                          <a:prstGeom prst="line">
                            <a:avLst/>
                          </a:prstGeom>
                          <a:ln w="9525" cap="flat" cmpd="sng">
                            <a:solidFill>
                              <a:srgbClr val="000000"/>
                            </a:solidFill>
                            <a:prstDash val="solid"/>
                            <a:headEnd type="none" w="med" len="med"/>
                            <a:tailEnd type="triangle" w="med" len="med"/>
                          </a:ln>
                        </wps:spPr>
                        <wps:bodyPr upright="1"/>
                      </wps:wsp>
                      <wps:wsp>
                        <wps:cNvPr id="13" name="直接连接符 13"/>
                        <wps:cNvCnPr/>
                        <wps:spPr>
                          <a:xfrm>
                            <a:off x="7772" y="147417"/>
                            <a:ext cx="0" cy="78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pt;margin-top:5.35pt;height:447.8pt;width:225pt;z-index:251660288;mso-width-relative:page;mso-height-relative:page;" coordorigin="5507,138837" coordsize="4500,10140" o:gfxdata="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&#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0Q3sq2QAAAAoBAAAPAAAAAAAAAAEAIAAAACIAAABk&#10;cnMvZG93bnJldi54bWxQSwECFAAUAAAACACHTuJALNXtHc0DAADmHwAADgAAAAAAAAABACAAAAAo&#10;AQAAZHJzL2Uyb0RvYy54bWxQSwUGAAAAAAYABgBZAQAAZwcAAAAA&#10;">
                <o:lock v:ext="edit" aspectratio="f"/>
                <v:shape id="_x0000_s1026" o:spid="_x0000_s1026" o:spt="202" type="#_x0000_t202" style="position:absolute;left:5507;top:138837;height:780;width:4500;"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62A04A3">
                        <w:pPr>
                          <w:jc w:val="center"/>
                          <w:rPr>
                            <w:rFonts w:hint="eastAsia"/>
                            <w:sz w:val="28"/>
                            <w:szCs w:val="28"/>
                          </w:rPr>
                        </w:pPr>
                        <w:r>
                          <w:rPr>
                            <w:rFonts w:hint="eastAsia"/>
                            <w:sz w:val="28"/>
                            <w:szCs w:val="28"/>
                          </w:rPr>
                          <w:t>前期准备</w:t>
                        </w:r>
                      </w:p>
                    </w:txbxContent>
                  </v:textbox>
                </v:shape>
                <v:shape id="_x0000_s1026" o:spid="_x0000_s1026" o:spt="202" type="#_x0000_t202" style="position:absolute;left:5507;top:140397;height:780;width:4500;"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E98CD2">
                        <w:pPr>
                          <w:jc w:val="center"/>
                          <w:rPr>
                            <w:rFonts w:hint="eastAsia"/>
                            <w:sz w:val="28"/>
                            <w:szCs w:val="28"/>
                          </w:rPr>
                        </w:pPr>
                        <w:r>
                          <w:rPr>
                            <w:rFonts w:hint="eastAsia"/>
                            <w:sz w:val="28"/>
                            <w:szCs w:val="28"/>
                          </w:rPr>
                          <w:t>辩识与分析危险、有害因素</w:t>
                        </w:r>
                      </w:p>
                    </w:txbxContent>
                  </v:textbox>
                </v:shape>
                <v:shape id="_x0000_s1026" o:spid="_x0000_s1026" o:spt="202" type="#_x0000_t202" style="position:absolute;left:5507;top:141957;height:780;width:4500;"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BAB0AC">
                        <w:pPr>
                          <w:jc w:val="center"/>
                          <w:rPr>
                            <w:rFonts w:hint="eastAsia"/>
                            <w:sz w:val="28"/>
                            <w:szCs w:val="28"/>
                          </w:rPr>
                        </w:pPr>
                        <w:r>
                          <w:rPr>
                            <w:rFonts w:hint="eastAsia"/>
                            <w:sz w:val="28"/>
                            <w:szCs w:val="28"/>
                          </w:rPr>
                          <w:t>划分评价单元</w:t>
                        </w:r>
                      </w:p>
                    </w:txbxContent>
                  </v:textbox>
                </v:shape>
                <v:shape id="_x0000_s1026" o:spid="_x0000_s1026" o:spt="202" type="#_x0000_t202" style="position:absolute;left:5507;top:143517;height:780;width:450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2DBF8F4">
                        <w:pPr>
                          <w:jc w:val="center"/>
                          <w:rPr>
                            <w:rFonts w:hint="eastAsia"/>
                            <w:sz w:val="28"/>
                            <w:szCs w:val="28"/>
                          </w:rPr>
                        </w:pPr>
                        <w:r>
                          <w:rPr>
                            <w:rFonts w:hint="eastAsia"/>
                            <w:sz w:val="28"/>
                            <w:szCs w:val="28"/>
                          </w:rPr>
                          <w:t>定性、定量评价</w:t>
                        </w:r>
                      </w:p>
                    </w:txbxContent>
                  </v:textbox>
                </v:shape>
                <v:shape id="_x0000_s1026" o:spid="_x0000_s1026" o:spt="202" type="#_x0000_t202" style="position:absolute;left:5507;top:145077;height:780;width:4500;"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D05BBF">
                        <w:pPr>
                          <w:jc w:val="center"/>
                          <w:rPr>
                            <w:rFonts w:hint="eastAsia"/>
                            <w:sz w:val="28"/>
                            <w:szCs w:val="28"/>
                          </w:rPr>
                        </w:pPr>
                        <w:r>
                          <w:rPr>
                            <w:rFonts w:hint="eastAsia"/>
                            <w:sz w:val="28"/>
                            <w:szCs w:val="28"/>
                          </w:rPr>
                          <w:t>提出安全对策措施建议</w:t>
                        </w:r>
                      </w:p>
                    </w:txbxContent>
                  </v:textbox>
                </v:shape>
                <v:shape id="_x0000_s1026" o:spid="_x0000_s1026" o:spt="202" type="#_x0000_t202" style="position:absolute;left:5507;top:146637;height:780;width:450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08826E5">
                        <w:pPr>
                          <w:jc w:val="center"/>
                          <w:rPr>
                            <w:rFonts w:hint="eastAsia"/>
                            <w:sz w:val="28"/>
                            <w:szCs w:val="28"/>
                          </w:rPr>
                        </w:pPr>
                        <w:r>
                          <w:rPr>
                            <w:rFonts w:hint="eastAsia"/>
                            <w:sz w:val="28"/>
                            <w:szCs w:val="28"/>
                          </w:rPr>
                          <w:t>做出评价结论</w:t>
                        </w:r>
                      </w:p>
                    </w:txbxContent>
                  </v:textbox>
                </v:shape>
                <v:shape id="_x0000_s1026" o:spid="_x0000_s1026" o:spt="202" type="#_x0000_t202" style="position:absolute;left:5507;top:148197;height:780;width:4500;"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38EA287">
                        <w:pPr>
                          <w:jc w:val="center"/>
                          <w:rPr>
                            <w:rFonts w:hint="eastAsia"/>
                            <w:sz w:val="28"/>
                            <w:szCs w:val="28"/>
                          </w:rPr>
                        </w:pPr>
                        <w:r>
                          <w:rPr>
                            <w:rFonts w:hint="eastAsia"/>
                            <w:sz w:val="28"/>
                            <w:szCs w:val="28"/>
                          </w:rPr>
                          <w:t>编制安全评价报告</w:t>
                        </w:r>
                      </w:p>
                    </w:txbxContent>
                  </v:textbox>
                </v:shape>
                <v:line id="_x0000_s1026" o:spid="_x0000_s1026" o:spt="20" style="position:absolute;left:7772;top:139617;height:780;width:0;"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7772;top:141177;height:78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772;top:142737;height:780;width:0;"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772;top:144297;height:780;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772;top:145857;height:780;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7772;top:147417;height:780;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14:paraId="3E508E91">
      <w:pPr>
        <w:wordWrap w:val="0"/>
        <w:adjustRightInd w:val="0"/>
        <w:snapToGrid w:val="0"/>
        <w:spacing w:line="600" w:lineRule="exact"/>
        <w:ind w:firstLine="537" w:firstLineChars="192"/>
        <w:textAlignment w:val="center"/>
        <w:rPr>
          <w:color w:val="000000"/>
          <w:sz w:val="28"/>
          <w:szCs w:val="28"/>
        </w:rPr>
      </w:pPr>
    </w:p>
    <w:p w14:paraId="00B3A440">
      <w:pPr>
        <w:wordWrap w:val="0"/>
        <w:adjustRightInd w:val="0"/>
        <w:snapToGrid w:val="0"/>
        <w:spacing w:line="600" w:lineRule="exact"/>
        <w:ind w:firstLine="537" w:firstLineChars="192"/>
        <w:textAlignment w:val="center"/>
        <w:rPr>
          <w:color w:val="000000"/>
          <w:sz w:val="28"/>
          <w:szCs w:val="28"/>
        </w:rPr>
      </w:pPr>
    </w:p>
    <w:p w14:paraId="5545C841">
      <w:pPr>
        <w:wordWrap w:val="0"/>
        <w:adjustRightInd w:val="0"/>
        <w:snapToGrid w:val="0"/>
        <w:spacing w:line="600" w:lineRule="exact"/>
        <w:ind w:firstLine="537" w:firstLineChars="192"/>
        <w:textAlignment w:val="center"/>
        <w:rPr>
          <w:color w:val="000000"/>
          <w:sz w:val="28"/>
          <w:szCs w:val="28"/>
        </w:rPr>
      </w:pPr>
    </w:p>
    <w:p w14:paraId="5686CAE5">
      <w:pPr>
        <w:rPr>
          <w:rFonts w:hint="eastAsia"/>
          <w:color w:val="000000"/>
          <w:sz w:val="24"/>
        </w:rPr>
      </w:pPr>
    </w:p>
    <w:p w14:paraId="5D182837">
      <w:pPr>
        <w:rPr>
          <w:rFonts w:hint="eastAsia"/>
          <w:color w:val="000000"/>
          <w:sz w:val="24"/>
        </w:rPr>
      </w:pPr>
    </w:p>
    <w:p w14:paraId="6F818574">
      <w:pPr>
        <w:rPr>
          <w:rFonts w:hint="eastAsia"/>
          <w:color w:val="000000"/>
          <w:sz w:val="24"/>
        </w:rPr>
      </w:pPr>
    </w:p>
    <w:p w14:paraId="10809D69">
      <w:pPr>
        <w:rPr>
          <w:rFonts w:hint="eastAsia"/>
          <w:color w:val="000000"/>
          <w:sz w:val="24"/>
        </w:rPr>
      </w:pPr>
    </w:p>
    <w:p w14:paraId="1E64D39B">
      <w:pPr>
        <w:rPr>
          <w:rFonts w:hint="eastAsia"/>
          <w:color w:val="000000"/>
          <w:sz w:val="24"/>
        </w:rPr>
      </w:pPr>
    </w:p>
    <w:p w14:paraId="5E72B675">
      <w:pPr>
        <w:rPr>
          <w:rFonts w:hint="eastAsia"/>
          <w:color w:val="000000"/>
          <w:sz w:val="24"/>
        </w:rPr>
      </w:pPr>
    </w:p>
    <w:p w14:paraId="58408AC2">
      <w:pPr>
        <w:rPr>
          <w:rFonts w:hint="eastAsia"/>
          <w:color w:val="000000"/>
          <w:sz w:val="24"/>
        </w:rPr>
      </w:pPr>
    </w:p>
    <w:p w14:paraId="1A7B696B">
      <w:pPr>
        <w:rPr>
          <w:rFonts w:hint="eastAsia"/>
          <w:color w:val="000000"/>
          <w:sz w:val="24"/>
        </w:rPr>
      </w:pPr>
    </w:p>
    <w:p w14:paraId="5A8B802B">
      <w:pPr>
        <w:rPr>
          <w:rFonts w:hint="eastAsia"/>
          <w:color w:val="000000"/>
          <w:sz w:val="24"/>
        </w:rPr>
      </w:pPr>
    </w:p>
    <w:p w14:paraId="309F4438">
      <w:pPr>
        <w:rPr>
          <w:rFonts w:hint="eastAsia"/>
          <w:color w:val="000000"/>
          <w:sz w:val="24"/>
        </w:rPr>
      </w:pPr>
    </w:p>
    <w:p w14:paraId="4859CEE9">
      <w:pPr>
        <w:rPr>
          <w:rFonts w:hint="eastAsia"/>
          <w:color w:val="000000"/>
          <w:sz w:val="24"/>
        </w:rPr>
      </w:pPr>
    </w:p>
    <w:p w14:paraId="24E3D8D2">
      <w:pPr>
        <w:rPr>
          <w:rFonts w:hint="eastAsia"/>
          <w:color w:val="000000"/>
          <w:sz w:val="24"/>
        </w:rPr>
      </w:pPr>
    </w:p>
    <w:p w14:paraId="4AA8CE76">
      <w:pPr>
        <w:rPr>
          <w:rFonts w:hint="eastAsia"/>
          <w:color w:val="000000"/>
          <w:sz w:val="24"/>
        </w:rPr>
      </w:pPr>
    </w:p>
    <w:p w14:paraId="4D7AD091">
      <w:pPr>
        <w:rPr>
          <w:rFonts w:hint="eastAsia"/>
          <w:color w:val="000000"/>
          <w:sz w:val="24"/>
        </w:rPr>
      </w:pPr>
    </w:p>
    <w:p w14:paraId="39F5B39D">
      <w:pPr>
        <w:rPr>
          <w:rFonts w:hint="eastAsia"/>
          <w:color w:val="000000"/>
          <w:sz w:val="24"/>
        </w:rPr>
      </w:pPr>
    </w:p>
    <w:p w14:paraId="4398F56D">
      <w:pPr>
        <w:rPr>
          <w:rFonts w:hint="eastAsia"/>
          <w:color w:val="000000"/>
          <w:sz w:val="24"/>
        </w:rPr>
      </w:pPr>
    </w:p>
    <w:p w14:paraId="0E8DDA36">
      <w:pPr>
        <w:rPr>
          <w:rFonts w:hint="eastAsia"/>
          <w:color w:val="000000"/>
          <w:sz w:val="24"/>
        </w:rPr>
      </w:pPr>
    </w:p>
    <w:p w14:paraId="709DD481">
      <w:pPr>
        <w:rPr>
          <w:rFonts w:hint="eastAsia"/>
          <w:color w:val="000000"/>
          <w:sz w:val="24"/>
        </w:rPr>
      </w:pPr>
    </w:p>
    <w:p w14:paraId="33C92763">
      <w:pPr>
        <w:rPr>
          <w:rFonts w:hint="eastAsia"/>
          <w:color w:val="000000"/>
          <w:sz w:val="24"/>
        </w:rPr>
      </w:pPr>
    </w:p>
    <w:p w14:paraId="6D1A7730">
      <w:pPr>
        <w:rPr>
          <w:rFonts w:hint="eastAsia"/>
          <w:color w:val="000000"/>
          <w:sz w:val="24"/>
        </w:rPr>
      </w:pPr>
    </w:p>
    <w:p w14:paraId="7A8103DE">
      <w:pPr>
        <w:bidi w:val="0"/>
        <w:ind w:left="1680" w:leftChars="0" w:firstLine="420" w:firstLineChars="0"/>
      </w:pPr>
    </w:p>
    <w:p w14:paraId="25647005">
      <w:pPr>
        <w:pStyle w:val="7"/>
        <w:wordWrap w:val="0"/>
        <w:adjustRightInd w:val="0"/>
        <w:snapToGrid w:val="0"/>
        <w:spacing w:before="0" w:beforeAutospacing="0" w:after="0" w:afterAutospacing="0" w:line="600" w:lineRule="exact"/>
        <w:ind w:firstLine="3360" w:firstLineChars="1200"/>
        <w:textAlignment w:val="center"/>
        <w:rPr>
          <w:rFonts w:hint="eastAsia" w:ascii="Times New Roman" w:eastAsia="宋体"/>
          <w:lang w:val="en-US" w:eastAsia="zh-CN"/>
        </w:rPr>
      </w:pPr>
      <w:r>
        <w:rPr>
          <w:rFonts w:hint="eastAsia" w:ascii="Times New Roman" w:eastAsia="宋体"/>
          <w:lang w:val="en-US" w:eastAsia="zh-CN"/>
        </w:rPr>
        <w:t>评价程序图1.5-1</w:t>
      </w:r>
    </w:p>
    <w:p w14:paraId="0AFEA683">
      <w:pPr>
        <w:rPr>
          <w:rFonts w:hint="eastAsia" w:ascii="Times New Roman" w:eastAsia="宋体"/>
          <w:lang w:val="en-US" w:eastAsia="zh-CN"/>
        </w:rPr>
      </w:pPr>
      <w:r>
        <w:rPr>
          <w:rFonts w:hint="eastAsia" w:ascii="Times New Roman" w:eastAsia="宋体"/>
          <w:lang w:val="en-US" w:eastAsia="zh-CN"/>
        </w:rPr>
        <w:br w:type="page"/>
      </w:r>
    </w:p>
    <w:p w14:paraId="37640457">
      <w:pPr>
        <w:pageBreakBefore/>
        <w:wordWrap w:val="0"/>
        <w:spacing w:line="600" w:lineRule="exact"/>
        <w:textAlignment w:val="center"/>
        <w:outlineLvl w:val="0"/>
        <w:rPr>
          <w:b/>
          <w:color w:val="000000"/>
          <w:sz w:val="28"/>
          <w:szCs w:val="28"/>
        </w:rPr>
      </w:pPr>
      <w:bookmarkStart w:id="44" w:name="_Toc350517375"/>
      <w:bookmarkStart w:id="45" w:name="_Toc31197"/>
      <w:bookmarkStart w:id="46" w:name="_Toc5856"/>
      <w:bookmarkStart w:id="47" w:name="_Toc120957307"/>
      <w:bookmarkStart w:id="48" w:name="_Toc7344"/>
      <w:bookmarkStart w:id="49" w:name="_Toc3390"/>
      <w:r>
        <w:rPr>
          <w:b/>
          <w:color w:val="000000"/>
          <w:sz w:val="28"/>
          <w:szCs w:val="28"/>
        </w:rPr>
        <w:t>2加油站基本情况</w:t>
      </w:r>
      <w:bookmarkEnd w:id="44"/>
      <w:bookmarkEnd w:id="45"/>
      <w:bookmarkEnd w:id="46"/>
      <w:bookmarkEnd w:id="47"/>
      <w:bookmarkEnd w:id="48"/>
      <w:bookmarkEnd w:id="49"/>
    </w:p>
    <w:p w14:paraId="11363212">
      <w:pPr>
        <w:wordWrap w:val="0"/>
        <w:spacing w:line="600" w:lineRule="exact"/>
        <w:textAlignment w:val="center"/>
        <w:outlineLvl w:val="1"/>
        <w:rPr>
          <w:b/>
          <w:color w:val="000000"/>
          <w:sz w:val="28"/>
          <w:szCs w:val="28"/>
        </w:rPr>
      </w:pPr>
      <w:bookmarkStart w:id="50" w:name="_Toc120957308"/>
      <w:bookmarkStart w:id="51" w:name="_Toc350517376"/>
      <w:bookmarkStart w:id="52" w:name="_Toc2556"/>
      <w:bookmarkStart w:id="53" w:name="_Toc31014"/>
      <w:r>
        <w:rPr>
          <w:b/>
          <w:color w:val="000000"/>
          <w:sz w:val="28"/>
          <w:szCs w:val="28"/>
        </w:rPr>
        <w:t>2.1</w:t>
      </w:r>
      <w:r>
        <w:rPr>
          <w:b/>
          <w:bCs/>
          <w:color w:val="000000"/>
          <w:sz w:val="28"/>
          <w:szCs w:val="28"/>
        </w:rPr>
        <w:t>加油站基本情况</w:t>
      </w:r>
      <w:bookmarkEnd w:id="50"/>
      <w:bookmarkEnd w:id="51"/>
      <w:bookmarkEnd w:id="52"/>
      <w:bookmarkEnd w:id="53"/>
    </w:p>
    <w:p w14:paraId="7F44F01E">
      <w:pPr>
        <w:wordWrap w:val="0"/>
        <w:spacing w:line="600" w:lineRule="exact"/>
        <w:jc w:val="center"/>
        <w:textAlignment w:val="center"/>
        <w:rPr>
          <w:rFonts w:hint="eastAsia" w:eastAsia="宋体"/>
          <w:color w:val="000000"/>
          <w:sz w:val="28"/>
          <w:szCs w:val="28"/>
          <w:lang w:val="en-US" w:eastAsia="zh-CN"/>
        </w:rPr>
      </w:pPr>
      <w:r>
        <w:rPr>
          <w:color w:val="000000"/>
          <w:sz w:val="28"/>
          <w:szCs w:val="28"/>
        </w:rPr>
        <w:t>表2</w:t>
      </w:r>
      <w:r>
        <w:rPr>
          <w:rFonts w:hint="eastAsia"/>
          <w:color w:val="000000"/>
          <w:sz w:val="28"/>
          <w:szCs w:val="28"/>
        </w:rPr>
        <w:t>.1</w:t>
      </w:r>
      <w:r>
        <w:rPr>
          <w:color w:val="000000"/>
          <w:sz w:val="28"/>
          <w:szCs w:val="28"/>
        </w:rPr>
        <w:t>-1加油站基本情</w:t>
      </w:r>
      <w:r>
        <w:rPr>
          <w:rFonts w:hint="eastAsia"/>
          <w:color w:val="000000"/>
          <w:sz w:val="28"/>
          <w:szCs w:val="28"/>
          <w:lang w:val="en-US" w:eastAsia="zh-CN"/>
        </w:rPr>
        <w:t>况</w:t>
      </w:r>
    </w:p>
    <w:tbl>
      <w:tblPr>
        <w:tblStyle w:val="20"/>
        <w:tblW w:w="90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431"/>
        <w:gridCol w:w="393"/>
        <w:gridCol w:w="230"/>
        <w:gridCol w:w="64"/>
        <w:gridCol w:w="815"/>
        <w:gridCol w:w="122"/>
        <w:gridCol w:w="82"/>
        <w:gridCol w:w="698"/>
        <w:gridCol w:w="198"/>
        <w:gridCol w:w="325"/>
        <w:gridCol w:w="352"/>
        <w:gridCol w:w="295"/>
        <w:gridCol w:w="211"/>
        <w:gridCol w:w="652"/>
        <w:gridCol w:w="103"/>
        <w:gridCol w:w="115"/>
        <w:gridCol w:w="534"/>
        <w:gridCol w:w="316"/>
        <w:gridCol w:w="193"/>
        <w:gridCol w:w="172"/>
        <w:gridCol w:w="189"/>
        <w:gridCol w:w="413"/>
        <w:gridCol w:w="1150"/>
      </w:tblGrid>
      <w:tr w14:paraId="7D2F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3BA5BAA0">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企业名称</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3EAC1C78">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鄱阳县昌洲宏图加油站</w:t>
            </w:r>
          </w:p>
        </w:tc>
      </w:tr>
      <w:tr w14:paraId="207D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26DFACCA">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注册地址</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14DD8A1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鄱阳县昌洲乡永林村委会曹家村</w:t>
            </w:r>
          </w:p>
        </w:tc>
      </w:tr>
      <w:tr w14:paraId="774A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35F4114C">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联系电话</w:t>
            </w:r>
          </w:p>
        </w:tc>
        <w:tc>
          <w:tcPr>
            <w:tcW w:w="1706" w:type="dxa"/>
            <w:gridSpan w:val="6"/>
            <w:tcBorders>
              <w:top w:val="single" w:color="auto" w:sz="4" w:space="0"/>
              <w:left w:val="single" w:color="auto" w:sz="4" w:space="0"/>
              <w:bottom w:val="single" w:color="auto" w:sz="4" w:space="0"/>
              <w:right w:val="single" w:color="auto" w:sz="4" w:space="0"/>
            </w:tcBorders>
            <w:noWrap w:val="0"/>
            <w:vAlign w:val="center"/>
          </w:tcPr>
          <w:p w14:paraId="77DF598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18379928908</w:t>
            </w:r>
          </w:p>
        </w:tc>
        <w:tc>
          <w:tcPr>
            <w:tcW w:w="1221" w:type="dxa"/>
            <w:gridSpan w:val="3"/>
            <w:tcBorders>
              <w:top w:val="single" w:color="auto" w:sz="4" w:space="0"/>
              <w:left w:val="single" w:color="auto" w:sz="4" w:space="0"/>
              <w:bottom w:val="single" w:color="auto" w:sz="4" w:space="0"/>
              <w:right w:val="single" w:color="auto" w:sz="4" w:space="0"/>
            </w:tcBorders>
            <w:noWrap w:val="0"/>
            <w:vAlign w:val="center"/>
          </w:tcPr>
          <w:p w14:paraId="755835A5">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传真</w:t>
            </w:r>
          </w:p>
        </w:tc>
        <w:tc>
          <w:tcPr>
            <w:tcW w:w="1728" w:type="dxa"/>
            <w:gridSpan w:val="6"/>
            <w:tcBorders>
              <w:top w:val="single" w:color="auto" w:sz="4" w:space="0"/>
              <w:left w:val="single" w:color="auto" w:sz="4" w:space="0"/>
              <w:bottom w:val="single" w:color="auto" w:sz="4" w:space="0"/>
              <w:right w:val="single" w:color="auto" w:sz="4" w:space="0"/>
            </w:tcBorders>
            <w:noWrap w:val="0"/>
            <w:vAlign w:val="center"/>
          </w:tcPr>
          <w:p w14:paraId="2E622C09">
            <w:pPr>
              <w:spacing w:line="260" w:lineRule="exact"/>
              <w:jc w:val="center"/>
              <w:rPr>
                <w:rFonts w:hint="eastAsia" w:ascii="Times New Roman" w:hAnsi="Times New Roman" w:eastAsia="宋体" w:cs="Times New Roman"/>
                <w:sz w:val="21"/>
                <w:szCs w:val="21"/>
              </w:rPr>
            </w:pPr>
          </w:p>
        </w:tc>
        <w:tc>
          <w:tcPr>
            <w:tcW w:w="1404" w:type="dxa"/>
            <w:gridSpan w:val="5"/>
            <w:tcBorders>
              <w:top w:val="single" w:color="auto" w:sz="4" w:space="0"/>
              <w:left w:val="single" w:color="auto" w:sz="4" w:space="0"/>
              <w:bottom w:val="single" w:color="auto" w:sz="4" w:space="0"/>
              <w:right w:val="single" w:color="auto" w:sz="4" w:space="0"/>
            </w:tcBorders>
            <w:noWrap w:val="0"/>
            <w:vAlign w:val="center"/>
          </w:tcPr>
          <w:p w14:paraId="6906D8A2">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邮政编码</w:t>
            </w:r>
          </w:p>
        </w:tc>
        <w:tc>
          <w:tcPr>
            <w:tcW w:w="1563" w:type="dxa"/>
            <w:gridSpan w:val="2"/>
            <w:tcBorders>
              <w:top w:val="single" w:color="auto" w:sz="4" w:space="0"/>
              <w:left w:val="single" w:color="auto" w:sz="4" w:space="0"/>
              <w:bottom w:val="single" w:color="auto" w:sz="4" w:space="0"/>
              <w:right w:val="single" w:color="auto" w:sz="4" w:space="0"/>
            </w:tcBorders>
            <w:noWrap w:val="0"/>
            <w:vAlign w:val="center"/>
          </w:tcPr>
          <w:p w14:paraId="51F80879">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333100</w:t>
            </w:r>
          </w:p>
        </w:tc>
      </w:tr>
      <w:tr w14:paraId="61A5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40200CA4">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企业类型</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454BA915">
            <w:pPr>
              <w:spacing w:line="260" w:lineRule="exact"/>
              <w:ind w:firstLine="2520" w:firstLineChars="120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个人独资企业</w:t>
            </w:r>
          </w:p>
        </w:tc>
      </w:tr>
      <w:tr w14:paraId="6877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34ACF9EB">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非法人类别</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48AF6491">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分公司</w:t>
            </w:r>
            <w:r>
              <w:rPr>
                <w:rFonts w:hint="eastAsia" w:ascii="Times New Roman" w:hAnsi="Times New Roman" w:eastAsia="宋体" w:cs="Times New Roman"/>
                <w:sz w:val="21"/>
                <w:szCs w:val="21"/>
              </w:rPr>
              <w:sym w:font="Wingdings 2" w:char="00A3"/>
            </w:r>
            <w:r>
              <w:rPr>
                <w:rFonts w:hint="eastAsia" w:ascii="Times New Roman" w:hAnsi="Times New Roman" w:eastAsia="宋体" w:cs="Times New Roman"/>
                <w:sz w:val="21"/>
                <w:szCs w:val="21"/>
              </w:rPr>
              <w:t>　　　　  办事机构□</w:t>
            </w:r>
          </w:p>
        </w:tc>
      </w:tr>
      <w:tr w14:paraId="30E7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183BACB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特别类型</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3828E569">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个体工商户□            百货商店（场）□</w:t>
            </w:r>
          </w:p>
        </w:tc>
      </w:tr>
      <w:tr w14:paraId="4F07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48B4A6AB">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经济类型</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73804709">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全民所有制 □   集体所有制□      私有制■ </w:t>
            </w:r>
          </w:p>
        </w:tc>
      </w:tr>
      <w:tr w14:paraId="729F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3A33BD7D">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主管单位</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326DC487">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                                                                                                                                                                                                                                                                                                                                                                                                                                                                                                                                                                                                                               </w:t>
            </w:r>
          </w:p>
        </w:tc>
      </w:tr>
      <w:tr w14:paraId="6B90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3B87459D">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登记机关</w:t>
            </w:r>
          </w:p>
        </w:tc>
        <w:tc>
          <w:tcPr>
            <w:tcW w:w="7622" w:type="dxa"/>
            <w:gridSpan w:val="22"/>
            <w:tcBorders>
              <w:top w:val="single" w:color="auto" w:sz="4" w:space="0"/>
              <w:left w:val="single" w:color="auto" w:sz="4" w:space="0"/>
              <w:bottom w:val="single" w:color="auto" w:sz="4" w:space="0"/>
              <w:right w:val="single" w:color="auto" w:sz="4" w:space="0"/>
            </w:tcBorders>
            <w:noWrap w:val="0"/>
            <w:vAlign w:val="center"/>
          </w:tcPr>
          <w:p w14:paraId="70C72C61">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鄱阳县市场和质量监督管理局</w:t>
            </w:r>
          </w:p>
        </w:tc>
      </w:tr>
      <w:tr w14:paraId="6F7D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1105EBDA">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法定代表人</w:t>
            </w:r>
          </w:p>
        </w:tc>
        <w:tc>
          <w:tcPr>
            <w:tcW w:w="2927" w:type="dxa"/>
            <w:gridSpan w:val="9"/>
            <w:tcBorders>
              <w:top w:val="single" w:color="auto" w:sz="4" w:space="0"/>
              <w:left w:val="single" w:color="auto" w:sz="4" w:space="0"/>
              <w:bottom w:val="single" w:color="auto" w:sz="4" w:space="0"/>
              <w:right w:val="single" w:color="auto" w:sz="4" w:space="0"/>
            </w:tcBorders>
            <w:noWrap w:val="0"/>
            <w:vAlign w:val="center"/>
          </w:tcPr>
          <w:p w14:paraId="28443D5A">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徐培阳</w:t>
            </w:r>
          </w:p>
        </w:tc>
        <w:tc>
          <w:tcPr>
            <w:tcW w:w="1510" w:type="dxa"/>
            <w:gridSpan w:val="4"/>
            <w:tcBorders>
              <w:top w:val="single" w:color="auto" w:sz="4" w:space="0"/>
              <w:left w:val="single" w:color="auto" w:sz="4" w:space="0"/>
              <w:bottom w:val="single" w:color="auto" w:sz="4" w:space="0"/>
              <w:right w:val="single" w:color="auto" w:sz="4" w:space="0"/>
            </w:tcBorders>
            <w:noWrap w:val="0"/>
            <w:vAlign w:val="center"/>
          </w:tcPr>
          <w:p w14:paraId="2C0C87F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主管负责人</w:t>
            </w:r>
          </w:p>
        </w:tc>
        <w:tc>
          <w:tcPr>
            <w:tcW w:w="3185" w:type="dxa"/>
            <w:gridSpan w:val="9"/>
            <w:tcBorders>
              <w:top w:val="single" w:color="auto" w:sz="4" w:space="0"/>
              <w:left w:val="single" w:color="auto" w:sz="4" w:space="0"/>
              <w:bottom w:val="single" w:color="auto" w:sz="4" w:space="0"/>
              <w:right w:val="single" w:color="auto" w:sz="4" w:space="0"/>
            </w:tcBorders>
            <w:noWrap w:val="0"/>
            <w:vAlign w:val="center"/>
          </w:tcPr>
          <w:p w14:paraId="2051E1C8">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徐培阳</w:t>
            </w:r>
          </w:p>
        </w:tc>
      </w:tr>
      <w:tr w14:paraId="0717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tcBorders>
              <w:top w:val="single" w:color="auto" w:sz="4" w:space="0"/>
              <w:left w:val="single" w:color="auto" w:sz="4" w:space="0"/>
              <w:bottom w:val="single" w:color="auto" w:sz="4" w:space="0"/>
              <w:right w:val="single" w:color="auto" w:sz="4" w:space="0"/>
            </w:tcBorders>
            <w:noWrap w:val="0"/>
            <w:vAlign w:val="center"/>
          </w:tcPr>
          <w:p w14:paraId="3B5A9937">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职工人数</w:t>
            </w:r>
          </w:p>
        </w:tc>
        <w:tc>
          <w:tcPr>
            <w:tcW w:w="1624" w:type="dxa"/>
            <w:gridSpan w:val="5"/>
            <w:tcBorders>
              <w:top w:val="single" w:color="auto" w:sz="4" w:space="0"/>
              <w:left w:val="single" w:color="auto" w:sz="4" w:space="0"/>
              <w:bottom w:val="single" w:color="auto" w:sz="4" w:space="0"/>
              <w:right w:val="single" w:color="auto" w:sz="4" w:space="0"/>
            </w:tcBorders>
            <w:noWrap w:val="0"/>
            <w:vAlign w:val="center"/>
          </w:tcPr>
          <w:p w14:paraId="1C68AC0F">
            <w:pPr>
              <w:spacing w:line="260" w:lineRule="exact"/>
              <w:jc w:val="center"/>
              <w:rPr>
                <w:rFonts w:hint="eastAsia" w:ascii="Times New Roman" w:hAnsi="Times New Roman" w:eastAsia="宋体" w:cs="Times New Roman"/>
                <w:sz w:val="21"/>
                <w:szCs w:val="21"/>
              </w:rPr>
            </w:pPr>
            <w:r>
              <w:rPr>
                <w:rFonts w:hint="eastAsia" w:cs="Times New Roman"/>
                <w:sz w:val="21"/>
                <w:szCs w:val="21"/>
                <w:lang w:val="en-US" w:eastAsia="zh-CN"/>
              </w:rPr>
              <w:t>3</w:t>
            </w:r>
            <w:r>
              <w:rPr>
                <w:rFonts w:hint="eastAsia" w:ascii="Times New Roman" w:hAnsi="Times New Roman" w:eastAsia="宋体" w:cs="Times New Roman"/>
                <w:sz w:val="21"/>
                <w:szCs w:val="21"/>
              </w:rPr>
              <w:t>人</w:t>
            </w:r>
          </w:p>
        </w:tc>
        <w:tc>
          <w:tcPr>
            <w:tcW w:w="1303" w:type="dxa"/>
            <w:gridSpan w:val="4"/>
            <w:tcBorders>
              <w:top w:val="single" w:color="auto" w:sz="4" w:space="0"/>
              <w:left w:val="single" w:color="auto" w:sz="4" w:space="0"/>
              <w:bottom w:val="single" w:color="auto" w:sz="4" w:space="0"/>
              <w:right w:val="single" w:color="auto" w:sz="4" w:space="0"/>
            </w:tcBorders>
            <w:noWrap w:val="0"/>
            <w:vAlign w:val="center"/>
          </w:tcPr>
          <w:p w14:paraId="07DAAF32">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技术管</w:t>
            </w:r>
          </w:p>
          <w:p w14:paraId="172E7962">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理人数</w:t>
            </w:r>
          </w:p>
        </w:tc>
        <w:tc>
          <w:tcPr>
            <w:tcW w:w="1510" w:type="dxa"/>
            <w:gridSpan w:val="4"/>
            <w:tcBorders>
              <w:top w:val="single" w:color="auto" w:sz="4" w:space="0"/>
              <w:left w:val="single" w:color="auto" w:sz="4" w:space="0"/>
              <w:bottom w:val="single" w:color="auto" w:sz="4" w:space="0"/>
              <w:right w:val="single" w:color="auto" w:sz="4" w:space="0"/>
            </w:tcBorders>
            <w:noWrap w:val="0"/>
            <w:vAlign w:val="center"/>
          </w:tcPr>
          <w:p w14:paraId="397EFE09">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1人</w:t>
            </w:r>
          </w:p>
        </w:tc>
        <w:tc>
          <w:tcPr>
            <w:tcW w:w="1433" w:type="dxa"/>
            <w:gridSpan w:val="6"/>
            <w:tcBorders>
              <w:top w:val="single" w:color="auto" w:sz="4" w:space="0"/>
              <w:left w:val="single" w:color="auto" w:sz="4" w:space="0"/>
              <w:bottom w:val="single" w:color="auto" w:sz="4" w:space="0"/>
              <w:right w:val="single" w:color="auto" w:sz="4" w:space="0"/>
            </w:tcBorders>
            <w:noWrap w:val="0"/>
            <w:vAlign w:val="center"/>
          </w:tcPr>
          <w:p w14:paraId="039B30A5">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安全管</w:t>
            </w:r>
          </w:p>
          <w:p w14:paraId="2F39F2FB">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理人数</w:t>
            </w:r>
          </w:p>
        </w:tc>
        <w:tc>
          <w:tcPr>
            <w:tcW w:w="1752" w:type="dxa"/>
            <w:gridSpan w:val="3"/>
            <w:tcBorders>
              <w:top w:val="single" w:color="auto" w:sz="4" w:space="0"/>
              <w:left w:val="single" w:color="auto" w:sz="4" w:space="0"/>
              <w:bottom w:val="single" w:color="auto" w:sz="4" w:space="0"/>
              <w:right w:val="single" w:color="auto" w:sz="4" w:space="0"/>
            </w:tcBorders>
            <w:noWrap w:val="0"/>
            <w:vAlign w:val="center"/>
          </w:tcPr>
          <w:p w14:paraId="41660925">
            <w:pPr>
              <w:spacing w:line="260" w:lineRule="exact"/>
              <w:jc w:val="center"/>
              <w:rPr>
                <w:rFonts w:hint="eastAsia" w:ascii="Times New Roman" w:hAnsi="Times New Roman" w:eastAsia="宋体" w:cs="Times New Roman"/>
                <w:sz w:val="21"/>
                <w:szCs w:val="21"/>
              </w:rPr>
            </w:pPr>
            <w:r>
              <w:rPr>
                <w:rFonts w:hint="eastAsia" w:cs="Times New Roman"/>
                <w:sz w:val="21"/>
                <w:szCs w:val="21"/>
                <w:lang w:val="en-US" w:eastAsia="zh-CN"/>
              </w:rPr>
              <w:t>1</w:t>
            </w:r>
            <w:r>
              <w:rPr>
                <w:rFonts w:hint="eastAsia" w:ascii="Times New Roman" w:hAnsi="Times New Roman" w:eastAsia="宋体" w:cs="Times New Roman"/>
                <w:sz w:val="21"/>
                <w:szCs w:val="21"/>
              </w:rPr>
              <w:t>人</w:t>
            </w:r>
          </w:p>
        </w:tc>
      </w:tr>
      <w:tr w14:paraId="2F5D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396" w:type="dxa"/>
            <w:gridSpan w:val="2"/>
            <w:vMerge w:val="restart"/>
            <w:tcBorders>
              <w:top w:val="single" w:color="auto" w:sz="4" w:space="0"/>
              <w:left w:val="single" w:color="auto" w:sz="4" w:space="0"/>
              <w:right w:val="single" w:color="auto" w:sz="4" w:space="0"/>
            </w:tcBorders>
            <w:noWrap w:val="0"/>
            <w:vAlign w:val="center"/>
          </w:tcPr>
          <w:p w14:paraId="06006659">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经营场所</w:t>
            </w:r>
          </w:p>
        </w:tc>
        <w:tc>
          <w:tcPr>
            <w:tcW w:w="1624" w:type="dxa"/>
            <w:gridSpan w:val="5"/>
            <w:tcBorders>
              <w:top w:val="single" w:color="auto" w:sz="4" w:space="0"/>
              <w:left w:val="single" w:color="auto" w:sz="4" w:space="0"/>
              <w:bottom w:val="single" w:color="auto" w:sz="4" w:space="0"/>
              <w:right w:val="single" w:color="auto" w:sz="4" w:space="0"/>
            </w:tcBorders>
            <w:noWrap w:val="0"/>
            <w:vAlign w:val="center"/>
          </w:tcPr>
          <w:p w14:paraId="744384F2">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地址</w:t>
            </w:r>
          </w:p>
        </w:tc>
        <w:tc>
          <w:tcPr>
            <w:tcW w:w="5998" w:type="dxa"/>
            <w:gridSpan w:val="17"/>
            <w:tcBorders>
              <w:top w:val="single" w:color="auto" w:sz="4" w:space="0"/>
              <w:left w:val="single" w:color="auto" w:sz="4" w:space="0"/>
              <w:bottom w:val="single" w:color="auto" w:sz="4" w:space="0"/>
              <w:right w:val="single" w:color="auto" w:sz="4" w:space="0"/>
            </w:tcBorders>
            <w:noWrap w:val="0"/>
            <w:vAlign w:val="center"/>
          </w:tcPr>
          <w:p w14:paraId="5AFBC51E">
            <w:pPr>
              <w:spacing w:line="260" w:lineRule="exact"/>
              <w:jc w:val="center"/>
              <w:rPr>
                <w:rFonts w:hint="eastAsia" w:ascii="Times New Roman" w:hAnsi="Times New Roman" w:eastAsia="宋体" w:cs="Times New Roman"/>
                <w:sz w:val="24"/>
              </w:rPr>
            </w:pPr>
            <w:r>
              <w:rPr>
                <w:rFonts w:hint="eastAsia" w:ascii="Times New Roman" w:hAnsi="Times New Roman" w:eastAsia="宋体" w:cs="Times New Roman"/>
                <w:sz w:val="21"/>
                <w:szCs w:val="21"/>
              </w:rPr>
              <w:t>鄱阳县昌洲乡永林村委会曹家村</w:t>
            </w:r>
          </w:p>
        </w:tc>
      </w:tr>
      <w:tr w14:paraId="0692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vMerge w:val="continue"/>
            <w:tcBorders>
              <w:left w:val="single" w:color="auto" w:sz="4" w:space="0"/>
              <w:right w:val="single" w:color="auto" w:sz="4" w:space="0"/>
            </w:tcBorders>
            <w:noWrap w:val="0"/>
            <w:vAlign w:val="center"/>
          </w:tcPr>
          <w:p w14:paraId="53D41394">
            <w:pPr>
              <w:spacing w:line="260" w:lineRule="exact"/>
              <w:jc w:val="center"/>
              <w:rPr>
                <w:rFonts w:hint="eastAsia" w:ascii="Times New Roman" w:hAnsi="Times New Roman" w:eastAsia="宋体" w:cs="Times New Roman"/>
                <w:sz w:val="21"/>
                <w:szCs w:val="21"/>
              </w:rPr>
            </w:pPr>
          </w:p>
        </w:tc>
        <w:tc>
          <w:tcPr>
            <w:tcW w:w="1624" w:type="dxa"/>
            <w:gridSpan w:val="5"/>
            <w:tcBorders>
              <w:top w:val="single" w:color="auto" w:sz="4" w:space="0"/>
              <w:left w:val="single" w:color="auto" w:sz="4" w:space="0"/>
              <w:bottom w:val="single" w:color="auto" w:sz="4" w:space="0"/>
              <w:right w:val="single" w:color="auto" w:sz="4" w:space="0"/>
            </w:tcBorders>
            <w:noWrap w:val="0"/>
            <w:vAlign w:val="center"/>
          </w:tcPr>
          <w:p w14:paraId="554DE0A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产权</w:t>
            </w:r>
          </w:p>
        </w:tc>
        <w:tc>
          <w:tcPr>
            <w:tcW w:w="5998" w:type="dxa"/>
            <w:gridSpan w:val="17"/>
            <w:tcBorders>
              <w:top w:val="single" w:color="auto" w:sz="4" w:space="0"/>
              <w:left w:val="single" w:color="auto" w:sz="4" w:space="0"/>
              <w:bottom w:val="single" w:color="auto" w:sz="4" w:space="0"/>
              <w:right w:val="single" w:color="auto" w:sz="4" w:space="0"/>
            </w:tcBorders>
            <w:noWrap w:val="0"/>
            <w:vAlign w:val="center"/>
          </w:tcPr>
          <w:p w14:paraId="39B28AFA">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自有■     租赁□       承包□  </w:t>
            </w:r>
          </w:p>
        </w:tc>
      </w:tr>
      <w:tr w14:paraId="1D74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96" w:type="dxa"/>
            <w:gridSpan w:val="2"/>
            <w:vMerge w:val="restart"/>
            <w:tcBorders>
              <w:left w:val="single" w:color="auto" w:sz="4" w:space="0"/>
              <w:right w:val="single" w:color="auto" w:sz="4" w:space="0"/>
            </w:tcBorders>
            <w:noWrap w:val="0"/>
            <w:vAlign w:val="center"/>
          </w:tcPr>
          <w:p w14:paraId="09EA9302">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储存设施</w:t>
            </w:r>
          </w:p>
        </w:tc>
        <w:tc>
          <w:tcPr>
            <w:tcW w:w="1624" w:type="dxa"/>
            <w:gridSpan w:val="5"/>
            <w:tcBorders>
              <w:top w:val="single" w:color="auto" w:sz="4" w:space="0"/>
              <w:left w:val="single" w:color="auto" w:sz="4" w:space="0"/>
              <w:bottom w:val="single" w:color="auto" w:sz="4" w:space="0"/>
              <w:right w:val="single" w:color="auto" w:sz="4" w:space="0"/>
            </w:tcBorders>
            <w:noWrap w:val="0"/>
            <w:vAlign w:val="center"/>
          </w:tcPr>
          <w:p w14:paraId="69335B6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地址</w:t>
            </w:r>
          </w:p>
        </w:tc>
        <w:tc>
          <w:tcPr>
            <w:tcW w:w="5998" w:type="dxa"/>
            <w:gridSpan w:val="17"/>
            <w:tcBorders>
              <w:top w:val="single" w:color="auto" w:sz="4" w:space="0"/>
              <w:left w:val="single" w:color="auto" w:sz="4" w:space="0"/>
              <w:bottom w:val="single" w:color="auto" w:sz="4" w:space="0"/>
              <w:right w:val="single" w:color="auto" w:sz="4" w:space="0"/>
            </w:tcBorders>
            <w:noWrap w:val="0"/>
            <w:vAlign w:val="center"/>
          </w:tcPr>
          <w:p w14:paraId="5B37AAFA">
            <w:pPr>
              <w:spacing w:line="260" w:lineRule="exact"/>
              <w:jc w:val="center"/>
              <w:rPr>
                <w:rFonts w:hint="eastAsia" w:ascii="Times New Roman" w:hAnsi="Times New Roman" w:eastAsia="宋体" w:cs="Times New Roman"/>
                <w:sz w:val="24"/>
              </w:rPr>
            </w:pPr>
            <w:r>
              <w:rPr>
                <w:rFonts w:hint="eastAsia" w:ascii="Times New Roman" w:hAnsi="Times New Roman" w:eastAsia="宋体" w:cs="Times New Roman"/>
                <w:sz w:val="21"/>
                <w:szCs w:val="21"/>
              </w:rPr>
              <w:t>鄱阳县昌洲宏图加油站内</w:t>
            </w:r>
          </w:p>
        </w:tc>
      </w:tr>
      <w:tr w14:paraId="6198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vMerge w:val="continue"/>
            <w:tcBorders>
              <w:left w:val="single" w:color="auto" w:sz="4" w:space="0"/>
              <w:right w:val="single" w:color="auto" w:sz="4" w:space="0"/>
            </w:tcBorders>
            <w:noWrap w:val="0"/>
            <w:vAlign w:val="center"/>
          </w:tcPr>
          <w:p w14:paraId="729C4400">
            <w:pPr>
              <w:spacing w:line="260" w:lineRule="exact"/>
              <w:jc w:val="center"/>
              <w:rPr>
                <w:rFonts w:hint="eastAsia" w:ascii="Times New Roman" w:hAnsi="Times New Roman" w:eastAsia="宋体" w:cs="Times New Roman"/>
                <w:sz w:val="21"/>
                <w:szCs w:val="21"/>
              </w:rPr>
            </w:pPr>
          </w:p>
        </w:tc>
        <w:tc>
          <w:tcPr>
            <w:tcW w:w="1624" w:type="dxa"/>
            <w:gridSpan w:val="5"/>
            <w:tcBorders>
              <w:top w:val="single" w:color="auto" w:sz="4" w:space="0"/>
              <w:left w:val="single" w:color="auto" w:sz="4" w:space="0"/>
              <w:bottom w:val="single" w:color="auto" w:sz="4" w:space="0"/>
              <w:right w:val="single" w:color="auto" w:sz="4" w:space="0"/>
            </w:tcBorders>
            <w:noWrap w:val="0"/>
            <w:vAlign w:val="center"/>
          </w:tcPr>
          <w:p w14:paraId="47F336A8">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建筑结构</w:t>
            </w:r>
          </w:p>
        </w:tc>
        <w:tc>
          <w:tcPr>
            <w:tcW w:w="2161" w:type="dxa"/>
            <w:gridSpan w:val="7"/>
            <w:tcBorders>
              <w:top w:val="single" w:color="auto" w:sz="4" w:space="0"/>
              <w:left w:val="single" w:color="auto" w:sz="4" w:space="0"/>
              <w:bottom w:val="single" w:color="auto" w:sz="4" w:space="0"/>
              <w:right w:val="single" w:color="auto" w:sz="4" w:space="0"/>
            </w:tcBorders>
            <w:noWrap w:val="0"/>
            <w:vAlign w:val="center"/>
          </w:tcPr>
          <w:p w14:paraId="3CE33344">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单层钢罐</w:t>
            </w:r>
          </w:p>
        </w:tc>
        <w:tc>
          <w:tcPr>
            <w:tcW w:w="1404" w:type="dxa"/>
            <w:gridSpan w:val="4"/>
            <w:tcBorders>
              <w:top w:val="single" w:color="auto" w:sz="4" w:space="0"/>
              <w:left w:val="single" w:color="auto" w:sz="4" w:space="0"/>
              <w:bottom w:val="single" w:color="auto" w:sz="4" w:space="0"/>
              <w:right w:val="single" w:color="auto" w:sz="4" w:space="0"/>
            </w:tcBorders>
            <w:noWrap w:val="0"/>
            <w:vAlign w:val="center"/>
          </w:tcPr>
          <w:p w14:paraId="67D740AB">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储存能力</w:t>
            </w:r>
          </w:p>
        </w:tc>
        <w:tc>
          <w:tcPr>
            <w:tcW w:w="2433" w:type="dxa"/>
            <w:gridSpan w:val="6"/>
            <w:tcBorders>
              <w:top w:val="single" w:color="auto" w:sz="4" w:space="0"/>
              <w:left w:val="single" w:color="auto" w:sz="4" w:space="0"/>
              <w:bottom w:val="single" w:color="auto" w:sz="4" w:space="0"/>
              <w:right w:val="single" w:color="auto" w:sz="4" w:space="0"/>
            </w:tcBorders>
            <w:noWrap w:val="0"/>
            <w:vAlign w:val="center"/>
          </w:tcPr>
          <w:p w14:paraId="392A7404">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140m</w:t>
            </w:r>
            <w:r>
              <w:rPr>
                <w:rFonts w:hint="eastAsia" w:ascii="Times New Roman" w:hAnsi="Times New Roman" w:eastAsia="宋体" w:cs="Times New Roman"/>
                <w:sz w:val="21"/>
                <w:szCs w:val="21"/>
                <w:vertAlign w:val="superscript"/>
              </w:rPr>
              <w:t>3</w:t>
            </w:r>
          </w:p>
        </w:tc>
      </w:tr>
      <w:tr w14:paraId="5A3D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396" w:type="dxa"/>
            <w:gridSpan w:val="2"/>
            <w:vMerge w:val="continue"/>
            <w:tcBorders>
              <w:left w:val="single" w:color="auto" w:sz="4" w:space="0"/>
              <w:right w:val="single" w:color="auto" w:sz="4" w:space="0"/>
            </w:tcBorders>
            <w:noWrap w:val="0"/>
            <w:vAlign w:val="center"/>
          </w:tcPr>
          <w:p w14:paraId="4080886A">
            <w:pPr>
              <w:spacing w:line="260" w:lineRule="exact"/>
              <w:jc w:val="center"/>
              <w:rPr>
                <w:rFonts w:hint="eastAsia" w:ascii="Times New Roman" w:hAnsi="Times New Roman" w:eastAsia="宋体" w:cs="Times New Roman"/>
                <w:sz w:val="21"/>
                <w:szCs w:val="21"/>
              </w:rPr>
            </w:pPr>
          </w:p>
        </w:tc>
        <w:tc>
          <w:tcPr>
            <w:tcW w:w="1624" w:type="dxa"/>
            <w:gridSpan w:val="5"/>
            <w:tcBorders>
              <w:top w:val="single" w:color="auto" w:sz="4" w:space="0"/>
              <w:left w:val="single" w:color="auto" w:sz="4" w:space="0"/>
              <w:bottom w:val="single" w:color="auto" w:sz="4" w:space="0"/>
              <w:right w:val="single" w:color="auto" w:sz="4" w:space="0"/>
            </w:tcBorders>
            <w:noWrap w:val="0"/>
            <w:vAlign w:val="center"/>
          </w:tcPr>
          <w:p w14:paraId="397E6E3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产权</w:t>
            </w:r>
          </w:p>
        </w:tc>
        <w:tc>
          <w:tcPr>
            <w:tcW w:w="5998" w:type="dxa"/>
            <w:gridSpan w:val="17"/>
            <w:tcBorders>
              <w:top w:val="single" w:color="auto" w:sz="4" w:space="0"/>
              <w:left w:val="single" w:color="auto" w:sz="4" w:space="0"/>
              <w:bottom w:val="single" w:color="auto" w:sz="4" w:space="0"/>
              <w:right w:val="single" w:color="auto" w:sz="4" w:space="0"/>
            </w:tcBorders>
            <w:noWrap w:val="0"/>
            <w:vAlign w:val="center"/>
          </w:tcPr>
          <w:p w14:paraId="172C5EE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自有■      租赁□       承包□ </w:t>
            </w:r>
          </w:p>
        </w:tc>
      </w:tr>
      <w:tr w14:paraId="70C7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083" w:type="dxa"/>
            <w:gridSpan w:val="5"/>
            <w:tcBorders>
              <w:left w:val="single" w:color="auto" w:sz="4" w:space="0"/>
              <w:right w:val="single" w:color="auto" w:sz="4" w:space="0"/>
            </w:tcBorders>
            <w:noWrap w:val="0"/>
            <w:vAlign w:val="center"/>
          </w:tcPr>
          <w:p w14:paraId="3F98567A">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仓储设施设计单位</w:t>
            </w:r>
          </w:p>
        </w:tc>
        <w:tc>
          <w:tcPr>
            <w:tcW w:w="2887" w:type="dxa"/>
            <w:gridSpan w:val="8"/>
            <w:tcBorders>
              <w:left w:val="single" w:color="auto" w:sz="4" w:space="0"/>
              <w:right w:val="single" w:color="auto" w:sz="4" w:space="0"/>
            </w:tcBorders>
            <w:noWrap w:val="0"/>
            <w:vAlign w:val="center"/>
          </w:tcPr>
          <w:p w14:paraId="02EC035A">
            <w:pPr>
              <w:spacing w:line="260" w:lineRule="exact"/>
              <w:jc w:val="center"/>
              <w:rPr>
                <w:rFonts w:hint="eastAsia" w:ascii="Times New Roman" w:hAnsi="Times New Roman" w:eastAsia="宋体" w:cs="Times New Roman"/>
                <w:sz w:val="21"/>
                <w:szCs w:val="21"/>
              </w:rPr>
            </w:pPr>
          </w:p>
        </w:tc>
        <w:tc>
          <w:tcPr>
            <w:tcW w:w="1931" w:type="dxa"/>
            <w:gridSpan w:val="6"/>
            <w:tcBorders>
              <w:left w:val="single" w:color="auto" w:sz="4" w:space="0"/>
              <w:right w:val="single" w:color="auto" w:sz="4" w:space="0"/>
            </w:tcBorders>
            <w:noWrap w:val="0"/>
            <w:vAlign w:val="center"/>
          </w:tcPr>
          <w:p w14:paraId="04154174">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仓储设施施工单位</w:t>
            </w:r>
          </w:p>
        </w:tc>
        <w:tc>
          <w:tcPr>
            <w:tcW w:w="2117" w:type="dxa"/>
            <w:gridSpan w:val="5"/>
            <w:tcBorders>
              <w:left w:val="single" w:color="auto" w:sz="4" w:space="0"/>
              <w:right w:val="single" w:color="auto" w:sz="4" w:space="0"/>
            </w:tcBorders>
            <w:noWrap w:val="0"/>
            <w:vAlign w:val="center"/>
          </w:tcPr>
          <w:p w14:paraId="1D32AD15">
            <w:pPr>
              <w:spacing w:line="260" w:lineRule="exact"/>
              <w:jc w:val="center"/>
              <w:rPr>
                <w:rFonts w:hint="eastAsia" w:ascii="Times New Roman" w:hAnsi="Times New Roman" w:eastAsia="宋体" w:cs="Times New Roman"/>
                <w:sz w:val="21"/>
                <w:szCs w:val="21"/>
              </w:rPr>
            </w:pPr>
          </w:p>
        </w:tc>
      </w:tr>
      <w:tr w14:paraId="0DD6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1396" w:type="dxa"/>
            <w:gridSpan w:val="2"/>
            <w:tcBorders>
              <w:left w:val="single" w:color="auto" w:sz="4" w:space="0"/>
              <w:bottom w:val="single" w:color="auto" w:sz="4" w:space="0"/>
              <w:right w:val="single" w:color="auto" w:sz="4" w:space="0"/>
            </w:tcBorders>
            <w:noWrap w:val="0"/>
            <w:vAlign w:val="center"/>
          </w:tcPr>
          <w:p w14:paraId="27A8BEC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主要管理</w:t>
            </w:r>
          </w:p>
          <w:p w14:paraId="27CEA57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制度名称</w:t>
            </w:r>
          </w:p>
        </w:tc>
        <w:tc>
          <w:tcPr>
            <w:tcW w:w="7622" w:type="dxa"/>
            <w:gridSpan w:val="22"/>
            <w:tcBorders>
              <w:top w:val="single" w:color="auto" w:sz="4" w:space="0"/>
              <w:left w:val="single" w:color="auto" w:sz="4" w:space="0"/>
              <w:bottom w:val="single" w:color="auto" w:sz="4" w:space="0"/>
              <w:right w:val="single" w:color="auto" w:sz="4" w:space="0"/>
            </w:tcBorders>
            <w:noWrap w:val="0"/>
            <w:vAlign w:val="top"/>
          </w:tcPr>
          <w:p w14:paraId="4CE8D730">
            <w:pPr>
              <w:spacing w:line="260" w:lineRule="exac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 xml:space="preserve">  </w:t>
            </w:r>
            <w:r>
              <w:rPr>
                <w:rFonts w:hint="eastAsia" w:ascii="Times New Roman" w:hAnsi="Times New Roman" w:eastAsia="宋体" w:cs="Times New Roman"/>
                <w:sz w:val="21"/>
                <w:szCs w:val="21"/>
                <w:lang w:val="en-US" w:eastAsia="zh-CN"/>
              </w:rPr>
              <w:t xml:space="preserve">全员岗位安全责任制、危险化学品购销管理制度、安全生产检查制度、安全风险分级管控制度、危险化学品安全管理制度（包括防火、防爆、防中毒、防泄漏管理内容）、职业健康与卫生管理制度、安全投入保障制度、安全生产考核奖罚制度、安全生产教育和培训制度、危险作业管理制度、劳动保护用品使用和管理制度、安全生产隐患排查制度、重大隐患治理情况向负有安全生产监督管理职能部门和企业职工代表大会报告制度、生产安全事故报告和处理制度、生产安全事故紧急处置规程和应急预案（应急管理制度）。 </w:t>
            </w:r>
          </w:p>
        </w:tc>
      </w:tr>
      <w:tr w14:paraId="7EEA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018" w:type="dxa"/>
            <w:gridSpan w:val="24"/>
            <w:noWrap w:val="0"/>
            <w:vAlign w:val="center"/>
          </w:tcPr>
          <w:p w14:paraId="299FE66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主要消防安全设施工、器具配备情况</w:t>
            </w:r>
          </w:p>
        </w:tc>
      </w:tr>
      <w:tr w14:paraId="4505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789" w:type="dxa"/>
            <w:gridSpan w:val="3"/>
            <w:noWrap w:val="0"/>
            <w:vAlign w:val="center"/>
          </w:tcPr>
          <w:p w14:paraId="60A3B93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名称</w:t>
            </w:r>
          </w:p>
        </w:tc>
        <w:tc>
          <w:tcPr>
            <w:tcW w:w="2011" w:type="dxa"/>
            <w:gridSpan w:val="6"/>
            <w:noWrap w:val="0"/>
            <w:vAlign w:val="center"/>
          </w:tcPr>
          <w:p w14:paraId="5057C3C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型号、规格</w:t>
            </w:r>
          </w:p>
        </w:tc>
        <w:tc>
          <w:tcPr>
            <w:tcW w:w="875" w:type="dxa"/>
            <w:gridSpan w:val="3"/>
            <w:noWrap w:val="0"/>
            <w:vAlign w:val="center"/>
          </w:tcPr>
          <w:p w14:paraId="1400C58B">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数量</w:t>
            </w:r>
          </w:p>
        </w:tc>
        <w:tc>
          <w:tcPr>
            <w:tcW w:w="2419" w:type="dxa"/>
            <w:gridSpan w:val="8"/>
            <w:noWrap w:val="0"/>
            <w:vAlign w:val="center"/>
          </w:tcPr>
          <w:p w14:paraId="65CC4DF8">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状况</w:t>
            </w:r>
          </w:p>
        </w:tc>
        <w:tc>
          <w:tcPr>
            <w:tcW w:w="1924" w:type="dxa"/>
            <w:gridSpan w:val="4"/>
            <w:noWrap w:val="0"/>
            <w:vAlign w:val="center"/>
          </w:tcPr>
          <w:p w14:paraId="363A677C">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备注</w:t>
            </w:r>
          </w:p>
        </w:tc>
      </w:tr>
      <w:tr w14:paraId="3372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789" w:type="dxa"/>
            <w:gridSpan w:val="3"/>
            <w:noWrap w:val="0"/>
            <w:vAlign w:val="center"/>
          </w:tcPr>
          <w:p w14:paraId="7B049BB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干粉推车</w:t>
            </w:r>
          </w:p>
        </w:tc>
        <w:tc>
          <w:tcPr>
            <w:tcW w:w="2011" w:type="dxa"/>
            <w:gridSpan w:val="6"/>
            <w:noWrap w:val="0"/>
            <w:vAlign w:val="center"/>
          </w:tcPr>
          <w:p w14:paraId="4B857936">
            <w:pPr>
              <w:spacing w:line="2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35kg</w:t>
            </w:r>
          </w:p>
        </w:tc>
        <w:tc>
          <w:tcPr>
            <w:tcW w:w="875" w:type="dxa"/>
            <w:gridSpan w:val="3"/>
            <w:noWrap w:val="0"/>
            <w:vAlign w:val="center"/>
          </w:tcPr>
          <w:p w14:paraId="26977E6B">
            <w:pPr>
              <w:spacing w:line="260" w:lineRule="exact"/>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2419" w:type="dxa"/>
            <w:gridSpan w:val="8"/>
            <w:noWrap w:val="0"/>
            <w:vAlign w:val="center"/>
          </w:tcPr>
          <w:p w14:paraId="4DFF2169">
            <w:pPr>
              <w:spacing w:line="260" w:lineRule="exact"/>
              <w:jc w:val="center"/>
              <w:rPr>
                <w:rFonts w:hint="eastAsia" w:ascii="Times New Roman" w:hAnsi="Times New Roman" w:eastAsia="宋体" w:cs="Times New Roman"/>
                <w:sz w:val="21"/>
                <w:szCs w:val="21"/>
              </w:rPr>
            </w:pPr>
          </w:p>
        </w:tc>
        <w:tc>
          <w:tcPr>
            <w:tcW w:w="1924" w:type="dxa"/>
            <w:gridSpan w:val="4"/>
            <w:noWrap w:val="0"/>
            <w:vAlign w:val="center"/>
          </w:tcPr>
          <w:p w14:paraId="79057B9F">
            <w:pPr>
              <w:spacing w:line="260" w:lineRule="exact"/>
              <w:jc w:val="center"/>
              <w:rPr>
                <w:rFonts w:hint="eastAsia" w:ascii="Times New Roman" w:hAnsi="Times New Roman" w:eastAsia="宋体" w:cs="Times New Roman"/>
                <w:sz w:val="21"/>
                <w:szCs w:val="21"/>
              </w:rPr>
            </w:pPr>
          </w:p>
        </w:tc>
      </w:tr>
      <w:tr w14:paraId="093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789" w:type="dxa"/>
            <w:gridSpan w:val="3"/>
            <w:noWrap w:val="0"/>
            <w:vAlign w:val="center"/>
          </w:tcPr>
          <w:p w14:paraId="6CE10BCD">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干粉灭火器</w:t>
            </w:r>
          </w:p>
        </w:tc>
        <w:tc>
          <w:tcPr>
            <w:tcW w:w="2011" w:type="dxa"/>
            <w:gridSpan w:val="6"/>
            <w:noWrap w:val="0"/>
            <w:vAlign w:val="center"/>
          </w:tcPr>
          <w:p w14:paraId="7AC0C3A6">
            <w:pPr>
              <w:spacing w:line="2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5kg</w:t>
            </w:r>
          </w:p>
        </w:tc>
        <w:tc>
          <w:tcPr>
            <w:tcW w:w="875" w:type="dxa"/>
            <w:gridSpan w:val="3"/>
            <w:noWrap w:val="0"/>
            <w:vAlign w:val="center"/>
          </w:tcPr>
          <w:p w14:paraId="7A09F9F4">
            <w:pPr>
              <w:spacing w:line="260" w:lineRule="exact"/>
              <w:jc w:val="center"/>
              <w:rPr>
                <w:rFonts w:hint="eastAsia" w:ascii="Times New Roman" w:hAnsi="Times New Roman" w:eastAsia="宋体" w:cs="Times New Roman"/>
                <w:sz w:val="21"/>
                <w:szCs w:val="21"/>
              </w:rPr>
            </w:pPr>
            <w:r>
              <w:rPr>
                <w:rFonts w:hint="eastAsia" w:cs="Times New Roman"/>
                <w:sz w:val="21"/>
                <w:szCs w:val="21"/>
                <w:lang w:val="en-US" w:eastAsia="zh-CN"/>
              </w:rPr>
              <w:t>\</w:t>
            </w:r>
          </w:p>
        </w:tc>
        <w:tc>
          <w:tcPr>
            <w:tcW w:w="2419" w:type="dxa"/>
            <w:gridSpan w:val="8"/>
            <w:noWrap w:val="0"/>
            <w:vAlign w:val="center"/>
          </w:tcPr>
          <w:p w14:paraId="27AEDDDA">
            <w:pPr>
              <w:spacing w:line="260" w:lineRule="exact"/>
              <w:jc w:val="center"/>
              <w:rPr>
                <w:rFonts w:hint="eastAsia" w:ascii="Times New Roman" w:hAnsi="Times New Roman" w:eastAsia="宋体" w:cs="Times New Roman"/>
                <w:sz w:val="21"/>
                <w:szCs w:val="21"/>
              </w:rPr>
            </w:pPr>
          </w:p>
        </w:tc>
        <w:tc>
          <w:tcPr>
            <w:tcW w:w="1924" w:type="dxa"/>
            <w:gridSpan w:val="4"/>
            <w:noWrap w:val="0"/>
            <w:vAlign w:val="center"/>
          </w:tcPr>
          <w:p w14:paraId="1AF55F71">
            <w:pPr>
              <w:spacing w:line="260" w:lineRule="exact"/>
              <w:jc w:val="center"/>
              <w:rPr>
                <w:rFonts w:hint="eastAsia" w:ascii="Times New Roman" w:hAnsi="Times New Roman" w:eastAsia="宋体" w:cs="Times New Roman"/>
                <w:sz w:val="21"/>
                <w:szCs w:val="21"/>
              </w:rPr>
            </w:pPr>
          </w:p>
        </w:tc>
      </w:tr>
      <w:tr w14:paraId="5F4C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789" w:type="dxa"/>
            <w:gridSpan w:val="3"/>
            <w:noWrap w:val="0"/>
            <w:vAlign w:val="center"/>
          </w:tcPr>
          <w:p w14:paraId="26AB743D">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二氧化碳灭火器</w:t>
            </w:r>
          </w:p>
        </w:tc>
        <w:tc>
          <w:tcPr>
            <w:tcW w:w="2011" w:type="dxa"/>
            <w:gridSpan w:val="6"/>
            <w:noWrap w:val="0"/>
            <w:vAlign w:val="center"/>
          </w:tcPr>
          <w:p w14:paraId="5F60140E">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4kg</w:t>
            </w:r>
          </w:p>
        </w:tc>
        <w:tc>
          <w:tcPr>
            <w:tcW w:w="875" w:type="dxa"/>
            <w:gridSpan w:val="3"/>
            <w:noWrap w:val="0"/>
            <w:vAlign w:val="center"/>
          </w:tcPr>
          <w:p w14:paraId="1F16E64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2419" w:type="dxa"/>
            <w:gridSpan w:val="8"/>
            <w:noWrap w:val="0"/>
            <w:vAlign w:val="center"/>
          </w:tcPr>
          <w:p w14:paraId="4B6E351E">
            <w:pPr>
              <w:spacing w:line="260" w:lineRule="exact"/>
              <w:jc w:val="center"/>
              <w:rPr>
                <w:rFonts w:hint="eastAsia" w:ascii="Times New Roman" w:hAnsi="Times New Roman" w:eastAsia="宋体" w:cs="Times New Roman"/>
                <w:sz w:val="21"/>
                <w:szCs w:val="21"/>
              </w:rPr>
            </w:pPr>
          </w:p>
        </w:tc>
        <w:tc>
          <w:tcPr>
            <w:tcW w:w="1924" w:type="dxa"/>
            <w:gridSpan w:val="4"/>
            <w:noWrap w:val="0"/>
            <w:vAlign w:val="center"/>
          </w:tcPr>
          <w:p w14:paraId="6CE73F25">
            <w:pPr>
              <w:spacing w:line="260" w:lineRule="exact"/>
              <w:jc w:val="center"/>
              <w:rPr>
                <w:rFonts w:hint="eastAsia" w:ascii="Times New Roman" w:hAnsi="Times New Roman" w:eastAsia="宋体" w:cs="Times New Roman"/>
                <w:sz w:val="21"/>
                <w:szCs w:val="21"/>
              </w:rPr>
            </w:pPr>
          </w:p>
        </w:tc>
      </w:tr>
      <w:tr w14:paraId="1E5C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789" w:type="dxa"/>
            <w:gridSpan w:val="3"/>
            <w:tcBorders>
              <w:bottom w:val="single" w:color="auto" w:sz="4" w:space="0"/>
            </w:tcBorders>
            <w:noWrap w:val="0"/>
            <w:vAlign w:val="center"/>
          </w:tcPr>
          <w:p w14:paraId="176587C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灭火毯</w:t>
            </w:r>
          </w:p>
        </w:tc>
        <w:tc>
          <w:tcPr>
            <w:tcW w:w="2011" w:type="dxa"/>
            <w:gridSpan w:val="6"/>
            <w:tcBorders>
              <w:bottom w:val="single" w:color="auto" w:sz="4" w:space="0"/>
            </w:tcBorders>
            <w:noWrap w:val="0"/>
            <w:vAlign w:val="center"/>
          </w:tcPr>
          <w:p w14:paraId="5978F89A">
            <w:pPr>
              <w:spacing w:line="260" w:lineRule="exac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p>
        </w:tc>
        <w:tc>
          <w:tcPr>
            <w:tcW w:w="875" w:type="dxa"/>
            <w:gridSpan w:val="3"/>
            <w:tcBorders>
              <w:bottom w:val="single" w:color="auto" w:sz="4" w:space="0"/>
            </w:tcBorders>
            <w:noWrap w:val="0"/>
            <w:vAlign w:val="center"/>
          </w:tcPr>
          <w:p w14:paraId="283B42E4">
            <w:pPr>
              <w:spacing w:line="260" w:lineRule="exact"/>
              <w:jc w:val="center"/>
              <w:rPr>
                <w:rFonts w:hint="eastAsia" w:ascii="Times New Roman" w:hAnsi="Times New Roman" w:eastAsia="宋体" w:cs="Times New Roman"/>
                <w:sz w:val="21"/>
                <w:szCs w:val="21"/>
              </w:rPr>
            </w:pPr>
            <w:r>
              <w:rPr>
                <w:rFonts w:hint="eastAsia" w:cs="Times New Roman"/>
                <w:sz w:val="21"/>
                <w:szCs w:val="21"/>
                <w:lang w:val="en-US" w:eastAsia="zh-CN"/>
              </w:rPr>
              <w:t>\</w:t>
            </w:r>
          </w:p>
        </w:tc>
        <w:tc>
          <w:tcPr>
            <w:tcW w:w="2419" w:type="dxa"/>
            <w:gridSpan w:val="8"/>
            <w:tcBorders>
              <w:bottom w:val="single" w:color="auto" w:sz="4" w:space="0"/>
            </w:tcBorders>
            <w:noWrap w:val="0"/>
            <w:vAlign w:val="center"/>
          </w:tcPr>
          <w:p w14:paraId="248EF6B1">
            <w:pPr>
              <w:spacing w:line="260" w:lineRule="exact"/>
              <w:jc w:val="center"/>
              <w:rPr>
                <w:rFonts w:hint="eastAsia" w:ascii="Times New Roman" w:hAnsi="Times New Roman" w:eastAsia="宋体" w:cs="Times New Roman"/>
                <w:sz w:val="21"/>
                <w:szCs w:val="21"/>
              </w:rPr>
            </w:pPr>
          </w:p>
        </w:tc>
        <w:tc>
          <w:tcPr>
            <w:tcW w:w="1924" w:type="dxa"/>
            <w:gridSpan w:val="4"/>
            <w:tcBorders>
              <w:bottom w:val="single" w:color="auto" w:sz="4" w:space="0"/>
            </w:tcBorders>
            <w:noWrap w:val="0"/>
            <w:vAlign w:val="center"/>
          </w:tcPr>
          <w:p w14:paraId="302B9188">
            <w:pPr>
              <w:spacing w:line="260" w:lineRule="exact"/>
              <w:jc w:val="center"/>
              <w:rPr>
                <w:rFonts w:hint="eastAsia" w:ascii="Times New Roman" w:hAnsi="Times New Roman" w:eastAsia="宋体" w:cs="Times New Roman"/>
                <w:sz w:val="21"/>
                <w:szCs w:val="21"/>
              </w:rPr>
            </w:pPr>
          </w:p>
        </w:tc>
      </w:tr>
      <w:tr w14:paraId="6609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789" w:type="dxa"/>
            <w:gridSpan w:val="3"/>
            <w:tcBorders>
              <w:bottom w:val="single" w:color="auto" w:sz="4" w:space="0"/>
            </w:tcBorders>
            <w:noWrap w:val="0"/>
            <w:vAlign w:val="center"/>
          </w:tcPr>
          <w:p w14:paraId="4E9A59FE">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消防沙池</w:t>
            </w:r>
          </w:p>
        </w:tc>
        <w:tc>
          <w:tcPr>
            <w:tcW w:w="2011" w:type="dxa"/>
            <w:gridSpan w:val="6"/>
            <w:tcBorders>
              <w:bottom w:val="single" w:color="auto" w:sz="4" w:space="0"/>
            </w:tcBorders>
            <w:noWrap w:val="0"/>
            <w:vAlign w:val="center"/>
          </w:tcPr>
          <w:p w14:paraId="2529EC41">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p>
        </w:tc>
        <w:tc>
          <w:tcPr>
            <w:tcW w:w="875" w:type="dxa"/>
            <w:gridSpan w:val="3"/>
            <w:tcBorders>
              <w:bottom w:val="single" w:color="auto" w:sz="4" w:space="0"/>
            </w:tcBorders>
            <w:noWrap w:val="0"/>
            <w:vAlign w:val="center"/>
          </w:tcPr>
          <w:p w14:paraId="525B53CE">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2419" w:type="dxa"/>
            <w:gridSpan w:val="8"/>
            <w:tcBorders>
              <w:bottom w:val="single" w:color="auto" w:sz="4" w:space="0"/>
            </w:tcBorders>
            <w:noWrap w:val="0"/>
            <w:vAlign w:val="center"/>
          </w:tcPr>
          <w:p w14:paraId="601676DA">
            <w:pPr>
              <w:spacing w:line="260" w:lineRule="exact"/>
              <w:jc w:val="center"/>
              <w:rPr>
                <w:rFonts w:hint="eastAsia" w:ascii="Times New Roman" w:hAnsi="Times New Roman" w:eastAsia="宋体" w:cs="Times New Roman"/>
                <w:sz w:val="21"/>
                <w:szCs w:val="21"/>
              </w:rPr>
            </w:pPr>
          </w:p>
        </w:tc>
        <w:tc>
          <w:tcPr>
            <w:tcW w:w="1924" w:type="dxa"/>
            <w:gridSpan w:val="4"/>
            <w:tcBorders>
              <w:bottom w:val="single" w:color="auto" w:sz="4" w:space="0"/>
            </w:tcBorders>
            <w:noWrap w:val="0"/>
            <w:vAlign w:val="center"/>
          </w:tcPr>
          <w:p w14:paraId="48492E6B">
            <w:pPr>
              <w:spacing w:line="260" w:lineRule="exact"/>
              <w:jc w:val="center"/>
              <w:rPr>
                <w:rFonts w:hint="eastAsia" w:ascii="Times New Roman" w:hAnsi="Times New Roman" w:eastAsia="宋体" w:cs="Times New Roman"/>
                <w:sz w:val="21"/>
                <w:szCs w:val="21"/>
              </w:rPr>
            </w:pPr>
          </w:p>
        </w:tc>
      </w:tr>
      <w:tr w14:paraId="4019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789" w:type="dxa"/>
            <w:gridSpan w:val="3"/>
            <w:tcBorders>
              <w:bottom w:val="single" w:color="auto" w:sz="4" w:space="0"/>
            </w:tcBorders>
            <w:noWrap w:val="0"/>
            <w:vAlign w:val="center"/>
          </w:tcPr>
          <w:p w14:paraId="4202612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消防铲、桶</w:t>
            </w:r>
          </w:p>
        </w:tc>
        <w:tc>
          <w:tcPr>
            <w:tcW w:w="2011" w:type="dxa"/>
            <w:gridSpan w:val="6"/>
            <w:tcBorders>
              <w:bottom w:val="single" w:color="auto" w:sz="4" w:space="0"/>
            </w:tcBorders>
            <w:noWrap w:val="0"/>
            <w:vAlign w:val="center"/>
          </w:tcPr>
          <w:p w14:paraId="14B2E063">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手提式</w:t>
            </w:r>
          </w:p>
        </w:tc>
        <w:tc>
          <w:tcPr>
            <w:tcW w:w="875" w:type="dxa"/>
            <w:gridSpan w:val="3"/>
            <w:tcBorders>
              <w:bottom w:val="single" w:color="auto" w:sz="4" w:space="0"/>
            </w:tcBorders>
            <w:noWrap w:val="0"/>
            <w:vAlign w:val="center"/>
          </w:tcPr>
          <w:p w14:paraId="3701750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2419" w:type="dxa"/>
            <w:gridSpan w:val="8"/>
            <w:tcBorders>
              <w:bottom w:val="single" w:color="auto" w:sz="4" w:space="0"/>
            </w:tcBorders>
            <w:noWrap w:val="0"/>
            <w:vAlign w:val="center"/>
          </w:tcPr>
          <w:p w14:paraId="5D61DC86">
            <w:pPr>
              <w:spacing w:line="260" w:lineRule="exact"/>
              <w:jc w:val="center"/>
              <w:rPr>
                <w:rFonts w:hint="eastAsia" w:ascii="Times New Roman" w:hAnsi="Times New Roman" w:eastAsia="宋体" w:cs="Times New Roman"/>
                <w:sz w:val="21"/>
                <w:szCs w:val="21"/>
              </w:rPr>
            </w:pPr>
          </w:p>
        </w:tc>
        <w:tc>
          <w:tcPr>
            <w:tcW w:w="1924" w:type="dxa"/>
            <w:gridSpan w:val="4"/>
            <w:tcBorders>
              <w:bottom w:val="single" w:color="auto" w:sz="4" w:space="0"/>
            </w:tcBorders>
            <w:noWrap w:val="0"/>
            <w:vAlign w:val="center"/>
          </w:tcPr>
          <w:p w14:paraId="54A91DCE">
            <w:pPr>
              <w:spacing w:line="260" w:lineRule="exact"/>
              <w:jc w:val="center"/>
              <w:rPr>
                <w:rFonts w:hint="eastAsia" w:ascii="Times New Roman" w:hAnsi="Times New Roman" w:eastAsia="宋体" w:cs="Times New Roman"/>
                <w:sz w:val="21"/>
                <w:szCs w:val="21"/>
              </w:rPr>
            </w:pPr>
          </w:p>
        </w:tc>
      </w:tr>
      <w:tr w14:paraId="6999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9018" w:type="dxa"/>
            <w:gridSpan w:val="24"/>
            <w:tcBorders>
              <w:bottom w:val="single" w:color="auto" w:sz="4" w:space="0"/>
            </w:tcBorders>
            <w:noWrap w:val="0"/>
            <w:vAlign w:val="center"/>
          </w:tcPr>
          <w:p w14:paraId="23800347">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申请经营危险化学品范围</w:t>
            </w:r>
          </w:p>
        </w:tc>
      </w:tr>
      <w:tr w14:paraId="416A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898" w:type="dxa"/>
            <w:gridSpan w:val="6"/>
            <w:noWrap w:val="0"/>
            <w:vAlign w:val="center"/>
          </w:tcPr>
          <w:p w14:paraId="0816FAC7">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剧毒化学品</w:t>
            </w:r>
          </w:p>
        </w:tc>
        <w:tc>
          <w:tcPr>
            <w:tcW w:w="3038" w:type="dxa"/>
            <w:gridSpan w:val="10"/>
            <w:noWrap w:val="0"/>
            <w:vAlign w:val="center"/>
          </w:tcPr>
          <w:p w14:paraId="24EE282E">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成品油（储量）</w:t>
            </w:r>
          </w:p>
        </w:tc>
        <w:tc>
          <w:tcPr>
            <w:tcW w:w="3082" w:type="dxa"/>
            <w:gridSpan w:val="8"/>
            <w:noWrap w:val="0"/>
            <w:vAlign w:val="center"/>
          </w:tcPr>
          <w:p w14:paraId="149D87A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其他危险化学品</w:t>
            </w:r>
          </w:p>
        </w:tc>
      </w:tr>
      <w:tr w14:paraId="317B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65" w:type="dxa"/>
            <w:noWrap w:val="0"/>
            <w:vAlign w:val="center"/>
          </w:tcPr>
          <w:p w14:paraId="56F69FD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品名</w:t>
            </w:r>
          </w:p>
        </w:tc>
        <w:tc>
          <w:tcPr>
            <w:tcW w:w="1054" w:type="dxa"/>
            <w:gridSpan w:val="3"/>
            <w:noWrap w:val="0"/>
            <w:vAlign w:val="center"/>
          </w:tcPr>
          <w:p w14:paraId="5DDC4E0E">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规模</w:t>
            </w:r>
          </w:p>
        </w:tc>
        <w:tc>
          <w:tcPr>
            <w:tcW w:w="879" w:type="dxa"/>
            <w:gridSpan w:val="2"/>
            <w:noWrap w:val="0"/>
            <w:vAlign w:val="center"/>
          </w:tcPr>
          <w:p w14:paraId="4F3B84AC">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用途</w:t>
            </w:r>
          </w:p>
        </w:tc>
        <w:tc>
          <w:tcPr>
            <w:tcW w:w="1100" w:type="dxa"/>
            <w:gridSpan w:val="4"/>
            <w:noWrap w:val="0"/>
            <w:vAlign w:val="center"/>
          </w:tcPr>
          <w:p w14:paraId="20743B59">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品名</w:t>
            </w:r>
          </w:p>
        </w:tc>
        <w:tc>
          <w:tcPr>
            <w:tcW w:w="972" w:type="dxa"/>
            <w:gridSpan w:val="3"/>
            <w:noWrap w:val="0"/>
            <w:vAlign w:val="center"/>
          </w:tcPr>
          <w:p w14:paraId="7A6C98F7">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规模</w:t>
            </w:r>
          </w:p>
        </w:tc>
        <w:tc>
          <w:tcPr>
            <w:tcW w:w="966" w:type="dxa"/>
            <w:gridSpan w:val="3"/>
            <w:noWrap w:val="0"/>
            <w:vAlign w:val="center"/>
          </w:tcPr>
          <w:p w14:paraId="7F7A3C1A">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用途</w:t>
            </w:r>
          </w:p>
        </w:tc>
        <w:tc>
          <w:tcPr>
            <w:tcW w:w="965" w:type="dxa"/>
            <w:gridSpan w:val="3"/>
            <w:noWrap w:val="0"/>
            <w:vAlign w:val="center"/>
          </w:tcPr>
          <w:p w14:paraId="496C25B5">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品名</w:t>
            </w:r>
          </w:p>
        </w:tc>
        <w:tc>
          <w:tcPr>
            <w:tcW w:w="967" w:type="dxa"/>
            <w:gridSpan w:val="4"/>
            <w:noWrap w:val="0"/>
            <w:vAlign w:val="center"/>
          </w:tcPr>
          <w:p w14:paraId="7DFEE885">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规模</w:t>
            </w:r>
          </w:p>
        </w:tc>
        <w:tc>
          <w:tcPr>
            <w:tcW w:w="1150" w:type="dxa"/>
            <w:noWrap w:val="0"/>
            <w:vAlign w:val="center"/>
          </w:tcPr>
          <w:p w14:paraId="0FA4FF8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用途</w:t>
            </w:r>
          </w:p>
        </w:tc>
      </w:tr>
      <w:tr w14:paraId="6675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65" w:type="dxa"/>
            <w:noWrap w:val="0"/>
            <w:vAlign w:val="center"/>
          </w:tcPr>
          <w:p w14:paraId="2C044702">
            <w:pPr>
              <w:spacing w:line="260" w:lineRule="exact"/>
              <w:jc w:val="center"/>
              <w:rPr>
                <w:rFonts w:hint="eastAsia" w:ascii="Times New Roman" w:hAnsi="Times New Roman" w:eastAsia="宋体" w:cs="Times New Roman"/>
                <w:sz w:val="21"/>
                <w:szCs w:val="21"/>
              </w:rPr>
            </w:pPr>
          </w:p>
        </w:tc>
        <w:tc>
          <w:tcPr>
            <w:tcW w:w="1054" w:type="dxa"/>
            <w:gridSpan w:val="3"/>
            <w:noWrap w:val="0"/>
            <w:vAlign w:val="center"/>
          </w:tcPr>
          <w:p w14:paraId="6805B161">
            <w:pPr>
              <w:spacing w:line="260" w:lineRule="exact"/>
              <w:jc w:val="center"/>
              <w:rPr>
                <w:rFonts w:hint="eastAsia" w:ascii="Times New Roman" w:hAnsi="Times New Roman" w:eastAsia="宋体" w:cs="Times New Roman"/>
                <w:sz w:val="21"/>
                <w:szCs w:val="21"/>
              </w:rPr>
            </w:pPr>
          </w:p>
        </w:tc>
        <w:tc>
          <w:tcPr>
            <w:tcW w:w="879" w:type="dxa"/>
            <w:gridSpan w:val="2"/>
            <w:noWrap w:val="0"/>
            <w:vAlign w:val="center"/>
          </w:tcPr>
          <w:p w14:paraId="4B928989">
            <w:pPr>
              <w:spacing w:line="260" w:lineRule="exact"/>
              <w:jc w:val="center"/>
              <w:rPr>
                <w:rFonts w:hint="eastAsia" w:ascii="Times New Roman" w:hAnsi="Times New Roman" w:eastAsia="宋体" w:cs="Times New Roman"/>
                <w:sz w:val="21"/>
                <w:szCs w:val="21"/>
              </w:rPr>
            </w:pPr>
          </w:p>
        </w:tc>
        <w:tc>
          <w:tcPr>
            <w:tcW w:w="1100" w:type="dxa"/>
            <w:gridSpan w:val="4"/>
            <w:noWrap w:val="0"/>
            <w:vAlign w:val="center"/>
          </w:tcPr>
          <w:p w14:paraId="45173967">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0#柴油</w:t>
            </w:r>
          </w:p>
        </w:tc>
        <w:tc>
          <w:tcPr>
            <w:tcW w:w="972" w:type="dxa"/>
            <w:gridSpan w:val="3"/>
            <w:noWrap w:val="0"/>
            <w:vAlign w:val="center"/>
          </w:tcPr>
          <w:p w14:paraId="01EF462B">
            <w:pPr>
              <w:spacing w:line="260" w:lineRule="exact"/>
              <w:jc w:val="center"/>
              <w:rPr>
                <w:rFonts w:hint="eastAsia" w:ascii="Times New Roman" w:hAnsi="Times New Roman" w:eastAsia="宋体" w:cs="Times New Roman"/>
                <w:sz w:val="21"/>
                <w:szCs w:val="21"/>
              </w:rPr>
            </w:pPr>
            <w:r>
              <w:rPr>
                <w:rFonts w:hint="eastAsia" w:cs="Times New Roman"/>
                <w:sz w:val="21"/>
                <w:szCs w:val="21"/>
                <w:lang w:val="en-US" w:eastAsia="zh-CN"/>
              </w:rPr>
              <w:t>2*40</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p>
        </w:tc>
        <w:tc>
          <w:tcPr>
            <w:tcW w:w="966" w:type="dxa"/>
            <w:gridSpan w:val="3"/>
            <w:noWrap w:val="0"/>
            <w:vAlign w:val="center"/>
          </w:tcPr>
          <w:p w14:paraId="4D911DBF">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车用</w:t>
            </w:r>
          </w:p>
        </w:tc>
        <w:tc>
          <w:tcPr>
            <w:tcW w:w="965" w:type="dxa"/>
            <w:gridSpan w:val="3"/>
            <w:noWrap w:val="0"/>
            <w:vAlign w:val="center"/>
          </w:tcPr>
          <w:p w14:paraId="3B7A25DE">
            <w:pPr>
              <w:spacing w:line="260" w:lineRule="exact"/>
              <w:jc w:val="center"/>
              <w:rPr>
                <w:rFonts w:hint="eastAsia" w:ascii="Times New Roman" w:hAnsi="Times New Roman" w:eastAsia="宋体" w:cs="Times New Roman"/>
                <w:sz w:val="21"/>
                <w:szCs w:val="21"/>
              </w:rPr>
            </w:pPr>
          </w:p>
        </w:tc>
        <w:tc>
          <w:tcPr>
            <w:tcW w:w="967" w:type="dxa"/>
            <w:gridSpan w:val="4"/>
            <w:noWrap w:val="0"/>
            <w:vAlign w:val="center"/>
          </w:tcPr>
          <w:p w14:paraId="2AB6605A">
            <w:pPr>
              <w:spacing w:line="260" w:lineRule="exact"/>
              <w:jc w:val="center"/>
              <w:rPr>
                <w:rFonts w:hint="eastAsia" w:ascii="Times New Roman" w:hAnsi="Times New Roman" w:eastAsia="宋体" w:cs="Times New Roman"/>
                <w:sz w:val="21"/>
                <w:szCs w:val="21"/>
              </w:rPr>
            </w:pPr>
          </w:p>
        </w:tc>
        <w:tc>
          <w:tcPr>
            <w:tcW w:w="1150" w:type="dxa"/>
            <w:noWrap w:val="0"/>
            <w:vAlign w:val="center"/>
          </w:tcPr>
          <w:p w14:paraId="6F03DA2D">
            <w:pPr>
              <w:spacing w:line="260" w:lineRule="exact"/>
              <w:jc w:val="center"/>
              <w:rPr>
                <w:rFonts w:hint="eastAsia" w:ascii="Times New Roman" w:hAnsi="Times New Roman" w:eastAsia="宋体" w:cs="Times New Roman"/>
                <w:sz w:val="21"/>
                <w:szCs w:val="21"/>
              </w:rPr>
            </w:pPr>
          </w:p>
        </w:tc>
      </w:tr>
      <w:tr w14:paraId="0FA8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65" w:type="dxa"/>
            <w:noWrap w:val="0"/>
            <w:vAlign w:val="center"/>
          </w:tcPr>
          <w:p w14:paraId="20324505">
            <w:pPr>
              <w:spacing w:line="260" w:lineRule="exact"/>
              <w:jc w:val="center"/>
              <w:rPr>
                <w:rFonts w:hint="eastAsia" w:ascii="Times New Roman" w:hAnsi="Times New Roman" w:eastAsia="宋体" w:cs="Times New Roman"/>
                <w:sz w:val="21"/>
                <w:szCs w:val="21"/>
              </w:rPr>
            </w:pPr>
          </w:p>
        </w:tc>
        <w:tc>
          <w:tcPr>
            <w:tcW w:w="1054" w:type="dxa"/>
            <w:gridSpan w:val="3"/>
            <w:noWrap w:val="0"/>
            <w:vAlign w:val="center"/>
          </w:tcPr>
          <w:p w14:paraId="445BB73A">
            <w:pPr>
              <w:spacing w:line="260" w:lineRule="exact"/>
              <w:jc w:val="center"/>
              <w:rPr>
                <w:rFonts w:hint="eastAsia" w:ascii="Times New Roman" w:hAnsi="Times New Roman" w:eastAsia="宋体" w:cs="Times New Roman"/>
                <w:sz w:val="21"/>
                <w:szCs w:val="21"/>
              </w:rPr>
            </w:pPr>
          </w:p>
        </w:tc>
        <w:tc>
          <w:tcPr>
            <w:tcW w:w="879" w:type="dxa"/>
            <w:gridSpan w:val="2"/>
            <w:noWrap w:val="0"/>
            <w:vAlign w:val="center"/>
          </w:tcPr>
          <w:p w14:paraId="16501AB8">
            <w:pPr>
              <w:spacing w:line="260" w:lineRule="exact"/>
              <w:jc w:val="center"/>
              <w:rPr>
                <w:rFonts w:hint="eastAsia" w:ascii="Times New Roman" w:hAnsi="Times New Roman" w:eastAsia="宋体" w:cs="Times New Roman"/>
                <w:sz w:val="21"/>
                <w:szCs w:val="21"/>
              </w:rPr>
            </w:pPr>
          </w:p>
        </w:tc>
        <w:tc>
          <w:tcPr>
            <w:tcW w:w="1100" w:type="dxa"/>
            <w:gridSpan w:val="4"/>
            <w:noWrap w:val="0"/>
            <w:vAlign w:val="center"/>
          </w:tcPr>
          <w:p w14:paraId="03967EA8">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92#汽油</w:t>
            </w:r>
          </w:p>
        </w:tc>
        <w:tc>
          <w:tcPr>
            <w:tcW w:w="972" w:type="dxa"/>
            <w:gridSpan w:val="3"/>
            <w:noWrap w:val="0"/>
            <w:vAlign w:val="center"/>
          </w:tcPr>
          <w:p w14:paraId="73210C1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30m</w:t>
            </w:r>
            <w:r>
              <w:rPr>
                <w:rFonts w:hint="eastAsia" w:ascii="Times New Roman" w:hAnsi="Times New Roman" w:eastAsia="宋体" w:cs="Times New Roman"/>
                <w:sz w:val="21"/>
                <w:szCs w:val="21"/>
                <w:vertAlign w:val="superscript"/>
              </w:rPr>
              <w:t>3</w:t>
            </w:r>
          </w:p>
        </w:tc>
        <w:tc>
          <w:tcPr>
            <w:tcW w:w="966" w:type="dxa"/>
            <w:gridSpan w:val="3"/>
            <w:noWrap w:val="0"/>
            <w:vAlign w:val="center"/>
          </w:tcPr>
          <w:p w14:paraId="1E1880AD">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车用</w:t>
            </w:r>
          </w:p>
        </w:tc>
        <w:tc>
          <w:tcPr>
            <w:tcW w:w="965" w:type="dxa"/>
            <w:gridSpan w:val="3"/>
            <w:noWrap w:val="0"/>
            <w:vAlign w:val="center"/>
          </w:tcPr>
          <w:p w14:paraId="0C435097">
            <w:pPr>
              <w:spacing w:line="260" w:lineRule="exact"/>
              <w:jc w:val="center"/>
              <w:rPr>
                <w:rFonts w:hint="eastAsia" w:ascii="Times New Roman" w:hAnsi="Times New Roman" w:eastAsia="宋体" w:cs="Times New Roman"/>
                <w:sz w:val="21"/>
                <w:szCs w:val="21"/>
              </w:rPr>
            </w:pPr>
          </w:p>
        </w:tc>
        <w:tc>
          <w:tcPr>
            <w:tcW w:w="967" w:type="dxa"/>
            <w:gridSpan w:val="4"/>
            <w:noWrap w:val="0"/>
            <w:vAlign w:val="center"/>
          </w:tcPr>
          <w:p w14:paraId="0D0B1D66">
            <w:pPr>
              <w:spacing w:line="260" w:lineRule="exact"/>
              <w:jc w:val="center"/>
              <w:rPr>
                <w:rFonts w:hint="eastAsia" w:ascii="Times New Roman" w:hAnsi="Times New Roman" w:eastAsia="宋体" w:cs="Times New Roman"/>
                <w:sz w:val="21"/>
                <w:szCs w:val="21"/>
              </w:rPr>
            </w:pPr>
          </w:p>
        </w:tc>
        <w:tc>
          <w:tcPr>
            <w:tcW w:w="1150" w:type="dxa"/>
            <w:noWrap w:val="0"/>
            <w:vAlign w:val="center"/>
          </w:tcPr>
          <w:p w14:paraId="7DE93F31">
            <w:pPr>
              <w:spacing w:line="260" w:lineRule="exact"/>
              <w:jc w:val="center"/>
              <w:rPr>
                <w:rFonts w:hint="eastAsia" w:ascii="Times New Roman" w:hAnsi="Times New Roman" w:eastAsia="宋体" w:cs="Times New Roman"/>
                <w:sz w:val="21"/>
                <w:szCs w:val="21"/>
              </w:rPr>
            </w:pPr>
          </w:p>
        </w:tc>
      </w:tr>
      <w:tr w14:paraId="5330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65" w:type="dxa"/>
            <w:noWrap w:val="0"/>
            <w:vAlign w:val="center"/>
          </w:tcPr>
          <w:p w14:paraId="11911C03">
            <w:pPr>
              <w:spacing w:line="260" w:lineRule="exact"/>
              <w:jc w:val="center"/>
              <w:rPr>
                <w:rFonts w:hint="eastAsia" w:ascii="Times New Roman" w:hAnsi="Times New Roman" w:eastAsia="宋体" w:cs="Times New Roman"/>
                <w:sz w:val="21"/>
                <w:szCs w:val="21"/>
              </w:rPr>
            </w:pPr>
          </w:p>
        </w:tc>
        <w:tc>
          <w:tcPr>
            <w:tcW w:w="1054" w:type="dxa"/>
            <w:gridSpan w:val="3"/>
            <w:noWrap w:val="0"/>
            <w:vAlign w:val="center"/>
          </w:tcPr>
          <w:p w14:paraId="4CC2230B">
            <w:pPr>
              <w:spacing w:line="260" w:lineRule="exact"/>
              <w:jc w:val="center"/>
              <w:rPr>
                <w:rFonts w:hint="eastAsia" w:ascii="Times New Roman" w:hAnsi="Times New Roman" w:eastAsia="宋体" w:cs="Times New Roman"/>
                <w:sz w:val="21"/>
                <w:szCs w:val="21"/>
              </w:rPr>
            </w:pPr>
          </w:p>
        </w:tc>
        <w:tc>
          <w:tcPr>
            <w:tcW w:w="879" w:type="dxa"/>
            <w:gridSpan w:val="2"/>
            <w:noWrap w:val="0"/>
            <w:vAlign w:val="center"/>
          </w:tcPr>
          <w:p w14:paraId="488165C0">
            <w:pPr>
              <w:spacing w:line="260" w:lineRule="exact"/>
              <w:jc w:val="center"/>
              <w:rPr>
                <w:rFonts w:hint="eastAsia" w:ascii="Times New Roman" w:hAnsi="Times New Roman" w:eastAsia="宋体" w:cs="Times New Roman"/>
                <w:sz w:val="21"/>
                <w:szCs w:val="21"/>
              </w:rPr>
            </w:pPr>
          </w:p>
        </w:tc>
        <w:tc>
          <w:tcPr>
            <w:tcW w:w="1100" w:type="dxa"/>
            <w:gridSpan w:val="4"/>
            <w:noWrap w:val="0"/>
            <w:vAlign w:val="center"/>
          </w:tcPr>
          <w:p w14:paraId="31185745">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95#汽油</w:t>
            </w:r>
          </w:p>
        </w:tc>
        <w:tc>
          <w:tcPr>
            <w:tcW w:w="972" w:type="dxa"/>
            <w:gridSpan w:val="3"/>
            <w:noWrap w:val="0"/>
            <w:vAlign w:val="center"/>
          </w:tcPr>
          <w:p w14:paraId="7DC726F6">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30m</w:t>
            </w:r>
            <w:r>
              <w:rPr>
                <w:rFonts w:hint="eastAsia" w:ascii="Times New Roman" w:hAnsi="Times New Roman" w:eastAsia="宋体" w:cs="Times New Roman"/>
                <w:sz w:val="21"/>
                <w:szCs w:val="21"/>
                <w:vertAlign w:val="superscript"/>
              </w:rPr>
              <w:t>3</w:t>
            </w:r>
          </w:p>
        </w:tc>
        <w:tc>
          <w:tcPr>
            <w:tcW w:w="966" w:type="dxa"/>
            <w:gridSpan w:val="3"/>
            <w:noWrap w:val="0"/>
            <w:vAlign w:val="center"/>
          </w:tcPr>
          <w:p w14:paraId="71B792C4">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车用</w:t>
            </w:r>
          </w:p>
        </w:tc>
        <w:tc>
          <w:tcPr>
            <w:tcW w:w="965" w:type="dxa"/>
            <w:gridSpan w:val="3"/>
            <w:noWrap w:val="0"/>
            <w:vAlign w:val="center"/>
          </w:tcPr>
          <w:p w14:paraId="77415E06">
            <w:pPr>
              <w:spacing w:line="260" w:lineRule="exact"/>
              <w:jc w:val="center"/>
              <w:rPr>
                <w:rFonts w:hint="eastAsia" w:ascii="Times New Roman" w:hAnsi="Times New Roman" w:eastAsia="宋体" w:cs="Times New Roman"/>
                <w:sz w:val="21"/>
                <w:szCs w:val="21"/>
              </w:rPr>
            </w:pPr>
          </w:p>
        </w:tc>
        <w:tc>
          <w:tcPr>
            <w:tcW w:w="967" w:type="dxa"/>
            <w:gridSpan w:val="4"/>
            <w:noWrap w:val="0"/>
            <w:vAlign w:val="center"/>
          </w:tcPr>
          <w:p w14:paraId="1091594C">
            <w:pPr>
              <w:spacing w:line="260" w:lineRule="exact"/>
              <w:jc w:val="center"/>
              <w:rPr>
                <w:rFonts w:hint="eastAsia" w:ascii="Times New Roman" w:hAnsi="Times New Roman" w:eastAsia="宋体" w:cs="Times New Roman"/>
                <w:sz w:val="21"/>
                <w:szCs w:val="21"/>
              </w:rPr>
            </w:pPr>
          </w:p>
        </w:tc>
        <w:tc>
          <w:tcPr>
            <w:tcW w:w="1150" w:type="dxa"/>
            <w:noWrap w:val="0"/>
            <w:vAlign w:val="center"/>
          </w:tcPr>
          <w:p w14:paraId="7D2FAFAA">
            <w:pPr>
              <w:spacing w:line="260" w:lineRule="exact"/>
              <w:jc w:val="center"/>
              <w:rPr>
                <w:rFonts w:hint="eastAsia" w:ascii="Times New Roman" w:hAnsi="Times New Roman" w:eastAsia="宋体" w:cs="Times New Roman"/>
                <w:sz w:val="21"/>
                <w:szCs w:val="21"/>
              </w:rPr>
            </w:pPr>
          </w:p>
        </w:tc>
      </w:tr>
      <w:tr w14:paraId="615E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2019" w:type="dxa"/>
            <w:gridSpan w:val="4"/>
            <w:tcBorders>
              <w:bottom w:val="single" w:color="auto" w:sz="4" w:space="0"/>
            </w:tcBorders>
            <w:noWrap w:val="0"/>
            <w:vAlign w:val="center"/>
          </w:tcPr>
          <w:p w14:paraId="04F48D90">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申请经营方式</w:t>
            </w:r>
          </w:p>
        </w:tc>
        <w:tc>
          <w:tcPr>
            <w:tcW w:w="6999" w:type="dxa"/>
            <w:gridSpan w:val="20"/>
            <w:tcBorders>
              <w:bottom w:val="single" w:color="auto" w:sz="4" w:space="0"/>
            </w:tcBorders>
            <w:noWrap w:val="0"/>
            <w:vAlign w:val="center"/>
          </w:tcPr>
          <w:p w14:paraId="37C1CB38">
            <w:pPr>
              <w:spacing w:line="260" w:lineRule="exact"/>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批发□      零售■     化工企业外设销售网点□</w:t>
            </w:r>
          </w:p>
        </w:tc>
      </w:tr>
    </w:tbl>
    <w:p w14:paraId="45D1EE3F">
      <w:pPr>
        <w:pStyle w:val="7"/>
        <w:bidi w:val="0"/>
        <w:ind w:firstLine="420" w:firstLineChars="0"/>
        <w:rPr>
          <w:rFonts w:hint="eastAsia"/>
          <w:color w:val="000000"/>
          <w:sz w:val="28"/>
          <w:szCs w:val="28"/>
          <w:lang w:val="en-US" w:eastAsia="zh-CN"/>
        </w:rPr>
      </w:pPr>
      <w:r>
        <w:rPr>
          <w:rFonts w:hint="eastAsia"/>
          <w:color w:val="000000"/>
          <w:sz w:val="28"/>
          <w:szCs w:val="28"/>
        </w:rPr>
        <w:t>此加油站折算总储量100m</w:t>
      </w:r>
      <w:r>
        <w:rPr>
          <w:rFonts w:hint="eastAsia"/>
          <w:color w:val="000000"/>
          <w:sz w:val="28"/>
          <w:szCs w:val="28"/>
          <w:vertAlign w:val="superscript"/>
        </w:rPr>
        <w:t>3</w:t>
      </w:r>
      <w:r>
        <w:rPr>
          <w:rFonts w:hint="eastAsia"/>
          <w:color w:val="000000"/>
          <w:sz w:val="28"/>
          <w:szCs w:val="28"/>
        </w:rPr>
        <w:t>，汽油最大单罐容积为30m</w:t>
      </w:r>
      <w:r>
        <w:rPr>
          <w:rFonts w:hint="eastAsia"/>
          <w:color w:val="000000"/>
          <w:sz w:val="28"/>
          <w:szCs w:val="28"/>
          <w:vertAlign w:val="superscript"/>
        </w:rPr>
        <w:t>3</w:t>
      </w:r>
      <w:r>
        <w:rPr>
          <w:rFonts w:hint="eastAsia"/>
          <w:color w:val="000000"/>
          <w:sz w:val="28"/>
          <w:szCs w:val="28"/>
        </w:rPr>
        <w:t>，柴油最大单罐容积为40m</w:t>
      </w:r>
      <w:r>
        <w:rPr>
          <w:rFonts w:hint="eastAsia"/>
          <w:color w:val="000000"/>
          <w:sz w:val="28"/>
          <w:szCs w:val="28"/>
          <w:vertAlign w:val="superscript"/>
        </w:rPr>
        <w:t>3</w:t>
      </w:r>
      <w:r>
        <w:rPr>
          <w:rFonts w:hint="eastAsia"/>
          <w:color w:val="000000"/>
          <w:sz w:val="28"/>
          <w:szCs w:val="28"/>
        </w:rPr>
        <w:t>，属</w:t>
      </w:r>
      <w:r>
        <w:rPr>
          <w:rFonts w:hint="eastAsia"/>
          <w:color w:val="000000"/>
          <w:sz w:val="28"/>
          <w:szCs w:val="28"/>
          <w:lang w:val="en-US" w:eastAsia="zh-CN"/>
        </w:rPr>
        <w:t>于</w:t>
      </w:r>
      <w:r>
        <w:rPr>
          <w:rFonts w:hint="eastAsia"/>
          <w:color w:val="000000"/>
          <w:sz w:val="28"/>
          <w:szCs w:val="28"/>
        </w:rPr>
        <w:t>二级加油站。</w:t>
      </w:r>
      <w:r>
        <w:rPr>
          <w:rFonts w:hint="eastAsia"/>
          <w:color w:val="000000"/>
          <w:sz w:val="28"/>
          <w:szCs w:val="28"/>
          <w:lang w:val="en-US" w:eastAsia="zh-CN"/>
        </w:rPr>
        <w:t>此加油站自2</w:t>
      </w:r>
      <w:r>
        <w:rPr>
          <w:rFonts w:hint="eastAsia"/>
          <w:color w:val="000000"/>
          <w:sz w:val="28"/>
          <w:szCs w:val="28"/>
          <w:u w:val="dotted"/>
          <w:lang w:val="en-US" w:eastAsia="zh-CN"/>
        </w:rPr>
        <w:t>020</w:t>
      </w:r>
      <w:r>
        <w:rPr>
          <w:rFonts w:hint="eastAsia"/>
          <w:color w:val="000000"/>
          <w:sz w:val="28"/>
          <w:szCs w:val="28"/>
          <w:lang w:val="en-US" w:eastAsia="zh-CN"/>
        </w:rPr>
        <w:t>年换证后，一直处于未经营状态。</w:t>
      </w:r>
      <w:bookmarkStart w:id="54" w:name="_Toc120957309"/>
      <w:bookmarkStart w:id="55" w:name="_Toc23324"/>
    </w:p>
    <w:p w14:paraId="29F91DC4">
      <w:pPr>
        <w:shd w:val="clear" w:color="auto" w:fill="auto"/>
        <w:ind w:firstLine="560" w:firstLineChars="200"/>
        <w:rPr>
          <w:rFonts w:hint="default" w:ascii="Times New Roman" w:hAnsi="Times New Roman" w:cs="Times New Roman"/>
          <w:color w:val="auto"/>
        </w:rPr>
      </w:pPr>
      <w:r>
        <w:rPr>
          <w:rFonts w:hint="default" w:ascii="Times New Roman" w:hAnsi="Times New Roman" w:cs="Times New Roman"/>
          <w:color w:val="auto"/>
        </w:rPr>
        <w:t>该加油站已取得的相关资质、证件有：</w:t>
      </w:r>
    </w:p>
    <w:p w14:paraId="0DCE1B3D">
      <w:pPr>
        <w:shd w:val="clear" w:color="auto" w:fill="auto"/>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《营业执照》（统一社会信用代码：</w:t>
      </w:r>
      <w:r>
        <w:rPr>
          <w:rFonts w:hint="eastAsia" w:ascii="Times New Roman" w:hAnsi="Times New Roman" w:eastAsia="宋体" w:cs="Times New Roman"/>
          <w:color w:val="auto"/>
          <w:lang w:eastAsia="zh-CN"/>
        </w:rPr>
        <w:t>91361128314667254Y</w:t>
      </w:r>
      <w:r>
        <w:rPr>
          <w:rFonts w:hint="default" w:ascii="Times New Roman" w:hAnsi="Times New Roman" w:eastAsia="宋体" w:cs="Times New Roman"/>
          <w:color w:val="auto"/>
        </w:rPr>
        <w:t>），详见附件。</w:t>
      </w:r>
    </w:p>
    <w:p w14:paraId="601054DF">
      <w:pPr>
        <w:shd w:val="clear" w:color="auto" w:fill="auto"/>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《成品油零售经营批准证书》（</w:t>
      </w:r>
      <w:r>
        <w:rPr>
          <w:rFonts w:hint="eastAsia" w:ascii="Times New Roman" w:hAnsi="Times New Roman" w:eastAsia="宋体" w:cs="Times New Roman"/>
          <w:color w:val="auto"/>
          <w:lang w:eastAsia="zh-CN"/>
        </w:rPr>
        <w:t>油零售证书第</w:t>
      </w:r>
      <w:r>
        <w:rPr>
          <w:rFonts w:hint="eastAsia" w:ascii="Times New Roman" w:hAnsi="Times New Roman" w:eastAsia="宋体" w:cs="Times New Roman"/>
          <w:color w:val="auto"/>
          <w:lang w:val="en-US" w:eastAsia="zh-CN"/>
        </w:rPr>
        <w:t>上饶0498</w:t>
      </w:r>
      <w:r>
        <w:rPr>
          <w:rFonts w:hint="eastAsia" w:ascii="Times New Roman" w:hAnsi="Times New Roman" w:eastAsia="宋体" w:cs="Times New Roman"/>
          <w:color w:val="auto"/>
          <w:lang w:eastAsia="zh-CN"/>
        </w:rPr>
        <w:t>号</w:t>
      </w:r>
      <w:r>
        <w:rPr>
          <w:rFonts w:hint="default" w:ascii="Times New Roman" w:hAnsi="Times New Roman" w:eastAsia="宋体" w:cs="Times New Roman"/>
          <w:color w:val="auto"/>
        </w:rPr>
        <w:t>），有效期至</w:t>
      </w:r>
      <w:r>
        <w:rPr>
          <w:rFonts w:hint="eastAsia" w:ascii="Times New Roman" w:hAnsi="Times New Roman" w:eastAsia="宋体" w:cs="Times New Roman"/>
          <w:color w:val="auto"/>
          <w:lang w:eastAsia="zh-CN"/>
        </w:rPr>
        <w:t>2029年</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t>月30日</w:t>
      </w:r>
      <w:r>
        <w:rPr>
          <w:rFonts w:hint="default" w:ascii="Times New Roman" w:hAnsi="Times New Roman" w:eastAsia="宋体" w:cs="Times New Roman"/>
          <w:color w:val="auto"/>
        </w:rPr>
        <w:t>，详见附件。</w:t>
      </w:r>
    </w:p>
    <w:p w14:paraId="6CF29408">
      <w:pPr>
        <w:shd w:val="clear" w:color="auto" w:fill="auto"/>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《危险化学品经营许可证》（</w:t>
      </w:r>
      <w:r>
        <w:rPr>
          <w:rFonts w:hint="eastAsia"/>
          <w:color w:val="auto"/>
          <w:sz w:val="28"/>
          <w:szCs w:val="28"/>
          <w:lang w:eastAsia="zh-CN"/>
        </w:rPr>
        <w:t>赣鄱危化经字［2023］C-010</w:t>
      </w:r>
      <w:r>
        <w:rPr>
          <w:rFonts w:hint="eastAsia"/>
          <w:color w:val="auto"/>
          <w:sz w:val="28"/>
          <w:szCs w:val="28"/>
        </w:rPr>
        <w:t>号</w:t>
      </w:r>
      <w:r>
        <w:rPr>
          <w:rFonts w:hint="default" w:ascii="Times New Roman" w:hAnsi="Times New Roman" w:eastAsia="宋体" w:cs="Times New Roman"/>
          <w:color w:val="auto"/>
        </w:rPr>
        <w:t>），有效期至</w:t>
      </w:r>
      <w:r>
        <w:rPr>
          <w:rFonts w:hint="eastAsia" w:ascii="Times New Roman" w:hAnsi="Times New Roman" w:eastAsia="宋体" w:cs="Times New Roman"/>
          <w:color w:val="auto"/>
          <w:lang w:eastAsia="zh-CN"/>
        </w:rPr>
        <w:t>202</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t>年</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月2</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lang w:eastAsia="zh-CN"/>
        </w:rPr>
        <w:t>日</w:t>
      </w:r>
      <w:r>
        <w:rPr>
          <w:rFonts w:hint="default" w:ascii="Times New Roman" w:hAnsi="Times New Roman" w:eastAsia="宋体" w:cs="Times New Roman"/>
          <w:color w:val="auto"/>
        </w:rPr>
        <w:t>，详见附件。</w:t>
      </w:r>
    </w:p>
    <w:p w14:paraId="0888ADBD">
      <w:pPr>
        <w:shd w:val="clear" w:color="auto" w:fill="auto"/>
        <w:ind w:firstLine="56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土地使用证</w:t>
      </w:r>
      <w:r>
        <w:rPr>
          <w:rFonts w:hint="default" w:ascii="Times New Roman" w:hAnsi="Times New Roman" w:eastAsia="宋体" w:cs="Times New Roman"/>
          <w:color w:val="auto"/>
        </w:rPr>
        <w:t>》（</w:t>
      </w:r>
      <w:r>
        <w:rPr>
          <w:rFonts w:hint="eastAsia" w:ascii="Times New Roman" w:hAnsi="Times New Roman" w:eastAsia="宋体" w:cs="Times New Roman"/>
          <w:color w:val="auto"/>
          <w:u w:val="single"/>
          <w:lang w:val="en-US" w:eastAsia="zh-CN"/>
        </w:rPr>
        <w:t>鄱</w:t>
      </w:r>
      <w:r>
        <w:rPr>
          <w:rFonts w:hint="eastAsia" w:ascii="Times New Roman" w:hAnsi="Times New Roman" w:eastAsia="宋体" w:cs="Times New Roman"/>
          <w:color w:val="auto"/>
          <w:u w:val="none"/>
          <w:lang w:val="en-US" w:eastAsia="zh-CN"/>
        </w:rPr>
        <w:t>国用（2014）第00010号）</w:t>
      </w:r>
      <w:r>
        <w:rPr>
          <w:rFonts w:hint="default" w:ascii="Times New Roman" w:hAnsi="Times New Roman" w:eastAsia="宋体" w:cs="Times New Roman"/>
          <w:color w:val="auto"/>
        </w:rPr>
        <w:t>，详见附件。</w:t>
      </w:r>
    </w:p>
    <w:p w14:paraId="2EA640EE">
      <w:pPr>
        <w:shd w:val="clear" w:color="auto" w:fill="auto"/>
        <w:ind w:firstLine="56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消防验收意见书</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饶鄱公消验字[20013]第0004号</w:t>
      </w:r>
    </w:p>
    <w:p w14:paraId="3C04F4CE">
      <w:pPr>
        <w:pStyle w:val="3"/>
        <w:bidi w:val="0"/>
      </w:pPr>
      <w:bookmarkStart w:id="56" w:name="_Toc6568"/>
      <w:r>
        <w:t>2.2加油站主要情况</w:t>
      </w:r>
      <w:bookmarkEnd w:id="54"/>
      <w:bookmarkEnd w:id="55"/>
      <w:bookmarkEnd w:id="56"/>
    </w:p>
    <w:p w14:paraId="110CC77D">
      <w:pPr>
        <w:pStyle w:val="4"/>
        <w:bidi w:val="0"/>
        <w:rPr>
          <w:rFonts w:hint="eastAsia"/>
        </w:rPr>
      </w:pPr>
      <w:bookmarkStart w:id="57" w:name="_Toc4832"/>
      <w:bookmarkStart w:id="58" w:name="_Toc15118"/>
      <w:bookmarkStart w:id="59" w:name="_Toc120957310"/>
      <w:bookmarkStart w:id="60" w:name="_Toc8418"/>
      <w:r>
        <w:t>2.2.1站址、周围环境条件</w:t>
      </w:r>
      <w:bookmarkEnd w:id="57"/>
      <w:bookmarkEnd w:id="58"/>
      <w:bookmarkEnd w:id="59"/>
      <w:bookmarkEnd w:id="60"/>
    </w:p>
    <w:p w14:paraId="25ECC276">
      <w:pPr>
        <w:pStyle w:val="7"/>
        <w:wordWrap w:val="0"/>
        <w:adjustRightInd w:val="0"/>
        <w:snapToGrid w:val="0"/>
        <w:spacing w:before="0" w:beforeAutospacing="0" w:after="0" w:afterAutospacing="0" w:line="600" w:lineRule="exact"/>
        <w:ind w:firstLine="420" w:firstLineChars="0"/>
        <w:textAlignment w:val="center"/>
        <w:rPr>
          <w:rFonts w:hint="eastAsia" w:ascii="Times New Roman" w:eastAsia="宋体"/>
          <w:lang w:val="en-US" w:eastAsia="zh-CN"/>
        </w:rPr>
      </w:pPr>
      <w:r>
        <w:rPr>
          <w:rFonts w:hint="eastAsia" w:ascii="Times New Roman" w:eastAsia="宋体"/>
          <w:lang w:val="en-US" w:eastAsia="zh-CN"/>
        </w:rPr>
        <w:t>加油站地处鄱阳县昌洲乡永林村委会曹家村，坐东朝西：东、南、西三面均为农田，北面</w:t>
      </w:r>
      <w:r>
        <w:rPr>
          <w:rFonts w:hint="eastAsia"/>
          <w:lang w:val="en-US" w:eastAsia="zh-CN"/>
        </w:rPr>
        <w:t>是</w:t>
      </w:r>
      <w:r>
        <w:rPr>
          <w:rFonts w:hint="eastAsia" w:ascii="Times New Roman" w:eastAsia="宋体"/>
          <w:lang w:val="en-US" w:eastAsia="zh-CN"/>
        </w:rPr>
        <w:t>道路</w:t>
      </w:r>
      <w:r>
        <w:rPr>
          <w:rFonts w:hint="eastAsia"/>
          <w:lang w:val="en-US" w:eastAsia="zh-CN"/>
        </w:rPr>
        <w:t>，南面为架空电力线（杆高10米，有绝缘层）</w:t>
      </w:r>
      <w:r>
        <w:rPr>
          <w:rFonts w:hint="eastAsia" w:ascii="Times New Roman" w:eastAsia="宋体"/>
          <w:lang w:val="en-US" w:eastAsia="zh-CN"/>
        </w:rPr>
        <w:t>。周围50m内无重要公共建筑物</w:t>
      </w:r>
      <w:r>
        <w:rPr>
          <w:rFonts w:hint="eastAsia"/>
          <w:lang w:val="en-US" w:eastAsia="zh-CN"/>
        </w:rPr>
        <w:t>，无自然保护、风景区</w:t>
      </w:r>
      <w:r>
        <w:rPr>
          <w:rFonts w:hint="eastAsia" w:ascii="Times New Roman" w:eastAsia="宋体"/>
          <w:lang w:val="en-US" w:eastAsia="zh-CN"/>
        </w:rPr>
        <w:t>。</w:t>
      </w:r>
    </w:p>
    <w:p w14:paraId="46E454A3">
      <w:pPr>
        <w:widowControl/>
        <w:shd w:val="clear" w:color="auto" w:fill="auto"/>
        <w:spacing w:line="360" w:lineRule="auto"/>
        <w:ind w:firstLine="56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该加油站位置卫星地图如下：</w:t>
      </w:r>
    </w:p>
    <w:p w14:paraId="578366E0">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3FAD12D2">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59C0E652">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06E87172">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3C1BC16C">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5CD88335">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06FCFDA1">
      <w:pPr>
        <w:widowControl/>
        <w:shd w:val="clear" w:color="auto" w:fill="auto"/>
        <w:spacing w:line="360" w:lineRule="auto"/>
        <w:ind w:firstLine="562" w:firstLineChars="200"/>
        <w:rPr>
          <w:rFonts w:hint="default" w:ascii="Times New Roman" w:hAnsi="Times New Roman" w:eastAsia="宋体" w:cs="Times New Roman"/>
          <w:color w:val="auto"/>
          <w:szCs w:val="28"/>
        </w:rPr>
      </w:pPr>
      <w:r>
        <w:rPr>
          <w:rFonts w:hint="eastAsia" w:cs="Times New Roman"/>
          <w:b/>
          <w:bCs/>
          <w:color w:val="auto"/>
          <w:lang w:eastAsia="zh-CN"/>
        </w:rPr>
        <w:drawing>
          <wp:anchor distT="0" distB="0" distL="114300" distR="114300" simplePos="0" relativeHeight="251665408" behindDoc="0" locked="0" layoutInCell="1" allowOverlap="1">
            <wp:simplePos x="0" y="0"/>
            <wp:positionH relativeFrom="column">
              <wp:posOffset>-885825</wp:posOffset>
            </wp:positionH>
            <wp:positionV relativeFrom="paragraph">
              <wp:posOffset>20320</wp:posOffset>
            </wp:positionV>
            <wp:extent cx="6111875" cy="4213860"/>
            <wp:effectExtent l="0" t="0" r="9525" b="254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6111875" cy="4213860"/>
                    </a:xfrm>
                    <a:prstGeom prst="rect">
                      <a:avLst/>
                    </a:prstGeom>
                    <a:noFill/>
                    <a:ln>
                      <a:noFill/>
                    </a:ln>
                  </pic:spPr>
                </pic:pic>
              </a:graphicData>
            </a:graphic>
          </wp:anchor>
        </w:drawing>
      </w:r>
    </w:p>
    <w:p w14:paraId="6819ECC6">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314A3B38">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2E66ED16">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1ECDDF88">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703AF62F">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4BADC33B">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05D3A128">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149D34DC">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2E98DAD0">
      <w:pPr>
        <w:widowControl/>
        <w:shd w:val="clear" w:color="auto" w:fill="auto"/>
        <w:spacing w:line="360" w:lineRule="auto"/>
        <w:ind w:firstLine="560" w:firstLineChars="200"/>
        <w:rPr>
          <w:rFonts w:hint="default" w:ascii="Times New Roman" w:hAnsi="Times New Roman" w:eastAsia="宋体" w:cs="Times New Roman"/>
          <w:color w:val="auto"/>
          <w:szCs w:val="28"/>
        </w:rPr>
      </w:pPr>
    </w:p>
    <w:p w14:paraId="24356D9B">
      <w:pPr>
        <w:rPr>
          <w:rFonts w:hint="eastAsia"/>
          <w:lang w:val="en-US" w:eastAsia="zh-CN"/>
        </w:rPr>
      </w:pPr>
    </w:p>
    <w:p w14:paraId="5B9D7202">
      <w:pPr>
        <w:pStyle w:val="7"/>
        <w:wordWrap w:val="0"/>
        <w:adjustRightInd w:val="0"/>
        <w:snapToGrid w:val="0"/>
        <w:spacing w:before="0" w:beforeAutospacing="0" w:after="0" w:afterAutospacing="0" w:line="600" w:lineRule="exact"/>
        <w:ind w:firstLine="420" w:firstLineChars="0"/>
        <w:textAlignment w:val="center"/>
        <w:rPr>
          <w:rFonts w:hint="eastAsia" w:ascii="Times New Roman" w:eastAsia="宋体"/>
          <w:lang w:val="en-US" w:eastAsia="zh-CN"/>
        </w:rPr>
      </w:pPr>
      <w:r>
        <w:rPr>
          <w:rFonts w:hint="eastAsia" w:ascii="Times New Roman" w:eastAsia="宋体"/>
          <w:lang w:val="en-US" w:eastAsia="zh-CN"/>
        </w:rPr>
        <w:t>加油站内有混凝土路面与公路相连，站区内地势平坦，坡向道路。地面坡度&lt;2%。</w:t>
      </w:r>
    </w:p>
    <w:p w14:paraId="49D27F76">
      <w:pPr>
        <w:pStyle w:val="7"/>
        <w:wordWrap w:val="0"/>
        <w:adjustRightInd w:val="0"/>
        <w:snapToGrid w:val="0"/>
        <w:spacing w:before="0" w:beforeAutospacing="0" w:after="0" w:afterAutospacing="0" w:line="600" w:lineRule="exact"/>
        <w:ind w:firstLine="1155" w:firstLineChars="550"/>
        <w:textAlignment w:val="center"/>
        <w:rPr>
          <w:rFonts w:hint="default" w:ascii="Times New Roman" w:eastAsia="宋体"/>
          <w:lang w:val="en-US" w:eastAsia="zh-CN"/>
        </w:rPr>
      </w:pPr>
      <w:r>
        <w:rPr>
          <w:rFonts w:hint="eastAsia"/>
          <w:sz w:val="21"/>
          <w:szCs w:val="21"/>
          <w:lang w:val="en-US" w:eastAsia="zh-CN"/>
        </w:rPr>
        <w:t>表2.2-1油罐、加油机和通气管管口与站外建构筑物防火间距表</w:t>
      </w:r>
    </w:p>
    <w:tbl>
      <w:tblPr>
        <w:tblStyle w:val="21"/>
        <w:tblW w:w="9319" w:type="dxa"/>
        <w:tblInd w:w="-80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118"/>
        <w:gridCol w:w="2390"/>
        <w:gridCol w:w="1817"/>
        <w:gridCol w:w="1523"/>
        <w:gridCol w:w="1171"/>
      </w:tblGrid>
      <w:tr w14:paraId="2E257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Align w:val="center"/>
          </w:tcPr>
          <w:p w14:paraId="395B9B24">
            <w:pPr>
              <w:jc w:val="center"/>
              <w:rPr>
                <w:rFonts w:hint="default"/>
                <w:sz w:val="21"/>
                <w:szCs w:val="21"/>
                <w:lang w:val="en-US" w:eastAsia="zh-CN"/>
              </w:rPr>
            </w:pPr>
            <w:r>
              <w:rPr>
                <w:rFonts w:hint="default"/>
                <w:sz w:val="21"/>
                <w:szCs w:val="21"/>
                <w:lang w:val="en-US" w:eastAsia="zh-CN"/>
              </w:rPr>
              <w:t>设施名</w:t>
            </w:r>
          </w:p>
        </w:tc>
        <w:tc>
          <w:tcPr>
            <w:tcW w:w="1163" w:type="dxa"/>
            <w:vAlign w:val="center"/>
          </w:tcPr>
          <w:p w14:paraId="41CC3586">
            <w:pPr>
              <w:jc w:val="center"/>
              <w:rPr>
                <w:rFonts w:hint="default"/>
                <w:sz w:val="21"/>
                <w:szCs w:val="21"/>
                <w:lang w:val="en-US" w:eastAsia="zh-CN"/>
              </w:rPr>
            </w:pPr>
            <w:r>
              <w:rPr>
                <w:rFonts w:hint="default"/>
                <w:sz w:val="21"/>
                <w:szCs w:val="21"/>
                <w:lang w:val="en-US" w:eastAsia="zh-CN"/>
              </w:rPr>
              <w:t>相对位置</w:t>
            </w:r>
          </w:p>
        </w:tc>
        <w:tc>
          <w:tcPr>
            <w:tcW w:w="2493" w:type="dxa"/>
            <w:vAlign w:val="center"/>
          </w:tcPr>
          <w:p w14:paraId="2B50354D">
            <w:pPr>
              <w:jc w:val="center"/>
              <w:rPr>
                <w:rFonts w:hint="default"/>
                <w:sz w:val="21"/>
                <w:szCs w:val="21"/>
                <w:lang w:val="en-US" w:eastAsia="zh-CN"/>
              </w:rPr>
            </w:pPr>
            <w:r>
              <w:rPr>
                <w:rFonts w:hint="default"/>
                <w:sz w:val="21"/>
                <w:szCs w:val="21"/>
                <w:lang w:val="en-US" w:eastAsia="zh-CN"/>
              </w:rPr>
              <w:t>相邻设施名称</w:t>
            </w:r>
          </w:p>
        </w:tc>
        <w:tc>
          <w:tcPr>
            <w:tcW w:w="1870" w:type="dxa"/>
            <w:vAlign w:val="center"/>
          </w:tcPr>
          <w:p w14:paraId="6F257134">
            <w:pPr>
              <w:jc w:val="center"/>
              <w:rPr>
                <w:rFonts w:hint="default"/>
                <w:sz w:val="21"/>
                <w:szCs w:val="21"/>
                <w:lang w:val="en-US" w:eastAsia="zh-CN"/>
              </w:rPr>
            </w:pPr>
            <w:r>
              <w:rPr>
                <w:rFonts w:hint="default"/>
                <w:sz w:val="21"/>
                <w:szCs w:val="21"/>
                <w:lang w:val="en-US" w:eastAsia="zh-CN"/>
              </w:rPr>
              <w:t>实测距离(米)</w:t>
            </w:r>
          </w:p>
        </w:tc>
        <w:tc>
          <w:tcPr>
            <w:tcW w:w="1218" w:type="dxa"/>
            <w:shd w:val="clear" w:color="auto" w:fill="auto"/>
            <w:vAlign w:val="center"/>
          </w:tcPr>
          <w:p w14:paraId="5E97A114">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18"/>
                <w:sz w:val="21"/>
                <w:szCs w:val="21"/>
                <w:lang w:val="en-US" w:eastAsia="zh-CN" w:bidi="ar-SA"/>
              </w:rPr>
            </w:pPr>
            <w:r>
              <w:rPr>
                <w:rFonts w:hint="eastAsia" w:ascii="Times New Roman" w:hAnsi="Times New Roman" w:eastAsia="宋体" w:cs="Times New Roman"/>
                <w:color w:val="auto"/>
                <w:lang w:val="en-US" w:eastAsia="zh-CN"/>
              </w:rPr>
              <w:t>GB50156-2021</w:t>
            </w:r>
            <w:r>
              <w:rPr>
                <w:rFonts w:hint="eastAsia" w:ascii="Times New Roman" w:hAnsi="Times New Roman" w:eastAsia="宋体" w:cs="Times New Roman"/>
                <w:color w:val="auto"/>
              </w:rPr>
              <w:t>标准要求（m）</w:t>
            </w:r>
          </w:p>
        </w:tc>
        <w:tc>
          <w:tcPr>
            <w:tcW w:w="1218" w:type="dxa"/>
            <w:shd w:val="clear" w:color="auto" w:fill="auto"/>
            <w:vAlign w:val="center"/>
          </w:tcPr>
          <w:p w14:paraId="290E9108">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2"/>
                <w:sz w:val="28"/>
                <w:szCs w:val="24"/>
                <w:lang w:val="en-US" w:eastAsia="zh-CN" w:bidi="ar-SA"/>
              </w:rPr>
            </w:pPr>
            <w:r>
              <w:rPr>
                <w:rFonts w:hint="eastAsia" w:ascii="Times New Roman" w:hAnsi="Times New Roman" w:eastAsia="宋体" w:cs="Times New Roman"/>
                <w:color w:val="auto"/>
                <w:kern w:val="18"/>
                <w:sz w:val="21"/>
                <w:szCs w:val="21"/>
                <w:lang w:val="en-US" w:eastAsia="zh-CN" w:bidi="ar-SA"/>
              </w:rPr>
              <w:t>结论</w:t>
            </w:r>
          </w:p>
        </w:tc>
      </w:tr>
      <w:tr w14:paraId="0EB37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Merge w:val="restart"/>
            <w:vAlign w:val="center"/>
          </w:tcPr>
          <w:p w14:paraId="509091B5">
            <w:pPr>
              <w:jc w:val="center"/>
              <w:rPr>
                <w:rFonts w:hint="default"/>
                <w:sz w:val="21"/>
                <w:szCs w:val="21"/>
                <w:lang w:val="en-US" w:eastAsia="zh-CN"/>
              </w:rPr>
            </w:pPr>
            <w:r>
              <w:rPr>
                <w:rFonts w:hint="default"/>
                <w:sz w:val="21"/>
                <w:szCs w:val="21"/>
                <w:lang w:val="en-US" w:eastAsia="zh-CN"/>
              </w:rPr>
              <w:t>埋地油罐</w:t>
            </w:r>
          </w:p>
        </w:tc>
        <w:tc>
          <w:tcPr>
            <w:tcW w:w="1163" w:type="dxa"/>
            <w:vAlign w:val="center"/>
          </w:tcPr>
          <w:p w14:paraId="25F4C540">
            <w:pPr>
              <w:jc w:val="center"/>
              <w:rPr>
                <w:rFonts w:hint="default"/>
                <w:sz w:val="21"/>
                <w:szCs w:val="21"/>
                <w:lang w:val="en-US" w:eastAsia="zh-CN"/>
              </w:rPr>
            </w:pPr>
            <w:r>
              <w:rPr>
                <w:rFonts w:hint="eastAsia" w:ascii="Times New Roman" w:eastAsia="宋体"/>
                <w:sz w:val="21"/>
                <w:szCs w:val="21"/>
                <w:lang w:val="en-US" w:eastAsia="zh-CN"/>
              </w:rPr>
              <w:t>北</w:t>
            </w:r>
          </w:p>
        </w:tc>
        <w:tc>
          <w:tcPr>
            <w:tcW w:w="2493" w:type="dxa"/>
            <w:vAlign w:val="center"/>
          </w:tcPr>
          <w:p w14:paraId="0083413D">
            <w:pPr>
              <w:jc w:val="center"/>
              <w:rPr>
                <w:rFonts w:hint="default"/>
                <w:sz w:val="21"/>
                <w:szCs w:val="21"/>
                <w:lang w:val="en-US" w:eastAsia="zh-CN"/>
              </w:rPr>
            </w:pPr>
            <w:r>
              <w:rPr>
                <w:rFonts w:hint="eastAsia" w:ascii="Times New Roman" w:eastAsia="宋体"/>
                <w:sz w:val="21"/>
                <w:szCs w:val="21"/>
                <w:lang w:val="en-US" w:eastAsia="zh-CN"/>
              </w:rPr>
              <w:t>村道</w:t>
            </w:r>
          </w:p>
        </w:tc>
        <w:tc>
          <w:tcPr>
            <w:tcW w:w="1870" w:type="dxa"/>
            <w:vAlign w:val="center"/>
          </w:tcPr>
          <w:p w14:paraId="3244B81F">
            <w:pPr>
              <w:jc w:val="center"/>
              <w:rPr>
                <w:rFonts w:hint="default"/>
                <w:sz w:val="21"/>
                <w:szCs w:val="21"/>
                <w:lang w:val="en-US" w:eastAsia="zh-CN"/>
              </w:rPr>
            </w:pPr>
            <w:r>
              <w:rPr>
                <w:rFonts w:hint="eastAsia" w:ascii="Times New Roman" w:eastAsia="宋体"/>
                <w:sz w:val="21"/>
                <w:szCs w:val="21"/>
                <w:lang w:val="en-US" w:eastAsia="zh-CN"/>
              </w:rPr>
              <w:t>18.8</w:t>
            </w:r>
            <w:r>
              <w:rPr>
                <w:rFonts w:hint="eastAsia"/>
                <w:sz w:val="21"/>
                <w:szCs w:val="21"/>
                <w:lang w:val="en-US" w:eastAsia="zh-CN"/>
              </w:rPr>
              <w:t>（</w:t>
            </w:r>
            <w:r>
              <w:rPr>
                <w:rFonts w:hint="eastAsia" w:ascii="Times New Roman" w:eastAsia="宋体"/>
                <w:sz w:val="21"/>
                <w:szCs w:val="21"/>
                <w:lang w:val="en-US" w:eastAsia="zh-CN"/>
              </w:rPr>
              <w:t>13.1</w:t>
            </w:r>
            <w:r>
              <w:rPr>
                <w:rFonts w:hint="eastAsia"/>
                <w:sz w:val="21"/>
                <w:szCs w:val="21"/>
                <w:lang w:val="en-US" w:eastAsia="zh-CN"/>
              </w:rPr>
              <w:t>）</w:t>
            </w:r>
          </w:p>
        </w:tc>
        <w:tc>
          <w:tcPr>
            <w:tcW w:w="1218" w:type="dxa"/>
            <w:vAlign w:val="center"/>
          </w:tcPr>
          <w:p w14:paraId="2EC8DD75">
            <w:pPr>
              <w:jc w:val="center"/>
              <w:rPr>
                <w:rFonts w:hint="eastAsia" w:ascii="Times New Roman" w:eastAsia="宋体"/>
                <w:sz w:val="21"/>
                <w:szCs w:val="21"/>
                <w:lang w:val="en-US" w:eastAsia="zh-CN"/>
              </w:rPr>
            </w:pPr>
            <w:r>
              <w:rPr>
                <w:rFonts w:hint="eastAsia"/>
                <w:color w:val="auto"/>
                <w:kern w:val="18"/>
                <w:sz w:val="21"/>
                <w:szCs w:val="21"/>
                <w:lang w:val="en-US" w:eastAsia="zh-CN" w:bidi="ar-SA"/>
              </w:rPr>
              <w:t>5（3）</w:t>
            </w:r>
          </w:p>
        </w:tc>
        <w:tc>
          <w:tcPr>
            <w:tcW w:w="1218" w:type="dxa"/>
            <w:vAlign w:val="center"/>
          </w:tcPr>
          <w:p w14:paraId="19569B52">
            <w:pPr>
              <w:jc w:val="center"/>
              <w:rPr>
                <w:rFonts w:hint="default" w:ascii="Times New Roman" w:eastAsia="宋体"/>
                <w:sz w:val="21"/>
                <w:szCs w:val="21"/>
                <w:lang w:val="en-US" w:eastAsia="zh-CN"/>
              </w:rPr>
            </w:pPr>
            <w:r>
              <w:rPr>
                <w:rFonts w:hint="eastAsia"/>
                <w:sz w:val="21"/>
                <w:szCs w:val="21"/>
                <w:lang w:val="en-US" w:eastAsia="zh-CN"/>
              </w:rPr>
              <w:t>符合</w:t>
            </w:r>
          </w:p>
        </w:tc>
      </w:tr>
      <w:tr w14:paraId="57830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18EE88F4">
            <w:pPr>
              <w:jc w:val="center"/>
              <w:rPr>
                <w:rFonts w:hint="default"/>
                <w:sz w:val="21"/>
                <w:szCs w:val="21"/>
                <w:lang w:val="en-US" w:eastAsia="zh-CN"/>
              </w:rPr>
            </w:pPr>
          </w:p>
        </w:tc>
        <w:tc>
          <w:tcPr>
            <w:tcW w:w="1163" w:type="dxa"/>
            <w:vAlign w:val="center"/>
          </w:tcPr>
          <w:p w14:paraId="1E4360F9">
            <w:pPr>
              <w:jc w:val="center"/>
              <w:rPr>
                <w:rFonts w:hint="default"/>
                <w:sz w:val="21"/>
                <w:szCs w:val="21"/>
                <w:lang w:val="en-US" w:eastAsia="zh-CN"/>
              </w:rPr>
            </w:pPr>
            <w:r>
              <w:rPr>
                <w:rFonts w:hint="eastAsia" w:ascii="Times New Roman" w:eastAsia="宋体"/>
                <w:sz w:val="21"/>
                <w:szCs w:val="21"/>
                <w:lang w:val="en-US" w:eastAsia="zh-CN"/>
              </w:rPr>
              <w:t>南</w:t>
            </w:r>
          </w:p>
        </w:tc>
        <w:tc>
          <w:tcPr>
            <w:tcW w:w="2493" w:type="dxa"/>
            <w:vAlign w:val="center"/>
          </w:tcPr>
          <w:p w14:paraId="6E94313D">
            <w:pPr>
              <w:jc w:val="center"/>
              <w:rPr>
                <w:rFonts w:hint="default"/>
                <w:sz w:val="21"/>
                <w:szCs w:val="21"/>
                <w:lang w:val="en-US" w:eastAsia="zh-CN"/>
              </w:rPr>
            </w:pPr>
            <w:r>
              <w:rPr>
                <w:rFonts w:hint="eastAsia" w:ascii="Times New Roman" w:eastAsia="宋体"/>
                <w:sz w:val="21"/>
                <w:szCs w:val="21"/>
                <w:lang w:val="en-US" w:eastAsia="zh-CN"/>
              </w:rPr>
              <w:t>架空电力线（</w:t>
            </w:r>
            <w:r>
              <w:rPr>
                <w:rFonts w:hint="eastAsia"/>
                <w:sz w:val="21"/>
                <w:szCs w:val="21"/>
                <w:lang w:val="en-US" w:eastAsia="zh-CN"/>
              </w:rPr>
              <w:t>杆高10m</w:t>
            </w:r>
            <w:r>
              <w:rPr>
                <w:rFonts w:hint="eastAsia" w:ascii="Times New Roman" w:eastAsia="宋体"/>
                <w:sz w:val="21"/>
                <w:szCs w:val="21"/>
                <w:lang w:val="en-US" w:eastAsia="zh-CN"/>
              </w:rPr>
              <w:t>）</w:t>
            </w:r>
          </w:p>
        </w:tc>
        <w:tc>
          <w:tcPr>
            <w:tcW w:w="1870" w:type="dxa"/>
            <w:vAlign w:val="center"/>
          </w:tcPr>
          <w:p w14:paraId="7AE5901F">
            <w:pPr>
              <w:jc w:val="center"/>
              <w:rPr>
                <w:rFonts w:hint="default"/>
                <w:sz w:val="21"/>
                <w:szCs w:val="21"/>
                <w:lang w:val="en-US" w:eastAsia="zh-CN"/>
              </w:rPr>
            </w:pPr>
            <w:r>
              <w:rPr>
                <w:rFonts w:hint="eastAsia" w:ascii="Times New Roman" w:eastAsia="宋体"/>
                <w:sz w:val="21"/>
                <w:szCs w:val="21"/>
                <w:lang w:val="en-US" w:eastAsia="zh-CN"/>
              </w:rPr>
              <w:t>34.5</w:t>
            </w:r>
            <w:r>
              <w:rPr>
                <w:rFonts w:hint="eastAsia"/>
                <w:sz w:val="21"/>
                <w:szCs w:val="21"/>
                <w:lang w:val="en-US" w:eastAsia="zh-CN"/>
              </w:rPr>
              <w:t>（37.5）</w:t>
            </w:r>
          </w:p>
        </w:tc>
        <w:tc>
          <w:tcPr>
            <w:tcW w:w="1218" w:type="dxa"/>
            <w:vAlign w:val="center"/>
          </w:tcPr>
          <w:p w14:paraId="21C841CF">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0.75H，且≥5m（0.5H，且≥5m）</w:t>
            </w:r>
          </w:p>
        </w:tc>
        <w:tc>
          <w:tcPr>
            <w:tcW w:w="1218" w:type="dxa"/>
            <w:vAlign w:val="center"/>
          </w:tcPr>
          <w:p w14:paraId="475670B6">
            <w:pPr>
              <w:jc w:val="center"/>
              <w:rPr>
                <w:rFonts w:hint="eastAsia" w:ascii="Times New Roman" w:eastAsia="宋体"/>
                <w:sz w:val="21"/>
                <w:szCs w:val="21"/>
                <w:lang w:val="en-US" w:eastAsia="zh-CN"/>
              </w:rPr>
            </w:pPr>
            <w:r>
              <w:rPr>
                <w:rFonts w:hint="eastAsia"/>
                <w:sz w:val="21"/>
                <w:szCs w:val="21"/>
                <w:lang w:val="en-US" w:eastAsia="zh-CN"/>
              </w:rPr>
              <w:t>符合</w:t>
            </w:r>
          </w:p>
        </w:tc>
      </w:tr>
      <w:tr w14:paraId="26B87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Merge w:val="restart"/>
            <w:vAlign w:val="center"/>
          </w:tcPr>
          <w:p w14:paraId="1BF24450">
            <w:pPr>
              <w:jc w:val="center"/>
              <w:rPr>
                <w:rFonts w:hint="default"/>
                <w:sz w:val="21"/>
                <w:szCs w:val="21"/>
                <w:lang w:val="en-US" w:eastAsia="zh-CN"/>
              </w:rPr>
            </w:pPr>
            <w:r>
              <w:rPr>
                <w:rFonts w:hint="eastAsia" w:ascii="Times New Roman" w:eastAsia="宋体"/>
                <w:sz w:val="21"/>
                <w:szCs w:val="21"/>
                <w:lang w:val="en-US" w:eastAsia="zh-CN"/>
              </w:rPr>
              <w:t>加油机</w:t>
            </w:r>
          </w:p>
        </w:tc>
        <w:tc>
          <w:tcPr>
            <w:tcW w:w="1163" w:type="dxa"/>
            <w:vAlign w:val="center"/>
          </w:tcPr>
          <w:p w14:paraId="1EC244C5">
            <w:pPr>
              <w:jc w:val="center"/>
              <w:rPr>
                <w:rFonts w:hint="default"/>
                <w:sz w:val="21"/>
                <w:szCs w:val="21"/>
                <w:lang w:val="en-US" w:eastAsia="zh-CN"/>
              </w:rPr>
            </w:pPr>
            <w:r>
              <w:rPr>
                <w:rFonts w:hint="eastAsia" w:ascii="Times New Roman" w:eastAsia="宋体"/>
                <w:sz w:val="21"/>
                <w:szCs w:val="21"/>
                <w:lang w:val="en-US" w:eastAsia="zh-CN"/>
              </w:rPr>
              <w:t>北</w:t>
            </w:r>
          </w:p>
        </w:tc>
        <w:tc>
          <w:tcPr>
            <w:tcW w:w="2493" w:type="dxa"/>
            <w:vAlign w:val="center"/>
          </w:tcPr>
          <w:p w14:paraId="506D38DC">
            <w:pPr>
              <w:jc w:val="center"/>
              <w:rPr>
                <w:rFonts w:hint="eastAsia"/>
                <w:sz w:val="21"/>
                <w:szCs w:val="21"/>
                <w:lang w:val="en-US" w:eastAsia="zh-CN"/>
              </w:rPr>
            </w:pPr>
            <w:r>
              <w:rPr>
                <w:rFonts w:hint="eastAsia" w:ascii="Times New Roman" w:eastAsia="宋体"/>
                <w:sz w:val="21"/>
                <w:szCs w:val="21"/>
                <w:lang w:val="en-US" w:eastAsia="zh-CN"/>
              </w:rPr>
              <w:t>村道</w:t>
            </w:r>
          </w:p>
        </w:tc>
        <w:tc>
          <w:tcPr>
            <w:tcW w:w="1870" w:type="dxa"/>
            <w:vAlign w:val="center"/>
          </w:tcPr>
          <w:p w14:paraId="7DB98533">
            <w:pPr>
              <w:jc w:val="center"/>
              <w:rPr>
                <w:rFonts w:hint="default"/>
                <w:sz w:val="21"/>
                <w:szCs w:val="21"/>
                <w:lang w:val="en-US" w:eastAsia="zh-CN"/>
              </w:rPr>
            </w:pPr>
            <w:r>
              <w:rPr>
                <w:rFonts w:hint="eastAsia" w:ascii="Times New Roman" w:eastAsia="宋体"/>
                <w:sz w:val="21"/>
                <w:szCs w:val="21"/>
                <w:lang w:val="en-US" w:eastAsia="zh-CN"/>
              </w:rPr>
              <w:t>34.2</w:t>
            </w:r>
            <w:r>
              <w:rPr>
                <w:rFonts w:hint="eastAsia"/>
                <w:sz w:val="21"/>
                <w:szCs w:val="21"/>
                <w:lang w:val="en-US" w:eastAsia="zh-CN"/>
              </w:rPr>
              <w:t>（</w:t>
            </w:r>
            <w:r>
              <w:rPr>
                <w:rFonts w:hint="eastAsia" w:ascii="Times New Roman" w:eastAsia="宋体"/>
                <w:sz w:val="21"/>
                <w:szCs w:val="21"/>
                <w:lang w:val="en-US" w:eastAsia="zh-CN"/>
              </w:rPr>
              <w:t>30.4</w:t>
            </w:r>
            <w:r>
              <w:rPr>
                <w:rFonts w:hint="eastAsia"/>
                <w:sz w:val="21"/>
                <w:szCs w:val="21"/>
                <w:lang w:val="en-US" w:eastAsia="zh-CN"/>
              </w:rPr>
              <w:t>）</w:t>
            </w:r>
          </w:p>
        </w:tc>
        <w:tc>
          <w:tcPr>
            <w:tcW w:w="1218" w:type="dxa"/>
            <w:vAlign w:val="center"/>
          </w:tcPr>
          <w:p w14:paraId="657B71EB">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1218" w:type="dxa"/>
            <w:vAlign w:val="center"/>
          </w:tcPr>
          <w:p w14:paraId="433F39A0">
            <w:pPr>
              <w:jc w:val="center"/>
              <w:rPr>
                <w:rFonts w:hint="eastAsia" w:ascii="Times New Roman" w:eastAsia="宋体"/>
                <w:sz w:val="21"/>
                <w:szCs w:val="21"/>
                <w:lang w:val="en-US" w:eastAsia="zh-CN"/>
              </w:rPr>
            </w:pPr>
            <w:r>
              <w:rPr>
                <w:rFonts w:hint="eastAsia"/>
                <w:sz w:val="21"/>
                <w:szCs w:val="21"/>
                <w:lang w:val="en-US" w:eastAsia="zh-CN"/>
              </w:rPr>
              <w:t>符合</w:t>
            </w:r>
          </w:p>
        </w:tc>
      </w:tr>
      <w:tr w14:paraId="1BDF9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07086567">
            <w:pPr>
              <w:jc w:val="center"/>
              <w:rPr>
                <w:rFonts w:hint="eastAsia"/>
                <w:sz w:val="21"/>
                <w:szCs w:val="21"/>
                <w:lang w:val="en-US" w:eastAsia="zh-CN"/>
              </w:rPr>
            </w:pPr>
          </w:p>
        </w:tc>
        <w:tc>
          <w:tcPr>
            <w:tcW w:w="1163" w:type="dxa"/>
            <w:vAlign w:val="center"/>
          </w:tcPr>
          <w:p w14:paraId="74CD7316">
            <w:pPr>
              <w:jc w:val="center"/>
              <w:rPr>
                <w:rFonts w:hint="eastAsia" w:ascii="Times New Roman" w:hAnsi="Times New Roman" w:eastAsia="宋体" w:cs="Times New Roman"/>
                <w:kern w:val="2"/>
                <w:sz w:val="21"/>
                <w:szCs w:val="21"/>
                <w:lang w:val="en-US" w:eastAsia="zh-CN" w:bidi="ar-SA"/>
              </w:rPr>
            </w:pPr>
            <w:r>
              <w:rPr>
                <w:rFonts w:hint="eastAsia" w:ascii="Times New Roman" w:eastAsia="宋体"/>
                <w:sz w:val="21"/>
                <w:szCs w:val="21"/>
                <w:lang w:val="en-US" w:eastAsia="zh-CN"/>
              </w:rPr>
              <w:t>南</w:t>
            </w:r>
          </w:p>
        </w:tc>
        <w:tc>
          <w:tcPr>
            <w:tcW w:w="2493" w:type="dxa"/>
            <w:vAlign w:val="center"/>
          </w:tcPr>
          <w:p w14:paraId="1C01D488">
            <w:pPr>
              <w:jc w:val="center"/>
              <w:rPr>
                <w:rFonts w:hint="eastAsia" w:ascii="Times New Roman" w:hAnsi="Times New Roman" w:eastAsia="宋体" w:cs="Times New Roman"/>
                <w:kern w:val="2"/>
                <w:sz w:val="21"/>
                <w:szCs w:val="21"/>
                <w:lang w:val="en-US" w:eastAsia="zh-CN" w:bidi="ar-SA"/>
              </w:rPr>
            </w:pPr>
            <w:r>
              <w:rPr>
                <w:rFonts w:hint="eastAsia" w:ascii="Times New Roman" w:eastAsia="宋体"/>
                <w:sz w:val="21"/>
                <w:szCs w:val="21"/>
                <w:lang w:val="en-US" w:eastAsia="zh-CN"/>
              </w:rPr>
              <w:t>架空电力线（杆高10m）</w:t>
            </w:r>
          </w:p>
        </w:tc>
        <w:tc>
          <w:tcPr>
            <w:tcW w:w="1870" w:type="dxa"/>
            <w:vAlign w:val="center"/>
          </w:tcPr>
          <w:p w14:paraId="63100A56">
            <w:pPr>
              <w:jc w:val="center"/>
              <w:rPr>
                <w:rFonts w:hint="default"/>
                <w:sz w:val="21"/>
                <w:szCs w:val="21"/>
                <w:lang w:val="en-US" w:eastAsia="zh-CN"/>
              </w:rPr>
            </w:pPr>
            <w:r>
              <w:rPr>
                <w:rFonts w:hint="eastAsia"/>
                <w:sz w:val="21"/>
                <w:szCs w:val="21"/>
                <w:lang w:val="en-US" w:eastAsia="zh-CN"/>
              </w:rPr>
              <w:t>16.9（</w:t>
            </w:r>
            <w:r>
              <w:rPr>
                <w:rFonts w:hint="eastAsia" w:ascii="Times New Roman" w:eastAsia="宋体"/>
                <w:sz w:val="21"/>
                <w:szCs w:val="21"/>
                <w:lang w:val="en-US" w:eastAsia="zh-CN"/>
              </w:rPr>
              <w:t>15.9</w:t>
            </w:r>
            <w:r>
              <w:rPr>
                <w:rFonts w:hint="eastAsia"/>
                <w:sz w:val="21"/>
                <w:szCs w:val="21"/>
                <w:lang w:val="en-US" w:eastAsia="zh-CN"/>
              </w:rPr>
              <w:t>）</w:t>
            </w:r>
          </w:p>
        </w:tc>
        <w:tc>
          <w:tcPr>
            <w:tcW w:w="1218" w:type="dxa"/>
            <w:vAlign w:val="center"/>
          </w:tcPr>
          <w:p w14:paraId="2A047B1E">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1218" w:type="dxa"/>
            <w:vAlign w:val="center"/>
          </w:tcPr>
          <w:p w14:paraId="34F9EDEC">
            <w:pPr>
              <w:jc w:val="center"/>
              <w:rPr>
                <w:rFonts w:hint="eastAsia" w:ascii="Times New Roman" w:eastAsia="宋体"/>
                <w:sz w:val="21"/>
                <w:szCs w:val="21"/>
                <w:lang w:val="en-US" w:eastAsia="zh-CN"/>
              </w:rPr>
            </w:pPr>
            <w:r>
              <w:rPr>
                <w:rFonts w:hint="eastAsia"/>
                <w:sz w:val="21"/>
                <w:szCs w:val="21"/>
                <w:lang w:val="en-US" w:eastAsia="zh-CN"/>
              </w:rPr>
              <w:t>符合</w:t>
            </w:r>
          </w:p>
        </w:tc>
      </w:tr>
      <w:tr w14:paraId="5AF39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Merge w:val="restart"/>
            <w:vAlign w:val="center"/>
          </w:tcPr>
          <w:p w14:paraId="65AEB74E">
            <w:pPr>
              <w:jc w:val="center"/>
              <w:rPr>
                <w:rFonts w:hint="eastAsia"/>
                <w:sz w:val="21"/>
                <w:szCs w:val="21"/>
                <w:lang w:val="en-US" w:eastAsia="zh-CN"/>
              </w:rPr>
            </w:pPr>
            <w:r>
              <w:rPr>
                <w:rFonts w:hint="eastAsia"/>
                <w:sz w:val="21"/>
                <w:szCs w:val="21"/>
                <w:lang w:val="en-US" w:eastAsia="zh-CN"/>
              </w:rPr>
              <w:t>通气管管口</w:t>
            </w:r>
          </w:p>
        </w:tc>
        <w:tc>
          <w:tcPr>
            <w:tcW w:w="1163" w:type="dxa"/>
            <w:vAlign w:val="center"/>
          </w:tcPr>
          <w:p w14:paraId="335B20FB">
            <w:pPr>
              <w:jc w:val="center"/>
              <w:rPr>
                <w:rFonts w:hint="default" w:ascii="Times New Roman" w:eastAsia="宋体"/>
                <w:sz w:val="21"/>
                <w:szCs w:val="21"/>
                <w:lang w:val="en-US" w:eastAsia="zh-CN"/>
              </w:rPr>
            </w:pPr>
            <w:r>
              <w:rPr>
                <w:rFonts w:hint="eastAsia"/>
                <w:sz w:val="21"/>
                <w:szCs w:val="21"/>
                <w:lang w:val="en-US" w:eastAsia="zh-CN"/>
              </w:rPr>
              <w:t>北</w:t>
            </w:r>
          </w:p>
        </w:tc>
        <w:tc>
          <w:tcPr>
            <w:tcW w:w="2493" w:type="dxa"/>
            <w:vAlign w:val="center"/>
          </w:tcPr>
          <w:p w14:paraId="2CDE00A2">
            <w:pPr>
              <w:jc w:val="center"/>
              <w:rPr>
                <w:rFonts w:hint="default" w:ascii="Times New Roman" w:eastAsia="宋体"/>
                <w:sz w:val="21"/>
                <w:szCs w:val="21"/>
                <w:lang w:val="en-US" w:eastAsia="zh-CN"/>
              </w:rPr>
            </w:pPr>
            <w:r>
              <w:rPr>
                <w:rFonts w:hint="eastAsia"/>
                <w:sz w:val="21"/>
                <w:szCs w:val="21"/>
                <w:lang w:val="en-US" w:eastAsia="zh-CN"/>
              </w:rPr>
              <w:t>村道</w:t>
            </w:r>
          </w:p>
        </w:tc>
        <w:tc>
          <w:tcPr>
            <w:tcW w:w="1870" w:type="dxa"/>
            <w:vAlign w:val="center"/>
          </w:tcPr>
          <w:p w14:paraId="09F8306B">
            <w:pPr>
              <w:jc w:val="center"/>
              <w:rPr>
                <w:rFonts w:hint="default" w:ascii="Times New Roman" w:eastAsia="宋体"/>
                <w:sz w:val="21"/>
                <w:szCs w:val="21"/>
                <w:lang w:val="en-US" w:eastAsia="zh-CN"/>
              </w:rPr>
            </w:pPr>
            <w:r>
              <w:rPr>
                <w:rFonts w:hint="eastAsia"/>
                <w:sz w:val="21"/>
                <w:szCs w:val="21"/>
                <w:lang w:val="en-US" w:eastAsia="zh-CN"/>
              </w:rPr>
              <w:t>12.2（12）</w:t>
            </w:r>
          </w:p>
        </w:tc>
        <w:tc>
          <w:tcPr>
            <w:tcW w:w="1218" w:type="dxa"/>
            <w:vAlign w:val="center"/>
          </w:tcPr>
          <w:p w14:paraId="227B13BA">
            <w:pPr>
              <w:jc w:val="center"/>
              <w:rPr>
                <w:rFonts w:hint="eastAsia"/>
                <w:sz w:val="21"/>
                <w:szCs w:val="21"/>
                <w:lang w:val="en-US" w:eastAsia="zh-CN"/>
              </w:rPr>
            </w:pPr>
            <w:r>
              <w:rPr>
                <w:rFonts w:hint="eastAsia"/>
                <w:color w:val="auto"/>
                <w:kern w:val="18"/>
                <w:sz w:val="21"/>
                <w:szCs w:val="21"/>
                <w:lang w:val="en-US" w:eastAsia="zh-CN" w:bidi="ar-SA"/>
              </w:rPr>
              <w:t>5（3）</w:t>
            </w:r>
          </w:p>
        </w:tc>
        <w:tc>
          <w:tcPr>
            <w:tcW w:w="1218" w:type="dxa"/>
            <w:vAlign w:val="center"/>
          </w:tcPr>
          <w:p w14:paraId="760F054C">
            <w:pPr>
              <w:jc w:val="center"/>
              <w:rPr>
                <w:rFonts w:hint="eastAsia"/>
                <w:sz w:val="21"/>
                <w:szCs w:val="21"/>
                <w:lang w:val="en-US" w:eastAsia="zh-CN"/>
              </w:rPr>
            </w:pPr>
            <w:r>
              <w:rPr>
                <w:rFonts w:hint="eastAsia"/>
                <w:sz w:val="21"/>
                <w:szCs w:val="21"/>
                <w:lang w:val="en-US" w:eastAsia="zh-CN"/>
              </w:rPr>
              <w:t>符合</w:t>
            </w:r>
          </w:p>
        </w:tc>
      </w:tr>
      <w:tr w14:paraId="53BC4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7" w:type="dxa"/>
            <w:vMerge w:val="continue"/>
            <w:vAlign w:val="center"/>
          </w:tcPr>
          <w:p w14:paraId="445CBFFF">
            <w:pPr>
              <w:jc w:val="center"/>
              <w:rPr>
                <w:rFonts w:hint="eastAsia"/>
                <w:sz w:val="21"/>
                <w:szCs w:val="21"/>
                <w:lang w:val="en-US" w:eastAsia="zh-CN"/>
              </w:rPr>
            </w:pPr>
          </w:p>
        </w:tc>
        <w:tc>
          <w:tcPr>
            <w:tcW w:w="1163" w:type="dxa"/>
            <w:vAlign w:val="center"/>
          </w:tcPr>
          <w:p w14:paraId="15B293C2">
            <w:pPr>
              <w:jc w:val="center"/>
              <w:rPr>
                <w:rFonts w:hint="eastAsia"/>
                <w:sz w:val="21"/>
                <w:szCs w:val="21"/>
                <w:lang w:val="en-US" w:eastAsia="zh-CN"/>
              </w:rPr>
            </w:pPr>
            <w:r>
              <w:rPr>
                <w:rFonts w:hint="eastAsia"/>
                <w:sz w:val="21"/>
                <w:szCs w:val="21"/>
                <w:lang w:val="en-US" w:eastAsia="zh-CN"/>
              </w:rPr>
              <w:t>南</w:t>
            </w:r>
          </w:p>
        </w:tc>
        <w:tc>
          <w:tcPr>
            <w:tcW w:w="2493" w:type="dxa"/>
            <w:vAlign w:val="center"/>
          </w:tcPr>
          <w:p w14:paraId="77717324">
            <w:pPr>
              <w:jc w:val="center"/>
              <w:rPr>
                <w:rFonts w:hint="eastAsia"/>
                <w:sz w:val="21"/>
                <w:szCs w:val="21"/>
                <w:lang w:val="en-US" w:eastAsia="zh-CN"/>
              </w:rPr>
            </w:pPr>
            <w:r>
              <w:rPr>
                <w:rFonts w:hint="eastAsia"/>
                <w:sz w:val="21"/>
                <w:szCs w:val="21"/>
                <w:lang w:val="en-US" w:eastAsia="zh-CN"/>
              </w:rPr>
              <w:t>架空电力线（杆高10m）</w:t>
            </w:r>
          </w:p>
        </w:tc>
        <w:tc>
          <w:tcPr>
            <w:tcW w:w="1870" w:type="dxa"/>
            <w:vAlign w:val="center"/>
          </w:tcPr>
          <w:p w14:paraId="1A36E655">
            <w:pPr>
              <w:jc w:val="center"/>
              <w:rPr>
                <w:rFonts w:hint="default"/>
                <w:sz w:val="21"/>
                <w:szCs w:val="21"/>
                <w:lang w:val="en-US" w:eastAsia="zh-CN"/>
              </w:rPr>
            </w:pPr>
            <w:r>
              <w:rPr>
                <w:rFonts w:hint="eastAsia"/>
                <w:sz w:val="21"/>
                <w:szCs w:val="21"/>
                <w:lang w:val="en-US" w:eastAsia="zh-CN"/>
              </w:rPr>
              <w:t>37.2（37.4）</w:t>
            </w:r>
          </w:p>
        </w:tc>
        <w:tc>
          <w:tcPr>
            <w:tcW w:w="1218" w:type="dxa"/>
            <w:vAlign w:val="center"/>
          </w:tcPr>
          <w:p w14:paraId="60298B7F">
            <w:pPr>
              <w:jc w:val="center"/>
              <w:rPr>
                <w:rFonts w:hint="default"/>
                <w:sz w:val="21"/>
                <w:szCs w:val="21"/>
                <w:lang w:val="en-US" w:eastAsia="zh-CN"/>
              </w:rPr>
            </w:pPr>
            <w:r>
              <w:rPr>
                <w:rFonts w:hint="eastAsia"/>
                <w:sz w:val="21"/>
                <w:szCs w:val="21"/>
                <w:lang w:val="en-US" w:eastAsia="zh-CN"/>
              </w:rPr>
              <w:t>5（5）</w:t>
            </w:r>
          </w:p>
        </w:tc>
        <w:tc>
          <w:tcPr>
            <w:tcW w:w="1218" w:type="dxa"/>
            <w:vAlign w:val="center"/>
          </w:tcPr>
          <w:p w14:paraId="0023FFEF">
            <w:pPr>
              <w:jc w:val="center"/>
              <w:rPr>
                <w:rFonts w:hint="eastAsia"/>
                <w:sz w:val="21"/>
                <w:szCs w:val="21"/>
                <w:lang w:val="en-US" w:eastAsia="zh-CN"/>
              </w:rPr>
            </w:pPr>
            <w:r>
              <w:rPr>
                <w:rFonts w:hint="eastAsia"/>
                <w:sz w:val="21"/>
                <w:szCs w:val="21"/>
                <w:lang w:val="en-US" w:eastAsia="zh-CN"/>
              </w:rPr>
              <w:t>符合</w:t>
            </w:r>
          </w:p>
        </w:tc>
      </w:tr>
    </w:tbl>
    <w:p w14:paraId="481B4CA0">
      <w:pPr>
        <w:pStyle w:val="43"/>
        <w:keepNext w:val="0"/>
        <w:keepLines w:val="0"/>
        <w:pageBreakBefore w:val="0"/>
        <w:widowControl w:val="0"/>
        <w:kinsoku/>
        <w:wordWrap/>
        <w:overflowPunct/>
        <w:topLinePunct w:val="0"/>
        <w:autoSpaceDE/>
        <w:autoSpaceDN/>
        <w:bidi w:val="0"/>
        <w:adjustRightInd/>
        <w:snapToGrid/>
        <w:spacing w:before="0" w:beforeLines="0" w:after="0" w:afterLines="0" w:line="520" w:lineRule="exact"/>
        <w:jc w:val="both"/>
        <w:textAlignment w:val="auto"/>
        <w:rPr>
          <w:rFonts w:hint="eastAsia" w:ascii="Times New Roman" w:hAnsi="Times New Roman" w:eastAsia="宋体" w:cs="Times New Roman"/>
          <w:b w:val="0"/>
          <w:bCs w:val="0"/>
          <w:color w:val="auto"/>
          <w:sz w:val="24"/>
          <w:szCs w:val="24"/>
          <w:highlight w:val="none"/>
          <w:lang w:val="en-US" w:eastAsia="zh-CN"/>
        </w:rPr>
      </w:pPr>
      <w:bookmarkStart w:id="61" w:name="_Toc120957311"/>
      <w:bookmarkStart w:id="62" w:name="_Toc26933"/>
      <w:r>
        <w:rPr>
          <w:rFonts w:hint="default" w:ascii="Times New Roman" w:hAnsi="Times New Roman" w:eastAsia="宋体" w:cs="Times New Roman"/>
          <w:b w:val="0"/>
          <w:bCs w:val="0"/>
          <w:color w:val="auto"/>
          <w:sz w:val="24"/>
          <w:szCs w:val="24"/>
          <w:highlight w:val="none"/>
          <w:lang w:val="en-US" w:eastAsia="zh-CN"/>
        </w:rPr>
        <w:t>注：表中括号内数字为柴油设备(</w:t>
      </w:r>
      <w:r>
        <w:rPr>
          <w:rFonts w:hint="default" w:ascii="Times New Roman" w:hAnsi="Times New Roman" w:eastAsia="宋体" w:cs="Times New Roman"/>
          <w:b w:val="0"/>
          <w:bCs w:val="0"/>
          <w:color w:val="auto"/>
          <w:sz w:val="24"/>
          <w:szCs w:val="24"/>
        </w:rPr>
        <w:t>埋地油罐</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zh-CN"/>
        </w:rPr>
        <w:t>通气管管口、加油机</w:t>
      </w:r>
      <w:r>
        <w:rPr>
          <w:rFonts w:hint="default" w:ascii="Times New Roman" w:hAnsi="Times New Roman" w:eastAsia="宋体" w:cs="Times New Roman"/>
          <w:b w:val="0"/>
          <w:bCs w:val="0"/>
          <w:color w:val="auto"/>
          <w:sz w:val="24"/>
          <w:szCs w:val="24"/>
          <w:highlight w:val="none"/>
          <w:lang w:val="en-US" w:eastAsia="zh-CN"/>
        </w:rPr>
        <w:t>)与站外建(构)</w:t>
      </w:r>
      <w:r>
        <w:rPr>
          <w:rFonts w:hint="eastAsia" w:ascii="Times New Roman" w:hAnsi="Times New Roman" w:eastAsia="宋体" w:cs="Times New Roman"/>
          <w:b w:val="0"/>
          <w:bCs w:val="0"/>
          <w:color w:val="auto"/>
          <w:sz w:val="24"/>
          <w:szCs w:val="24"/>
          <w:highlight w:val="none"/>
          <w:lang w:val="en-US" w:eastAsia="zh-CN"/>
        </w:rPr>
        <w:t>筑</w:t>
      </w:r>
      <w:r>
        <w:rPr>
          <w:rFonts w:hint="default" w:ascii="Times New Roman" w:hAnsi="Times New Roman" w:eastAsia="宋体" w:cs="Times New Roman"/>
          <w:b w:val="0"/>
          <w:bCs w:val="0"/>
          <w:color w:val="auto"/>
          <w:sz w:val="24"/>
          <w:szCs w:val="24"/>
          <w:highlight w:val="none"/>
          <w:lang w:val="en-US" w:eastAsia="zh-CN"/>
        </w:rPr>
        <w:t>物的安全间距</w:t>
      </w:r>
      <w:r>
        <w:rPr>
          <w:rFonts w:hint="eastAsia" w:ascii="Times New Roman" w:hAnsi="Times New Roman" w:eastAsia="宋体" w:cs="Times New Roman"/>
          <w:b w:val="0"/>
          <w:bCs w:val="0"/>
          <w:color w:val="auto"/>
          <w:sz w:val="24"/>
          <w:szCs w:val="24"/>
          <w:highlight w:val="none"/>
          <w:lang w:val="en-US" w:eastAsia="zh-CN"/>
        </w:rPr>
        <w:t>。</w:t>
      </w:r>
    </w:p>
    <w:p w14:paraId="3BDD179B">
      <w:pPr>
        <w:wordWrap w:val="0"/>
        <w:adjustRightInd w:val="0"/>
        <w:snapToGrid w:val="0"/>
        <w:spacing w:line="600" w:lineRule="exact"/>
        <w:textAlignment w:val="center"/>
        <w:outlineLvl w:val="2"/>
        <w:rPr>
          <w:b/>
          <w:color w:val="000000"/>
          <w:sz w:val="28"/>
          <w:szCs w:val="28"/>
        </w:rPr>
      </w:pPr>
      <w:bookmarkStart w:id="63" w:name="_Toc16557"/>
      <w:r>
        <w:rPr>
          <w:b/>
          <w:color w:val="000000"/>
          <w:sz w:val="28"/>
          <w:szCs w:val="28"/>
        </w:rPr>
        <w:t>2.2.2总平面布置</w:t>
      </w:r>
      <w:bookmarkEnd w:id="61"/>
      <w:bookmarkEnd w:id="62"/>
      <w:bookmarkEnd w:id="63"/>
    </w:p>
    <w:p w14:paraId="09FB03A0">
      <w:pPr>
        <w:spacing w:line="60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加油站总体布置由站区道路、站房区、加油区、油储罐区、辅助房区等设施组成。</w:t>
      </w:r>
    </w:p>
    <w:p w14:paraId="789A8D99">
      <w:pPr>
        <w:tabs>
          <w:tab w:val="left" w:pos="6660"/>
        </w:tabs>
        <w:spacing w:line="600" w:lineRule="exact"/>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加油站进、出口分开设置，站内建有实体围墙，与外界相隔。</w:t>
      </w:r>
    </w:p>
    <w:p w14:paraId="1103E785">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该加油站按功能可分为站房、</w:t>
      </w:r>
      <w:r>
        <w:rPr>
          <w:rFonts w:hint="eastAsia" w:ascii="Times New Roman" w:hAnsi="Times New Roman" w:cs="Times New Roman"/>
          <w:color w:val="auto"/>
          <w:szCs w:val="28"/>
          <w:lang w:val="en-US" w:eastAsia="zh-CN"/>
        </w:rPr>
        <w:t>配电间</w:t>
      </w:r>
      <w:r>
        <w:rPr>
          <w:rFonts w:hint="default" w:ascii="Times New Roman" w:hAnsi="Times New Roman" w:cs="Times New Roman"/>
          <w:color w:val="auto"/>
          <w:szCs w:val="28"/>
        </w:rPr>
        <w:t>、</w:t>
      </w:r>
      <w:r>
        <w:rPr>
          <w:rFonts w:hint="eastAsia" w:ascii="Times New Roman" w:hAnsi="Times New Roman" w:eastAsia="宋体" w:cs="Times New Roman"/>
          <w:color w:val="auto"/>
          <w:szCs w:val="28"/>
        </w:rPr>
        <w:t>加油</w:t>
      </w:r>
      <w:r>
        <w:rPr>
          <w:rFonts w:hint="eastAsia" w:ascii="Times New Roman" w:hAnsi="Times New Roman" w:eastAsia="宋体" w:cs="Times New Roman"/>
          <w:color w:val="auto"/>
          <w:szCs w:val="28"/>
          <w:lang w:val="en-US" w:eastAsia="zh-CN"/>
        </w:rPr>
        <w:t>区、油罐区</w:t>
      </w:r>
      <w:r>
        <w:rPr>
          <w:rFonts w:hint="default" w:ascii="Times New Roman" w:hAnsi="Times New Roman" w:cs="Times New Roman"/>
          <w:color w:val="auto"/>
          <w:szCs w:val="28"/>
        </w:rPr>
        <w:t>。</w:t>
      </w:r>
    </w:p>
    <w:p w14:paraId="325DC836">
      <w:pPr>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ascii="Times New Roman" w:hAnsi="Times New Roman" w:eastAsia="宋体" w:cs="Times New Roman"/>
          <w:color w:val="auto"/>
          <w:sz w:val="28"/>
          <w:highlight w:val="none"/>
          <w:lang w:val="en-US" w:eastAsia="zh-CN"/>
        </w:rPr>
      </w:pPr>
      <w:r>
        <w:rPr>
          <w:rFonts w:hint="default" w:ascii="Times New Roman" w:hAnsi="Times New Roman" w:cs="Times New Roman"/>
          <w:b/>
          <w:bCs/>
          <w:color w:val="auto"/>
        </w:rPr>
        <w:t>站房</w:t>
      </w:r>
      <w:r>
        <w:rPr>
          <w:rFonts w:hint="default" w:ascii="Times New Roman" w:hAnsi="Times New Roman" w:cs="Times New Roman"/>
          <w:color w:val="auto"/>
        </w:rPr>
        <w:t>：</w:t>
      </w:r>
      <w:r>
        <w:rPr>
          <w:rFonts w:hint="default" w:ascii="Times New Roman" w:hAnsi="Times New Roman" w:cs="Times New Roman"/>
          <w:color w:val="auto"/>
          <w:sz w:val="28"/>
          <w:szCs w:val="28"/>
        </w:rPr>
        <w:t>站房为</w:t>
      </w:r>
      <w:r>
        <w:rPr>
          <w:rFonts w:hint="eastAsia" w:ascii="Times New Roman" w:hAnsi="Times New Roman" w:cs="Times New Roman"/>
          <w:color w:val="auto"/>
          <w:sz w:val="28"/>
          <w:szCs w:val="28"/>
          <w:lang w:val="en-US" w:eastAsia="zh-CN"/>
        </w:rPr>
        <w:t>单</w:t>
      </w:r>
      <w:r>
        <w:rPr>
          <w:rFonts w:hint="default" w:ascii="Times New Roman" w:hAnsi="Times New Roman" w:cs="Times New Roman"/>
          <w:color w:val="auto"/>
          <w:sz w:val="28"/>
          <w:szCs w:val="28"/>
          <w:lang w:eastAsia="zh-CN"/>
        </w:rPr>
        <w:t>层</w:t>
      </w:r>
      <w:r>
        <w:rPr>
          <w:rFonts w:hint="default" w:ascii="Times New Roman" w:hAnsi="Times New Roman" w:cs="Times New Roman"/>
          <w:color w:val="auto"/>
          <w:sz w:val="28"/>
          <w:szCs w:val="28"/>
        </w:rPr>
        <w:t>建筑</w:t>
      </w:r>
      <w:r>
        <w:rPr>
          <w:rFonts w:hint="eastAsia" w:ascii="Times New Roman" w:hAnsi="Times New Roman" w:cs="Times New Roman"/>
          <w:color w:val="auto"/>
          <w:sz w:val="28"/>
          <w:szCs w:val="28"/>
          <w:lang w:eastAsia="zh-CN"/>
        </w:rPr>
        <w:t>，混凝土结构</w:t>
      </w:r>
      <w:r>
        <w:rPr>
          <w:rFonts w:hint="default"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站区</w:t>
      </w:r>
      <w:r>
        <w:rPr>
          <w:rFonts w:hint="eastAsia" w:ascii="Times New Roman" w:hAnsi="Times New Roman" w:cs="Times New Roman"/>
          <w:color w:val="auto"/>
          <w:sz w:val="28"/>
          <w:szCs w:val="28"/>
          <w:lang w:val="en-US" w:eastAsia="zh-CN"/>
        </w:rPr>
        <w:t>中部</w:t>
      </w:r>
      <w:r>
        <w:rPr>
          <w:rFonts w:hint="eastAsia" w:ascii="Times New Roman" w:hAnsi="Times New Roman"/>
          <w:color w:val="auto"/>
          <w:sz w:val="28"/>
          <w:szCs w:val="28"/>
        </w:rPr>
        <w:t>，</w:t>
      </w:r>
      <w:r>
        <w:rPr>
          <w:rFonts w:hint="eastAsia" w:ascii="Times New Roman" w:hAnsi="Times New Roman" w:eastAsia="宋体" w:cs="Times New Roman"/>
          <w:color w:val="auto"/>
          <w:sz w:val="28"/>
          <w:szCs w:val="28"/>
        </w:rPr>
        <w:t>面积</w:t>
      </w:r>
      <w:r>
        <w:rPr>
          <w:rFonts w:hint="eastAsia" w:ascii="Times New Roman" w:hAnsi="Times New Roman" w:eastAsia="宋体" w:cs="Times New Roman"/>
          <w:color w:val="auto"/>
          <w:sz w:val="28"/>
          <w:szCs w:val="28"/>
          <w:lang w:val="en-US" w:eastAsia="zh-CN"/>
        </w:rPr>
        <w:t>90m</w:t>
      </w:r>
      <w:r>
        <w:rPr>
          <w:rFonts w:hint="eastAsia" w:ascii="Times New Roman" w:hAnsi="Times New Roman" w:eastAsia="宋体" w:cs="Times New Roman"/>
          <w:color w:val="auto"/>
          <w:sz w:val="28"/>
          <w:szCs w:val="28"/>
          <w:vertAlign w:val="superscript"/>
          <w:lang w:val="en-US" w:eastAsia="zh-CN"/>
        </w:rPr>
        <w:t>2</w:t>
      </w:r>
      <w:r>
        <w:rPr>
          <w:rFonts w:hint="eastAsia" w:ascii="Times New Roman" w:hAnsi="Times New Roman" w:eastAsia="宋体" w:cs="Times New Roman"/>
          <w:color w:val="auto"/>
          <w:sz w:val="28"/>
          <w:szCs w:val="28"/>
          <w:lang w:val="en-US" w:eastAsia="zh-CN"/>
        </w:rPr>
        <w:t>，</w:t>
      </w:r>
      <w:r>
        <w:rPr>
          <w:rFonts w:hint="eastAsia" w:ascii="Times New Roman" w:hAnsi="Times New Roman"/>
          <w:color w:val="auto"/>
          <w:sz w:val="28"/>
          <w:szCs w:val="28"/>
        </w:rPr>
        <w:t>设有</w:t>
      </w:r>
      <w:r>
        <w:rPr>
          <w:color w:val="auto"/>
          <w:sz w:val="28"/>
          <w:szCs w:val="28"/>
        </w:rPr>
        <w:t>营业室</w:t>
      </w:r>
      <w:r>
        <w:rPr>
          <w:rFonts w:hint="eastAsia"/>
          <w:color w:val="auto"/>
          <w:sz w:val="28"/>
          <w:szCs w:val="28"/>
          <w:lang w:eastAsia="zh-CN"/>
        </w:rPr>
        <w:t>、</w:t>
      </w:r>
      <w:r>
        <w:rPr>
          <w:rFonts w:hint="eastAsia" w:ascii="Times New Roman" w:hAnsi="Times New Roman"/>
          <w:color w:val="auto"/>
          <w:sz w:val="28"/>
          <w:szCs w:val="28"/>
          <w:lang w:val="en-US" w:eastAsia="zh-CN"/>
        </w:rPr>
        <w:t>办公</w:t>
      </w:r>
      <w:r>
        <w:rPr>
          <w:rFonts w:hint="eastAsia" w:ascii="Times New Roman" w:hAnsi="Times New Roman"/>
          <w:color w:val="auto"/>
          <w:sz w:val="28"/>
          <w:szCs w:val="28"/>
        </w:rPr>
        <w:t>室、</w:t>
      </w:r>
      <w:r>
        <w:rPr>
          <w:rFonts w:hint="eastAsia" w:ascii="Times New Roman" w:hAnsi="Times New Roman"/>
          <w:color w:val="auto"/>
          <w:sz w:val="28"/>
          <w:szCs w:val="28"/>
          <w:lang w:val="en-US" w:eastAsia="zh-CN"/>
        </w:rPr>
        <w:t>便利店</w:t>
      </w:r>
      <w:r>
        <w:rPr>
          <w:rFonts w:hint="eastAsia" w:ascii="Times New Roman" w:hAnsi="Times New Roman"/>
          <w:color w:val="auto"/>
          <w:sz w:val="28"/>
          <w:szCs w:val="28"/>
          <w:lang w:eastAsia="zh-CN"/>
        </w:rPr>
        <w:t>等。</w:t>
      </w:r>
    </w:p>
    <w:p w14:paraId="11ABC4B4">
      <w:pPr>
        <w:pageBreakBefore w:val="0"/>
        <w:widowControl w:val="0"/>
        <w:shd w:val="clear" w:color="auto" w:fill="auto"/>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color w:val="auto"/>
          <w:sz w:val="24"/>
          <w:szCs w:val="24"/>
        </w:rPr>
      </w:pPr>
      <w:r>
        <w:rPr>
          <w:rFonts w:hint="eastAsia" w:ascii="Times New Roman" w:hAnsi="Times New Roman"/>
          <w:color w:val="auto"/>
          <w:sz w:val="28"/>
          <w:szCs w:val="28"/>
        </w:rPr>
        <w:t>室内设有液位监控仪1台，泄漏检测仪1台，视频监控一套。</w:t>
      </w:r>
    </w:p>
    <w:p w14:paraId="4F7B6333">
      <w:pPr>
        <w:pageBreakBefore w:val="0"/>
        <w:widowControl w:val="0"/>
        <w:shd w:val="clear" w:color="auto" w:fill="auto"/>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cs="Times New Roman"/>
          <w:color w:val="auto"/>
          <w:kern w:val="0"/>
          <w:szCs w:val="28"/>
          <w:lang w:val="en-US"/>
        </w:rPr>
      </w:pPr>
      <w:r>
        <w:rPr>
          <w:rFonts w:hint="default" w:ascii="Times New Roman" w:hAnsi="Times New Roman" w:cs="Times New Roman"/>
          <w:color w:val="auto"/>
          <w:kern w:val="0"/>
          <w:szCs w:val="28"/>
        </w:rPr>
        <w:t>站</w:t>
      </w:r>
      <w:r>
        <w:rPr>
          <w:rFonts w:hint="default" w:ascii="Times New Roman" w:hAnsi="Times New Roman" w:eastAsia="宋体" w:cs="Times New Roman"/>
          <w:color w:val="auto"/>
          <w:sz w:val="28"/>
          <w:szCs w:val="28"/>
          <w:lang w:val="en-US" w:eastAsia="zh-CN"/>
        </w:rPr>
        <w:t>房外墙处设置了</w:t>
      </w:r>
      <w:r>
        <w:rPr>
          <w:rFonts w:hint="eastAsia"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val="en-US" w:eastAsia="zh-CN"/>
        </w:rPr>
        <w:t>个紧急切断按钮。</w:t>
      </w:r>
    </w:p>
    <w:p w14:paraId="073152F5">
      <w:pPr>
        <w:tabs>
          <w:tab w:val="left" w:pos="6660"/>
        </w:tabs>
        <w:spacing w:line="600" w:lineRule="exact"/>
        <w:ind w:firstLine="562" w:firstLineChars="200"/>
        <w:rPr>
          <w:rFonts w:ascii="Times New Roman" w:hAnsi="Times New Roman" w:eastAsia="宋体" w:cs="Times New Roman"/>
          <w:sz w:val="28"/>
        </w:rPr>
      </w:pPr>
      <w:r>
        <w:rPr>
          <w:rFonts w:hint="eastAsia"/>
          <w:b/>
          <w:bCs/>
          <w:color w:val="auto"/>
        </w:rPr>
        <w:t>加油</w:t>
      </w:r>
      <w:r>
        <w:rPr>
          <w:rFonts w:hint="eastAsia"/>
          <w:b/>
          <w:bCs/>
          <w:color w:val="auto"/>
          <w:lang w:val="en-US" w:eastAsia="zh-CN"/>
        </w:rPr>
        <w:t>区</w:t>
      </w:r>
      <w:r>
        <w:rPr>
          <w:rFonts w:hint="default" w:ascii="Times New Roman" w:hAnsi="Times New Roman" w:eastAsia="宋体" w:cs="Times New Roman"/>
          <w:b/>
          <w:bCs/>
          <w:color w:val="auto"/>
          <w:szCs w:val="28"/>
        </w:rPr>
        <w:t>：</w:t>
      </w:r>
      <w:r>
        <w:rPr>
          <w:rFonts w:hint="eastAsia" w:ascii="Times New Roman" w:hAnsi="Times New Roman" w:eastAsia="宋体" w:cs="Times New Roman"/>
          <w:color w:val="auto"/>
          <w:szCs w:val="28"/>
          <w:lang w:val="en-US" w:eastAsia="zh-CN"/>
        </w:rPr>
        <w:t>罩棚一</w:t>
      </w:r>
      <w:r>
        <w:rPr>
          <w:rFonts w:hint="default" w:ascii="Times New Roman" w:hAnsi="Times New Roman" w:eastAsia="宋体" w:cs="Times New Roman"/>
          <w:color w:val="auto"/>
          <w:szCs w:val="28"/>
        </w:rPr>
        <w:t>位于站房</w:t>
      </w:r>
      <w:r>
        <w:rPr>
          <w:rFonts w:hint="eastAsia" w:ascii="Times New Roman" w:hAnsi="Times New Roman" w:eastAsia="宋体" w:cs="Times New Roman"/>
          <w:color w:val="auto"/>
          <w:szCs w:val="28"/>
          <w:lang w:val="en-US" w:eastAsia="zh-CN"/>
        </w:rPr>
        <w:t>西</w:t>
      </w:r>
      <w:r>
        <w:rPr>
          <w:rFonts w:hint="default" w:ascii="Times New Roman" w:hAnsi="Times New Roman" w:eastAsia="宋体" w:cs="Times New Roman"/>
          <w:color w:val="auto"/>
          <w:szCs w:val="28"/>
        </w:rPr>
        <w:t>侧，为一座</w:t>
      </w:r>
      <w:r>
        <w:rPr>
          <w:rFonts w:hint="eastAsia" w:ascii="Times New Roman" w:hAnsi="Times New Roman" w:eastAsia="宋体" w:cs="Times New Roman"/>
          <w:color w:val="auto"/>
          <w:szCs w:val="28"/>
          <w:lang w:val="en-US" w:eastAsia="zh-CN"/>
        </w:rPr>
        <w:t>螺栓球网架</w:t>
      </w:r>
      <w:r>
        <w:rPr>
          <w:rFonts w:hint="default" w:ascii="Times New Roman" w:hAnsi="Times New Roman" w:eastAsia="宋体" w:cs="Times New Roman"/>
          <w:color w:val="auto"/>
          <w:szCs w:val="28"/>
        </w:rPr>
        <w:t>结构罩棚，罩棚面积</w:t>
      </w:r>
      <w:r>
        <w:rPr>
          <w:rFonts w:hint="eastAsia" w:ascii="Times New Roman" w:hAnsi="Times New Roman" w:eastAsia="宋体" w:cs="Times New Roman"/>
          <w:color w:val="auto"/>
          <w:szCs w:val="28"/>
          <w:lang w:val="en-US" w:eastAsia="zh-CN"/>
        </w:rPr>
        <w:t>195/2</w:t>
      </w:r>
      <w:r>
        <w:rPr>
          <w:rFonts w:hint="default" w:ascii="Times New Roman" w:hAnsi="Times New Roman" w:eastAsia="宋体" w:cs="Times New Roman"/>
          <w:color w:val="auto"/>
          <w:szCs w:val="28"/>
        </w:rPr>
        <w:t>m</w:t>
      </w:r>
      <w:r>
        <w:rPr>
          <w:rFonts w:hint="default" w:ascii="Times New Roman" w:hAnsi="Times New Roman" w:eastAsia="宋体" w:cs="Times New Roman"/>
          <w:color w:val="auto"/>
          <w:szCs w:val="28"/>
          <w:vertAlign w:val="superscript"/>
        </w:rPr>
        <w:t>2</w:t>
      </w:r>
      <w:r>
        <w:rPr>
          <w:rFonts w:hint="eastAsia" w:ascii="Times New Roman" w:hAnsi="Times New Roman" w:cs="Times New Roman"/>
          <w:color w:val="auto"/>
          <w:szCs w:val="28"/>
          <w:lang w:val="en-US" w:eastAsia="zh-CN"/>
        </w:rPr>
        <w:t>(投影面积折半)</w:t>
      </w:r>
      <w:r>
        <w:rPr>
          <w:rFonts w:hint="default" w:ascii="Times New Roman" w:hAnsi="Times New Roman" w:eastAsia="宋体" w:cs="Times New Roman"/>
          <w:color w:val="auto"/>
          <w:szCs w:val="28"/>
        </w:rPr>
        <w:t>，罩棚伸出加油机距离大于2.0m，罩棚下设置有</w:t>
      </w:r>
      <w:r>
        <w:rPr>
          <w:rFonts w:hint="eastAsia" w:ascii="Times New Roman" w:hAnsi="Times New Roman" w:eastAsia="宋体" w:cs="Times New Roman"/>
          <w:color w:val="auto"/>
          <w:szCs w:val="28"/>
          <w:lang w:val="en-US" w:eastAsia="zh-CN"/>
        </w:rPr>
        <w:t>1个</w:t>
      </w:r>
      <w:r>
        <w:rPr>
          <w:rFonts w:hint="default" w:ascii="Times New Roman" w:hAnsi="Times New Roman" w:eastAsia="宋体" w:cs="Times New Roman"/>
          <w:color w:val="auto"/>
          <w:szCs w:val="28"/>
        </w:rPr>
        <w:t>立柱加油岛，</w:t>
      </w:r>
      <w:r>
        <w:rPr>
          <w:rFonts w:ascii="Times New Roman" w:hAnsi="Times New Roman" w:eastAsia="宋体" w:cs="Times New Roman"/>
          <w:sz w:val="28"/>
          <w:szCs w:val="28"/>
        </w:rPr>
        <w:t>岛上设置</w:t>
      </w:r>
      <w:r>
        <w:rPr>
          <w:rFonts w:hint="eastAsia" w:ascii="Times New Roman" w:hAnsi="Times New Roman" w:eastAsia="宋体" w:cs="Times New Roman"/>
          <w:sz w:val="28"/>
          <w:szCs w:val="28"/>
        </w:rPr>
        <w:t>3</w:t>
      </w:r>
      <w:r>
        <w:rPr>
          <w:rFonts w:ascii="Times New Roman" w:hAnsi="Times New Roman" w:eastAsia="宋体" w:cs="Times New Roman"/>
          <w:sz w:val="28"/>
          <w:szCs w:val="28"/>
        </w:rPr>
        <w:t>台</w:t>
      </w:r>
      <w:r>
        <w:rPr>
          <w:rFonts w:hint="eastAsia" w:ascii="Times New Roman" w:hAnsi="Times New Roman" w:eastAsia="宋体" w:cs="Times New Roman"/>
          <w:sz w:val="28"/>
        </w:rPr>
        <w:t>加油机</w:t>
      </w:r>
      <w:r>
        <w:rPr>
          <w:rFonts w:ascii="Times New Roman" w:hAnsi="Times New Roman" w:eastAsia="宋体" w:cs="Times New Roman"/>
          <w:sz w:val="28"/>
        </w:rPr>
        <w:t>。</w:t>
      </w:r>
      <w:r>
        <w:rPr>
          <w:rFonts w:hint="eastAsia" w:ascii="Times New Roman" w:hAnsi="Times New Roman" w:eastAsia="宋体" w:cs="Times New Roman"/>
          <w:sz w:val="28"/>
        </w:rPr>
        <w:t>从南至北依次为1台0#柴油单枪加油站，1台92#/95#汽油双枪加油机，1台0#柴油单枪加油站</w:t>
      </w:r>
      <w:r>
        <w:rPr>
          <w:rFonts w:ascii="Times New Roman" w:hAnsi="Times New Roman" w:eastAsia="宋体" w:cs="Times New Roman"/>
          <w:sz w:val="28"/>
        </w:rPr>
        <w:t>。</w:t>
      </w:r>
    </w:p>
    <w:p w14:paraId="392CBDA9">
      <w:pPr>
        <w:spacing w:line="600" w:lineRule="exact"/>
        <w:ind w:firstLine="562" w:firstLineChars="200"/>
        <w:rPr>
          <w:rFonts w:ascii="Times New Roman" w:hAnsi="Times New Roman" w:eastAsia="宋体" w:cs="Times New Roman"/>
          <w:sz w:val="28"/>
        </w:rPr>
      </w:pPr>
      <w:r>
        <w:rPr>
          <w:rFonts w:hint="eastAsia"/>
          <w:b/>
          <w:bCs/>
          <w:color w:val="auto"/>
          <w:lang w:val="en-US" w:eastAsia="zh-CN"/>
        </w:rPr>
        <w:t>油罐区：</w:t>
      </w:r>
      <w:r>
        <w:rPr>
          <w:rFonts w:hint="eastAsia"/>
          <w:b w:val="0"/>
          <w:bCs w:val="0"/>
          <w:color w:val="auto"/>
          <w:highlight w:val="none"/>
        </w:rPr>
        <w:t>油罐</w:t>
      </w:r>
      <w:r>
        <w:rPr>
          <w:rFonts w:hint="eastAsia"/>
          <w:b w:val="0"/>
          <w:bCs w:val="0"/>
          <w:color w:val="auto"/>
          <w:highlight w:val="none"/>
          <w:lang w:val="en-US" w:eastAsia="zh-CN"/>
        </w:rPr>
        <w:t>位于站房北侧，</w:t>
      </w:r>
      <w:r>
        <w:rPr>
          <w:rFonts w:hint="eastAsia" w:ascii="Times New Roman" w:hAnsi="Times New Roman" w:eastAsia="宋体" w:cs="Times New Roman"/>
          <w:sz w:val="28"/>
        </w:rPr>
        <w:t>共设4个油罐，</w:t>
      </w:r>
      <w:r>
        <w:rPr>
          <w:rFonts w:ascii="Times New Roman" w:hAnsi="Times New Roman" w:eastAsia="宋体" w:cs="Times New Roman"/>
          <w:sz w:val="28"/>
        </w:rPr>
        <w:t>由</w:t>
      </w:r>
      <w:r>
        <w:rPr>
          <w:rFonts w:hint="eastAsia" w:ascii="Times New Roman" w:hAnsi="Times New Roman" w:eastAsia="宋体" w:cs="Times New Roman"/>
          <w:sz w:val="28"/>
        </w:rPr>
        <w:t>南至北，依次为1</w:t>
      </w:r>
      <w:r>
        <w:rPr>
          <w:rFonts w:hint="eastAsia" w:ascii="Times New Roman" w:hAnsi="Times New Roman" w:eastAsia="宋体" w:cs="Times New Roman"/>
          <w:sz w:val="28"/>
          <w:szCs w:val="28"/>
        </w:rPr>
        <w:t>个30m³92#汽油储罐、1个30m³95#汽油储罐、2个40m³0#柴油储罐</w:t>
      </w:r>
      <w:r>
        <w:rPr>
          <w:rFonts w:hint="eastAsia" w:ascii="Times New Roman" w:hAnsi="Times New Roman" w:eastAsia="宋体" w:cs="Times New Roman"/>
          <w:sz w:val="28"/>
        </w:rPr>
        <w:t>。</w:t>
      </w:r>
    </w:p>
    <w:p w14:paraId="08D1C7C2">
      <w:pPr>
        <w:spacing w:line="600" w:lineRule="exact"/>
        <w:ind w:firstLine="560" w:firstLineChars="200"/>
        <w:rPr>
          <w:rFonts w:hint="eastAsia" w:ascii="Times New Roman" w:hAnsi="Times New Roman" w:eastAsia="宋体" w:cs="Times New Roman"/>
          <w:sz w:val="28"/>
        </w:rPr>
      </w:pPr>
      <w:r>
        <w:rPr>
          <w:rFonts w:hint="eastAsia" w:ascii="Times New Roman" w:hAnsi="Times New Roman" w:eastAsia="宋体" w:cs="Times New Roman"/>
          <w:sz w:val="28"/>
          <w:lang w:val="en-US" w:eastAsia="zh-CN"/>
        </w:rPr>
        <w:t>密闭卸油口</w:t>
      </w:r>
      <w:r>
        <w:rPr>
          <w:rFonts w:ascii="Times New Roman" w:hAnsi="Times New Roman" w:eastAsia="宋体" w:cs="Times New Roman"/>
          <w:sz w:val="28"/>
        </w:rPr>
        <w:t>布置在</w:t>
      </w:r>
      <w:r>
        <w:rPr>
          <w:rFonts w:hint="eastAsia" w:ascii="Times New Roman" w:hAnsi="Times New Roman" w:eastAsia="宋体" w:cs="Times New Roman"/>
          <w:sz w:val="28"/>
        </w:rPr>
        <w:t>罐区西侧，采用密闭卸油，共设4个卸油口及1个油气回收口。</w:t>
      </w:r>
    </w:p>
    <w:p w14:paraId="0E8900B3">
      <w:pPr>
        <w:pageBreakBefore w:val="0"/>
        <w:shd w:val="clear" w:color="auto" w:fill="auto"/>
        <w:kinsoku/>
        <w:overflowPunct/>
        <w:topLinePunct w:val="0"/>
        <w:bidi w:val="0"/>
        <w:spacing w:line="520" w:lineRule="exact"/>
        <w:ind w:firstLine="560" w:firstLineChars="200"/>
        <w:rPr>
          <w:rFonts w:hint="default" w:ascii="Times New Roman" w:hAnsi="Times New Roman" w:cs="Times New Roman"/>
          <w:color w:val="auto"/>
        </w:rPr>
      </w:pPr>
      <w:r>
        <w:rPr>
          <w:rFonts w:ascii="Times New Roman" w:hAnsi="Times New Roman" w:eastAsia="宋体" w:cs="Times New Roman"/>
          <w:sz w:val="28"/>
        </w:rPr>
        <w:t>通气管</w:t>
      </w:r>
      <w:r>
        <w:rPr>
          <w:rFonts w:hint="eastAsia" w:ascii="Times New Roman" w:hAnsi="Times New Roman" w:eastAsia="宋体" w:cs="Times New Roman"/>
          <w:sz w:val="28"/>
        </w:rPr>
        <w:t>集中布置在罐区中部，共设4根通气管，</w:t>
      </w:r>
      <w:r>
        <w:rPr>
          <w:rFonts w:ascii="Times New Roman" w:hAnsi="Times New Roman" w:eastAsia="宋体" w:cs="Times New Roman"/>
          <w:sz w:val="28"/>
        </w:rPr>
        <w:t>通气管高</w:t>
      </w:r>
      <w:r>
        <w:rPr>
          <w:rFonts w:hint="eastAsia" w:ascii="Times New Roman" w:hAnsi="Times New Roman" w:eastAsia="宋体" w:cs="Times New Roman"/>
          <w:sz w:val="28"/>
        </w:rPr>
        <w:t>出地面4</w:t>
      </w:r>
      <w:r>
        <w:rPr>
          <w:rFonts w:ascii="Times New Roman" w:hAnsi="Times New Roman" w:eastAsia="宋体" w:cs="Times New Roman"/>
          <w:sz w:val="28"/>
        </w:rPr>
        <w:t>m，管径为</w:t>
      </w:r>
      <w:r>
        <w:rPr>
          <w:rFonts w:hint="eastAsia" w:ascii="Times New Roman" w:hAnsi="Times New Roman" w:eastAsia="宋体" w:cs="Times New Roman"/>
          <w:sz w:val="28"/>
        </w:rPr>
        <w:t>5</w:t>
      </w:r>
      <w:r>
        <w:rPr>
          <w:rFonts w:ascii="Times New Roman" w:hAnsi="Times New Roman" w:eastAsia="宋体" w:cs="Times New Roman"/>
          <w:sz w:val="28"/>
        </w:rPr>
        <w:t>0mm</w:t>
      </w:r>
      <w:r>
        <w:rPr>
          <w:rFonts w:hint="eastAsia" w:cs="Times New Roman"/>
          <w:sz w:val="28"/>
          <w:lang w:eastAsia="zh-CN"/>
        </w:rPr>
        <w:t>，</w:t>
      </w:r>
      <w:r>
        <w:rPr>
          <w:rFonts w:hint="default" w:ascii="Times New Roman" w:hAnsi="Times New Roman" w:cs="Times New Roman"/>
          <w:color w:val="auto"/>
          <w:shd w:val="clear" w:color="auto" w:fill="auto"/>
        </w:rPr>
        <w:t>通气管管口设置阻火器，汽油通气管管口设置带呼吸阀的阻</w:t>
      </w:r>
      <w:r>
        <w:rPr>
          <w:rFonts w:hint="default" w:ascii="Times New Roman" w:hAnsi="Times New Roman" w:cs="Times New Roman"/>
          <w:color w:val="auto"/>
        </w:rPr>
        <w:t>火器。</w:t>
      </w:r>
    </w:p>
    <w:p w14:paraId="0D752C79">
      <w:pPr>
        <w:pStyle w:val="29"/>
        <w:ind w:firstLine="420" w:firstLineChars="0"/>
        <w:rPr>
          <w:rFonts w:hint="eastAsia" w:ascii="Times New Roman" w:hAnsi="Times New Roman" w:eastAsia="宋体" w:cs="Times New Roman"/>
          <w:sz w:val="28"/>
        </w:rPr>
      </w:pPr>
      <w:r>
        <w:rPr>
          <w:rFonts w:hint="eastAsia" w:ascii="Times New Roman" w:hAnsi="Times New Roman" w:eastAsia="宋体" w:cs="Times New Roman"/>
          <w:sz w:val="28"/>
        </w:rPr>
        <w:t>辅助房位于站房东南侧，为单层建筑，</w:t>
      </w:r>
      <w:r>
        <w:rPr>
          <w:rFonts w:hint="eastAsia" w:cs="Times New Roman"/>
          <w:sz w:val="28"/>
          <w:lang w:val="en-US" w:eastAsia="zh-CN"/>
        </w:rPr>
        <w:t>面积36m</w:t>
      </w:r>
      <w:r>
        <w:rPr>
          <w:rFonts w:hint="eastAsia" w:cs="Times New Roman"/>
          <w:sz w:val="28"/>
          <w:vertAlign w:val="superscript"/>
          <w:lang w:val="en-US" w:eastAsia="zh-CN"/>
        </w:rPr>
        <w:t>2</w:t>
      </w:r>
      <w:r>
        <w:rPr>
          <w:rFonts w:hint="eastAsia" w:ascii="Times New Roman" w:hAnsi="Times New Roman" w:eastAsia="宋体" w:cs="Times New Roman"/>
          <w:sz w:val="28"/>
        </w:rPr>
        <w:t>，由</w:t>
      </w:r>
      <w:r>
        <w:rPr>
          <w:rFonts w:hint="eastAsia" w:cs="Times New Roman"/>
          <w:sz w:val="28"/>
          <w:lang w:val="en-US" w:eastAsia="zh-CN"/>
        </w:rPr>
        <w:t>西至东</w:t>
      </w:r>
      <w:r>
        <w:rPr>
          <w:rFonts w:hint="eastAsia" w:ascii="Times New Roman" w:hAnsi="Times New Roman" w:eastAsia="宋体" w:cs="Times New Roman"/>
          <w:sz w:val="28"/>
        </w:rPr>
        <w:t>依次为</w:t>
      </w:r>
      <w:r>
        <w:rPr>
          <w:rFonts w:hint="eastAsia" w:ascii="Times New Roman" w:hAnsi="Times New Roman" w:eastAsia="宋体" w:cs="Times New Roman"/>
          <w:sz w:val="28"/>
          <w:lang w:val="en-US" w:eastAsia="zh-CN"/>
        </w:rPr>
        <w:t>餐厅（</w:t>
      </w:r>
      <w:r>
        <w:rPr>
          <w:rFonts w:hint="eastAsia" w:ascii="Times New Roman" w:hAnsi="Times New Roman" w:eastAsia="宋体" w:cs="Times New Roman"/>
          <w:sz w:val="28"/>
          <w:lang w:eastAsia="zh-CN"/>
        </w:rPr>
        <w:t>无明火餐厨设备</w:t>
      </w:r>
      <w:r>
        <w:rPr>
          <w:rFonts w:hint="eastAsia" w:ascii="Times New Roman" w:hAnsi="Times New Roman" w:eastAsia="宋体" w:cs="Times New Roman"/>
          <w:sz w:val="28"/>
          <w:lang w:val="en-US" w:eastAsia="zh-CN"/>
        </w:rPr>
        <w:t>）</w:t>
      </w:r>
      <w:r>
        <w:rPr>
          <w:rFonts w:hint="eastAsia" w:ascii="Times New Roman" w:hAnsi="Times New Roman" w:eastAsia="宋体" w:cs="Times New Roman"/>
          <w:sz w:val="28"/>
        </w:rPr>
        <w:t>、配电间、</w:t>
      </w:r>
      <w:r>
        <w:rPr>
          <w:rFonts w:hint="eastAsia" w:cs="Times New Roman"/>
          <w:sz w:val="28"/>
          <w:lang w:val="en-US" w:eastAsia="zh-CN"/>
        </w:rPr>
        <w:t>厕所</w:t>
      </w:r>
      <w:r>
        <w:rPr>
          <w:rFonts w:hint="eastAsia" w:ascii="Times New Roman" w:hAnsi="Times New Roman" w:eastAsia="宋体" w:cs="Times New Roman"/>
          <w:sz w:val="28"/>
        </w:rPr>
        <w:t>。</w:t>
      </w:r>
    </w:p>
    <w:p w14:paraId="1D5EC56D">
      <w:pPr>
        <w:pStyle w:val="29"/>
        <w:ind w:firstLine="420" w:firstLineChars="0"/>
        <w:rPr>
          <w:rFonts w:hint="eastAsia" w:ascii="Times New Roman" w:hAnsi="Times New Roman" w:eastAsia="宋体" w:cs="Times New Roman"/>
          <w:sz w:val="28"/>
        </w:rPr>
      </w:pPr>
    </w:p>
    <w:p w14:paraId="2AC1E382">
      <w:pPr>
        <w:pStyle w:val="29"/>
        <w:ind w:firstLine="2280" w:firstLineChars="950"/>
        <w:rPr>
          <w:rFonts w:hint="eastAsia" w:ascii="Times New Roman" w:hAnsi="Times New Roman" w:eastAsia="宋体" w:cs="Times New Roman"/>
          <w:sz w:val="28"/>
        </w:rPr>
      </w:pPr>
      <w:r>
        <w:rPr>
          <w:sz w:val="24"/>
          <w:szCs w:val="24"/>
        </w:rPr>
        <w:t>表2</w:t>
      </w:r>
      <w:r>
        <w:rPr>
          <w:rFonts w:hint="eastAsia"/>
          <w:sz w:val="24"/>
          <w:szCs w:val="24"/>
        </w:rPr>
        <w:t>.2</w:t>
      </w:r>
      <w:r>
        <w:rPr>
          <w:sz w:val="24"/>
          <w:szCs w:val="24"/>
        </w:rPr>
        <w:t>-</w:t>
      </w:r>
      <w:r>
        <w:rPr>
          <w:rFonts w:hint="eastAsia"/>
          <w:sz w:val="24"/>
          <w:szCs w:val="24"/>
        </w:rPr>
        <w:t>2</w:t>
      </w:r>
      <w:r>
        <w:rPr>
          <w:sz w:val="24"/>
          <w:szCs w:val="24"/>
        </w:rPr>
        <w:t>站内设施之间的防火距离（m）</w:t>
      </w:r>
    </w:p>
    <w:tbl>
      <w:tblPr>
        <w:tblStyle w:val="21"/>
        <w:tblW w:w="0" w:type="auto"/>
        <w:tblInd w:w="2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427"/>
        <w:gridCol w:w="1486"/>
        <w:gridCol w:w="1262"/>
        <w:gridCol w:w="1487"/>
        <w:gridCol w:w="1248"/>
      </w:tblGrid>
      <w:tr w14:paraId="55C43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14:paraId="71B7F59D">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设施名</w:t>
            </w:r>
          </w:p>
        </w:tc>
        <w:tc>
          <w:tcPr>
            <w:tcW w:w="1462" w:type="dxa"/>
            <w:vAlign w:val="center"/>
          </w:tcPr>
          <w:p w14:paraId="01EFB822">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相对位置</w:t>
            </w:r>
          </w:p>
        </w:tc>
        <w:tc>
          <w:tcPr>
            <w:tcW w:w="1523" w:type="dxa"/>
            <w:vAlign w:val="center"/>
          </w:tcPr>
          <w:p w14:paraId="7F63D710">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相邻设施名称</w:t>
            </w:r>
          </w:p>
        </w:tc>
        <w:tc>
          <w:tcPr>
            <w:tcW w:w="1279" w:type="dxa"/>
            <w:vAlign w:val="center"/>
          </w:tcPr>
          <w:p w14:paraId="213FB88A">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实测距离（m）</w:t>
            </w:r>
          </w:p>
        </w:tc>
        <w:tc>
          <w:tcPr>
            <w:tcW w:w="1336" w:type="dxa"/>
            <w:vAlign w:val="center"/>
          </w:tcPr>
          <w:p w14:paraId="1A80FC4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GB50156-2021标准要求（m）</w:t>
            </w:r>
          </w:p>
        </w:tc>
        <w:tc>
          <w:tcPr>
            <w:tcW w:w="1276" w:type="dxa"/>
            <w:shd w:val="clear" w:color="auto" w:fill="auto"/>
            <w:vAlign w:val="center"/>
          </w:tcPr>
          <w:p w14:paraId="76CDF181">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结论</w:t>
            </w:r>
          </w:p>
        </w:tc>
      </w:tr>
      <w:tr w14:paraId="7EE68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14:paraId="4DA6140B">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柴油加油机</w:t>
            </w:r>
          </w:p>
        </w:tc>
        <w:tc>
          <w:tcPr>
            <w:tcW w:w="1462" w:type="dxa"/>
            <w:vAlign w:val="center"/>
          </w:tcPr>
          <w:p w14:paraId="44EAAA58">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东</w:t>
            </w:r>
          </w:p>
        </w:tc>
        <w:tc>
          <w:tcPr>
            <w:tcW w:w="1523" w:type="dxa"/>
            <w:vAlign w:val="center"/>
          </w:tcPr>
          <w:p w14:paraId="1122BDDA">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站房</w:t>
            </w:r>
          </w:p>
        </w:tc>
        <w:tc>
          <w:tcPr>
            <w:tcW w:w="1279" w:type="dxa"/>
            <w:vAlign w:val="center"/>
          </w:tcPr>
          <w:p w14:paraId="4B4FAC65">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1336" w:type="dxa"/>
            <w:vAlign w:val="center"/>
          </w:tcPr>
          <w:p w14:paraId="41BC3A83">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1276" w:type="dxa"/>
            <w:shd w:val="clear" w:color="auto" w:fill="auto"/>
            <w:vAlign w:val="center"/>
          </w:tcPr>
          <w:p w14:paraId="278206E8">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0392D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25" w:type="dxa"/>
            <w:vMerge w:val="continue"/>
            <w:vAlign w:val="center"/>
          </w:tcPr>
          <w:p w14:paraId="2BBF4CCC">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p>
        </w:tc>
        <w:tc>
          <w:tcPr>
            <w:tcW w:w="1462" w:type="dxa"/>
            <w:vAlign w:val="center"/>
          </w:tcPr>
          <w:p w14:paraId="1760CA08">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东南</w:t>
            </w:r>
          </w:p>
        </w:tc>
        <w:tc>
          <w:tcPr>
            <w:tcW w:w="1523" w:type="dxa"/>
            <w:vAlign w:val="center"/>
          </w:tcPr>
          <w:p w14:paraId="68E3BBD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配电间</w:t>
            </w:r>
          </w:p>
        </w:tc>
        <w:tc>
          <w:tcPr>
            <w:tcW w:w="1279" w:type="dxa"/>
            <w:vAlign w:val="center"/>
          </w:tcPr>
          <w:p w14:paraId="750F3BFC">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23.6</w:t>
            </w:r>
          </w:p>
        </w:tc>
        <w:tc>
          <w:tcPr>
            <w:tcW w:w="1336" w:type="dxa"/>
            <w:vAlign w:val="center"/>
          </w:tcPr>
          <w:p w14:paraId="46AB45E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1276" w:type="dxa"/>
            <w:shd w:val="clear" w:color="auto" w:fill="auto"/>
            <w:vAlign w:val="center"/>
          </w:tcPr>
          <w:p w14:paraId="080D9E5E">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4B418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425" w:type="dxa"/>
            <w:vMerge w:val="restart"/>
            <w:vAlign w:val="center"/>
          </w:tcPr>
          <w:p w14:paraId="31906380">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汽油加油机</w:t>
            </w:r>
          </w:p>
        </w:tc>
        <w:tc>
          <w:tcPr>
            <w:tcW w:w="1462" w:type="dxa"/>
            <w:vAlign w:val="center"/>
          </w:tcPr>
          <w:p w14:paraId="0D0CE048">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东</w:t>
            </w:r>
          </w:p>
        </w:tc>
        <w:tc>
          <w:tcPr>
            <w:tcW w:w="1523" w:type="dxa"/>
            <w:vAlign w:val="center"/>
          </w:tcPr>
          <w:p w14:paraId="0B88BCC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站房</w:t>
            </w:r>
          </w:p>
        </w:tc>
        <w:tc>
          <w:tcPr>
            <w:tcW w:w="1279" w:type="dxa"/>
            <w:vAlign w:val="center"/>
          </w:tcPr>
          <w:p w14:paraId="171D2FB7">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1336" w:type="dxa"/>
            <w:vAlign w:val="center"/>
          </w:tcPr>
          <w:p w14:paraId="3AC5C64C">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1276" w:type="dxa"/>
            <w:shd w:val="clear" w:color="auto" w:fill="auto"/>
            <w:vAlign w:val="center"/>
          </w:tcPr>
          <w:p w14:paraId="1C36DA9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24722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14:paraId="5CAE8621">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p>
        </w:tc>
        <w:tc>
          <w:tcPr>
            <w:tcW w:w="1462" w:type="dxa"/>
            <w:vAlign w:val="center"/>
          </w:tcPr>
          <w:p w14:paraId="374B439C">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东南</w:t>
            </w:r>
          </w:p>
        </w:tc>
        <w:tc>
          <w:tcPr>
            <w:tcW w:w="1523" w:type="dxa"/>
            <w:vAlign w:val="center"/>
          </w:tcPr>
          <w:p w14:paraId="5F857813">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配电间</w:t>
            </w:r>
          </w:p>
        </w:tc>
        <w:tc>
          <w:tcPr>
            <w:tcW w:w="1279" w:type="dxa"/>
            <w:vAlign w:val="center"/>
          </w:tcPr>
          <w:p w14:paraId="4A056FB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25.8</w:t>
            </w:r>
          </w:p>
        </w:tc>
        <w:tc>
          <w:tcPr>
            <w:tcW w:w="1336" w:type="dxa"/>
            <w:vAlign w:val="center"/>
          </w:tcPr>
          <w:p w14:paraId="747CFD8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w:t>
            </w:r>
          </w:p>
        </w:tc>
        <w:tc>
          <w:tcPr>
            <w:tcW w:w="1276" w:type="dxa"/>
            <w:vAlign w:val="center"/>
          </w:tcPr>
          <w:p w14:paraId="075892BA">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029A2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14:paraId="383425E8">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汽油埋地罐</w:t>
            </w:r>
          </w:p>
        </w:tc>
        <w:tc>
          <w:tcPr>
            <w:tcW w:w="1462" w:type="dxa"/>
            <w:vAlign w:val="center"/>
          </w:tcPr>
          <w:p w14:paraId="44BF8671">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65F286F9">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站房</w:t>
            </w:r>
          </w:p>
        </w:tc>
        <w:tc>
          <w:tcPr>
            <w:tcW w:w="1279" w:type="dxa"/>
            <w:vAlign w:val="center"/>
          </w:tcPr>
          <w:p w14:paraId="0FED4318">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1336" w:type="dxa"/>
            <w:vAlign w:val="center"/>
          </w:tcPr>
          <w:p w14:paraId="5F0AA147">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1276" w:type="dxa"/>
            <w:vAlign w:val="center"/>
          </w:tcPr>
          <w:p w14:paraId="1257378C">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1050C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14:paraId="59A0049A">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p>
        </w:tc>
        <w:tc>
          <w:tcPr>
            <w:tcW w:w="1462" w:type="dxa"/>
            <w:vAlign w:val="center"/>
          </w:tcPr>
          <w:p w14:paraId="1C91E7C8">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5863AC4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配电间</w:t>
            </w:r>
          </w:p>
        </w:tc>
        <w:tc>
          <w:tcPr>
            <w:tcW w:w="1279" w:type="dxa"/>
            <w:vAlign w:val="center"/>
          </w:tcPr>
          <w:p w14:paraId="69D92959">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41.3</w:t>
            </w:r>
          </w:p>
        </w:tc>
        <w:tc>
          <w:tcPr>
            <w:tcW w:w="1336" w:type="dxa"/>
            <w:vAlign w:val="center"/>
          </w:tcPr>
          <w:p w14:paraId="42B3BD8D">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4.5</w:t>
            </w:r>
          </w:p>
        </w:tc>
        <w:tc>
          <w:tcPr>
            <w:tcW w:w="1276" w:type="dxa"/>
            <w:vAlign w:val="center"/>
          </w:tcPr>
          <w:p w14:paraId="3C0F773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66DEA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14:paraId="4541298D">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柴油埋地罐</w:t>
            </w:r>
          </w:p>
        </w:tc>
        <w:tc>
          <w:tcPr>
            <w:tcW w:w="1462" w:type="dxa"/>
            <w:vAlign w:val="center"/>
          </w:tcPr>
          <w:p w14:paraId="0C732C6B">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680362C5">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站房</w:t>
            </w:r>
          </w:p>
        </w:tc>
        <w:tc>
          <w:tcPr>
            <w:tcW w:w="1279" w:type="dxa"/>
            <w:vAlign w:val="center"/>
          </w:tcPr>
          <w:p w14:paraId="713F3CF7">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w:t>
            </w:r>
          </w:p>
        </w:tc>
        <w:tc>
          <w:tcPr>
            <w:tcW w:w="1336" w:type="dxa"/>
            <w:vAlign w:val="center"/>
          </w:tcPr>
          <w:p w14:paraId="1E448B3A">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1276" w:type="dxa"/>
            <w:vAlign w:val="center"/>
          </w:tcPr>
          <w:p w14:paraId="070ED317">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73185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14:paraId="5B9C8DF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p>
        </w:tc>
        <w:tc>
          <w:tcPr>
            <w:tcW w:w="1462" w:type="dxa"/>
            <w:vAlign w:val="center"/>
          </w:tcPr>
          <w:p w14:paraId="7EEC54AE">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42212B4A">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配电间</w:t>
            </w:r>
          </w:p>
        </w:tc>
        <w:tc>
          <w:tcPr>
            <w:tcW w:w="1279" w:type="dxa"/>
            <w:vAlign w:val="center"/>
          </w:tcPr>
          <w:p w14:paraId="296374A7">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46.5</w:t>
            </w:r>
          </w:p>
        </w:tc>
        <w:tc>
          <w:tcPr>
            <w:tcW w:w="1336" w:type="dxa"/>
            <w:vAlign w:val="center"/>
          </w:tcPr>
          <w:p w14:paraId="60A03299">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1276" w:type="dxa"/>
            <w:vAlign w:val="center"/>
          </w:tcPr>
          <w:p w14:paraId="582645D7">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652B8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14:paraId="4715A755">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汽油</w:t>
            </w:r>
            <w:r>
              <w:rPr>
                <w:rFonts w:hint="eastAsia" w:ascii="Times New Roman" w:hAnsi="Times New Roman" w:cs="Times New Roman" w:eastAsiaTheme="minorEastAsia"/>
                <w:color w:val="auto"/>
                <w:sz w:val="21"/>
                <w:szCs w:val="21"/>
              </w:rPr>
              <w:t>通气管管口</w:t>
            </w:r>
          </w:p>
        </w:tc>
        <w:tc>
          <w:tcPr>
            <w:tcW w:w="1462" w:type="dxa"/>
            <w:vAlign w:val="center"/>
          </w:tcPr>
          <w:p w14:paraId="32616855">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南</w:t>
            </w:r>
          </w:p>
        </w:tc>
        <w:tc>
          <w:tcPr>
            <w:tcW w:w="1523" w:type="dxa"/>
            <w:vAlign w:val="center"/>
          </w:tcPr>
          <w:p w14:paraId="3BBF3C4F">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站房</w:t>
            </w:r>
          </w:p>
        </w:tc>
        <w:tc>
          <w:tcPr>
            <w:tcW w:w="1279" w:type="dxa"/>
            <w:vAlign w:val="center"/>
          </w:tcPr>
          <w:p w14:paraId="673AB8EC">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11</w:t>
            </w:r>
          </w:p>
        </w:tc>
        <w:tc>
          <w:tcPr>
            <w:tcW w:w="1336" w:type="dxa"/>
            <w:vAlign w:val="center"/>
          </w:tcPr>
          <w:p w14:paraId="535634B4">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1276" w:type="dxa"/>
            <w:vAlign w:val="center"/>
          </w:tcPr>
          <w:p w14:paraId="6B0EB176">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4FF9E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14:paraId="291A0456">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p>
        </w:tc>
        <w:tc>
          <w:tcPr>
            <w:tcW w:w="1462" w:type="dxa"/>
            <w:vAlign w:val="center"/>
          </w:tcPr>
          <w:p w14:paraId="1F6DFBC1">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27532A05">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配电间</w:t>
            </w:r>
          </w:p>
        </w:tc>
        <w:tc>
          <w:tcPr>
            <w:tcW w:w="1279" w:type="dxa"/>
            <w:vAlign w:val="center"/>
          </w:tcPr>
          <w:p w14:paraId="79E52707">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45.</w:t>
            </w:r>
            <w:r>
              <w:rPr>
                <w:rFonts w:hint="eastAsia" w:ascii="Times New Roman" w:hAnsi="Times New Roman" w:cs="Times New Roman" w:eastAsiaTheme="minorEastAsia"/>
                <w:color w:val="auto"/>
                <w:sz w:val="21"/>
                <w:szCs w:val="21"/>
                <w:lang w:val="en-US" w:eastAsia="zh-CN"/>
              </w:rPr>
              <w:t>6</w:t>
            </w:r>
          </w:p>
        </w:tc>
        <w:tc>
          <w:tcPr>
            <w:tcW w:w="1336" w:type="dxa"/>
            <w:vAlign w:val="center"/>
          </w:tcPr>
          <w:p w14:paraId="27E312D7">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1276" w:type="dxa"/>
            <w:vAlign w:val="center"/>
          </w:tcPr>
          <w:p w14:paraId="4E719A12">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61D36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14:paraId="45885399">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柴油通气管管口</w:t>
            </w:r>
          </w:p>
        </w:tc>
        <w:tc>
          <w:tcPr>
            <w:tcW w:w="1462" w:type="dxa"/>
            <w:vAlign w:val="center"/>
          </w:tcPr>
          <w:p w14:paraId="509DC932">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南</w:t>
            </w:r>
          </w:p>
        </w:tc>
        <w:tc>
          <w:tcPr>
            <w:tcW w:w="1523" w:type="dxa"/>
            <w:vAlign w:val="center"/>
          </w:tcPr>
          <w:p w14:paraId="21FE590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站房</w:t>
            </w:r>
          </w:p>
        </w:tc>
        <w:tc>
          <w:tcPr>
            <w:tcW w:w="1279" w:type="dxa"/>
            <w:vAlign w:val="center"/>
          </w:tcPr>
          <w:p w14:paraId="415091EE">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11</w:t>
            </w:r>
            <w:r>
              <w:rPr>
                <w:rFonts w:hint="eastAsia" w:ascii="Times New Roman" w:hAnsi="Times New Roman" w:cs="Times New Roman" w:eastAsiaTheme="minorEastAsia"/>
                <w:color w:val="auto"/>
                <w:sz w:val="21"/>
                <w:szCs w:val="21"/>
                <w:lang w:val="en-US" w:eastAsia="zh-CN"/>
              </w:rPr>
              <w:t>.2</w:t>
            </w:r>
          </w:p>
        </w:tc>
        <w:tc>
          <w:tcPr>
            <w:tcW w:w="1336" w:type="dxa"/>
            <w:vAlign w:val="center"/>
          </w:tcPr>
          <w:p w14:paraId="754A399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3.5</w:t>
            </w:r>
          </w:p>
        </w:tc>
        <w:tc>
          <w:tcPr>
            <w:tcW w:w="1276" w:type="dxa"/>
            <w:vAlign w:val="center"/>
          </w:tcPr>
          <w:p w14:paraId="0BF997EF">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3C903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14:paraId="55A50855">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p>
        </w:tc>
        <w:tc>
          <w:tcPr>
            <w:tcW w:w="1462" w:type="dxa"/>
            <w:vAlign w:val="center"/>
          </w:tcPr>
          <w:p w14:paraId="05E005D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18A72B12">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配电间</w:t>
            </w:r>
          </w:p>
        </w:tc>
        <w:tc>
          <w:tcPr>
            <w:tcW w:w="1279" w:type="dxa"/>
            <w:vAlign w:val="center"/>
          </w:tcPr>
          <w:p w14:paraId="3DDA26FD">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45.8</w:t>
            </w:r>
          </w:p>
        </w:tc>
        <w:tc>
          <w:tcPr>
            <w:tcW w:w="1336" w:type="dxa"/>
            <w:vAlign w:val="center"/>
          </w:tcPr>
          <w:p w14:paraId="001EA53C">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1276" w:type="dxa"/>
            <w:vAlign w:val="center"/>
          </w:tcPr>
          <w:p w14:paraId="526CA35D">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76122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restart"/>
            <w:vAlign w:val="center"/>
          </w:tcPr>
          <w:p w14:paraId="2D8CFC46">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密闭卸油口</w:t>
            </w:r>
          </w:p>
        </w:tc>
        <w:tc>
          <w:tcPr>
            <w:tcW w:w="1462" w:type="dxa"/>
            <w:vAlign w:val="center"/>
          </w:tcPr>
          <w:p w14:paraId="7E8C7FDC">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南</w:t>
            </w:r>
          </w:p>
        </w:tc>
        <w:tc>
          <w:tcPr>
            <w:tcW w:w="1523" w:type="dxa"/>
            <w:vAlign w:val="center"/>
          </w:tcPr>
          <w:p w14:paraId="3AA8596F">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站房</w:t>
            </w:r>
          </w:p>
        </w:tc>
        <w:tc>
          <w:tcPr>
            <w:tcW w:w="1279" w:type="dxa"/>
            <w:vAlign w:val="center"/>
          </w:tcPr>
          <w:p w14:paraId="2F36C9A3">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14</w:t>
            </w:r>
          </w:p>
        </w:tc>
        <w:tc>
          <w:tcPr>
            <w:tcW w:w="1336" w:type="dxa"/>
            <w:vAlign w:val="center"/>
          </w:tcPr>
          <w:p w14:paraId="4924A1DB">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1276" w:type="dxa"/>
            <w:vAlign w:val="center"/>
          </w:tcPr>
          <w:p w14:paraId="33397945">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r w14:paraId="7D86F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5" w:type="dxa"/>
            <w:vMerge w:val="continue"/>
            <w:vAlign w:val="center"/>
          </w:tcPr>
          <w:p w14:paraId="778ECB17">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p>
        </w:tc>
        <w:tc>
          <w:tcPr>
            <w:tcW w:w="1462" w:type="dxa"/>
            <w:vAlign w:val="center"/>
          </w:tcPr>
          <w:p w14:paraId="149F8863">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东南</w:t>
            </w:r>
          </w:p>
        </w:tc>
        <w:tc>
          <w:tcPr>
            <w:tcW w:w="1523" w:type="dxa"/>
            <w:vAlign w:val="center"/>
          </w:tcPr>
          <w:p w14:paraId="5EB90094">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配电间</w:t>
            </w:r>
          </w:p>
        </w:tc>
        <w:tc>
          <w:tcPr>
            <w:tcW w:w="1279" w:type="dxa"/>
            <w:vAlign w:val="center"/>
          </w:tcPr>
          <w:p w14:paraId="1E6A49B1">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43.7</w:t>
            </w:r>
          </w:p>
        </w:tc>
        <w:tc>
          <w:tcPr>
            <w:tcW w:w="1336" w:type="dxa"/>
            <w:vAlign w:val="center"/>
          </w:tcPr>
          <w:p w14:paraId="759FAB02">
            <w:pPr>
              <w:pStyle w:val="44"/>
              <w:keepNext w:val="0"/>
              <w:keepLines w:val="0"/>
              <w:suppressLineNumbers w:val="0"/>
              <w:spacing w:before="0" w:beforeAutospacing="0" w:after="0" w:afterAutospacing="0" w:line="400" w:lineRule="exact"/>
              <w:ind w:left="0" w:leftChars="0" w:right="0" w:rightChars="0" w:firstLine="0" w:firstLineChars="0"/>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4.5</w:t>
            </w:r>
          </w:p>
        </w:tc>
        <w:tc>
          <w:tcPr>
            <w:tcW w:w="1276" w:type="dxa"/>
            <w:vAlign w:val="center"/>
          </w:tcPr>
          <w:p w14:paraId="36018ED9">
            <w:pPr>
              <w:pStyle w:val="44"/>
              <w:keepNext w:val="0"/>
              <w:keepLines w:val="0"/>
              <w:suppressLineNumbers w:val="0"/>
              <w:spacing w:before="0" w:beforeAutospacing="0" w:after="0" w:afterAutospacing="0" w:line="400" w:lineRule="exact"/>
              <w:ind w:left="0" w:leftChars="0" w:right="0" w:rightChars="0" w:firstLine="0" w:firstLineChars="0"/>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合格</w:t>
            </w:r>
          </w:p>
        </w:tc>
      </w:tr>
    </w:tbl>
    <w:p w14:paraId="268CFF76">
      <w:pPr>
        <w:wordWrap w:val="0"/>
        <w:adjustRightInd w:val="0"/>
        <w:snapToGrid w:val="0"/>
        <w:spacing w:line="600" w:lineRule="exact"/>
        <w:textAlignment w:val="center"/>
        <w:outlineLvl w:val="1"/>
        <w:rPr>
          <w:b/>
          <w:color w:val="000000"/>
          <w:sz w:val="28"/>
          <w:szCs w:val="28"/>
        </w:rPr>
      </w:pPr>
      <w:bookmarkStart w:id="64" w:name="_Toc23804"/>
      <w:bookmarkStart w:id="65" w:name="_Toc11737"/>
      <w:bookmarkStart w:id="66" w:name="_Toc120957312"/>
      <w:r>
        <w:rPr>
          <w:b/>
          <w:color w:val="000000"/>
          <w:sz w:val="28"/>
          <w:szCs w:val="28"/>
        </w:rPr>
        <w:t>2.</w:t>
      </w:r>
      <w:r>
        <w:rPr>
          <w:rFonts w:hint="eastAsia"/>
          <w:b/>
          <w:color w:val="000000"/>
          <w:sz w:val="28"/>
          <w:szCs w:val="28"/>
        </w:rPr>
        <w:t>3</w:t>
      </w:r>
      <w:r>
        <w:rPr>
          <w:b/>
          <w:color w:val="000000"/>
          <w:sz w:val="28"/>
          <w:szCs w:val="28"/>
        </w:rPr>
        <w:t>主要设备、建筑物</w:t>
      </w:r>
      <w:r>
        <w:rPr>
          <w:rFonts w:hint="eastAsia"/>
          <w:b/>
          <w:color w:val="000000"/>
          <w:sz w:val="28"/>
          <w:szCs w:val="28"/>
        </w:rPr>
        <w:t>及工艺</w:t>
      </w:r>
      <w:bookmarkEnd w:id="64"/>
      <w:bookmarkEnd w:id="65"/>
      <w:bookmarkEnd w:id="66"/>
    </w:p>
    <w:p w14:paraId="4CCC61EE">
      <w:pPr>
        <w:wordWrap w:val="0"/>
        <w:adjustRightInd w:val="0"/>
        <w:snapToGrid w:val="0"/>
        <w:spacing w:line="600" w:lineRule="exact"/>
        <w:textAlignment w:val="center"/>
        <w:outlineLvl w:val="2"/>
        <w:rPr>
          <w:rFonts w:hint="eastAsia"/>
          <w:color w:val="000000"/>
          <w:sz w:val="28"/>
          <w:szCs w:val="28"/>
        </w:rPr>
      </w:pPr>
      <w:bookmarkStart w:id="67" w:name="_Toc31179"/>
      <w:bookmarkStart w:id="68" w:name="_Toc120957313"/>
      <w:bookmarkStart w:id="69" w:name="_Toc3686"/>
      <w:r>
        <w:rPr>
          <w:rFonts w:hint="eastAsia"/>
          <w:b/>
          <w:color w:val="000000"/>
          <w:sz w:val="28"/>
          <w:szCs w:val="28"/>
        </w:rPr>
        <w:t>2.3.1</w:t>
      </w:r>
      <w:r>
        <w:rPr>
          <w:b/>
          <w:color w:val="000000"/>
          <w:sz w:val="28"/>
          <w:szCs w:val="28"/>
        </w:rPr>
        <w:t>主要设备、建筑物</w:t>
      </w:r>
      <w:bookmarkEnd w:id="67"/>
      <w:bookmarkEnd w:id="68"/>
      <w:bookmarkEnd w:id="69"/>
    </w:p>
    <w:p w14:paraId="6FF161AD">
      <w:pPr>
        <w:spacing w:line="580" w:lineRule="exact"/>
        <w:jc w:val="center"/>
        <w:rPr>
          <w:color w:val="000000"/>
          <w:sz w:val="21"/>
          <w:szCs w:val="21"/>
        </w:rPr>
      </w:pPr>
      <w:r>
        <w:rPr>
          <w:rFonts w:hint="eastAsia"/>
          <w:color w:val="000000"/>
          <w:sz w:val="24"/>
          <w:szCs w:val="24"/>
        </w:rPr>
        <w:t>表2.3-1</w:t>
      </w:r>
      <w:r>
        <w:rPr>
          <w:color w:val="000000"/>
          <w:sz w:val="24"/>
          <w:szCs w:val="24"/>
        </w:rPr>
        <w:t>主要设备表</w:t>
      </w:r>
    </w:p>
    <w:tbl>
      <w:tblPr>
        <w:tblStyle w:val="20"/>
        <w:tblW w:w="8980" w:type="dxa"/>
        <w:tblInd w:w="-22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75"/>
        <w:gridCol w:w="1436"/>
        <w:gridCol w:w="719"/>
        <w:gridCol w:w="739"/>
        <w:gridCol w:w="1211"/>
        <w:gridCol w:w="2057"/>
      </w:tblGrid>
      <w:tr w14:paraId="1917B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dxa"/>
            <w:noWrap w:val="0"/>
            <w:vAlign w:val="center"/>
          </w:tcPr>
          <w:p w14:paraId="583F5E15">
            <w:pPr>
              <w:spacing w:line="240" w:lineRule="exact"/>
              <w:jc w:val="center"/>
              <w:rPr>
                <w:color w:val="000000"/>
                <w:sz w:val="21"/>
                <w:szCs w:val="21"/>
              </w:rPr>
            </w:pPr>
            <w:r>
              <w:rPr>
                <w:rFonts w:hAnsi="宋体"/>
                <w:color w:val="000000"/>
                <w:sz w:val="21"/>
                <w:szCs w:val="21"/>
              </w:rPr>
              <w:t>序号</w:t>
            </w:r>
          </w:p>
        </w:tc>
        <w:tc>
          <w:tcPr>
            <w:tcW w:w="2175" w:type="dxa"/>
            <w:noWrap w:val="0"/>
            <w:vAlign w:val="center"/>
          </w:tcPr>
          <w:p w14:paraId="0E0D5EB5">
            <w:pPr>
              <w:spacing w:line="240" w:lineRule="exact"/>
              <w:jc w:val="center"/>
              <w:rPr>
                <w:color w:val="000000"/>
                <w:sz w:val="21"/>
                <w:szCs w:val="21"/>
              </w:rPr>
            </w:pPr>
            <w:r>
              <w:rPr>
                <w:rFonts w:hAnsi="宋体"/>
                <w:color w:val="000000"/>
                <w:sz w:val="21"/>
                <w:szCs w:val="21"/>
              </w:rPr>
              <w:t>设备名称</w:t>
            </w:r>
          </w:p>
        </w:tc>
        <w:tc>
          <w:tcPr>
            <w:tcW w:w="1436" w:type="dxa"/>
            <w:noWrap w:val="0"/>
            <w:vAlign w:val="center"/>
          </w:tcPr>
          <w:p w14:paraId="6285A687">
            <w:pPr>
              <w:spacing w:line="240" w:lineRule="exact"/>
              <w:jc w:val="center"/>
              <w:rPr>
                <w:color w:val="000000"/>
                <w:sz w:val="21"/>
                <w:szCs w:val="21"/>
              </w:rPr>
            </w:pPr>
            <w:r>
              <w:rPr>
                <w:rFonts w:hAnsi="宋体"/>
                <w:color w:val="000000"/>
                <w:sz w:val="21"/>
                <w:szCs w:val="21"/>
              </w:rPr>
              <w:t>规格型号</w:t>
            </w:r>
          </w:p>
        </w:tc>
        <w:tc>
          <w:tcPr>
            <w:tcW w:w="719" w:type="dxa"/>
            <w:noWrap w:val="0"/>
            <w:vAlign w:val="center"/>
          </w:tcPr>
          <w:p w14:paraId="13F50E53">
            <w:pPr>
              <w:spacing w:line="240" w:lineRule="exact"/>
              <w:jc w:val="center"/>
              <w:rPr>
                <w:color w:val="000000"/>
                <w:sz w:val="21"/>
                <w:szCs w:val="21"/>
              </w:rPr>
            </w:pPr>
            <w:r>
              <w:rPr>
                <w:rFonts w:hAnsi="宋体"/>
                <w:color w:val="000000"/>
                <w:sz w:val="21"/>
                <w:szCs w:val="21"/>
              </w:rPr>
              <w:t>单位</w:t>
            </w:r>
          </w:p>
        </w:tc>
        <w:tc>
          <w:tcPr>
            <w:tcW w:w="739" w:type="dxa"/>
            <w:noWrap w:val="0"/>
            <w:vAlign w:val="center"/>
          </w:tcPr>
          <w:p w14:paraId="1216E095">
            <w:pPr>
              <w:spacing w:line="240" w:lineRule="exact"/>
              <w:jc w:val="center"/>
              <w:rPr>
                <w:color w:val="000000"/>
                <w:sz w:val="21"/>
                <w:szCs w:val="21"/>
              </w:rPr>
            </w:pPr>
            <w:r>
              <w:rPr>
                <w:rFonts w:hAnsi="宋体"/>
                <w:color w:val="000000"/>
                <w:sz w:val="21"/>
                <w:szCs w:val="21"/>
              </w:rPr>
              <w:t>数量</w:t>
            </w:r>
          </w:p>
        </w:tc>
        <w:tc>
          <w:tcPr>
            <w:tcW w:w="1211" w:type="dxa"/>
            <w:noWrap w:val="0"/>
            <w:vAlign w:val="center"/>
          </w:tcPr>
          <w:p w14:paraId="5705F438">
            <w:pPr>
              <w:spacing w:line="240" w:lineRule="exact"/>
              <w:jc w:val="center"/>
              <w:rPr>
                <w:rFonts w:hint="eastAsia" w:hAnsi="宋体" w:eastAsia="宋体"/>
                <w:color w:val="000000"/>
                <w:sz w:val="21"/>
                <w:szCs w:val="21"/>
                <w:lang w:val="en-US" w:eastAsia="zh-CN"/>
              </w:rPr>
            </w:pPr>
            <w:r>
              <w:rPr>
                <w:rFonts w:hint="eastAsia" w:hAnsi="宋体"/>
                <w:color w:val="000000"/>
                <w:sz w:val="21"/>
                <w:szCs w:val="21"/>
                <w:lang w:val="en-US" w:eastAsia="zh-CN"/>
              </w:rPr>
              <w:t>材质</w:t>
            </w:r>
          </w:p>
        </w:tc>
        <w:tc>
          <w:tcPr>
            <w:tcW w:w="2057" w:type="dxa"/>
            <w:noWrap w:val="0"/>
            <w:vAlign w:val="center"/>
          </w:tcPr>
          <w:p w14:paraId="6BB514FF">
            <w:pPr>
              <w:spacing w:line="240" w:lineRule="exact"/>
              <w:ind w:firstLine="210" w:firstLineChars="100"/>
              <w:jc w:val="center"/>
              <w:rPr>
                <w:color w:val="000000"/>
                <w:sz w:val="21"/>
                <w:szCs w:val="21"/>
              </w:rPr>
            </w:pPr>
            <w:r>
              <w:rPr>
                <w:rFonts w:hAnsi="宋体"/>
                <w:color w:val="000000"/>
                <w:sz w:val="21"/>
                <w:szCs w:val="21"/>
              </w:rPr>
              <w:t>备注</w:t>
            </w:r>
          </w:p>
        </w:tc>
      </w:tr>
      <w:tr w14:paraId="09989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dxa"/>
            <w:noWrap w:val="0"/>
            <w:vAlign w:val="center"/>
          </w:tcPr>
          <w:p w14:paraId="0FB90AFC">
            <w:pPr>
              <w:spacing w:line="240" w:lineRule="exact"/>
              <w:jc w:val="center"/>
              <w:rPr>
                <w:rFonts w:hint="eastAsia" w:hAnsi="宋体" w:eastAsia="宋体"/>
                <w:color w:val="000000"/>
                <w:sz w:val="21"/>
                <w:szCs w:val="21"/>
                <w:lang w:val="en-US" w:eastAsia="zh-CN"/>
              </w:rPr>
            </w:pPr>
            <w:bookmarkStart w:id="70" w:name="_Toc32156"/>
            <w:r>
              <w:rPr>
                <w:rFonts w:hint="eastAsia" w:hAnsi="宋体"/>
                <w:color w:val="000000"/>
                <w:sz w:val="21"/>
                <w:szCs w:val="21"/>
                <w:lang w:val="en-US" w:eastAsia="zh-CN"/>
              </w:rPr>
              <w:t>1</w:t>
            </w:r>
          </w:p>
        </w:tc>
        <w:tc>
          <w:tcPr>
            <w:tcW w:w="2175" w:type="dxa"/>
            <w:noWrap w:val="0"/>
            <w:vAlign w:val="center"/>
          </w:tcPr>
          <w:p w14:paraId="380DA429">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hAnsi="宋体"/>
                <w:bCs/>
                <w:color w:val="000000"/>
                <w:sz w:val="21"/>
                <w:szCs w:val="21"/>
                <w:lang w:val="en-US" w:eastAsia="zh-CN"/>
              </w:rPr>
              <w:t>汽油</w:t>
            </w:r>
            <w:r>
              <w:rPr>
                <w:rFonts w:hAnsi="宋体"/>
                <w:bCs/>
                <w:color w:val="000000"/>
                <w:sz w:val="21"/>
                <w:szCs w:val="21"/>
              </w:rPr>
              <w:t>地埋储罐</w:t>
            </w:r>
          </w:p>
        </w:tc>
        <w:tc>
          <w:tcPr>
            <w:tcW w:w="1436" w:type="dxa"/>
            <w:noWrap w:val="0"/>
            <w:vAlign w:val="center"/>
          </w:tcPr>
          <w:p w14:paraId="78EE72DE">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eastAsia="宋体"/>
                <w:color w:val="000000"/>
                <w:sz w:val="21"/>
                <w:szCs w:val="21"/>
              </w:rPr>
              <w:t>3</w:t>
            </w:r>
            <w:r>
              <w:rPr>
                <w:rFonts w:hint="eastAsia"/>
                <w:color w:val="000000"/>
                <w:sz w:val="21"/>
                <w:szCs w:val="21"/>
              </w:rPr>
              <w:t>0</w:t>
            </w:r>
            <w:r>
              <w:rPr>
                <w:color w:val="000000"/>
                <w:sz w:val="21"/>
                <w:szCs w:val="21"/>
              </w:rPr>
              <w:t>m</w:t>
            </w:r>
            <w:r>
              <w:rPr>
                <w:color w:val="000000"/>
                <w:sz w:val="21"/>
                <w:szCs w:val="21"/>
                <w:vertAlign w:val="superscript"/>
              </w:rPr>
              <w:t>3</w:t>
            </w:r>
          </w:p>
        </w:tc>
        <w:tc>
          <w:tcPr>
            <w:tcW w:w="719" w:type="dxa"/>
            <w:noWrap w:val="0"/>
            <w:vAlign w:val="center"/>
          </w:tcPr>
          <w:p w14:paraId="394ADF8F">
            <w:pPr>
              <w:spacing w:line="240" w:lineRule="exact"/>
              <w:jc w:val="center"/>
              <w:rPr>
                <w:rFonts w:ascii="Times New Roman" w:hAnsi="Times New Roman" w:eastAsia="宋体" w:cs="Times New Roman"/>
                <w:color w:val="000000"/>
                <w:kern w:val="2"/>
                <w:sz w:val="21"/>
                <w:szCs w:val="21"/>
                <w:lang w:val="en-US" w:eastAsia="zh-CN" w:bidi="ar-SA"/>
              </w:rPr>
            </w:pPr>
            <w:r>
              <w:rPr>
                <w:rFonts w:hAnsi="宋体"/>
                <w:color w:val="000000"/>
                <w:sz w:val="21"/>
                <w:szCs w:val="21"/>
              </w:rPr>
              <w:t>个</w:t>
            </w:r>
          </w:p>
        </w:tc>
        <w:tc>
          <w:tcPr>
            <w:tcW w:w="739" w:type="dxa"/>
            <w:noWrap w:val="0"/>
            <w:vAlign w:val="center"/>
          </w:tcPr>
          <w:p w14:paraId="450FA92D">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2</w:t>
            </w:r>
          </w:p>
        </w:tc>
        <w:tc>
          <w:tcPr>
            <w:tcW w:w="1211" w:type="dxa"/>
            <w:noWrap w:val="0"/>
            <w:vAlign w:val="center"/>
          </w:tcPr>
          <w:p w14:paraId="4D9C7525">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单层钢罐</w:t>
            </w:r>
          </w:p>
        </w:tc>
        <w:tc>
          <w:tcPr>
            <w:tcW w:w="2057" w:type="dxa"/>
            <w:noWrap w:val="0"/>
            <w:vAlign w:val="center"/>
          </w:tcPr>
          <w:p w14:paraId="000BECCA">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92#，95#</w:t>
            </w:r>
            <w:r>
              <w:rPr>
                <w:rFonts w:hint="eastAsia" w:eastAsia="宋体"/>
                <w:color w:val="000000"/>
                <w:sz w:val="21"/>
                <w:szCs w:val="21"/>
              </w:rPr>
              <w:t>汽油</w:t>
            </w:r>
          </w:p>
        </w:tc>
      </w:tr>
      <w:tr w14:paraId="37631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Pr>
          <w:p w14:paraId="6992F001">
            <w:pPr>
              <w:spacing w:line="240" w:lineRule="exact"/>
              <w:jc w:val="center"/>
              <w:rPr>
                <w:rFonts w:hint="default" w:hAnsi="宋体" w:eastAsia="宋体"/>
                <w:color w:val="000000"/>
                <w:sz w:val="21"/>
                <w:szCs w:val="21"/>
                <w:lang w:val="en-US" w:eastAsia="zh-CN"/>
              </w:rPr>
            </w:pPr>
            <w:r>
              <w:rPr>
                <w:rFonts w:hint="eastAsia" w:hAnsi="宋体"/>
                <w:color w:val="000000"/>
                <w:sz w:val="21"/>
                <w:szCs w:val="21"/>
                <w:lang w:val="en-US" w:eastAsia="zh-CN"/>
              </w:rPr>
              <w:t>2</w:t>
            </w:r>
          </w:p>
        </w:tc>
        <w:tc>
          <w:tcPr>
            <w:tcW w:w="0" w:type="auto"/>
            <w:vAlign w:val="center"/>
          </w:tcPr>
          <w:p w14:paraId="21318555">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hAnsi="宋体"/>
                <w:bCs/>
                <w:color w:val="000000"/>
                <w:sz w:val="21"/>
                <w:szCs w:val="21"/>
                <w:lang w:val="en-US" w:eastAsia="zh-CN"/>
              </w:rPr>
              <w:t>柴油</w:t>
            </w:r>
            <w:r>
              <w:rPr>
                <w:rFonts w:hAnsi="宋体"/>
                <w:bCs/>
                <w:color w:val="000000"/>
                <w:sz w:val="21"/>
                <w:szCs w:val="21"/>
              </w:rPr>
              <w:t>地埋储罐</w:t>
            </w:r>
          </w:p>
        </w:tc>
        <w:tc>
          <w:tcPr>
            <w:tcW w:w="0" w:type="auto"/>
            <w:vAlign w:val="center"/>
          </w:tcPr>
          <w:p w14:paraId="3F6A3C21">
            <w:pPr>
              <w:spacing w:line="240" w:lineRule="exact"/>
              <w:jc w:val="center"/>
              <w:rPr>
                <w:rFonts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40</w:t>
            </w:r>
            <w:r>
              <w:rPr>
                <w:color w:val="000000"/>
                <w:sz w:val="21"/>
                <w:szCs w:val="21"/>
              </w:rPr>
              <w:t>m</w:t>
            </w:r>
            <w:r>
              <w:rPr>
                <w:color w:val="000000"/>
                <w:sz w:val="21"/>
                <w:szCs w:val="21"/>
                <w:vertAlign w:val="superscript"/>
              </w:rPr>
              <w:t>3</w:t>
            </w:r>
          </w:p>
        </w:tc>
        <w:tc>
          <w:tcPr>
            <w:tcW w:w="0" w:type="auto"/>
            <w:vAlign w:val="center"/>
          </w:tcPr>
          <w:p w14:paraId="781F3D7E">
            <w:pPr>
              <w:spacing w:line="240" w:lineRule="exact"/>
              <w:jc w:val="center"/>
              <w:rPr>
                <w:rFonts w:ascii="Times New Roman" w:hAnsi="Times New Roman" w:eastAsia="宋体" w:cs="Times New Roman"/>
                <w:color w:val="000000"/>
                <w:kern w:val="2"/>
                <w:sz w:val="21"/>
                <w:szCs w:val="21"/>
                <w:lang w:val="en-US" w:eastAsia="zh-CN" w:bidi="ar-SA"/>
              </w:rPr>
            </w:pPr>
            <w:r>
              <w:rPr>
                <w:rFonts w:hAnsi="宋体"/>
                <w:color w:val="000000"/>
                <w:sz w:val="21"/>
                <w:szCs w:val="21"/>
              </w:rPr>
              <w:t>个</w:t>
            </w:r>
          </w:p>
        </w:tc>
        <w:tc>
          <w:tcPr>
            <w:tcW w:w="0" w:type="auto"/>
            <w:vAlign w:val="center"/>
          </w:tcPr>
          <w:p w14:paraId="69980626">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2</w:t>
            </w:r>
          </w:p>
        </w:tc>
        <w:tc>
          <w:tcPr>
            <w:tcW w:w="0" w:type="auto"/>
            <w:vAlign w:val="center"/>
          </w:tcPr>
          <w:p w14:paraId="2F18381B">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eastAsia="宋体"/>
                <w:color w:val="000000"/>
                <w:sz w:val="21"/>
                <w:szCs w:val="21"/>
                <w:lang w:val="en-US" w:eastAsia="zh-CN"/>
              </w:rPr>
              <w:t>单层钢罐</w:t>
            </w:r>
          </w:p>
        </w:tc>
        <w:tc>
          <w:tcPr>
            <w:tcW w:w="0" w:type="auto"/>
            <w:vAlign w:val="center"/>
          </w:tcPr>
          <w:p w14:paraId="3AC03692">
            <w:pPr>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0#柴油</w:t>
            </w:r>
          </w:p>
        </w:tc>
      </w:tr>
      <w:tr w14:paraId="57F8B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Pr>
          <w:p w14:paraId="3FC9E41D">
            <w:pPr>
              <w:spacing w:line="240" w:lineRule="exact"/>
              <w:jc w:val="center"/>
              <w:rPr>
                <w:rFonts w:hint="default" w:hAnsi="宋体"/>
                <w:color w:val="000000"/>
                <w:sz w:val="21"/>
                <w:szCs w:val="21"/>
                <w:lang w:val="en-US" w:eastAsia="zh-CN"/>
              </w:rPr>
            </w:pPr>
            <w:r>
              <w:rPr>
                <w:rFonts w:hint="eastAsia" w:hAnsi="宋体"/>
                <w:color w:val="000000"/>
                <w:sz w:val="21"/>
                <w:szCs w:val="21"/>
                <w:lang w:val="en-US" w:eastAsia="zh-CN"/>
              </w:rPr>
              <w:t>3</w:t>
            </w:r>
          </w:p>
        </w:tc>
        <w:tc>
          <w:tcPr>
            <w:tcW w:w="0" w:type="auto"/>
            <w:vAlign w:val="center"/>
          </w:tcPr>
          <w:p w14:paraId="6DDE3C59">
            <w:pPr>
              <w:jc w:val="center"/>
              <w:rPr>
                <w:rFonts w:hint="eastAsia" w:ascii="Times New Roman" w:hAnsi="Times New Roman" w:eastAsia="宋体" w:cs="Times New Roman"/>
                <w:bCs/>
                <w:color w:val="000000"/>
                <w:kern w:val="2"/>
                <w:sz w:val="21"/>
                <w:szCs w:val="21"/>
                <w:lang w:val="en-US" w:eastAsia="zh-CN" w:bidi="ar-SA"/>
              </w:rPr>
            </w:pPr>
            <w:r>
              <w:rPr>
                <w:rFonts w:hint="eastAsia" w:ascii="宋体" w:hAnsi="宋体" w:cs="宋体"/>
                <w:bCs/>
                <w:color w:val="auto"/>
                <w:sz w:val="21"/>
                <w:szCs w:val="21"/>
              </w:rPr>
              <w:t>税控燃油加油机</w:t>
            </w:r>
          </w:p>
        </w:tc>
        <w:tc>
          <w:tcPr>
            <w:tcW w:w="0" w:type="auto"/>
            <w:vAlign w:val="center"/>
          </w:tcPr>
          <w:p w14:paraId="524A49C3">
            <w:pPr>
              <w:spacing w:line="240" w:lineRule="exact"/>
              <w:jc w:val="center"/>
              <w:rPr>
                <w:rFonts w:hint="default"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HS1118G</w:t>
            </w:r>
          </w:p>
        </w:tc>
        <w:tc>
          <w:tcPr>
            <w:tcW w:w="0" w:type="auto"/>
            <w:vAlign w:val="center"/>
          </w:tcPr>
          <w:p w14:paraId="7BC24897">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台</w:t>
            </w:r>
          </w:p>
        </w:tc>
        <w:tc>
          <w:tcPr>
            <w:tcW w:w="0" w:type="auto"/>
            <w:vAlign w:val="center"/>
          </w:tcPr>
          <w:p w14:paraId="7ADD0682">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2</w:t>
            </w:r>
          </w:p>
        </w:tc>
        <w:tc>
          <w:tcPr>
            <w:tcW w:w="0" w:type="auto"/>
            <w:vAlign w:val="center"/>
          </w:tcPr>
          <w:p w14:paraId="0DBF3D9B">
            <w:pPr>
              <w:spacing w:line="240" w:lineRule="exact"/>
              <w:jc w:val="center"/>
              <w:rPr>
                <w:rFonts w:hint="eastAsia" w:ascii="Times New Roman" w:hAnsi="宋体" w:eastAsia="宋体" w:cs="Times New Roman"/>
                <w:bCs/>
                <w:color w:val="000000"/>
                <w:sz w:val="21"/>
                <w:szCs w:val="21"/>
                <w:lang w:val="en-US" w:eastAsia="zh-CN"/>
              </w:rPr>
            </w:pPr>
          </w:p>
        </w:tc>
        <w:tc>
          <w:tcPr>
            <w:tcW w:w="0" w:type="auto"/>
            <w:vAlign w:val="center"/>
          </w:tcPr>
          <w:p w14:paraId="6B546F6E">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防爆合格证：CNEx0.8.1200；</w:t>
            </w:r>
          </w:p>
          <w:p w14:paraId="1F677616">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防爆标志：</w:t>
            </w:r>
          </w:p>
          <w:p w14:paraId="6B9EC980">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ExdibmbⅡAT3；</w:t>
            </w:r>
          </w:p>
          <w:p w14:paraId="008F56E2">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流量范围：(4.5~45)L/min</w:t>
            </w:r>
          </w:p>
          <w:p w14:paraId="0C60999F">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托肯恒山科技（广州）有限公司</w:t>
            </w:r>
          </w:p>
        </w:tc>
      </w:tr>
      <w:tr w14:paraId="44356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70A940AF">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eastAsia="宋体"/>
                <w:color w:val="000000"/>
                <w:sz w:val="21"/>
                <w:szCs w:val="21"/>
                <w:lang w:val="en-US" w:eastAsia="zh-CN"/>
              </w:rPr>
              <w:t>4</w:t>
            </w:r>
          </w:p>
        </w:tc>
        <w:tc>
          <w:tcPr>
            <w:tcW w:w="0" w:type="auto"/>
            <w:vAlign w:val="center"/>
          </w:tcPr>
          <w:p w14:paraId="4A64093A">
            <w:pPr>
              <w:jc w:val="center"/>
              <w:rPr>
                <w:rFonts w:hint="eastAsia" w:ascii="宋体" w:hAnsi="宋体" w:cs="宋体"/>
                <w:bCs/>
                <w:color w:val="auto"/>
                <w:sz w:val="21"/>
                <w:szCs w:val="21"/>
              </w:rPr>
            </w:pPr>
            <w:r>
              <w:rPr>
                <w:rFonts w:hint="eastAsia" w:ascii="宋体" w:hAnsi="宋体" w:cs="宋体"/>
                <w:bCs/>
                <w:color w:val="auto"/>
                <w:sz w:val="21"/>
                <w:szCs w:val="21"/>
              </w:rPr>
              <w:t>税控燃油加油机</w:t>
            </w:r>
          </w:p>
        </w:tc>
        <w:tc>
          <w:tcPr>
            <w:tcW w:w="0" w:type="auto"/>
            <w:vAlign w:val="center"/>
          </w:tcPr>
          <w:p w14:paraId="3F68D0B0">
            <w:pPr>
              <w:spacing w:line="240" w:lineRule="exact"/>
              <w:jc w:val="center"/>
              <w:rPr>
                <w:rFonts w:hint="default"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HS2118G</w:t>
            </w:r>
          </w:p>
        </w:tc>
        <w:tc>
          <w:tcPr>
            <w:tcW w:w="0" w:type="auto"/>
            <w:vAlign w:val="center"/>
          </w:tcPr>
          <w:p w14:paraId="36A79B12">
            <w:pPr>
              <w:spacing w:line="240" w:lineRule="exact"/>
              <w:jc w:val="center"/>
              <w:rPr>
                <w:rFonts w:hint="default"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台</w:t>
            </w:r>
          </w:p>
        </w:tc>
        <w:tc>
          <w:tcPr>
            <w:tcW w:w="0" w:type="auto"/>
            <w:vAlign w:val="center"/>
          </w:tcPr>
          <w:p w14:paraId="7E02591E">
            <w:pPr>
              <w:spacing w:line="240" w:lineRule="exact"/>
              <w:jc w:val="center"/>
              <w:rPr>
                <w:rFonts w:hint="default"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1</w:t>
            </w:r>
          </w:p>
        </w:tc>
        <w:tc>
          <w:tcPr>
            <w:tcW w:w="0" w:type="auto"/>
            <w:vAlign w:val="center"/>
          </w:tcPr>
          <w:p w14:paraId="04669FAE">
            <w:pPr>
              <w:spacing w:line="240" w:lineRule="exact"/>
              <w:jc w:val="center"/>
              <w:rPr>
                <w:rFonts w:hint="eastAsia" w:ascii="Times New Roman" w:hAnsi="宋体" w:eastAsia="宋体" w:cs="Times New Roman"/>
                <w:bCs/>
                <w:color w:val="000000"/>
                <w:sz w:val="21"/>
                <w:szCs w:val="21"/>
                <w:lang w:val="en-US" w:eastAsia="zh-CN"/>
              </w:rPr>
            </w:pPr>
          </w:p>
        </w:tc>
        <w:tc>
          <w:tcPr>
            <w:tcW w:w="0" w:type="auto"/>
            <w:vAlign w:val="center"/>
          </w:tcPr>
          <w:p w14:paraId="613ABBED">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防爆合格证：CNEx0.8.1200；</w:t>
            </w:r>
          </w:p>
          <w:p w14:paraId="17764138">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防爆标志：</w:t>
            </w:r>
          </w:p>
          <w:p w14:paraId="3912662C">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ExdibmbⅡAT3；</w:t>
            </w:r>
          </w:p>
          <w:p w14:paraId="6124DD81">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流量范围：(4.5~45)L/min</w:t>
            </w:r>
          </w:p>
          <w:p w14:paraId="2D92957F">
            <w:pPr>
              <w:spacing w:line="240" w:lineRule="exact"/>
              <w:jc w:val="center"/>
              <w:rPr>
                <w:rFonts w:hint="eastAsia" w:ascii="Times New Roman" w:hAnsi="宋体" w:eastAsia="宋体" w:cs="Times New Roman"/>
                <w:bCs/>
                <w:color w:val="000000"/>
                <w:sz w:val="21"/>
                <w:szCs w:val="21"/>
                <w:lang w:val="en-US" w:eastAsia="zh-CN"/>
              </w:rPr>
            </w:pPr>
            <w:r>
              <w:rPr>
                <w:rFonts w:hint="eastAsia" w:ascii="Times New Roman" w:hAnsi="宋体" w:eastAsia="宋体" w:cs="Times New Roman"/>
                <w:bCs/>
                <w:color w:val="000000"/>
                <w:sz w:val="21"/>
                <w:szCs w:val="21"/>
                <w:lang w:val="en-US" w:eastAsia="zh-CN"/>
              </w:rPr>
              <w:t>托肯恒山科技（广州）有限公司</w:t>
            </w:r>
          </w:p>
        </w:tc>
      </w:tr>
      <w:tr w14:paraId="45A50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3EC347BE">
            <w:pPr>
              <w:wordWrap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imes New Roman" w:eastAsia="宋体"/>
                <w:bCs/>
                <w:color w:val="000000"/>
                <w:sz w:val="21"/>
                <w:szCs w:val="21"/>
                <w:lang w:val="en-US" w:eastAsia="zh-CN"/>
              </w:rPr>
              <w:t>5</w:t>
            </w:r>
          </w:p>
        </w:tc>
        <w:tc>
          <w:tcPr>
            <w:tcW w:w="0" w:type="auto"/>
            <w:vAlign w:val="center"/>
          </w:tcPr>
          <w:p w14:paraId="4F62D973">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防静电接地报警仪</w:t>
            </w:r>
          </w:p>
        </w:tc>
        <w:tc>
          <w:tcPr>
            <w:tcW w:w="0" w:type="auto"/>
            <w:vAlign w:val="center"/>
          </w:tcPr>
          <w:p w14:paraId="1279BEFE">
            <w:pPr>
              <w:jc w:val="center"/>
              <w:rPr>
                <w:rFonts w:hint="eastAsia" w:ascii="Times New Roman" w:hAnsi="Times New Roman" w:eastAsia="宋体" w:cs="Times New Roman"/>
                <w:bCs/>
                <w:color w:val="auto"/>
                <w:kern w:val="2"/>
                <w:sz w:val="21"/>
                <w:szCs w:val="21"/>
                <w:lang w:val="en-US" w:eastAsia="zh-CN" w:bidi="ar-SA"/>
              </w:rPr>
            </w:pPr>
          </w:p>
        </w:tc>
        <w:tc>
          <w:tcPr>
            <w:tcW w:w="0" w:type="auto"/>
            <w:vAlign w:val="center"/>
          </w:tcPr>
          <w:p w14:paraId="24F966D5">
            <w:pPr>
              <w:spacing w:line="240" w:lineRule="exact"/>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 w:val="21"/>
                <w:szCs w:val="21"/>
                <w:lang w:val="en-US" w:eastAsia="zh-CN"/>
              </w:rPr>
              <w:t>台</w:t>
            </w:r>
          </w:p>
        </w:tc>
        <w:tc>
          <w:tcPr>
            <w:tcW w:w="0" w:type="auto"/>
            <w:vAlign w:val="center"/>
          </w:tcPr>
          <w:p w14:paraId="4E5CBF60">
            <w:pPr>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eastAsia="宋体"/>
                <w:color w:val="000000"/>
                <w:sz w:val="21"/>
                <w:szCs w:val="21"/>
                <w:lang w:val="en-US" w:eastAsia="zh-CN"/>
              </w:rPr>
              <w:t>1</w:t>
            </w:r>
          </w:p>
        </w:tc>
        <w:tc>
          <w:tcPr>
            <w:tcW w:w="0" w:type="auto"/>
            <w:vAlign w:val="center"/>
          </w:tcPr>
          <w:p w14:paraId="419F02B4">
            <w:pPr>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0" w:type="auto"/>
            <w:vAlign w:val="center"/>
          </w:tcPr>
          <w:p w14:paraId="63F7EDB8">
            <w:pPr>
              <w:spacing w:line="240" w:lineRule="exact"/>
              <w:jc w:val="center"/>
              <w:rPr>
                <w:rFonts w:hint="eastAsia" w:ascii="宋体" w:hAnsi="宋体" w:eastAsia="宋体" w:cs="宋体"/>
                <w:bCs/>
                <w:color w:val="000000"/>
                <w:kern w:val="2"/>
                <w:sz w:val="21"/>
                <w:szCs w:val="21"/>
                <w:lang w:val="en-US" w:eastAsia="zh-CN" w:bidi="ar-SA"/>
              </w:rPr>
            </w:pPr>
          </w:p>
        </w:tc>
      </w:tr>
      <w:tr w14:paraId="17E6C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7B693A9C">
            <w:pPr>
              <w:wordWrap w:val="0"/>
              <w:jc w:val="center"/>
              <w:textAlignment w:val="center"/>
              <w:rPr>
                <w:rFonts w:hint="eastAsia" w:ascii="Times New Roman" w:hAnsi="Times New Roman" w:eastAsia="宋体" w:cs="Times New Roman"/>
                <w:bCs/>
                <w:color w:val="000000"/>
                <w:kern w:val="2"/>
                <w:sz w:val="21"/>
                <w:szCs w:val="21"/>
                <w:lang w:val="en-US" w:eastAsia="zh-CN" w:bidi="ar-SA"/>
              </w:rPr>
            </w:pPr>
            <w:r>
              <w:rPr>
                <w:rFonts w:hint="eastAsia" w:ascii="Times New Roman" w:eastAsia="宋体"/>
                <w:bCs/>
                <w:color w:val="000000"/>
                <w:sz w:val="21"/>
                <w:szCs w:val="21"/>
                <w:lang w:val="en-US" w:eastAsia="zh-CN"/>
              </w:rPr>
              <w:t>6</w:t>
            </w:r>
          </w:p>
        </w:tc>
        <w:tc>
          <w:tcPr>
            <w:tcW w:w="0" w:type="auto"/>
            <w:vAlign w:val="center"/>
          </w:tcPr>
          <w:p w14:paraId="54AD812C">
            <w:pPr>
              <w:wordWrap w:val="0"/>
              <w:jc w:val="center"/>
              <w:textAlignment w:val="center"/>
              <w:rPr>
                <w:rFonts w:hint="eastAsia" w:ascii="Times New Roman" w:hAnsi="宋体" w:eastAsia="宋体" w:cs="Times New Roman"/>
                <w:bCs/>
                <w:color w:val="000000"/>
                <w:kern w:val="2"/>
                <w:sz w:val="21"/>
                <w:szCs w:val="21"/>
                <w:lang w:val="en-US" w:eastAsia="zh-CN" w:bidi="ar-SA"/>
              </w:rPr>
            </w:pPr>
            <w:r>
              <w:rPr>
                <w:rFonts w:hint="eastAsia" w:ascii="宋体" w:hAnsi="宋体" w:eastAsia="宋体" w:cs="宋体"/>
                <w:bCs/>
                <w:color w:val="000000"/>
                <w:sz w:val="21"/>
                <w:szCs w:val="21"/>
              </w:rPr>
              <w:t>高低液位仪</w:t>
            </w:r>
          </w:p>
        </w:tc>
        <w:tc>
          <w:tcPr>
            <w:tcW w:w="0" w:type="auto"/>
            <w:vAlign w:val="center"/>
          </w:tcPr>
          <w:p w14:paraId="75C8F81A">
            <w:pPr>
              <w:wordWrap w:val="0"/>
              <w:jc w:val="center"/>
              <w:textAlignment w:val="center"/>
              <w:rPr>
                <w:rFonts w:hint="eastAsia" w:ascii="Times New Roman" w:hAnsi="Times New Roman" w:eastAsia="宋体" w:cs="Times New Roman"/>
                <w:color w:val="000000"/>
                <w:kern w:val="2"/>
                <w:sz w:val="21"/>
                <w:szCs w:val="21"/>
                <w:lang w:val="en-US" w:eastAsia="zh-CN" w:bidi="ar-SA"/>
              </w:rPr>
            </w:pPr>
          </w:p>
        </w:tc>
        <w:tc>
          <w:tcPr>
            <w:tcW w:w="0" w:type="auto"/>
            <w:vAlign w:val="center"/>
          </w:tcPr>
          <w:p w14:paraId="2266DAFC">
            <w:pPr>
              <w:wordWrap w:val="0"/>
              <w:jc w:val="center"/>
              <w:textAlignment w:val="center"/>
              <w:rPr>
                <w:rFonts w:ascii="Times New Roman" w:hAnsi="宋体" w:eastAsia="宋体" w:cs="Times New Roman"/>
                <w:color w:val="000000"/>
                <w:kern w:val="2"/>
                <w:sz w:val="21"/>
                <w:szCs w:val="21"/>
                <w:lang w:val="en-US" w:eastAsia="zh-CN" w:bidi="ar-SA"/>
              </w:rPr>
            </w:pPr>
            <w:r>
              <w:rPr>
                <w:rFonts w:hint="eastAsia" w:ascii="宋体" w:hAnsi="宋体" w:eastAsia="宋体" w:cs="宋体"/>
                <w:bCs/>
                <w:color w:val="000000"/>
                <w:sz w:val="21"/>
                <w:szCs w:val="21"/>
              </w:rPr>
              <w:t>台</w:t>
            </w:r>
          </w:p>
        </w:tc>
        <w:tc>
          <w:tcPr>
            <w:tcW w:w="0" w:type="auto"/>
            <w:vAlign w:val="center"/>
          </w:tcPr>
          <w:p w14:paraId="61927E79">
            <w:pPr>
              <w:wordWrap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imes New Roman" w:eastAsia="宋体"/>
                <w:bCs/>
                <w:color w:val="000000"/>
                <w:sz w:val="21"/>
                <w:szCs w:val="21"/>
                <w:lang w:val="en-US" w:eastAsia="zh-CN"/>
              </w:rPr>
              <w:t>1</w:t>
            </w:r>
          </w:p>
        </w:tc>
        <w:tc>
          <w:tcPr>
            <w:tcW w:w="0" w:type="auto"/>
            <w:vAlign w:val="center"/>
          </w:tcPr>
          <w:p w14:paraId="318D343B">
            <w:pPr>
              <w:wordWrap w:val="0"/>
              <w:jc w:val="center"/>
              <w:textAlignment w:val="center"/>
              <w:rPr>
                <w:rFonts w:hint="eastAsia" w:ascii="Times New Roman" w:hAnsi="Times New Roman" w:eastAsia="宋体" w:cs="Times New Roman"/>
                <w:bCs/>
                <w:color w:val="000000"/>
                <w:kern w:val="2"/>
                <w:sz w:val="21"/>
                <w:szCs w:val="21"/>
                <w:lang w:val="en-US" w:eastAsia="zh-CN" w:bidi="ar-SA"/>
              </w:rPr>
            </w:pPr>
          </w:p>
        </w:tc>
        <w:tc>
          <w:tcPr>
            <w:tcW w:w="0" w:type="auto"/>
            <w:vAlign w:val="center"/>
          </w:tcPr>
          <w:p w14:paraId="5812F775">
            <w:pPr>
              <w:wordWrap w:val="0"/>
              <w:jc w:val="center"/>
              <w:textAlignment w:val="center"/>
              <w:rPr>
                <w:rFonts w:hint="eastAsia" w:ascii="Times New Roman" w:hAnsi="Times New Roman" w:eastAsia="宋体" w:cs="Times New Roman"/>
                <w:bCs/>
                <w:color w:val="000000"/>
                <w:kern w:val="2"/>
                <w:sz w:val="21"/>
                <w:szCs w:val="21"/>
                <w:lang w:val="en-US" w:eastAsia="zh-CN" w:bidi="ar-SA"/>
              </w:rPr>
            </w:pPr>
          </w:p>
        </w:tc>
      </w:tr>
      <w:tr w14:paraId="715E4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4250B029">
            <w:pPr>
              <w:wordWrap w:val="0"/>
              <w:jc w:val="center"/>
              <w:textAlignment w:val="center"/>
              <w:rPr>
                <w:rFonts w:hint="eastAsia" w:ascii="Times New Roman" w:hAnsi="Times New Roman" w:eastAsia="宋体" w:cs="Times New Roman"/>
                <w:bCs/>
                <w:color w:val="000000"/>
                <w:kern w:val="2"/>
                <w:sz w:val="21"/>
                <w:szCs w:val="21"/>
                <w:lang w:val="en-US" w:eastAsia="zh-CN" w:bidi="ar-SA"/>
              </w:rPr>
            </w:pPr>
            <w:r>
              <w:rPr>
                <w:rFonts w:hint="eastAsia" w:ascii="Times New Roman" w:eastAsia="宋体"/>
                <w:bCs/>
                <w:color w:val="000000"/>
                <w:sz w:val="21"/>
                <w:szCs w:val="21"/>
                <w:lang w:val="en-US" w:eastAsia="zh-CN"/>
              </w:rPr>
              <w:t>7</w:t>
            </w:r>
          </w:p>
        </w:tc>
        <w:tc>
          <w:tcPr>
            <w:tcW w:w="0" w:type="auto"/>
            <w:vAlign w:val="center"/>
          </w:tcPr>
          <w:p w14:paraId="4C1F7D87">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油罐泄漏检测仪</w:t>
            </w:r>
          </w:p>
        </w:tc>
        <w:tc>
          <w:tcPr>
            <w:tcW w:w="0" w:type="auto"/>
            <w:vAlign w:val="center"/>
          </w:tcPr>
          <w:p w14:paraId="7FE96072">
            <w:pPr>
              <w:jc w:val="center"/>
              <w:rPr>
                <w:rFonts w:hint="eastAsia" w:ascii="Times New Roman" w:hAnsi="Times New Roman" w:eastAsia="宋体" w:cs="Times New Roman"/>
                <w:bCs/>
                <w:color w:val="auto"/>
                <w:kern w:val="2"/>
                <w:sz w:val="21"/>
                <w:szCs w:val="21"/>
                <w:lang w:val="en-US" w:eastAsia="zh-CN" w:bidi="ar-SA"/>
              </w:rPr>
            </w:pPr>
          </w:p>
        </w:tc>
        <w:tc>
          <w:tcPr>
            <w:tcW w:w="0" w:type="auto"/>
            <w:vAlign w:val="center"/>
          </w:tcPr>
          <w:p w14:paraId="4E1358E1">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台</w:t>
            </w:r>
          </w:p>
        </w:tc>
        <w:tc>
          <w:tcPr>
            <w:tcW w:w="0" w:type="auto"/>
            <w:vAlign w:val="center"/>
          </w:tcPr>
          <w:p w14:paraId="69C94C1B">
            <w:pPr>
              <w:jc w:val="center"/>
              <w:rPr>
                <w:rFonts w:hint="eastAsia" w:ascii="Times New Roman" w:hAnsi="Times New Roman" w:eastAsia="宋体" w:cs="Times New Roman"/>
                <w:bCs/>
                <w:color w:val="auto"/>
                <w:kern w:val="2"/>
                <w:sz w:val="21"/>
                <w:szCs w:val="21"/>
                <w:lang w:val="en-US" w:eastAsia="zh-CN" w:bidi="ar-SA"/>
              </w:rPr>
            </w:pPr>
            <w:r>
              <w:rPr>
                <w:bCs/>
                <w:color w:val="auto"/>
                <w:sz w:val="21"/>
                <w:szCs w:val="21"/>
              </w:rPr>
              <w:t>1</w:t>
            </w:r>
          </w:p>
        </w:tc>
        <w:tc>
          <w:tcPr>
            <w:tcW w:w="0" w:type="auto"/>
            <w:vAlign w:val="center"/>
          </w:tcPr>
          <w:p w14:paraId="11EE5703">
            <w:pPr>
              <w:jc w:val="center"/>
              <w:rPr>
                <w:rFonts w:hint="eastAsia" w:ascii="Times New Roman" w:hAnsi="Times New Roman" w:eastAsia="宋体" w:cs="Times New Roman"/>
                <w:bCs/>
                <w:color w:val="auto"/>
                <w:kern w:val="2"/>
                <w:sz w:val="21"/>
                <w:szCs w:val="21"/>
                <w:lang w:val="en-US" w:eastAsia="zh-CN" w:bidi="ar-SA"/>
              </w:rPr>
            </w:pPr>
          </w:p>
        </w:tc>
        <w:tc>
          <w:tcPr>
            <w:tcW w:w="0" w:type="auto"/>
            <w:vAlign w:val="center"/>
          </w:tcPr>
          <w:p w14:paraId="61CF17C6">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color w:val="auto"/>
                <w:sz w:val="21"/>
                <w:szCs w:val="21"/>
              </w:rPr>
              <w:t>油罐、出油管道设检测传感器</w:t>
            </w:r>
          </w:p>
        </w:tc>
      </w:tr>
      <w:tr w14:paraId="1B2E2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shd w:val="clear" w:color="auto" w:fill="auto"/>
            <w:vAlign w:val="center"/>
          </w:tcPr>
          <w:p w14:paraId="42138DB4">
            <w:pPr>
              <w:wordWrap w:val="0"/>
              <w:jc w:val="center"/>
              <w:textAlignment w:val="center"/>
              <w:rPr>
                <w:rFonts w:hint="eastAsia" w:ascii="Times New Roman" w:hAnsi="Times New Roman" w:eastAsia="宋体" w:cs="Times New Roman"/>
                <w:bCs/>
                <w:color w:val="000000"/>
                <w:kern w:val="2"/>
                <w:sz w:val="21"/>
                <w:szCs w:val="21"/>
                <w:lang w:val="en-US" w:eastAsia="zh-CN" w:bidi="ar-SA"/>
              </w:rPr>
            </w:pPr>
            <w:r>
              <w:rPr>
                <w:rFonts w:hint="eastAsia" w:ascii="Times New Roman" w:eastAsia="宋体"/>
                <w:bCs/>
                <w:color w:val="000000"/>
                <w:sz w:val="21"/>
                <w:szCs w:val="21"/>
                <w:lang w:val="en-US" w:eastAsia="zh-CN"/>
              </w:rPr>
              <w:t>8</w:t>
            </w:r>
          </w:p>
        </w:tc>
        <w:tc>
          <w:tcPr>
            <w:tcW w:w="0" w:type="auto"/>
            <w:vAlign w:val="center"/>
          </w:tcPr>
          <w:p w14:paraId="69CF52B3">
            <w:pPr>
              <w:wordWrap w:val="0"/>
              <w:jc w:val="center"/>
              <w:textAlignment w:val="center"/>
              <w:rPr>
                <w:rFonts w:hint="eastAsia" w:ascii="宋体" w:hAnsi="宋体" w:eastAsia="宋体" w:cs="宋体"/>
                <w:bCs/>
                <w:color w:val="000000"/>
                <w:kern w:val="2"/>
                <w:sz w:val="21"/>
                <w:szCs w:val="21"/>
                <w:lang w:val="en-US" w:eastAsia="zh-CN" w:bidi="ar-SA"/>
              </w:rPr>
            </w:pPr>
            <w:r>
              <w:rPr>
                <w:rFonts w:hint="eastAsia" w:ascii="宋体" w:hAnsi="宋体" w:eastAsia="宋体" w:cs="宋体"/>
                <w:bCs/>
                <w:color w:val="000000"/>
                <w:sz w:val="21"/>
                <w:szCs w:val="21"/>
              </w:rPr>
              <w:t>视频监控系统</w:t>
            </w:r>
          </w:p>
        </w:tc>
        <w:tc>
          <w:tcPr>
            <w:tcW w:w="0" w:type="auto"/>
            <w:vAlign w:val="center"/>
          </w:tcPr>
          <w:p w14:paraId="14D0A30C">
            <w:pPr>
              <w:wordWrap w:val="0"/>
              <w:jc w:val="center"/>
              <w:textAlignment w:val="center"/>
              <w:rPr>
                <w:rFonts w:hint="eastAsia" w:ascii="Times New Roman" w:hAnsi="Times New Roman" w:eastAsia="宋体" w:cs="Times New Roman"/>
                <w:color w:val="000000"/>
                <w:kern w:val="2"/>
                <w:sz w:val="21"/>
                <w:szCs w:val="21"/>
                <w:lang w:val="en-US" w:eastAsia="zh-CN" w:bidi="ar-SA"/>
              </w:rPr>
            </w:pPr>
          </w:p>
        </w:tc>
        <w:tc>
          <w:tcPr>
            <w:tcW w:w="0" w:type="auto"/>
            <w:vAlign w:val="center"/>
          </w:tcPr>
          <w:p w14:paraId="0106D66C">
            <w:pPr>
              <w:wordWrap w:val="0"/>
              <w:jc w:val="center"/>
              <w:textAlignment w:val="center"/>
              <w:rPr>
                <w:rFonts w:hint="eastAsia" w:ascii="宋体" w:hAnsi="宋体" w:eastAsia="宋体" w:cs="宋体"/>
                <w:bCs/>
                <w:color w:val="000000"/>
                <w:kern w:val="2"/>
                <w:sz w:val="21"/>
                <w:szCs w:val="21"/>
                <w:lang w:val="en-US" w:eastAsia="zh-CN" w:bidi="ar-SA"/>
              </w:rPr>
            </w:pPr>
            <w:r>
              <w:rPr>
                <w:rFonts w:hint="eastAsia" w:ascii="宋体" w:hAnsi="宋体" w:cs="宋体"/>
                <w:bCs/>
                <w:color w:val="000000"/>
                <w:sz w:val="21"/>
                <w:szCs w:val="21"/>
                <w:lang w:val="en-US" w:eastAsia="zh-CN"/>
              </w:rPr>
              <w:t>套</w:t>
            </w:r>
          </w:p>
        </w:tc>
        <w:tc>
          <w:tcPr>
            <w:tcW w:w="0" w:type="auto"/>
            <w:vAlign w:val="center"/>
          </w:tcPr>
          <w:p w14:paraId="10993811">
            <w:pPr>
              <w:wordWrap w:val="0"/>
              <w:jc w:val="center"/>
              <w:textAlignment w:val="center"/>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1</w:t>
            </w:r>
          </w:p>
        </w:tc>
        <w:tc>
          <w:tcPr>
            <w:tcW w:w="0" w:type="auto"/>
            <w:vAlign w:val="center"/>
          </w:tcPr>
          <w:p w14:paraId="0A70A776">
            <w:pPr>
              <w:wordWrap w:val="0"/>
              <w:jc w:val="center"/>
              <w:textAlignment w:val="center"/>
              <w:rPr>
                <w:rFonts w:hint="eastAsia" w:ascii="Times New Roman" w:hAnsi="Times New Roman" w:eastAsia="宋体" w:cs="Times New Roman"/>
                <w:bCs/>
                <w:color w:val="000000"/>
                <w:kern w:val="2"/>
                <w:sz w:val="21"/>
                <w:szCs w:val="21"/>
                <w:lang w:val="en-US" w:eastAsia="zh-CN" w:bidi="ar-SA"/>
              </w:rPr>
            </w:pPr>
          </w:p>
        </w:tc>
        <w:tc>
          <w:tcPr>
            <w:tcW w:w="0" w:type="auto"/>
            <w:vAlign w:val="center"/>
          </w:tcPr>
          <w:p w14:paraId="16D2F511">
            <w:pPr>
              <w:wordWrap w:val="0"/>
              <w:jc w:val="center"/>
              <w:textAlignment w:val="center"/>
              <w:rPr>
                <w:rFonts w:hint="eastAsia" w:ascii="Times New Roman" w:hAnsi="Times New Roman" w:eastAsia="宋体" w:cs="Times New Roman"/>
                <w:bCs/>
                <w:color w:val="000000"/>
                <w:kern w:val="2"/>
                <w:sz w:val="21"/>
                <w:szCs w:val="21"/>
                <w:lang w:val="en-US" w:eastAsia="zh-CN" w:bidi="ar-SA"/>
              </w:rPr>
            </w:pPr>
          </w:p>
        </w:tc>
      </w:tr>
      <w:tr w14:paraId="31D0B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Align w:val="center"/>
          </w:tcPr>
          <w:p w14:paraId="6D1BA327">
            <w:pPr>
              <w:wordWrap w:val="0"/>
              <w:jc w:val="center"/>
              <w:textAlignment w:val="center"/>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9</w:t>
            </w:r>
          </w:p>
        </w:tc>
        <w:tc>
          <w:tcPr>
            <w:tcW w:w="0" w:type="auto"/>
            <w:vAlign w:val="center"/>
          </w:tcPr>
          <w:p w14:paraId="282B48E7">
            <w:pPr>
              <w:wordWrap w:val="0"/>
              <w:jc w:val="center"/>
              <w:textAlignment w:val="center"/>
              <w:rPr>
                <w:rFonts w:hint="eastAsia" w:ascii="宋体" w:hAnsi="宋体" w:eastAsia="宋体" w:cs="宋体"/>
                <w:bCs/>
                <w:color w:val="000000"/>
                <w:kern w:val="2"/>
                <w:sz w:val="21"/>
                <w:szCs w:val="21"/>
                <w:lang w:val="en-US" w:eastAsia="zh-CN" w:bidi="ar-SA"/>
              </w:rPr>
            </w:pPr>
            <w:r>
              <w:rPr>
                <w:rFonts w:hint="eastAsia" w:ascii="宋体" w:hAnsi="宋体" w:eastAsia="宋体" w:cs="宋体"/>
                <w:bCs/>
                <w:color w:val="000000"/>
                <w:sz w:val="21"/>
                <w:szCs w:val="21"/>
              </w:rPr>
              <w:t>紧急切断按钮</w:t>
            </w:r>
          </w:p>
        </w:tc>
        <w:tc>
          <w:tcPr>
            <w:tcW w:w="0" w:type="auto"/>
            <w:vAlign w:val="center"/>
          </w:tcPr>
          <w:p w14:paraId="1DFE3423">
            <w:pPr>
              <w:wordWrap w:val="0"/>
              <w:jc w:val="center"/>
              <w:textAlignment w:val="center"/>
              <w:rPr>
                <w:rFonts w:hint="eastAsia" w:ascii="Times New Roman" w:hAnsi="Times New Roman" w:eastAsia="宋体" w:cs="Times New Roman"/>
                <w:color w:val="000000"/>
                <w:kern w:val="2"/>
                <w:sz w:val="21"/>
                <w:szCs w:val="21"/>
                <w:lang w:val="en-US" w:eastAsia="zh-CN" w:bidi="ar-SA"/>
              </w:rPr>
            </w:pPr>
          </w:p>
        </w:tc>
        <w:tc>
          <w:tcPr>
            <w:tcW w:w="0" w:type="auto"/>
            <w:vAlign w:val="center"/>
          </w:tcPr>
          <w:p w14:paraId="7523ED78">
            <w:pPr>
              <w:wordWrap w:val="0"/>
              <w:jc w:val="center"/>
              <w:textAlignment w:val="center"/>
              <w:rPr>
                <w:rFonts w:hint="eastAsia" w:ascii="宋体" w:hAnsi="宋体" w:eastAsia="宋体" w:cs="宋体"/>
                <w:bCs/>
                <w:color w:val="000000"/>
                <w:kern w:val="2"/>
                <w:sz w:val="21"/>
                <w:szCs w:val="21"/>
                <w:lang w:val="en-US" w:eastAsia="zh-CN" w:bidi="ar-SA"/>
              </w:rPr>
            </w:pPr>
            <w:r>
              <w:rPr>
                <w:rFonts w:hint="eastAsia" w:ascii="宋体" w:hAnsi="宋体" w:cs="宋体"/>
                <w:bCs/>
                <w:color w:val="000000"/>
                <w:sz w:val="21"/>
                <w:szCs w:val="21"/>
                <w:lang w:val="en-US" w:eastAsia="zh-CN"/>
              </w:rPr>
              <w:t>个</w:t>
            </w:r>
          </w:p>
        </w:tc>
        <w:tc>
          <w:tcPr>
            <w:tcW w:w="0" w:type="auto"/>
            <w:vAlign w:val="center"/>
          </w:tcPr>
          <w:p w14:paraId="1CA6CDCB">
            <w:pPr>
              <w:wordWrap w:val="0"/>
              <w:jc w:val="center"/>
              <w:textAlignment w:val="center"/>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2</w:t>
            </w:r>
          </w:p>
        </w:tc>
        <w:tc>
          <w:tcPr>
            <w:tcW w:w="0" w:type="auto"/>
            <w:vAlign w:val="center"/>
          </w:tcPr>
          <w:p w14:paraId="4B5B30DC">
            <w:pPr>
              <w:wordWrap w:val="0"/>
              <w:jc w:val="center"/>
              <w:textAlignment w:val="center"/>
              <w:rPr>
                <w:rFonts w:hint="eastAsia" w:ascii="Times New Roman" w:hAnsi="Times New Roman" w:eastAsia="宋体" w:cs="Times New Roman"/>
                <w:bCs/>
                <w:color w:val="000000"/>
                <w:kern w:val="2"/>
                <w:sz w:val="21"/>
                <w:szCs w:val="21"/>
                <w:lang w:val="en-US" w:eastAsia="zh-CN" w:bidi="ar-SA"/>
              </w:rPr>
            </w:pPr>
          </w:p>
        </w:tc>
        <w:tc>
          <w:tcPr>
            <w:tcW w:w="0" w:type="auto"/>
            <w:vAlign w:val="center"/>
          </w:tcPr>
          <w:p w14:paraId="00122E59">
            <w:pPr>
              <w:wordWrap w:val="0"/>
              <w:jc w:val="center"/>
              <w:textAlignment w:val="center"/>
              <w:rPr>
                <w:rFonts w:hint="eastAsia" w:ascii="Times New Roman" w:hAnsi="Times New Roman" w:eastAsia="宋体" w:cs="Times New Roman"/>
                <w:bCs/>
                <w:color w:val="000000"/>
                <w:kern w:val="2"/>
                <w:sz w:val="21"/>
                <w:szCs w:val="21"/>
                <w:lang w:val="en-US" w:eastAsia="zh-CN" w:bidi="ar-SA"/>
              </w:rPr>
            </w:pPr>
          </w:p>
        </w:tc>
      </w:tr>
    </w:tbl>
    <w:p w14:paraId="5FF20B5A">
      <w:pPr>
        <w:pStyle w:val="7"/>
        <w:bidi w:val="0"/>
        <w:ind w:firstLine="2880" w:firstLineChars="1200"/>
        <w:rPr>
          <w:sz w:val="21"/>
          <w:szCs w:val="21"/>
        </w:rPr>
      </w:pPr>
      <w:r>
        <w:rPr>
          <w:rFonts w:hint="eastAsia"/>
          <w:sz w:val="24"/>
          <w:szCs w:val="24"/>
        </w:rPr>
        <w:t>表2</w:t>
      </w:r>
      <w:r>
        <w:rPr>
          <w:rFonts w:hint="eastAsia"/>
          <w:sz w:val="24"/>
          <w:szCs w:val="24"/>
          <w:lang w:val="en-US" w:eastAsia="zh-CN"/>
        </w:rPr>
        <w:t>.3-2</w:t>
      </w:r>
      <w:r>
        <w:rPr>
          <w:rFonts w:hint="eastAsia"/>
          <w:sz w:val="24"/>
          <w:szCs w:val="24"/>
        </w:rPr>
        <w:t xml:space="preserve">  主要建（构）筑物</w:t>
      </w:r>
    </w:p>
    <w:tbl>
      <w:tblPr>
        <w:tblStyle w:val="20"/>
        <w:tblW w:w="90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13"/>
        <w:gridCol w:w="714"/>
        <w:gridCol w:w="1097"/>
        <w:gridCol w:w="2101"/>
        <w:gridCol w:w="1408"/>
        <w:gridCol w:w="1397"/>
      </w:tblGrid>
      <w:tr w14:paraId="02B6F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685" w:type="dxa"/>
            <w:vAlign w:val="center"/>
          </w:tcPr>
          <w:p w14:paraId="40A1BFE9">
            <w:pPr>
              <w:jc w:val="center"/>
              <w:rPr>
                <w:b/>
                <w:color w:val="auto"/>
                <w:sz w:val="21"/>
                <w:szCs w:val="21"/>
              </w:rPr>
            </w:pPr>
            <w:r>
              <w:rPr>
                <w:rFonts w:hint="eastAsia" w:ascii="宋体" w:hAnsi="宋体" w:cs="宋体"/>
                <w:b/>
                <w:color w:val="auto"/>
                <w:sz w:val="21"/>
                <w:szCs w:val="21"/>
              </w:rPr>
              <w:t>序号</w:t>
            </w:r>
          </w:p>
        </w:tc>
        <w:tc>
          <w:tcPr>
            <w:tcW w:w="1613" w:type="dxa"/>
            <w:vAlign w:val="center"/>
          </w:tcPr>
          <w:p w14:paraId="3C63A588">
            <w:pPr>
              <w:jc w:val="center"/>
              <w:rPr>
                <w:b/>
                <w:color w:val="auto"/>
                <w:sz w:val="21"/>
                <w:szCs w:val="21"/>
              </w:rPr>
            </w:pPr>
            <w:r>
              <w:rPr>
                <w:rFonts w:hint="eastAsia" w:ascii="宋体" w:hAnsi="宋体" w:cs="宋体"/>
                <w:b/>
                <w:color w:val="auto"/>
                <w:sz w:val="21"/>
                <w:szCs w:val="21"/>
              </w:rPr>
              <w:t>名称</w:t>
            </w:r>
          </w:p>
        </w:tc>
        <w:tc>
          <w:tcPr>
            <w:tcW w:w="714" w:type="dxa"/>
            <w:vAlign w:val="center"/>
          </w:tcPr>
          <w:p w14:paraId="754ACDD8">
            <w:pPr>
              <w:jc w:val="center"/>
              <w:rPr>
                <w:b/>
                <w:color w:val="auto"/>
                <w:sz w:val="21"/>
                <w:szCs w:val="21"/>
              </w:rPr>
            </w:pPr>
            <w:r>
              <w:rPr>
                <w:rFonts w:hint="eastAsia" w:ascii="宋体" w:hAnsi="宋体" w:cs="宋体"/>
                <w:b/>
                <w:color w:val="auto"/>
                <w:sz w:val="21"/>
                <w:szCs w:val="21"/>
              </w:rPr>
              <w:t>数量</w:t>
            </w:r>
          </w:p>
        </w:tc>
        <w:tc>
          <w:tcPr>
            <w:tcW w:w="1097" w:type="dxa"/>
            <w:vAlign w:val="center"/>
          </w:tcPr>
          <w:p w14:paraId="02981310">
            <w:pPr>
              <w:jc w:val="center"/>
              <w:rPr>
                <w:b/>
                <w:color w:val="auto"/>
                <w:sz w:val="21"/>
                <w:szCs w:val="21"/>
              </w:rPr>
            </w:pPr>
            <w:r>
              <w:rPr>
                <w:rFonts w:hint="eastAsia" w:ascii="宋体" w:hAnsi="宋体" w:cs="宋体"/>
                <w:b/>
                <w:color w:val="auto"/>
                <w:sz w:val="21"/>
                <w:szCs w:val="21"/>
              </w:rPr>
              <w:t>面积</w:t>
            </w:r>
          </w:p>
        </w:tc>
        <w:tc>
          <w:tcPr>
            <w:tcW w:w="2101" w:type="dxa"/>
            <w:vAlign w:val="center"/>
          </w:tcPr>
          <w:p w14:paraId="382B9C0A">
            <w:pPr>
              <w:jc w:val="center"/>
              <w:rPr>
                <w:b/>
                <w:color w:val="auto"/>
                <w:sz w:val="21"/>
                <w:szCs w:val="21"/>
              </w:rPr>
            </w:pPr>
            <w:r>
              <w:rPr>
                <w:rFonts w:hint="eastAsia" w:ascii="宋体" w:hAnsi="宋体" w:cs="宋体"/>
                <w:b/>
                <w:color w:val="auto"/>
                <w:sz w:val="21"/>
                <w:szCs w:val="21"/>
              </w:rPr>
              <w:t>耐火等级</w:t>
            </w:r>
          </w:p>
        </w:tc>
        <w:tc>
          <w:tcPr>
            <w:tcW w:w="1408" w:type="dxa"/>
            <w:vAlign w:val="center"/>
          </w:tcPr>
          <w:p w14:paraId="3D3CC9E4">
            <w:pPr>
              <w:jc w:val="center"/>
              <w:rPr>
                <w:b/>
                <w:color w:val="auto"/>
                <w:sz w:val="21"/>
                <w:szCs w:val="21"/>
              </w:rPr>
            </w:pPr>
            <w:r>
              <w:rPr>
                <w:rFonts w:hint="eastAsia" w:ascii="宋体" w:hAnsi="宋体" w:cs="宋体"/>
                <w:b/>
                <w:color w:val="auto"/>
                <w:sz w:val="21"/>
                <w:szCs w:val="21"/>
              </w:rPr>
              <w:t>结构类型</w:t>
            </w:r>
          </w:p>
        </w:tc>
        <w:tc>
          <w:tcPr>
            <w:tcW w:w="1397" w:type="dxa"/>
            <w:vAlign w:val="center"/>
          </w:tcPr>
          <w:p w14:paraId="7B05D88A">
            <w:pPr>
              <w:jc w:val="center"/>
              <w:rPr>
                <w:b/>
                <w:color w:val="auto"/>
                <w:sz w:val="21"/>
                <w:szCs w:val="21"/>
              </w:rPr>
            </w:pPr>
            <w:r>
              <w:rPr>
                <w:rFonts w:hint="eastAsia" w:ascii="宋体" w:hAnsi="宋体" w:cs="宋体"/>
                <w:b/>
                <w:color w:val="auto"/>
                <w:sz w:val="21"/>
                <w:szCs w:val="21"/>
              </w:rPr>
              <w:t>备注</w:t>
            </w:r>
          </w:p>
        </w:tc>
      </w:tr>
      <w:tr w14:paraId="65851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685" w:type="dxa"/>
            <w:vAlign w:val="center"/>
          </w:tcPr>
          <w:p w14:paraId="1791D8E8">
            <w:pPr>
              <w:jc w:val="center"/>
              <w:rPr>
                <w:rFonts w:hint="eastAsia" w:ascii="Times New Roman" w:hAnsi="Times New Roman" w:eastAsia="宋体" w:cs="Times New Roman"/>
                <w:bCs/>
                <w:color w:val="auto"/>
                <w:kern w:val="2"/>
                <w:sz w:val="21"/>
                <w:szCs w:val="21"/>
                <w:lang w:val="en-US" w:eastAsia="zh-CN" w:bidi="ar-SA"/>
              </w:rPr>
            </w:pPr>
            <w:r>
              <w:rPr>
                <w:bCs/>
                <w:color w:val="auto"/>
                <w:sz w:val="21"/>
                <w:szCs w:val="21"/>
              </w:rPr>
              <w:t>1</w:t>
            </w:r>
          </w:p>
        </w:tc>
        <w:tc>
          <w:tcPr>
            <w:tcW w:w="1613" w:type="dxa"/>
            <w:vAlign w:val="center"/>
          </w:tcPr>
          <w:p w14:paraId="5A481EDB">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罩棚</w:t>
            </w:r>
          </w:p>
        </w:tc>
        <w:tc>
          <w:tcPr>
            <w:tcW w:w="714" w:type="dxa"/>
            <w:vAlign w:val="center"/>
          </w:tcPr>
          <w:p w14:paraId="0C3AC105">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1</w:t>
            </w:r>
            <w:r>
              <w:rPr>
                <w:rFonts w:hint="eastAsia" w:ascii="宋体" w:hAnsi="宋体" w:cs="宋体"/>
                <w:bCs/>
                <w:color w:val="auto"/>
                <w:sz w:val="21"/>
                <w:szCs w:val="21"/>
              </w:rPr>
              <w:t>座</w:t>
            </w:r>
          </w:p>
        </w:tc>
        <w:tc>
          <w:tcPr>
            <w:tcW w:w="1097" w:type="dxa"/>
            <w:vAlign w:val="center"/>
          </w:tcPr>
          <w:p w14:paraId="7F7BBE3E">
            <w:pPr>
              <w:spacing w:line="400" w:lineRule="exact"/>
              <w:jc w:val="center"/>
              <w:rPr>
                <w:rFonts w:hint="eastAsia" w:ascii="Times New Roman" w:hAnsi="Times New Roman" w:eastAsia="宋体" w:cs="Times New Roman"/>
                <w:color w:val="auto"/>
                <w:kern w:val="2"/>
                <w:sz w:val="21"/>
                <w:szCs w:val="21"/>
                <w:lang w:val="en-US" w:eastAsia="zh-CN" w:bidi="ar-SA"/>
              </w:rPr>
            </w:pPr>
            <w:r>
              <w:rPr>
                <w:rFonts w:hint="eastAsia"/>
                <w:bCs/>
                <w:color w:val="auto"/>
                <w:sz w:val="21"/>
                <w:szCs w:val="21"/>
                <w:lang w:val="en-US" w:eastAsia="zh-CN"/>
              </w:rPr>
              <w:t>195</w:t>
            </w:r>
            <w:r>
              <w:rPr>
                <w:bCs/>
                <w:color w:val="auto"/>
                <w:sz w:val="21"/>
                <w:szCs w:val="21"/>
              </w:rPr>
              <w:t>m</w:t>
            </w:r>
            <w:r>
              <w:rPr>
                <w:bCs/>
                <w:color w:val="auto"/>
                <w:sz w:val="21"/>
                <w:szCs w:val="21"/>
                <w:vertAlign w:val="superscript"/>
              </w:rPr>
              <w:t>2</w:t>
            </w:r>
          </w:p>
        </w:tc>
        <w:tc>
          <w:tcPr>
            <w:tcW w:w="2101" w:type="dxa"/>
            <w:vAlign w:val="center"/>
          </w:tcPr>
          <w:p w14:paraId="19DBB828">
            <w:pPr>
              <w:jc w:val="center"/>
              <w:rPr>
                <w:rFonts w:hint="eastAsia" w:ascii="Times New Roman" w:hAnsi="Times New Roman" w:eastAsia="宋体" w:cs="Times New Roman"/>
                <w:bCs/>
                <w:color w:val="auto"/>
                <w:kern w:val="2"/>
                <w:sz w:val="21"/>
                <w:szCs w:val="21"/>
                <w:lang w:val="en-US" w:eastAsia="zh-CN" w:bidi="ar-SA"/>
              </w:rPr>
            </w:pPr>
            <w:r>
              <w:rPr>
                <w:rFonts w:hAnsi="宋体"/>
                <w:bCs/>
                <w:color w:val="auto"/>
                <w:sz w:val="21"/>
                <w:szCs w:val="21"/>
              </w:rPr>
              <w:t>耐火</w:t>
            </w:r>
            <w:r>
              <w:rPr>
                <w:rFonts w:hint="eastAsia" w:hAnsi="宋体"/>
                <w:bCs/>
                <w:color w:val="auto"/>
                <w:sz w:val="21"/>
                <w:szCs w:val="21"/>
              </w:rPr>
              <w:t>极限大于0.25h</w:t>
            </w:r>
          </w:p>
        </w:tc>
        <w:tc>
          <w:tcPr>
            <w:tcW w:w="1408" w:type="dxa"/>
            <w:vAlign w:val="center"/>
          </w:tcPr>
          <w:p w14:paraId="30B8B04C">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钢架结构</w:t>
            </w:r>
          </w:p>
        </w:tc>
        <w:tc>
          <w:tcPr>
            <w:tcW w:w="1397" w:type="dxa"/>
            <w:vAlign w:val="center"/>
          </w:tcPr>
          <w:p w14:paraId="7A711CA1">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单层</w:t>
            </w:r>
          </w:p>
        </w:tc>
      </w:tr>
      <w:tr w14:paraId="0A72B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0" w:type="auto"/>
            <w:vAlign w:val="center"/>
          </w:tcPr>
          <w:p w14:paraId="2EFAD7AC">
            <w:pPr>
              <w:jc w:val="center"/>
              <w:rPr>
                <w:rFonts w:hint="eastAsia" w:ascii="Times New Roman" w:hAnsi="Times New Roman" w:eastAsia="宋体" w:cs="Times New Roman"/>
                <w:bCs/>
                <w:color w:val="auto"/>
                <w:kern w:val="2"/>
                <w:sz w:val="21"/>
                <w:szCs w:val="21"/>
                <w:lang w:val="en-US" w:eastAsia="zh-CN" w:bidi="ar-SA"/>
              </w:rPr>
            </w:pPr>
            <w:r>
              <w:rPr>
                <w:bCs/>
                <w:color w:val="auto"/>
                <w:sz w:val="21"/>
                <w:szCs w:val="21"/>
              </w:rPr>
              <w:t>2</w:t>
            </w:r>
          </w:p>
        </w:tc>
        <w:tc>
          <w:tcPr>
            <w:tcW w:w="0" w:type="auto"/>
            <w:vAlign w:val="center"/>
          </w:tcPr>
          <w:p w14:paraId="057ABDE7">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站房</w:t>
            </w:r>
          </w:p>
        </w:tc>
        <w:tc>
          <w:tcPr>
            <w:tcW w:w="0" w:type="auto"/>
            <w:vAlign w:val="center"/>
          </w:tcPr>
          <w:p w14:paraId="04C67268">
            <w:pPr>
              <w:jc w:val="center"/>
              <w:rPr>
                <w:rFonts w:hint="eastAsia" w:ascii="Times New Roman" w:hAnsi="Times New Roman" w:eastAsia="宋体" w:cs="Times New Roman"/>
                <w:bCs/>
                <w:color w:val="auto"/>
                <w:kern w:val="2"/>
                <w:sz w:val="21"/>
                <w:szCs w:val="21"/>
                <w:lang w:val="en-US" w:eastAsia="zh-CN" w:bidi="ar-SA"/>
              </w:rPr>
            </w:pPr>
            <w:r>
              <w:rPr>
                <w:bCs/>
                <w:color w:val="auto"/>
                <w:sz w:val="21"/>
                <w:szCs w:val="21"/>
              </w:rPr>
              <w:t>1</w:t>
            </w:r>
            <w:r>
              <w:rPr>
                <w:rFonts w:hint="eastAsia" w:ascii="宋体" w:hAnsi="宋体" w:cs="宋体"/>
                <w:bCs/>
                <w:color w:val="auto"/>
                <w:sz w:val="21"/>
                <w:szCs w:val="21"/>
              </w:rPr>
              <w:t>座</w:t>
            </w:r>
          </w:p>
        </w:tc>
        <w:tc>
          <w:tcPr>
            <w:tcW w:w="0" w:type="auto"/>
            <w:vAlign w:val="center"/>
          </w:tcPr>
          <w:p w14:paraId="66DA2DD1">
            <w:pPr>
              <w:spacing w:line="400" w:lineRule="exact"/>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90</w:t>
            </w:r>
            <w:r>
              <w:rPr>
                <w:bCs/>
                <w:color w:val="auto"/>
                <w:sz w:val="21"/>
                <w:szCs w:val="21"/>
              </w:rPr>
              <w:t>m</w:t>
            </w:r>
            <w:r>
              <w:rPr>
                <w:bCs/>
                <w:color w:val="auto"/>
                <w:sz w:val="21"/>
                <w:szCs w:val="21"/>
                <w:vertAlign w:val="superscript"/>
              </w:rPr>
              <w:t>2</w:t>
            </w:r>
          </w:p>
        </w:tc>
        <w:tc>
          <w:tcPr>
            <w:tcW w:w="0" w:type="auto"/>
            <w:vAlign w:val="center"/>
          </w:tcPr>
          <w:p w14:paraId="5473A97E">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二级</w:t>
            </w:r>
          </w:p>
        </w:tc>
        <w:tc>
          <w:tcPr>
            <w:tcW w:w="0" w:type="auto"/>
            <w:vAlign w:val="center"/>
          </w:tcPr>
          <w:p w14:paraId="3C238FE3">
            <w:pPr>
              <w:jc w:val="center"/>
              <w:rPr>
                <w:rFonts w:hint="eastAsia" w:ascii="Times New Roman" w:hAnsi="Times New Roman" w:eastAsia="宋体" w:cs="Times New Roman"/>
                <w:bCs/>
                <w:color w:val="auto"/>
                <w:kern w:val="2"/>
                <w:sz w:val="21"/>
                <w:szCs w:val="21"/>
                <w:lang w:val="en-US" w:eastAsia="zh-CN" w:bidi="ar-SA"/>
              </w:rPr>
            </w:pPr>
            <w:r>
              <w:rPr>
                <w:rFonts w:hint="eastAsia" w:ascii="宋体" w:hAnsi="宋体" w:cs="宋体"/>
                <w:bCs/>
                <w:color w:val="auto"/>
                <w:sz w:val="21"/>
                <w:szCs w:val="21"/>
              </w:rPr>
              <w:t>砖混结构</w:t>
            </w:r>
          </w:p>
        </w:tc>
        <w:tc>
          <w:tcPr>
            <w:tcW w:w="0" w:type="auto"/>
            <w:vAlign w:val="top"/>
          </w:tcPr>
          <w:p w14:paraId="2B6C6F59">
            <w:pPr>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bCs/>
                <w:color w:val="auto"/>
                <w:sz w:val="21"/>
                <w:szCs w:val="21"/>
              </w:rPr>
              <w:t>单层</w:t>
            </w:r>
          </w:p>
        </w:tc>
      </w:tr>
      <w:tr w14:paraId="0C630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3" w:hRule="exact"/>
          <w:jc w:val="center"/>
        </w:trPr>
        <w:tc>
          <w:tcPr>
            <w:tcW w:w="0" w:type="auto"/>
            <w:vAlign w:val="center"/>
          </w:tcPr>
          <w:p w14:paraId="2E9F5C66">
            <w:pPr>
              <w:jc w:val="center"/>
              <w:rPr>
                <w:rFonts w:hint="eastAsia" w:eastAsia="宋体"/>
                <w:bCs/>
                <w:color w:val="auto"/>
                <w:sz w:val="21"/>
                <w:szCs w:val="21"/>
                <w:lang w:val="en-US" w:eastAsia="zh-CN"/>
              </w:rPr>
            </w:pPr>
            <w:r>
              <w:rPr>
                <w:rFonts w:hint="eastAsia"/>
                <w:bCs/>
                <w:color w:val="auto"/>
                <w:sz w:val="21"/>
                <w:szCs w:val="21"/>
                <w:lang w:val="en-US" w:eastAsia="zh-CN"/>
              </w:rPr>
              <w:t>3</w:t>
            </w:r>
          </w:p>
        </w:tc>
        <w:tc>
          <w:tcPr>
            <w:tcW w:w="0" w:type="auto"/>
            <w:vAlign w:val="center"/>
          </w:tcPr>
          <w:p w14:paraId="0209DAE0">
            <w:pPr>
              <w:jc w:val="center"/>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辅助房</w:t>
            </w:r>
          </w:p>
        </w:tc>
        <w:tc>
          <w:tcPr>
            <w:tcW w:w="0" w:type="auto"/>
            <w:vAlign w:val="center"/>
          </w:tcPr>
          <w:p w14:paraId="654CCAE0">
            <w:pPr>
              <w:jc w:val="center"/>
              <w:rPr>
                <w:rFonts w:hint="default" w:eastAsia="宋体"/>
                <w:bCs/>
                <w:color w:val="auto"/>
                <w:sz w:val="21"/>
                <w:szCs w:val="21"/>
                <w:lang w:val="en-US" w:eastAsia="zh-CN"/>
              </w:rPr>
            </w:pPr>
            <w:r>
              <w:rPr>
                <w:rFonts w:hint="eastAsia"/>
                <w:bCs/>
                <w:color w:val="auto"/>
                <w:sz w:val="21"/>
                <w:szCs w:val="21"/>
                <w:lang w:val="en-US" w:eastAsia="zh-CN"/>
              </w:rPr>
              <w:t>1座</w:t>
            </w:r>
          </w:p>
        </w:tc>
        <w:tc>
          <w:tcPr>
            <w:tcW w:w="0" w:type="auto"/>
            <w:vAlign w:val="center"/>
          </w:tcPr>
          <w:p w14:paraId="7FF1BF01">
            <w:pPr>
              <w:spacing w:line="400" w:lineRule="exact"/>
              <w:jc w:val="center"/>
              <w:rPr>
                <w:rFonts w:hint="default"/>
                <w:bCs/>
                <w:color w:val="auto"/>
                <w:sz w:val="21"/>
                <w:szCs w:val="21"/>
                <w:lang w:val="en-US" w:eastAsia="zh-CN"/>
              </w:rPr>
            </w:pPr>
            <w:r>
              <w:rPr>
                <w:rFonts w:hint="eastAsia"/>
                <w:bCs/>
                <w:color w:val="auto"/>
                <w:sz w:val="21"/>
                <w:szCs w:val="21"/>
                <w:lang w:val="en-US" w:eastAsia="zh-CN"/>
              </w:rPr>
              <w:t>36m</w:t>
            </w:r>
            <w:r>
              <w:rPr>
                <w:rFonts w:hint="eastAsia"/>
                <w:bCs/>
                <w:color w:val="auto"/>
                <w:sz w:val="21"/>
                <w:szCs w:val="21"/>
                <w:vertAlign w:val="superscript"/>
                <w:lang w:val="en-US" w:eastAsia="zh-CN"/>
              </w:rPr>
              <w:t>2</w:t>
            </w:r>
          </w:p>
        </w:tc>
        <w:tc>
          <w:tcPr>
            <w:tcW w:w="0" w:type="auto"/>
            <w:vAlign w:val="center"/>
          </w:tcPr>
          <w:p w14:paraId="0FB049F3">
            <w:pPr>
              <w:jc w:val="center"/>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二级</w:t>
            </w:r>
          </w:p>
        </w:tc>
        <w:tc>
          <w:tcPr>
            <w:tcW w:w="0" w:type="auto"/>
            <w:vAlign w:val="center"/>
          </w:tcPr>
          <w:p w14:paraId="40B6A515">
            <w:pPr>
              <w:jc w:val="center"/>
              <w:rPr>
                <w:rFonts w:hint="eastAsia" w:ascii="宋体" w:hAnsi="宋体" w:cs="宋体"/>
                <w:bCs/>
                <w:color w:val="auto"/>
                <w:sz w:val="21"/>
                <w:szCs w:val="21"/>
              </w:rPr>
            </w:pPr>
            <w:r>
              <w:rPr>
                <w:rFonts w:hint="eastAsia" w:ascii="宋体" w:hAnsi="宋体" w:cs="宋体"/>
                <w:bCs/>
                <w:color w:val="auto"/>
                <w:sz w:val="21"/>
                <w:szCs w:val="21"/>
              </w:rPr>
              <w:t>砖混结构</w:t>
            </w:r>
          </w:p>
        </w:tc>
        <w:tc>
          <w:tcPr>
            <w:tcW w:w="0" w:type="auto"/>
            <w:vAlign w:val="top"/>
          </w:tcPr>
          <w:p w14:paraId="5DC9843D">
            <w:pPr>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内含餐厅</w:t>
            </w:r>
            <w:r>
              <w:rPr>
                <w:rFonts w:hint="eastAsia" w:ascii="宋体" w:hAnsi="宋体" w:eastAsia="宋体" w:cs="宋体"/>
                <w:bCs/>
                <w:color w:val="auto"/>
                <w:sz w:val="21"/>
                <w:szCs w:val="21"/>
              </w:rPr>
              <w:t>、配电间、</w:t>
            </w:r>
            <w:r>
              <w:rPr>
                <w:rFonts w:hint="eastAsia" w:ascii="宋体" w:hAnsi="宋体" w:eastAsia="宋体" w:cs="宋体"/>
                <w:bCs/>
                <w:color w:val="auto"/>
                <w:sz w:val="21"/>
                <w:szCs w:val="21"/>
                <w:lang w:val="en-US" w:eastAsia="zh-CN"/>
              </w:rPr>
              <w:t>厕所</w:t>
            </w:r>
          </w:p>
        </w:tc>
      </w:tr>
    </w:tbl>
    <w:p w14:paraId="010563E4">
      <w:pPr>
        <w:spacing w:beforeLines="0" w:afterLines="0" w:line="520" w:lineRule="exact"/>
        <w:rPr>
          <w:rFonts w:hint="default" w:ascii="Times New Roman" w:hAnsi="Times New Roman" w:eastAsia="宋体" w:cs="Times New Roman"/>
          <w:b/>
          <w:color w:val="auto"/>
          <w:sz w:val="28"/>
          <w:szCs w:val="28"/>
        </w:rPr>
      </w:pPr>
      <w:r>
        <w:rPr>
          <w:rFonts w:hint="eastAsia"/>
          <w:lang w:val="en-US" w:eastAsia="zh-CN"/>
        </w:rPr>
        <w:t>2.3.2</w:t>
      </w:r>
      <w:bookmarkEnd w:id="70"/>
      <w:bookmarkStart w:id="71" w:name="_Toc120957317"/>
      <w:bookmarkStart w:id="72" w:name="_Toc29996"/>
      <w:r>
        <w:rPr>
          <w:rFonts w:hint="eastAsia" w:ascii="Times New Roman" w:hAnsi="Times New Roman" w:eastAsia="宋体" w:cs="Times New Roman"/>
          <w:b/>
          <w:color w:val="auto"/>
          <w:sz w:val="28"/>
          <w:szCs w:val="28"/>
        </w:rPr>
        <w:t>卸油工艺流程</w:t>
      </w:r>
    </w:p>
    <w:p w14:paraId="39A5F94A">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油料用油罐车从石油库运至加油站罐区后，在卸油口附近停稳熄火，卸油前现场至少配备2具手提式干粉灭火器和2块灭火毯，进入卸油区作业的人员，先释放消除静电，卸油人员将防静电跨接线连接到油罐车专用接地端，并确认接触良好。在油罐车静置进行静电释放5分钟后，进行计量、取样和卸油等相关作业。检查确认油罐计量孔密闭良好，汽油罐通气管上阀门处于关闭状态，安装呼吸阀打通气管上阀门处于开启状态。卸完油后，关闭软管两端阀门，拆除软管，将卸油接口的密封盖盖紧并加锁。卸油结束后，卸油员全面检查并确认状态正常，引导油罐车启动车辆，离站，并清理卸油现场，将应急器材放回原位。</w:t>
      </w:r>
    </w:p>
    <w:p w14:paraId="61174EE8">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w:t>
      </w:r>
      <w:r>
        <w:rPr>
          <w:rFonts w:hint="eastAsia" w:ascii="Times New Roman" w:hAnsi="Times New Roman" w:eastAsia="宋体" w:cs="Times New Roman"/>
          <w:color w:val="auto"/>
          <w:sz w:val="28"/>
          <w:szCs w:val="28"/>
        </w:rPr>
        <w:t>汽油卸油工艺：本站属于带汽油油气回收的卸油工艺。</w:t>
      </w:r>
    </w:p>
    <w:p w14:paraId="127BE9B8">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在油罐车卸油过程中，将原来储油罐内散溢的油气，通过油气回收地下工艺管线及卸车软管重新收集至油罐车内，实现卸油与油气等体积置换。</w:t>
      </w:r>
    </w:p>
    <w:p w14:paraId="00A79580">
      <w:pPr>
        <w:spacing w:beforeLines="0" w:afterLines="0" w:line="520" w:lineRule="exact"/>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带油气回收的汽油卸油工艺，工艺流程图如下：</w:t>
      </w:r>
    </w:p>
    <w:p w14:paraId="0BDFBADE">
      <w:pPr>
        <w:pStyle w:val="27"/>
        <w:rPr>
          <w:rFonts w:hint="default"/>
        </w:rPr>
      </w:pPr>
    </w:p>
    <w:p w14:paraId="3AC7BF0A">
      <w:pPr>
        <w:pStyle w:val="29"/>
        <w:spacing w:beforeLines="0" w:afterLines="0" w:line="520" w:lineRule="exac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mc:AlternateContent>
          <mc:Choice Requires="wpg">
            <w:drawing>
              <wp:anchor distT="0" distB="0" distL="114300" distR="114300" simplePos="0" relativeHeight="251661312" behindDoc="0" locked="0" layoutInCell="1" allowOverlap="1">
                <wp:simplePos x="0" y="0"/>
                <wp:positionH relativeFrom="column">
                  <wp:posOffset>350520</wp:posOffset>
                </wp:positionH>
                <wp:positionV relativeFrom="paragraph">
                  <wp:posOffset>130175</wp:posOffset>
                </wp:positionV>
                <wp:extent cx="4932680" cy="1094105"/>
                <wp:effectExtent l="5080" t="5080" r="15240" b="5715"/>
                <wp:wrapNone/>
                <wp:docPr id="55" name="组合 66"/>
                <wp:cNvGraphicFramePr/>
                <a:graphic xmlns:a="http://schemas.openxmlformats.org/drawingml/2006/main">
                  <a:graphicData uri="http://schemas.microsoft.com/office/word/2010/wordprocessingGroup">
                    <wpg:wgp>
                      <wpg:cNvGrpSpPr/>
                      <wpg:grpSpPr>
                        <a:xfrm>
                          <a:off x="0" y="0"/>
                          <a:ext cx="4932680" cy="1094105"/>
                          <a:chOff x="0" y="0"/>
                          <a:chExt cx="7725" cy="1606"/>
                        </a:xfrm>
                      </wpg:grpSpPr>
                      <wps:wsp>
                        <wps:cNvPr id="39" name="Text Box 25"/>
                        <wps:cNvSpPr txBox="1"/>
                        <wps:spPr>
                          <a:xfrm>
                            <a:off x="0" y="0"/>
                            <a:ext cx="14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6EAF6">
                              <w:pPr>
                                <w:spacing w:beforeLines="0" w:afterLines="0"/>
                                <w:rPr>
                                  <w:rFonts w:hint="default"/>
                                  <w:sz w:val="21"/>
                                  <w:szCs w:val="24"/>
                                </w:rPr>
                              </w:pPr>
                              <w:r>
                                <w:rPr>
                                  <w:rFonts w:hint="eastAsia" w:eastAsia="宋体"/>
                                  <w:sz w:val="21"/>
                                  <w:szCs w:val="24"/>
                                </w:rPr>
                                <w:t>汽车油罐车车车</w:t>
                              </w:r>
                            </w:p>
                          </w:txbxContent>
                        </wps:txbx>
                        <wps:bodyPr wrap="square" upright="1"/>
                      </wps:wsp>
                      <wps:wsp>
                        <wps:cNvPr id="40" name="Line 26"/>
                        <wps:cNvCnPr/>
                        <wps:spPr>
                          <a:xfrm>
                            <a:off x="1432" y="232"/>
                            <a:ext cx="644" cy="1"/>
                          </a:xfrm>
                          <a:prstGeom prst="line">
                            <a:avLst/>
                          </a:prstGeom>
                          <a:ln w="19050" cap="flat" cmpd="sng">
                            <a:solidFill>
                              <a:srgbClr val="000000"/>
                            </a:solidFill>
                            <a:prstDash val="solid"/>
                            <a:headEnd type="none" w="med" len="med"/>
                            <a:tailEnd type="triangle" w="med" len="med"/>
                          </a:ln>
                        </wps:spPr>
                        <wps:bodyPr upright="1"/>
                      </wps:wsp>
                      <wps:wsp>
                        <wps:cNvPr id="41" name="Text Box 27"/>
                        <wps:cNvSpPr txBox="1"/>
                        <wps:spPr>
                          <a:xfrm>
                            <a:off x="2115" y="0"/>
                            <a:ext cx="1412"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B9ABD">
                              <w:pPr>
                                <w:spacing w:beforeLines="0" w:afterLines="0"/>
                                <w:jc w:val="center"/>
                                <w:rPr>
                                  <w:rFonts w:hint="default"/>
                                  <w:sz w:val="28"/>
                                  <w:szCs w:val="24"/>
                                </w:rPr>
                              </w:pPr>
                              <w:r>
                                <w:rPr>
                                  <w:rFonts w:hint="eastAsia" w:eastAsia="宋体"/>
                                  <w:sz w:val="21"/>
                                  <w:szCs w:val="24"/>
                                </w:rPr>
                                <w:t>导静电软管</w:t>
                              </w:r>
                              <w:r>
                                <w:rPr>
                                  <w:rFonts w:hint="eastAsia" w:eastAsia="宋体"/>
                                  <w:sz w:val="28"/>
                                  <w:szCs w:val="24"/>
                                </w:rPr>
                                <w:t>管</w:t>
                              </w:r>
                            </w:p>
                          </w:txbxContent>
                        </wps:txbx>
                        <wps:bodyPr wrap="square" upright="1"/>
                      </wps:wsp>
                      <wps:wsp>
                        <wps:cNvPr id="42" name="Line 28"/>
                        <wps:cNvCnPr/>
                        <wps:spPr>
                          <a:xfrm>
                            <a:off x="3543" y="221"/>
                            <a:ext cx="644" cy="1"/>
                          </a:xfrm>
                          <a:prstGeom prst="line">
                            <a:avLst/>
                          </a:prstGeom>
                          <a:ln w="19050" cap="flat" cmpd="sng">
                            <a:solidFill>
                              <a:srgbClr val="000000"/>
                            </a:solidFill>
                            <a:prstDash val="solid"/>
                            <a:headEnd type="none" w="med" len="med"/>
                            <a:tailEnd type="triangle" w="med" len="med"/>
                          </a:ln>
                        </wps:spPr>
                        <wps:bodyPr upright="1"/>
                      </wps:wsp>
                      <wps:wsp>
                        <wps:cNvPr id="44" name="Text Box 29"/>
                        <wps:cNvSpPr txBox="1"/>
                        <wps:spPr>
                          <a:xfrm>
                            <a:off x="4211" y="0"/>
                            <a:ext cx="135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9E3B5">
                              <w:pPr>
                                <w:spacing w:beforeLines="0" w:afterLines="0"/>
                                <w:jc w:val="center"/>
                                <w:rPr>
                                  <w:rFonts w:hint="default"/>
                                  <w:sz w:val="28"/>
                                  <w:szCs w:val="24"/>
                                </w:rPr>
                              </w:pPr>
                              <w:r>
                                <w:rPr>
                                  <w:rFonts w:hint="eastAsia" w:eastAsia="宋体"/>
                                  <w:sz w:val="21"/>
                                  <w:szCs w:val="24"/>
                                </w:rPr>
                                <w:t>快速接头</w:t>
                              </w:r>
                            </w:p>
                          </w:txbxContent>
                        </wps:txbx>
                        <wps:bodyPr wrap="square" upright="1"/>
                      </wps:wsp>
                      <wps:wsp>
                        <wps:cNvPr id="45" name="Line 30"/>
                        <wps:cNvCnPr/>
                        <wps:spPr>
                          <a:xfrm>
                            <a:off x="5634" y="233"/>
                            <a:ext cx="644" cy="1"/>
                          </a:xfrm>
                          <a:prstGeom prst="line">
                            <a:avLst/>
                          </a:prstGeom>
                          <a:ln w="19050" cap="flat" cmpd="sng">
                            <a:solidFill>
                              <a:srgbClr val="000000"/>
                            </a:solidFill>
                            <a:prstDash val="solid"/>
                            <a:headEnd type="none" w="med" len="med"/>
                            <a:tailEnd type="triangle" w="med" len="med"/>
                          </a:ln>
                        </wps:spPr>
                        <wps:bodyPr upright="1"/>
                      </wps:wsp>
                      <wps:wsp>
                        <wps:cNvPr id="46" name="Text Box 31"/>
                        <wps:cNvSpPr txBox="1"/>
                        <wps:spPr>
                          <a:xfrm>
                            <a:off x="6375" y="13"/>
                            <a:ext cx="135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A8BB9">
                              <w:pPr>
                                <w:spacing w:beforeLines="0" w:afterLines="0"/>
                                <w:ind w:left="-80" w:leftChars="-66" w:right="-179" w:rightChars="-64" w:hanging="105" w:hangingChars="50"/>
                                <w:jc w:val="center"/>
                                <w:rPr>
                                  <w:rFonts w:hint="default"/>
                                  <w:sz w:val="21"/>
                                  <w:szCs w:val="24"/>
                                </w:rPr>
                              </w:pPr>
                              <w:r>
                                <w:rPr>
                                  <w:rFonts w:hint="eastAsia" w:eastAsia="宋体"/>
                                  <w:sz w:val="21"/>
                                  <w:szCs w:val="24"/>
                                </w:rPr>
                                <w:t>埋地油罐</w:t>
                              </w:r>
                            </w:p>
                          </w:txbxContent>
                        </wps:txbx>
                        <wps:bodyPr wrap="square" upright="1"/>
                      </wps:wsp>
                      <wps:wsp>
                        <wps:cNvPr id="47" name="Line 28"/>
                        <wps:cNvCnPr/>
                        <wps:spPr>
                          <a:xfrm rot="5400000">
                            <a:off x="6532" y="555"/>
                            <a:ext cx="644" cy="1"/>
                          </a:xfrm>
                          <a:prstGeom prst="line">
                            <a:avLst/>
                          </a:prstGeom>
                          <a:ln w="19050" cap="flat" cmpd="sng">
                            <a:solidFill>
                              <a:srgbClr val="000000"/>
                            </a:solidFill>
                            <a:prstDash val="dash"/>
                            <a:headEnd type="none" w="med" len="med"/>
                            <a:tailEnd type="triangle" w="med" len="med"/>
                          </a:ln>
                        </wps:spPr>
                        <wps:bodyPr upright="1"/>
                      </wps:wsp>
                      <wps:wsp>
                        <wps:cNvPr id="48" name="Text Box 29"/>
                        <wps:cNvSpPr txBox="1"/>
                        <wps:spPr>
                          <a:xfrm>
                            <a:off x="6376" y="1140"/>
                            <a:ext cx="132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343137">
                              <w:pPr>
                                <w:spacing w:beforeLines="0" w:afterLines="0"/>
                                <w:jc w:val="center"/>
                                <w:rPr>
                                  <w:rFonts w:hint="default"/>
                                  <w:sz w:val="28"/>
                                  <w:szCs w:val="24"/>
                                </w:rPr>
                              </w:pPr>
                              <w:r>
                                <w:rPr>
                                  <w:rFonts w:hint="eastAsia" w:eastAsia="宋体"/>
                                  <w:sz w:val="21"/>
                                  <w:szCs w:val="24"/>
                                </w:rPr>
                                <w:t>快速接头</w:t>
                              </w:r>
                            </w:p>
                          </w:txbxContent>
                        </wps:txbx>
                        <wps:bodyPr wrap="square" upright="1"/>
                      </wps:wsp>
                      <wps:wsp>
                        <wps:cNvPr id="49" name="Text Box 27"/>
                        <wps:cNvSpPr txBox="1"/>
                        <wps:spPr>
                          <a:xfrm>
                            <a:off x="4186" y="1125"/>
                            <a:ext cx="136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F35333">
                              <w:pPr>
                                <w:spacing w:beforeLines="0" w:afterLines="0"/>
                                <w:rPr>
                                  <w:rFonts w:hint="default"/>
                                  <w:sz w:val="28"/>
                                  <w:szCs w:val="24"/>
                                </w:rPr>
                              </w:pPr>
                              <w:r>
                                <w:rPr>
                                  <w:rFonts w:hint="eastAsia" w:eastAsia="宋体"/>
                                  <w:sz w:val="21"/>
                                  <w:szCs w:val="24"/>
                                </w:rPr>
                                <w:t>导静电软管</w:t>
                              </w:r>
                              <w:r>
                                <w:rPr>
                                  <w:rFonts w:hint="eastAsia" w:eastAsia="宋体"/>
                                  <w:sz w:val="28"/>
                                  <w:szCs w:val="24"/>
                                </w:rPr>
                                <w:t>管</w:t>
                              </w:r>
                            </w:p>
                          </w:txbxContent>
                        </wps:txbx>
                        <wps:bodyPr wrap="square" upright="1"/>
                      </wps:wsp>
                      <wps:wsp>
                        <wps:cNvPr id="50" name="Line 28"/>
                        <wps:cNvCnPr/>
                        <wps:spPr>
                          <a:xfrm rot="10800000">
                            <a:off x="5613" y="1346"/>
                            <a:ext cx="644" cy="1"/>
                          </a:xfrm>
                          <a:prstGeom prst="line">
                            <a:avLst/>
                          </a:prstGeom>
                          <a:ln w="19050" cap="flat" cmpd="sng">
                            <a:solidFill>
                              <a:srgbClr val="000000"/>
                            </a:solidFill>
                            <a:prstDash val="dash"/>
                            <a:headEnd type="none" w="med" len="med"/>
                            <a:tailEnd type="triangle" w="med" len="med"/>
                          </a:ln>
                        </wps:spPr>
                        <wps:bodyPr upright="1"/>
                      </wps:wsp>
                      <wps:wsp>
                        <wps:cNvPr id="51" name="Line 28"/>
                        <wps:cNvCnPr/>
                        <wps:spPr>
                          <a:xfrm rot="10800000">
                            <a:off x="3303" y="1359"/>
                            <a:ext cx="717" cy="3"/>
                          </a:xfrm>
                          <a:prstGeom prst="line">
                            <a:avLst/>
                          </a:prstGeom>
                          <a:ln w="19050" cap="flat" cmpd="sng">
                            <a:solidFill>
                              <a:srgbClr val="000000"/>
                            </a:solidFill>
                            <a:prstDash val="dash"/>
                            <a:headEnd type="none" w="med" len="med"/>
                            <a:tailEnd type="triangle" w="med" len="med"/>
                          </a:ln>
                        </wps:spPr>
                        <wps:bodyPr upright="1"/>
                      </wps:wsp>
                      <wps:wsp>
                        <wps:cNvPr id="52" name="Text Box 29"/>
                        <wps:cNvSpPr txBox="1"/>
                        <wps:spPr>
                          <a:xfrm>
                            <a:off x="1935" y="1140"/>
                            <a:ext cx="12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F67BED">
                              <w:pPr>
                                <w:spacing w:beforeLines="0" w:afterLines="0"/>
                                <w:jc w:val="center"/>
                                <w:rPr>
                                  <w:rFonts w:hint="default"/>
                                  <w:sz w:val="28"/>
                                  <w:szCs w:val="24"/>
                                </w:rPr>
                              </w:pPr>
                              <w:r>
                                <w:rPr>
                                  <w:rFonts w:hint="eastAsia" w:eastAsia="宋体"/>
                                  <w:sz w:val="21"/>
                                  <w:szCs w:val="24"/>
                                </w:rPr>
                                <w:t>快速接头</w:t>
                              </w:r>
                            </w:p>
                          </w:txbxContent>
                        </wps:txbx>
                        <wps:bodyPr wrap="square" upright="1"/>
                      </wps:wsp>
                      <wps:wsp>
                        <wps:cNvPr id="53" name="Line 28"/>
                        <wps:cNvCnPr/>
                        <wps:spPr>
                          <a:xfrm rot="-10800000" flipV="1">
                            <a:off x="915" y="1330"/>
                            <a:ext cx="902" cy="16"/>
                          </a:xfrm>
                          <a:prstGeom prst="line">
                            <a:avLst/>
                          </a:prstGeom>
                          <a:ln w="19050" cap="flat" cmpd="sng">
                            <a:solidFill>
                              <a:srgbClr val="000000"/>
                            </a:solidFill>
                            <a:prstDash val="dash"/>
                            <a:headEnd type="none" w="med" len="med"/>
                            <a:tailEnd type="none" w="med" len="med"/>
                          </a:ln>
                        </wps:spPr>
                        <wps:bodyPr upright="1"/>
                      </wps:wsp>
                      <wps:wsp>
                        <wps:cNvPr id="54" name="Line 28"/>
                        <wps:cNvCnPr/>
                        <wps:spPr>
                          <a:xfrm rot="-5400000">
                            <a:off x="322" y="765"/>
                            <a:ext cx="644" cy="1"/>
                          </a:xfrm>
                          <a:prstGeom prst="line">
                            <a:avLst/>
                          </a:prstGeom>
                          <a:ln w="19050" cap="flat" cmpd="sng">
                            <a:solidFill>
                              <a:srgbClr val="000000"/>
                            </a:solidFill>
                            <a:prstDash val="dash"/>
                            <a:headEnd type="none" w="med" len="med"/>
                            <a:tailEnd type="triangle" w="med" len="med"/>
                          </a:ln>
                        </wps:spPr>
                        <wps:bodyPr upright="1"/>
                      </wps:wsp>
                    </wpg:wgp>
                  </a:graphicData>
                </a:graphic>
              </wp:anchor>
            </w:drawing>
          </mc:Choice>
          <mc:Fallback>
            <w:pict>
              <v:group id="组合 66" o:spid="_x0000_s1026" o:spt="203" style="position:absolute;left:0pt;margin-left:27.6pt;margin-top:10.25pt;height:86.15pt;width:388.4pt;z-index:251661312;mso-width-relative:page;mso-height-relative:page;" coordsize="7725,1606" o:gfxdata="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Jk0nMrYAAAACQEAAA8AAAAAAAAAAQAgAAAAIgAAAGRycy9kb3ducmV2LnhtbFBLAQIUABQAAAAI&#10;AIdO4kAaWpPKmQQAADQkAAAOAAAAAAAAAAEAIAAAACcBAABkcnMvZTJvRG9jLnhtbFBLBQYAAAAA&#10;BgAGAFkBAAAyCAAAAAA=&#10;">
                <o:lock v:ext="edit" aspectratio="f"/>
                <v:shape id="Text Box 25" o:spid="_x0000_s1026" o:spt="202" type="#_x0000_t202" style="position:absolute;left:0;top:0;height:466;width:1420;"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8B6EAF6">
                        <w:pPr>
                          <w:spacing w:beforeLines="0" w:afterLines="0"/>
                          <w:rPr>
                            <w:rFonts w:hint="default"/>
                            <w:sz w:val="21"/>
                            <w:szCs w:val="24"/>
                          </w:rPr>
                        </w:pPr>
                        <w:r>
                          <w:rPr>
                            <w:rFonts w:hint="eastAsia" w:eastAsia="宋体"/>
                            <w:sz w:val="21"/>
                            <w:szCs w:val="24"/>
                          </w:rPr>
                          <w:t>汽车油罐车车车</w:t>
                        </w:r>
                      </w:p>
                    </w:txbxContent>
                  </v:textbox>
                </v:shape>
                <v:line id="Line 26" o:spid="_x0000_s1026" o:spt="20" style="position:absolute;left:1432;top:232;height:1;width:644;" filled="f" stroked="t" coordsize="21600,21600" o:gfxdata="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3g93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7" o:spid="_x0000_s1026" o:spt="202" type="#_x0000_t202" style="position:absolute;left:2115;top:0;height:466;width:1412;"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EFB9ABD">
                        <w:pPr>
                          <w:spacing w:beforeLines="0" w:afterLines="0"/>
                          <w:jc w:val="center"/>
                          <w:rPr>
                            <w:rFonts w:hint="default"/>
                            <w:sz w:val="28"/>
                            <w:szCs w:val="24"/>
                          </w:rPr>
                        </w:pPr>
                        <w:r>
                          <w:rPr>
                            <w:rFonts w:hint="eastAsia" w:eastAsia="宋体"/>
                            <w:sz w:val="21"/>
                            <w:szCs w:val="24"/>
                          </w:rPr>
                          <w:t>导静电软管</w:t>
                        </w:r>
                        <w:r>
                          <w:rPr>
                            <w:rFonts w:hint="eastAsia" w:eastAsia="宋体"/>
                            <w:sz w:val="28"/>
                            <w:szCs w:val="24"/>
                          </w:rPr>
                          <w:t>管</w:t>
                        </w:r>
                      </w:p>
                    </w:txbxContent>
                  </v:textbox>
                </v:shape>
                <v:line id="Line 28" o:spid="_x0000_s1026" o:spt="20" style="position:absolute;left:3543;top:221;height:1;width:644;" filled="f" stroked="t" coordsize="21600,21600" o:gfxdata="UEsDBAoAAAAAAIdO4kAAAAAAAAAAAAAAAAAEAAAAZHJzL1BLAwQUAAAACACHTuJAwEA0m7wAAADb&#10;AAAADwAAAGRycy9kb3ducmV2LnhtbEWPQWvCQBSE7wX/w/KE3pqNobQ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ANJ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29" o:spid="_x0000_s1026" o:spt="202" type="#_x0000_t202" style="position:absolute;left:4211;top:0;height:466;width:1359;"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5D9E3B5">
                        <w:pPr>
                          <w:spacing w:beforeLines="0" w:afterLines="0"/>
                          <w:jc w:val="center"/>
                          <w:rPr>
                            <w:rFonts w:hint="default"/>
                            <w:sz w:val="28"/>
                            <w:szCs w:val="24"/>
                          </w:rPr>
                        </w:pPr>
                        <w:r>
                          <w:rPr>
                            <w:rFonts w:hint="eastAsia" w:eastAsia="宋体"/>
                            <w:sz w:val="21"/>
                            <w:szCs w:val="24"/>
                          </w:rPr>
                          <w:t>快速接头</w:t>
                        </w:r>
                      </w:p>
                    </w:txbxContent>
                  </v:textbox>
                </v:shape>
                <v:line id="Line 30" o:spid="_x0000_s1026" o:spt="20" style="position:absolute;left:5634;top:233;height:1;width:644;"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Text Box 31" o:spid="_x0000_s1026" o:spt="202" type="#_x0000_t202" style="position:absolute;left:6375;top:13;height:467;width:1350;"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2A8BB9">
                        <w:pPr>
                          <w:spacing w:beforeLines="0" w:afterLines="0"/>
                          <w:ind w:left="-80" w:leftChars="-66" w:right="-179" w:rightChars="-64" w:hanging="105" w:hangingChars="50"/>
                          <w:jc w:val="center"/>
                          <w:rPr>
                            <w:rFonts w:hint="default"/>
                            <w:sz w:val="21"/>
                            <w:szCs w:val="24"/>
                          </w:rPr>
                        </w:pPr>
                        <w:r>
                          <w:rPr>
                            <w:rFonts w:hint="eastAsia" w:eastAsia="宋体"/>
                            <w:sz w:val="21"/>
                            <w:szCs w:val="24"/>
                          </w:rPr>
                          <w:t>埋地油罐</w:t>
                        </w:r>
                      </w:p>
                    </w:txbxContent>
                  </v:textbox>
                </v:shape>
                <v:line id="Line 28" o:spid="_x0000_s1026" o:spt="20" style="position:absolute;left:6532;top:555;height:1;width:644;rotation:5898240f;" filled="f" stroked="t" coordsize="21600,21600" o:gfxdata="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74tvQAA&#10;ANsAAAAPAAAAAAAAAAEAIAAAACIAAABkcnMvZG93bnJldi54bWxQSwECFAAUAAAACACHTuJAMy8F&#10;njsAAAA5AAAAEAAAAAAAAAABACAAAAAMAQAAZHJzL3NoYXBleG1sLnhtbFBLBQYAAAAABgAGAFsB&#10;AAC2AwAAAAA=&#10;">
                  <v:fill on="f" focussize="0,0"/>
                  <v:stroke weight="1.5pt" color="#000000" joinstyle="round" dashstyle="dash" endarrow="block"/>
                  <v:imagedata o:title=""/>
                  <o:lock v:ext="edit" aspectratio="f"/>
                </v:line>
                <v:shape id="Text Box 29" o:spid="_x0000_s1026" o:spt="202" type="#_x0000_t202" style="position:absolute;left:6376;top:1140;height:466;width:1325;"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343137">
                        <w:pPr>
                          <w:spacing w:beforeLines="0" w:afterLines="0"/>
                          <w:jc w:val="center"/>
                          <w:rPr>
                            <w:rFonts w:hint="default"/>
                            <w:sz w:val="28"/>
                            <w:szCs w:val="24"/>
                          </w:rPr>
                        </w:pPr>
                        <w:r>
                          <w:rPr>
                            <w:rFonts w:hint="eastAsia" w:eastAsia="宋体"/>
                            <w:sz w:val="21"/>
                            <w:szCs w:val="24"/>
                          </w:rPr>
                          <w:t>快速接头</w:t>
                        </w:r>
                      </w:p>
                    </w:txbxContent>
                  </v:textbox>
                </v:shape>
                <v:shape id="Text Box 27" o:spid="_x0000_s1026" o:spt="202" type="#_x0000_t202" style="position:absolute;left:4186;top:1125;height:466;width:1369;"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F35333">
                        <w:pPr>
                          <w:spacing w:beforeLines="0" w:afterLines="0"/>
                          <w:rPr>
                            <w:rFonts w:hint="default"/>
                            <w:sz w:val="28"/>
                            <w:szCs w:val="24"/>
                          </w:rPr>
                        </w:pPr>
                        <w:r>
                          <w:rPr>
                            <w:rFonts w:hint="eastAsia" w:eastAsia="宋体"/>
                            <w:sz w:val="21"/>
                            <w:szCs w:val="24"/>
                          </w:rPr>
                          <w:t>导静电软管</w:t>
                        </w:r>
                        <w:r>
                          <w:rPr>
                            <w:rFonts w:hint="eastAsia" w:eastAsia="宋体"/>
                            <w:sz w:val="28"/>
                            <w:szCs w:val="24"/>
                          </w:rPr>
                          <w:t>管</w:t>
                        </w:r>
                      </w:p>
                    </w:txbxContent>
                  </v:textbox>
                </v:shape>
                <v:line id="Line 28" o:spid="_x0000_s1026" o:spt="20" style="position:absolute;left:5613;top:1346;height:1;width:644;rotation:11796480f;" filled="f" stroked="t" coordsize="21600,21600" o:gfxdata="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Xp25twAAANsAAAAP&#10;AAAAAAAAAAEAIAAAACIAAABkcnMvZG93bnJldi54bWxQSwECFAAUAAAACACHTuJAMy8FnjsAAAA5&#10;AAAAEAAAAAAAAAABACAAAAAGAQAAZHJzL3NoYXBleG1sLnhtbFBLBQYAAAAABgAGAFsBAACwAwAA&#10;AAA=&#10;">
                  <v:fill on="f" focussize="0,0"/>
                  <v:stroke weight="1.5pt" color="#000000" joinstyle="round" dashstyle="dash" endarrow="block"/>
                  <v:imagedata o:title=""/>
                  <o:lock v:ext="edit" aspectratio="f"/>
                </v:line>
                <v:line id="Line 28" o:spid="_x0000_s1026" o:spt="20" style="position:absolute;left:3303;top:1359;height:3;width:717;rotation:11796480f;" filled="f" stroked="t" coordsize="21600,21600" o:gfxdata="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I4I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Text Box 29" o:spid="_x0000_s1026" o:spt="202" type="#_x0000_t202" style="position:absolute;left:1935;top:1140;height:466;width:1280;"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9F67BED">
                        <w:pPr>
                          <w:spacing w:beforeLines="0" w:afterLines="0"/>
                          <w:jc w:val="center"/>
                          <w:rPr>
                            <w:rFonts w:hint="default"/>
                            <w:sz w:val="28"/>
                            <w:szCs w:val="24"/>
                          </w:rPr>
                        </w:pPr>
                        <w:r>
                          <w:rPr>
                            <w:rFonts w:hint="eastAsia" w:eastAsia="宋体"/>
                            <w:sz w:val="21"/>
                            <w:szCs w:val="24"/>
                          </w:rPr>
                          <w:t>快速接头</w:t>
                        </w:r>
                      </w:p>
                    </w:txbxContent>
                  </v:textbox>
                </v:shape>
                <v:line id="Line 28" o:spid="_x0000_s1026" o:spt="20" style="position:absolute;left:915;top:1330;flip:y;height:16;width:902;rotation:11796480f;" filled="f" stroked="t" coordsize="21600,21600" o:gfxdata="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vn6/&#10;AAAA2wAAAA8AAAAAAAAAAQAgAAAAIgAAAGRycy9kb3ducmV2LnhtbFBLAQIUABQAAAAIAIdO4kAz&#10;LwWeOwAAADkAAAAQAAAAAAAAAAEAIAAAAA4BAABkcnMvc2hhcGV4bWwueG1sUEsFBgAAAAAGAAYA&#10;WwEAALgDAAAAAA==&#10;">
                  <v:fill on="f" focussize="0,0"/>
                  <v:stroke weight="1.5pt" color="#000000" joinstyle="round" dashstyle="dash"/>
                  <v:imagedata o:title=""/>
                  <o:lock v:ext="edit" aspectratio="f"/>
                </v:line>
                <v:line id="Line 28" o:spid="_x0000_s1026" o:spt="20" style="position:absolute;left:322;top:765;height:1;width:644;rotation:-5898240f;" filled="f" stroked="t" coordsize="21600,21600" o:gfxdata="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3Rvr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w:pict>
          </mc:Fallback>
        </mc:AlternateContent>
      </w:r>
    </w:p>
    <w:p w14:paraId="7F7F3594">
      <w:pPr>
        <w:pStyle w:val="7"/>
        <w:spacing w:line="520" w:lineRule="exact"/>
        <w:ind w:left="420" w:firstLine="420"/>
        <w:rPr>
          <w:rFonts w:hint="default" w:ascii="Times New Roman" w:hAnsi="Times New Roman" w:cs="Times New Roman"/>
          <w:color w:val="auto"/>
          <w:sz w:val="24"/>
          <w:szCs w:val="24"/>
          <w:lang w:val="zh-CN"/>
        </w:rPr>
      </w:pPr>
    </w:p>
    <w:p w14:paraId="72288604">
      <w:pPr>
        <w:spacing w:beforeLines="0" w:afterLines="0" w:line="520" w:lineRule="exact"/>
        <w:ind w:firstLine="422" w:firstLineChars="200"/>
        <w:rPr>
          <w:rStyle w:val="26"/>
          <w:rFonts w:hint="default" w:ascii="Times New Roman" w:hAnsi="Times New Roman" w:eastAsia="宋体" w:cs="Times New Roman"/>
          <w:b/>
          <w:color w:val="auto"/>
          <w:sz w:val="21"/>
          <w:szCs w:val="21"/>
        </w:rPr>
      </w:pPr>
    </w:p>
    <w:p w14:paraId="3D6D789C">
      <w:pPr>
        <w:spacing w:beforeLines="0" w:afterLines="0" w:line="520" w:lineRule="exact"/>
        <w:ind w:firstLine="422" w:firstLineChars="200"/>
        <w:rPr>
          <w:rStyle w:val="26"/>
          <w:rFonts w:hint="eastAsia" w:ascii="Times New Roman" w:hAnsi="Times New Roman" w:eastAsia="宋体" w:cs="Times New Roman"/>
          <w:b/>
          <w:color w:val="auto"/>
          <w:sz w:val="21"/>
          <w:szCs w:val="21"/>
        </w:rPr>
      </w:pPr>
    </w:p>
    <w:p w14:paraId="05697560">
      <w:pPr>
        <w:spacing w:beforeLines="0" w:afterLines="0" w:line="520" w:lineRule="exact"/>
        <w:ind w:firstLine="422" w:firstLineChars="200"/>
        <w:rPr>
          <w:rStyle w:val="26"/>
          <w:rFonts w:hint="default" w:ascii="Times New Roman" w:hAnsi="Times New Roman" w:eastAsia="宋体" w:cs="Times New Roman"/>
          <w:b/>
          <w:color w:val="auto"/>
          <w:sz w:val="21"/>
          <w:szCs w:val="21"/>
        </w:rPr>
      </w:pPr>
      <w:r>
        <w:rPr>
          <w:rStyle w:val="26"/>
          <w:rFonts w:hint="eastAsia" w:ascii="Times New Roman" w:hAnsi="Times New Roman" w:eastAsia="宋体" w:cs="Times New Roman"/>
          <w:b/>
          <w:color w:val="auto"/>
          <w:sz w:val="21"/>
          <w:szCs w:val="21"/>
        </w:rPr>
        <w:t>注：虚线箭头表示油气回收工艺路线。</w:t>
      </w:r>
    </w:p>
    <w:p w14:paraId="413B3AF2">
      <w:pPr>
        <w:spacing w:beforeLines="0" w:afterLines="0" w:line="520" w:lineRule="exact"/>
        <w:ind w:firstLine="56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8"/>
          <w:szCs w:val="28"/>
        </w:rPr>
        <w:t>②</w:t>
      </w:r>
      <w:r>
        <w:rPr>
          <w:rFonts w:hint="eastAsia" w:ascii="Times New Roman" w:hAnsi="Times New Roman" w:eastAsia="宋体" w:cs="Times New Roman"/>
          <w:color w:val="auto"/>
          <w:sz w:val="28"/>
          <w:szCs w:val="28"/>
        </w:rPr>
        <w:t>柴油卸油工艺，流程图如下</w:t>
      </w:r>
      <w:r>
        <w:rPr>
          <w:rFonts w:hint="eastAsia" w:ascii="Times New Roman" w:hAnsi="Times New Roman" w:eastAsia="宋体" w:cs="Times New Roman"/>
          <w:color w:val="auto"/>
          <w:sz w:val="24"/>
          <w:szCs w:val="24"/>
        </w:rPr>
        <w:t>：</w:t>
      </w:r>
    </w:p>
    <w:p w14:paraId="7056CBB3">
      <w:pPr>
        <w:spacing w:beforeLines="0" w:afterLines="0" w:line="520" w:lineRule="exact"/>
        <w:ind w:firstLine="560" w:firstLineChars="200"/>
        <w:rPr>
          <w:rFonts w:hint="default" w:ascii="Times New Roman" w:hAnsi="Times New Roman" w:eastAsia="宋体" w:cs="Times New Roman"/>
          <w:b/>
          <w:color w:val="auto"/>
          <w:sz w:val="28"/>
          <w:szCs w:val="32"/>
        </w:rPr>
      </w:pPr>
      <w:r>
        <w:rPr>
          <w:rFonts w:hint="default" w:ascii="Times New Roman" w:hAnsi="Times New Roman" w:eastAsia="宋体" w:cs="Times New Roman"/>
          <w:color w:val="auto"/>
          <w:sz w:val="28"/>
          <w:szCs w:val="24"/>
        </w:rPr>
        <mc:AlternateContent>
          <mc:Choice Requires="wpg">
            <w:drawing>
              <wp:anchor distT="0" distB="0" distL="114300" distR="114300" simplePos="0" relativeHeight="251662336" behindDoc="0" locked="0" layoutInCell="1" allowOverlap="1">
                <wp:simplePos x="0" y="0"/>
                <wp:positionH relativeFrom="column">
                  <wp:posOffset>391795</wp:posOffset>
                </wp:positionH>
                <wp:positionV relativeFrom="paragraph">
                  <wp:posOffset>175260</wp:posOffset>
                </wp:positionV>
                <wp:extent cx="5095875" cy="303530"/>
                <wp:effectExtent l="4445" t="4445" r="5080" b="9525"/>
                <wp:wrapNone/>
                <wp:docPr id="38" name="Group 24"/>
                <wp:cNvGraphicFramePr/>
                <a:graphic xmlns:a="http://schemas.openxmlformats.org/drawingml/2006/main">
                  <a:graphicData uri="http://schemas.microsoft.com/office/word/2010/wordprocessingGroup">
                    <wpg:wgp>
                      <wpg:cNvGrpSpPr/>
                      <wpg:grpSpPr>
                        <a:xfrm>
                          <a:off x="0" y="0"/>
                          <a:ext cx="5095875" cy="303530"/>
                          <a:chOff x="0" y="0"/>
                          <a:chExt cx="6729" cy="480"/>
                        </a:xfrm>
                      </wpg:grpSpPr>
                      <wps:wsp>
                        <wps:cNvPr id="30" name="Text Box 25"/>
                        <wps:cNvSpPr txBox="1"/>
                        <wps:spPr>
                          <a:xfrm>
                            <a:off x="0" y="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1115AB">
                              <w:pPr>
                                <w:spacing w:beforeLines="0" w:afterLines="0"/>
                                <w:jc w:val="center"/>
                                <w:rPr>
                                  <w:rFonts w:hint="default"/>
                                  <w:sz w:val="28"/>
                                  <w:szCs w:val="24"/>
                                </w:rPr>
                              </w:pPr>
                              <w:r>
                                <w:rPr>
                                  <w:rFonts w:hint="eastAsia" w:eastAsia="宋体"/>
                                  <w:sz w:val="21"/>
                                  <w:szCs w:val="24"/>
                                </w:rPr>
                                <w:t>汽车油罐</w:t>
                              </w:r>
                              <w:r>
                                <w:rPr>
                                  <w:rFonts w:hint="eastAsia" w:eastAsia="宋体"/>
                                  <w:sz w:val="28"/>
                                  <w:szCs w:val="24"/>
                                </w:rPr>
                                <w:t>车车车</w:t>
                              </w:r>
                            </w:p>
                          </w:txbxContent>
                        </wps:txbx>
                        <wps:bodyPr wrap="square" upright="1"/>
                      </wps:wsp>
                      <wps:wsp>
                        <wps:cNvPr id="31" name="Line 26"/>
                        <wps:cNvCnPr/>
                        <wps:spPr>
                          <a:xfrm>
                            <a:off x="1176" y="249"/>
                            <a:ext cx="540" cy="0"/>
                          </a:xfrm>
                          <a:prstGeom prst="line">
                            <a:avLst/>
                          </a:prstGeom>
                          <a:ln w="9525" cap="flat" cmpd="sng">
                            <a:solidFill>
                              <a:srgbClr val="000000"/>
                            </a:solidFill>
                            <a:prstDash val="solid"/>
                            <a:headEnd type="none" w="med" len="med"/>
                            <a:tailEnd type="triangle" w="med" len="med"/>
                          </a:ln>
                        </wps:spPr>
                        <wps:bodyPr upright="1"/>
                      </wps:wsp>
                      <wps:wsp>
                        <wps:cNvPr id="32" name="Text Box 27"/>
                        <wps:cNvSpPr txBox="1"/>
                        <wps:spPr>
                          <a:xfrm>
                            <a:off x="1731" y="0"/>
                            <a:ext cx="1227"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880ED3">
                              <w:pPr>
                                <w:spacing w:beforeLines="0" w:afterLines="0"/>
                                <w:jc w:val="center"/>
                                <w:rPr>
                                  <w:rFonts w:hint="default"/>
                                  <w:sz w:val="28"/>
                                  <w:szCs w:val="24"/>
                                </w:rPr>
                              </w:pPr>
                              <w:r>
                                <w:rPr>
                                  <w:rFonts w:hint="eastAsia" w:eastAsia="宋体"/>
                                  <w:sz w:val="21"/>
                                  <w:szCs w:val="24"/>
                                </w:rPr>
                                <w:t>导静电软管</w:t>
                              </w:r>
                            </w:p>
                          </w:txbxContent>
                        </wps:txbx>
                        <wps:bodyPr wrap="square" upright="1"/>
                      </wps:wsp>
                      <wps:wsp>
                        <wps:cNvPr id="33" name="Line 28"/>
                        <wps:cNvCnPr/>
                        <wps:spPr>
                          <a:xfrm>
                            <a:off x="2946" y="237"/>
                            <a:ext cx="540" cy="0"/>
                          </a:xfrm>
                          <a:prstGeom prst="line">
                            <a:avLst/>
                          </a:prstGeom>
                          <a:ln w="9525" cap="flat" cmpd="sng">
                            <a:solidFill>
                              <a:srgbClr val="000000"/>
                            </a:solidFill>
                            <a:prstDash val="solid"/>
                            <a:headEnd type="none" w="med" len="med"/>
                            <a:tailEnd type="triangle" w="med" len="med"/>
                          </a:ln>
                        </wps:spPr>
                        <wps:bodyPr upright="1"/>
                      </wps:wsp>
                      <wps:wsp>
                        <wps:cNvPr id="34" name="Text Box 29"/>
                        <wps:cNvSpPr txBox="1"/>
                        <wps:spPr>
                          <a:xfrm>
                            <a:off x="3531" y="0"/>
                            <a:ext cx="11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C81696">
                              <w:pPr>
                                <w:spacing w:beforeLines="0" w:afterLines="0"/>
                                <w:jc w:val="center"/>
                                <w:rPr>
                                  <w:rFonts w:hint="default"/>
                                  <w:sz w:val="28"/>
                                  <w:szCs w:val="24"/>
                                </w:rPr>
                              </w:pPr>
                              <w:r>
                                <w:rPr>
                                  <w:rFonts w:hint="eastAsia" w:eastAsia="宋体"/>
                                  <w:sz w:val="21"/>
                                  <w:szCs w:val="24"/>
                                </w:rPr>
                                <w:t>快速接头</w:t>
                              </w:r>
                            </w:p>
                          </w:txbxContent>
                        </wps:txbx>
                        <wps:bodyPr wrap="square" upright="1"/>
                      </wps:wsp>
                      <wps:wsp>
                        <wps:cNvPr id="36" name="Line 30"/>
                        <wps:cNvCnPr/>
                        <wps:spPr>
                          <a:xfrm>
                            <a:off x="4662" y="234"/>
                            <a:ext cx="540" cy="0"/>
                          </a:xfrm>
                          <a:prstGeom prst="line">
                            <a:avLst/>
                          </a:prstGeom>
                          <a:ln w="9525" cap="flat" cmpd="sng">
                            <a:solidFill>
                              <a:srgbClr val="000000"/>
                            </a:solidFill>
                            <a:prstDash val="solid"/>
                            <a:headEnd type="none" w="med" len="med"/>
                            <a:tailEnd type="triangle" w="med" len="med"/>
                          </a:ln>
                        </wps:spPr>
                        <wps:bodyPr upright="1"/>
                      </wps:wsp>
                      <wps:wsp>
                        <wps:cNvPr id="37" name="Text Box 31"/>
                        <wps:cNvSpPr txBox="1"/>
                        <wps:spPr>
                          <a:xfrm>
                            <a:off x="5220" y="12"/>
                            <a:ext cx="150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03BCF">
                              <w:pPr>
                                <w:spacing w:beforeLines="0" w:afterLines="0"/>
                                <w:ind w:left="-80" w:leftChars="-66" w:right="-179" w:rightChars="-64" w:hanging="105" w:hangingChars="50"/>
                                <w:jc w:val="center"/>
                                <w:rPr>
                                  <w:rFonts w:hint="default"/>
                                  <w:sz w:val="21"/>
                                  <w:szCs w:val="24"/>
                                </w:rPr>
                              </w:pPr>
                              <w:r>
                                <w:rPr>
                                  <w:rFonts w:hint="eastAsia" w:eastAsia="宋体"/>
                                  <w:sz w:val="21"/>
                                  <w:szCs w:val="24"/>
                                </w:rPr>
                                <w:t>埋地油罐</w:t>
                              </w:r>
                            </w:p>
                          </w:txbxContent>
                        </wps:txbx>
                        <wps:bodyPr wrap="square" upright="1"/>
                      </wps:wsp>
                    </wpg:wgp>
                  </a:graphicData>
                </a:graphic>
              </wp:anchor>
            </w:drawing>
          </mc:Choice>
          <mc:Fallback>
            <w:pict>
              <v:group id="Group 24" o:spid="_x0000_s1026" o:spt="203" style="position:absolute;left:0pt;margin-left:30.85pt;margin-top:13.8pt;height:23.9pt;width:401.25pt;z-index:251662336;mso-width-relative:page;mso-height-relative:page;" coordsize="6729,480" o:gfxdata="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oDTDPNkAAAAIAQAADwAAAAAAAAABACAAAAAiAAAAZHJzL2Rv&#10;d25yZXYueG1sUEsBAhQAFAAAAAgAh07iQEXFY/5WAwAAnBIAAA4AAAAAAAAAAQAgAAAAKAEAAGRy&#10;cy9lMm9Eb2MueG1sUEsFBgAAAAAGAAYAWQEAAPAGAAAAAA==&#10;">
                <o:lock v:ext="edit" aspectratio="f"/>
                <v:shape id="Text Box 25" o:spid="_x0000_s1026" o:spt="202" type="#_x0000_t202" style="position:absolute;left:0;top:0;height:468;width:1191;"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1115AB">
                        <w:pPr>
                          <w:spacing w:beforeLines="0" w:afterLines="0"/>
                          <w:jc w:val="center"/>
                          <w:rPr>
                            <w:rFonts w:hint="default"/>
                            <w:sz w:val="28"/>
                            <w:szCs w:val="24"/>
                          </w:rPr>
                        </w:pPr>
                        <w:r>
                          <w:rPr>
                            <w:rFonts w:hint="eastAsia" w:eastAsia="宋体"/>
                            <w:sz w:val="21"/>
                            <w:szCs w:val="24"/>
                          </w:rPr>
                          <w:t>汽车油罐</w:t>
                        </w:r>
                        <w:r>
                          <w:rPr>
                            <w:rFonts w:hint="eastAsia" w:eastAsia="宋体"/>
                            <w:sz w:val="28"/>
                            <w:szCs w:val="24"/>
                          </w:rPr>
                          <w:t>车车车</w:t>
                        </w:r>
                      </w:p>
                    </w:txbxContent>
                  </v:textbox>
                </v:shape>
                <v:line id="Line 26" o:spid="_x0000_s1026" o:spt="20" style="position:absolute;left:1176;top:249;height:0;width:54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7" o:spid="_x0000_s1026" o:spt="202" type="#_x0000_t202" style="position:absolute;left:1731;top:0;height:468;width:1227;"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880ED3">
                        <w:pPr>
                          <w:spacing w:beforeLines="0" w:afterLines="0"/>
                          <w:jc w:val="center"/>
                          <w:rPr>
                            <w:rFonts w:hint="default"/>
                            <w:sz w:val="28"/>
                            <w:szCs w:val="24"/>
                          </w:rPr>
                        </w:pPr>
                        <w:r>
                          <w:rPr>
                            <w:rFonts w:hint="eastAsia" w:eastAsia="宋体"/>
                            <w:sz w:val="21"/>
                            <w:szCs w:val="24"/>
                          </w:rPr>
                          <w:t>导静电软管</w:t>
                        </w:r>
                      </w:p>
                    </w:txbxContent>
                  </v:textbox>
                </v:shape>
                <v:line id="Line 28" o:spid="_x0000_s1026" o:spt="20" style="position:absolute;left:2946;top:237;height:0;width:54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9" o:spid="_x0000_s1026" o:spt="202" type="#_x0000_t202" style="position:absolute;left:3531;top:0;height:468;width:114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8C81696">
                        <w:pPr>
                          <w:spacing w:beforeLines="0" w:afterLines="0"/>
                          <w:jc w:val="center"/>
                          <w:rPr>
                            <w:rFonts w:hint="default"/>
                            <w:sz w:val="28"/>
                            <w:szCs w:val="24"/>
                          </w:rPr>
                        </w:pPr>
                        <w:r>
                          <w:rPr>
                            <w:rFonts w:hint="eastAsia" w:eastAsia="宋体"/>
                            <w:sz w:val="21"/>
                            <w:szCs w:val="24"/>
                          </w:rPr>
                          <w:t>快速接头</w:t>
                        </w:r>
                      </w:p>
                    </w:txbxContent>
                  </v:textbox>
                </v:shape>
                <v:line id="Line 30" o:spid="_x0000_s1026" o:spt="20" style="position:absolute;left:4662;top:234;height:0;width:540;"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1" o:spid="_x0000_s1026" o:spt="202" type="#_x0000_t202" style="position:absolute;left:5220;top:12;height:468;width:1509;"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A03BCF">
                        <w:pPr>
                          <w:spacing w:beforeLines="0" w:afterLines="0"/>
                          <w:ind w:left="-80" w:leftChars="-66" w:right="-179" w:rightChars="-64" w:hanging="105" w:hangingChars="50"/>
                          <w:jc w:val="center"/>
                          <w:rPr>
                            <w:rFonts w:hint="default"/>
                            <w:sz w:val="21"/>
                            <w:szCs w:val="24"/>
                          </w:rPr>
                        </w:pPr>
                        <w:r>
                          <w:rPr>
                            <w:rFonts w:hint="eastAsia" w:eastAsia="宋体"/>
                            <w:sz w:val="21"/>
                            <w:szCs w:val="24"/>
                          </w:rPr>
                          <w:t>埋地油罐</w:t>
                        </w:r>
                      </w:p>
                    </w:txbxContent>
                  </v:textbox>
                </v:shape>
              </v:group>
            </w:pict>
          </mc:Fallback>
        </mc:AlternateContent>
      </w:r>
    </w:p>
    <w:p w14:paraId="3B5C5602">
      <w:pPr>
        <w:spacing w:beforeLines="0" w:afterLines="0" w:line="520" w:lineRule="exact"/>
        <w:rPr>
          <w:rFonts w:hint="default" w:ascii="Times New Roman" w:hAnsi="Times New Roman" w:eastAsia="宋体" w:cs="Times New Roman"/>
          <w:b/>
          <w:color w:val="auto"/>
          <w:sz w:val="28"/>
          <w:szCs w:val="32"/>
        </w:rPr>
      </w:pPr>
    </w:p>
    <w:p w14:paraId="41FBEB60">
      <w:pPr>
        <w:spacing w:beforeLines="0" w:afterLines="0" w:line="520" w:lineRule="exact"/>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32"/>
        </w:rPr>
        <w:t>2</w:t>
      </w:r>
      <w:r>
        <w:rPr>
          <w:rFonts w:hint="eastAsia" w:ascii="Times New Roman" w:hAnsi="Times New Roman" w:eastAsia="宋体" w:cs="Times New Roman"/>
          <w:b/>
          <w:color w:val="auto"/>
          <w:sz w:val="28"/>
          <w:szCs w:val="32"/>
        </w:rPr>
        <w:t>、</w:t>
      </w:r>
      <w:r>
        <w:rPr>
          <w:rFonts w:hint="eastAsia" w:ascii="Times New Roman" w:hAnsi="Times New Roman" w:eastAsia="宋体" w:cs="Times New Roman"/>
          <w:b/>
          <w:color w:val="auto"/>
          <w:sz w:val="28"/>
          <w:szCs w:val="28"/>
        </w:rPr>
        <w:t>加油工艺流程</w:t>
      </w:r>
    </w:p>
    <w:p w14:paraId="58F93A1E">
      <w:pPr>
        <w:spacing w:beforeLines="0" w:afterLines="0" w:line="520" w:lineRule="exact"/>
        <w:ind w:firstLine="536"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pacing w:val="-6"/>
          <w:sz w:val="28"/>
          <w:szCs w:val="28"/>
        </w:rPr>
        <w:t xml:space="preserve">加油：加油采用正压吸入工艺。通过油罐内的油泵将油品从储油罐抽出，经过加油机的油气分离器、计量器（加入油品的量可以从加油机的计数器上观察到），然后用加油枪加到车油箱中。带油气回收的加油工艺流程图如下： </w:t>
      </w:r>
      <w:r>
        <w:rPr>
          <w:rFonts w:hint="default" w:ascii="Times New Roman" w:hAnsi="Times New Roman" w:eastAsia="宋体" w:cs="Times New Roman"/>
          <w:color w:val="auto"/>
          <w:sz w:val="28"/>
          <w:szCs w:val="28"/>
        </w:rPr>
        <w:t xml:space="preserve">                                                </w:t>
      </w:r>
    </w:p>
    <w:p w14:paraId="7368FC5D">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w:t>
      </w:r>
      <w:r>
        <w:rPr>
          <w:rFonts w:hint="eastAsia" w:ascii="Times New Roman" w:hAnsi="Times New Roman" w:eastAsia="宋体" w:cs="Times New Roman"/>
          <w:color w:val="auto"/>
          <w:sz w:val="28"/>
          <w:szCs w:val="28"/>
        </w:rPr>
        <w:t>汽油加油机加油工艺：本站属于带汽油油气回收的加油工艺。</w:t>
      </w:r>
    </w:p>
    <w:p w14:paraId="0372D0A8">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由汽油加油机收集的油气回到汽油储油罐内。</w:t>
      </w:r>
    </w:p>
    <w:p w14:paraId="6E244806">
      <w:pPr>
        <w:pStyle w:val="19"/>
        <w:tabs>
          <w:tab w:val="left" w:pos="0"/>
          <w:tab w:val="left" w:pos="870"/>
          <w:tab w:val="left" w:pos="3150"/>
        </w:tabs>
        <w:spacing w:beforeLines="0" w:afterLines="0" w:line="520" w:lineRule="exact"/>
        <w:ind w:firstLine="480"/>
        <w:rPr>
          <w:rFonts w:hint="default" w:ascii="Times New Roman" w:cs="Times New Roman"/>
          <w:color w:val="auto"/>
          <w:sz w:val="24"/>
          <w:szCs w:val="24"/>
        </w:rPr>
      </w:pPr>
    </w:p>
    <w:p w14:paraId="7E41F524">
      <w:pPr>
        <w:pStyle w:val="40"/>
        <w:spacing w:beforeLines="0" w:afterLines="0" w:line="520" w:lineRule="exact"/>
        <w:ind w:firstLine="228" w:firstLineChars="95"/>
        <w:rPr>
          <w:rFonts w:hint="default" w:ascii="Times New Roman" w:hAnsi="Times New Roman" w:cs="Times New Roman"/>
          <w:b/>
          <w:color w:val="auto"/>
          <w:sz w:val="21"/>
          <w:szCs w:val="21"/>
        </w:rPr>
      </w:pPr>
      <w:r>
        <w:rPr>
          <w:rFonts w:hint="default" w:ascii="Times New Roman" w:hAnsi="Times New Roman" w:cs="Times New Roman"/>
          <w:color w:val="auto"/>
          <w:sz w:val="24"/>
          <w:szCs w:val="24"/>
        </w:rPr>
        <mc:AlternateContent>
          <mc:Choice Requires="wpg">
            <w:drawing>
              <wp:anchor distT="0" distB="0" distL="114300" distR="114300" simplePos="0" relativeHeight="251664384" behindDoc="0" locked="0" layoutInCell="1" allowOverlap="1">
                <wp:simplePos x="0" y="0"/>
                <wp:positionH relativeFrom="column">
                  <wp:posOffset>612140</wp:posOffset>
                </wp:positionH>
                <wp:positionV relativeFrom="paragraph">
                  <wp:posOffset>-71120</wp:posOffset>
                </wp:positionV>
                <wp:extent cx="4746625" cy="1735455"/>
                <wp:effectExtent l="5080" t="5080" r="10795" b="12065"/>
                <wp:wrapNone/>
                <wp:docPr id="93" name="组合 26"/>
                <wp:cNvGraphicFramePr/>
                <a:graphic xmlns:a="http://schemas.openxmlformats.org/drawingml/2006/main">
                  <a:graphicData uri="http://schemas.microsoft.com/office/word/2010/wordprocessingGroup">
                    <wpg:wgp>
                      <wpg:cNvGrpSpPr/>
                      <wpg:grpSpPr>
                        <a:xfrm>
                          <a:off x="0" y="0"/>
                          <a:ext cx="4746625" cy="1735455"/>
                          <a:chOff x="0" y="0"/>
                          <a:chExt cx="7379" cy="2746"/>
                        </a:xfrm>
                      </wpg:grpSpPr>
                      <wps:wsp>
                        <wps:cNvPr id="70" name="Text Box 29"/>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0F6891">
                              <w:pPr>
                                <w:spacing w:beforeLines="0" w:afterLines="0"/>
                                <w:jc w:val="center"/>
                                <w:rPr>
                                  <w:rFonts w:hint="default"/>
                                  <w:sz w:val="28"/>
                                  <w:szCs w:val="24"/>
                                </w:rPr>
                              </w:pPr>
                              <w:r>
                                <w:rPr>
                                  <w:rFonts w:hint="eastAsia" w:eastAsia="宋体"/>
                                  <w:sz w:val="21"/>
                                  <w:szCs w:val="24"/>
                                </w:rPr>
                                <w:t>加油枪</w:t>
                              </w:r>
                            </w:p>
                          </w:txbxContent>
                        </wps:txbx>
                        <wps:bodyPr wrap="square" upright="1"/>
                      </wps:wsp>
                      <wps:wsp>
                        <wps:cNvPr id="71" name="Text Box 27"/>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2375A6">
                              <w:pPr>
                                <w:spacing w:beforeLines="0" w:afterLines="0"/>
                                <w:jc w:val="center"/>
                                <w:rPr>
                                  <w:rFonts w:hint="default"/>
                                  <w:sz w:val="28"/>
                                  <w:szCs w:val="24"/>
                                </w:rPr>
                              </w:pPr>
                              <w:r>
                                <w:rPr>
                                  <w:rFonts w:hint="eastAsia" w:eastAsia="宋体"/>
                                  <w:sz w:val="21"/>
                                  <w:szCs w:val="24"/>
                                </w:rPr>
                                <w:t>受油容器</w:t>
                              </w:r>
                            </w:p>
                          </w:txbxContent>
                        </wps:txbx>
                        <wps:bodyPr wrap="square" upright="1"/>
                      </wps:wsp>
                      <wps:wsp>
                        <wps:cNvPr id="72" name="Line 28"/>
                        <wps:cNvCnPr/>
                        <wps:spPr>
                          <a:xfrm rot="10800000">
                            <a:off x="6692" y="2454"/>
                            <a:ext cx="644" cy="1"/>
                          </a:xfrm>
                          <a:prstGeom prst="line">
                            <a:avLst/>
                          </a:prstGeom>
                          <a:ln w="19050" cap="flat" cmpd="sng">
                            <a:solidFill>
                              <a:srgbClr val="000000"/>
                            </a:solidFill>
                            <a:prstDash val="dash"/>
                            <a:headEnd type="none" w="med" len="med"/>
                            <a:tailEnd type="triangle" w="med" len="med"/>
                          </a:ln>
                        </wps:spPr>
                        <wps:bodyPr upright="1"/>
                      </wps:wsp>
                      <wps:wsp>
                        <wps:cNvPr id="73" name="Text Box 29"/>
                        <wps:cNvSpPr txBox="1"/>
                        <wps:spPr>
                          <a:xfrm>
                            <a:off x="5535" y="2250"/>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BA1158">
                              <w:pPr>
                                <w:spacing w:beforeLines="0" w:afterLines="0"/>
                                <w:jc w:val="center"/>
                                <w:rPr>
                                  <w:rFonts w:hint="default"/>
                                  <w:sz w:val="28"/>
                                  <w:szCs w:val="24"/>
                                </w:rPr>
                              </w:pPr>
                              <w:r>
                                <w:rPr>
                                  <w:rFonts w:hint="eastAsia" w:eastAsia="宋体"/>
                                  <w:sz w:val="21"/>
                                  <w:szCs w:val="24"/>
                                </w:rPr>
                                <w:t>真空泵</w:t>
                              </w:r>
                            </w:p>
                          </w:txbxContent>
                        </wps:txbx>
                        <wps:bodyPr wrap="square" upright="1"/>
                      </wps:wsp>
                      <wps:wsp>
                        <wps:cNvPr id="74" name="Text Box 27"/>
                        <wps:cNvSpPr txBox="1"/>
                        <wps:spPr>
                          <a:xfrm>
                            <a:off x="3225" y="2280"/>
                            <a:ext cx="150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E8522C">
                              <w:pPr>
                                <w:spacing w:beforeLines="0" w:afterLines="0"/>
                                <w:jc w:val="center"/>
                                <w:rPr>
                                  <w:rFonts w:hint="default"/>
                                  <w:sz w:val="28"/>
                                  <w:szCs w:val="24"/>
                                </w:rPr>
                              </w:pPr>
                              <w:r>
                                <w:rPr>
                                  <w:rFonts w:hint="eastAsia" w:eastAsia="宋体"/>
                                  <w:sz w:val="21"/>
                                  <w:szCs w:val="24"/>
                                </w:rPr>
                                <w:t>油气回收管</w:t>
                              </w:r>
                              <w:r>
                                <w:rPr>
                                  <w:rFonts w:hint="eastAsia" w:eastAsia="宋体"/>
                                  <w:sz w:val="28"/>
                                  <w:szCs w:val="24"/>
                                </w:rPr>
                                <w:t>道</w:t>
                              </w:r>
                            </w:p>
                          </w:txbxContent>
                        </wps:txbx>
                        <wps:bodyPr wrap="square" upright="1"/>
                      </wps:wsp>
                      <wps:wsp>
                        <wps:cNvPr id="75" name="Line 28"/>
                        <wps:cNvCnPr/>
                        <wps:spPr>
                          <a:xfrm rot="10800000">
                            <a:off x="568" y="2488"/>
                            <a:ext cx="2581" cy="12"/>
                          </a:xfrm>
                          <a:prstGeom prst="line">
                            <a:avLst/>
                          </a:prstGeom>
                          <a:ln w="19050" cap="flat" cmpd="sng">
                            <a:solidFill>
                              <a:srgbClr val="000000"/>
                            </a:solidFill>
                            <a:prstDash val="dash"/>
                            <a:headEnd type="none" w="med" len="med"/>
                            <a:tailEnd type="none" w="med" len="med"/>
                          </a:ln>
                        </wps:spPr>
                        <wps:bodyPr upright="1"/>
                      </wps:wsp>
                      <wps:wsp>
                        <wps:cNvPr id="76" name="Line 28"/>
                        <wps:cNvCnPr/>
                        <wps:spPr>
                          <a:xfrm rot="10800000">
                            <a:off x="4772" y="2484"/>
                            <a:ext cx="644" cy="1"/>
                          </a:xfrm>
                          <a:prstGeom prst="line">
                            <a:avLst/>
                          </a:prstGeom>
                          <a:ln w="19050" cap="flat" cmpd="sng">
                            <a:solidFill>
                              <a:srgbClr val="000000"/>
                            </a:solidFill>
                            <a:prstDash val="dash"/>
                            <a:headEnd type="none" w="med" len="med"/>
                            <a:tailEnd type="triangle" w="med" len="med"/>
                          </a:ln>
                        </wps:spPr>
                        <wps:bodyPr upright="1"/>
                      </wps:wsp>
                      <wps:wsp>
                        <wps:cNvPr id="77" name="Line 28"/>
                        <wps:cNvCnPr/>
                        <wps:spPr>
                          <a:xfrm rot="-5400000" flipV="1">
                            <a:off x="-597" y="1231"/>
                            <a:ext cx="1861" cy="1"/>
                          </a:xfrm>
                          <a:prstGeom prst="line">
                            <a:avLst/>
                          </a:prstGeom>
                          <a:ln w="19050" cap="flat" cmpd="sng">
                            <a:solidFill>
                              <a:srgbClr val="000000"/>
                            </a:solidFill>
                            <a:prstDash val="dash"/>
                            <a:headEnd type="none" w="med" len="med"/>
                            <a:tailEnd type="triangle" w="med" len="med"/>
                          </a:ln>
                        </wps:spPr>
                        <wps:bodyPr upright="1"/>
                      </wps:wsp>
                      <wps:wsp>
                        <wps:cNvPr id="79" name="Line 28"/>
                        <wps:cNvCnPr/>
                        <wps:spPr>
                          <a:xfrm rot="5400000">
                            <a:off x="6115" y="1074"/>
                            <a:ext cx="2054" cy="1"/>
                          </a:xfrm>
                          <a:prstGeom prst="line">
                            <a:avLst/>
                          </a:prstGeom>
                          <a:ln w="19050" cap="flat" cmpd="sng">
                            <a:solidFill>
                              <a:srgbClr val="000000"/>
                            </a:solidFill>
                            <a:prstDash val="dash"/>
                            <a:headEnd type="none" w="med" len="med"/>
                            <a:tailEnd type="none" w="med" len="med"/>
                          </a:ln>
                        </wps:spPr>
                        <wps:bodyPr upright="1"/>
                      </wps:wsp>
                      <wpg:grpSp>
                        <wpg:cNvPr id="92" name="组合 25"/>
                        <wpg:cNvGrpSpPr/>
                        <wpg:grpSpPr>
                          <a:xfrm>
                            <a:off x="0" y="0"/>
                            <a:ext cx="7379" cy="1450"/>
                            <a:chOff x="0" y="0"/>
                            <a:chExt cx="7379" cy="1451"/>
                          </a:xfrm>
                        </wpg:grpSpPr>
                        <wps:wsp>
                          <wps:cNvPr id="80" name="Line 28"/>
                          <wps:cNvCnPr/>
                          <wps:spPr>
                            <a:xfrm rot="10800000">
                              <a:off x="4802" y="1269"/>
                              <a:ext cx="644" cy="1"/>
                            </a:xfrm>
                            <a:prstGeom prst="line">
                              <a:avLst/>
                            </a:prstGeom>
                            <a:ln w="19050" cap="flat" cmpd="sng">
                              <a:solidFill>
                                <a:srgbClr val="000000"/>
                              </a:solidFill>
                              <a:prstDash val="solid"/>
                              <a:headEnd type="none" w="med" len="med"/>
                              <a:tailEnd type="triangle" w="med" len="med"/>
                            </a:ln>
                          </wps:spPr>
                          <wps:bodyPr upright="1"/>
                        </wps:wsp>
                        <wps:wsp>
                          <wps:cNvPr id="81" name="Line 28"/>
                          <wps:cNvCnPr/>
                          <wps:spPr>
                            <a:xfrm>
                              <a:off x="4862" y="1450"/>
                              <a:ext cx="644" cy="1"/>
                            </a:xfrm>
                            <a:prstGeom prst="line">
                              <a:avLst/>
                            </a:prstGeom>
                            <a:ln w="19050" cap="flat" cmpd="sng">
                              <a:solidFill>
                                <a:srgbClr val="000000"/>
                              </a:solidFill>
                              <a:prstDash val="dash"/>
                              <a:headEnd type="none" w="med" len="med"/>
                              <a:tailEnd type="triangle" w="med" len="med"/>
                            </a:ln>
                          </wps:spPr>
                          <wps:bodyPr upright="1"/>
                        </wps:wsp>
                        <wps:wsp>
                          <wps:cNvPr id="82" name="Text Box 2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4F76C">
                                <w:pPr>
                                  <w:spacing w:beforeLines="0" w:afterLines="0"/>
                                  <w:rPr>
                                    <w:rFonts w:hint="default"/>
                                    <w:sz w:val="28"/>
                                    <w:szCs w:val="24"/>
                                  </w:rPr>
                                </w:pPr>
                                <w:r>
                                  <w:rPr>
                                    <w:rFonts w:hint="eastAsia" w:eastAsia="宋体"/>
                                    <w:sz w:val="21"/>
                                    <w:szCs w:val="24"/>
                                  </w:rPr>
                                  <w:t>埋地油罐</w:t>
                                </w:r>
                                <w:r>
                                  <w:rPr>
                                    <w:rFonts w:hint="eastAsia" w:eastAsia="宋体"/>
                                    <w:sz w:val="28"/>
                                    <w:szCs w:val="24"/>
                                  </w:rPr>
                                  <w:t>罐</w:t>
                                </w:r>
                              </w:p>
                            </w:txbxContent>
                          </wps:txbx>
                          <wps:bodyPr wrap="square" upright="1"/>
                        </wps:wsp>
                        <wps:wsp>
                          <wps:cNvPr id="83" name="Line 26"/>
                          <wps:cNvCnPr/>
                          <wps:spPr>
                            <a:xfrm>
                              <a:off x="1221" y="232"/>
                              <a:ext cx="644" cy="1"/>
                            </a:xfrm>
                            <a:prstGeom prst="line">
                              <a:avLst/>
                            </a:prstGeom>
                            <a:ln w="19050" cap="flat" cmpd="sng">
                              <a:solidFill>
                                <a:srgbClr val="000000"/>
                              </a:solidFill>
                              <a:prstDash val="solid"/>
                              <a:headEnd type="none" w="med" len="med"/>
                              <a:tailEnd type="triangle" w="med" len="med"/>
                            </a:ln>
                          </wps:spPr>
                          <wps:bodyPr upright="1"/>
                        </wps:wsp>
                        <wps:wsp>
                          <wps:cNvPr id="84" name="Text Box 2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3AD33C">
                                <w:pPr>
                                  <w:spacing w:beforeLines="0" w:afterLines="0"/>
                                  <w:jc w:val="center"/>
                                  <w:rPr>
                                    <w:rFonts w:hint="default"/>
                                    <w:sz w:val="28"/>
                                    <w:szCs w:val="24"/>
                                  </w:rPr>
                                </w:pPr>
                                <w:r>
                                  <w:rPr>
                                    <w:rFonts w:hint="eastAsia" w:eastAsia="宋体"/>
                                    <w:sz w:val="21"/>
                                    <w:szCs w:val="24"/>
                                  </w:rPr>
                                  <w:t>潜油泵</w:t>
                                </w:r>
                              </w:p>
                            </w:txbxContent>
                          </wps:txbx>
                          <wps:bodyPr wrap="square" upright="1"/>
                        </wps:wsp>
                        <wps:wsp>
                          <wps:cNvPr id="85" name="Line 28"/>
                          <wps:cNvCnPr/>
                          <wps:spPr>
                            <a:xfrm>
                              <a:off x="2942" y="236"/>
                              <a:ext cx="644" cy="1"/>
                            </a:xfrm>
                            <a:prstGeom prst="line">
                              <a:avLst/>
                            </a:prstGeom>
                            <a:ln w="19050" cap="flat" cmpd="sng">
                              <a:solidFill>
                                <a:srgbClr val="000000"/>
                              </a:solidFill>
                              <a:prstDash val="solid"/>
                              <a:headEnd type="none" w="med" len="med"/>
                              <a:tailEnd type="triangle" w="med" len="med"/>
                            </a:ln>
                          </wps:spPr>
                          <wps:bodyPr upright="1"/>
                        </wps:wsp>
                        <wps:wsp>
                          <wps:cNvPr id="86" name="Text Box 2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0BF23E">
                                <w:pPr>
                                  <w:spacing w:beforeLines="0" w:afterLines="0"/>
                                  <w:jc w:val="center"/>
                                  <w:rPr>
                                    <w:rFonts w:hint="default"/>
                                    <w:sz w:val="28"/>
                                    <w:szCs w:val="24"/>
                                  </w:rPr>
                                </w:pPr>
                                <w:r>
                                  <w:rPr>
                                    <w:rFonts w:hint="eastAsia" w:eastAsia="宋体"/>
                                    <w:sz w:val="21"/>
                                    <w:szCs w:val="24"/>
                                  </w:rPr>
                                  <w:t>加油管</w:t>
                                </w:r>
                                <w:r>
                                  <w:rPr>
                                    <w:rFonts w:hint="eastAsia" w:eastAsia="宋体"/>
                                    <w:sz w:val="28"/>
                                    <w:szCs w:val="24"/>
                                  </w:rPr>
                                  <w:t>道</w:t>
                                </w:r>
                              </w:p>
                            </w:txbxContent>
                          </wps:txbx>
                          <wps:bodyPr wrap="square" upright="1"/>
                        </wps:wsp>
                        <wps:wsp>
                          <wps:cNvPr id="87" name="Line 30"/>
                          <wps:cNvCnPr/>
                          <wps:spPr>
                            <a:xfrm>
                              <a:off x="4838" y="233"/>
                              <a:ext cx="644" cy="1"/>
                            </a:xfrm>
                            <a:prstGeom prst="line">
                              <a:avLst/>
                            </a:prstGeom>
                            <a:ln w="19050" cap="flat" cmpd="sng">
                              <a:solidFill>
                                <a:srgbClr val="000000"/>
                              </a:solidFill>
                              <a:prstDash val="solid"/>
                              <a:headEnd type="none" w="med" len="med"/>
                              <a:tailEnd type="triangle" w="med" len="med"/>
                            </a:ln>
                          </wps:spPr>
                          <wps:bodyPr upright="1"/>
                        </wps:wsp>
                        <wps:wsp>
                          <wps:cNvPr id="88" name="Text Box 3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BC83D3">
                                <w:pPr>
                                  <w:spacing w:beforeLines="0" w:afterLines="0"/>
                                  <w:ind w:left="-80" w:leftChars="-66" w:right="-179" w:rightChars="-64" w:hanging="105" w:hangingChars="50"/>
                                  <w:jc w:val="center"/>
                                  <w:rPr>
                                    <w:rFonts w:hint="default"/>
                                    <w:sz w:val="21"/>
                                    <w:szCs w:val="24"/>
                                  </w:rPr>
                                </w:pPr>
                                <w:r>
                                  <w:rPr>
                                    <w:rFonts w:hint="eastAsia" w:eastAsia="宋体"/>
                                    <w:sz w:val="21"/>
                                    <w:szCs w:val="24"/>
                                  </w:rPr>
                                  <w:t>加油机</w:t>
                                </w:r>
                              </w:p>
                            </w:txbxContent>
                          </wps:txbx>
                          <wps:bodyPr wrap="square" upright="1"/>
                        </wps:wsp>
                        <wps:wsp>
                          <wps:cNvPr id="89" name="Line 28"/>
                          <wps:cNvCnPr/>
                          <wps:spPr>
                            <a:xfrm rot="5400000">
                              <a:off x="5404" y="568"/>
                              <a:ext cx="644" cy="1"/>
                            </a:xfrm>
                            <a:prstGeom prst="line">
                              <a:avLst/>
                            </a:prstGeom>
                            <a:ln w="19050" cap="flat" cmpd="sng">
                              <a:solidFill>
                                <a:srgbClr val="000000"/>
                              </a:solidFill>
                              <a:prstDash val="solid"/>
                              <a:headEnd type="none" w="med" len="med"/>
                              <a:tailEnd type="triangle" w="med" len="med"/>
                            </a:ln>
                          </wps:spPr>
                          <wps:bodyPr upright="1"/>
                        </wps:wsp>
                        <wps:wsp>
                          <wps:cNvPr id="90" name="Line 28"/>
                          <wps:cNvCnPr/>
                          <wps:spPr>
                            <a:xfrm flipV="1">
                              <a:off x="6741" y="238"/>
                              <a:ext cx="638" cy="1"/>
                            </a:xfrm>
                            <a:prstGeom prst="line">
                              <a:avLst/>
                            </a:prstGeom>
                            <a:ln w="19050" cap="flat" cmpd="sng">
                              <a:solidFill>
                                <a:srgbClr val="000000"/>
                              </a:solidFill>
                              <a:prstDash val="dash"/>
                              <a:headEnd type="none" w="med" len="med"/>
                              <a:tailEnd type="none" w="med" len="med"/>
                            </a:ln>
                          </wps:spPr>
                          <wps:bodyPr upright="1"/>
                        </wps:wsp>
                        <wps:wsp>
                          <wps:cNvPr id="91" name="Line 28"/>
                          <wps:cNvCnPr/>
                          <wps:spPr>
                            <a:xfrm rot="-5400000">
                              <a:off x="5614" y="553"/>
                              <a:ext cx="644" cy="1"/>
                            </a:xfrm>
                            <a:prstGeom prst="line">
                              <a:avLst/>
                            </a:prstGeom>
                            <a:ln w="19050" cap="flat" cmpd="sng">
                              <a:solidFill>
                                <a:srgbClr val="000000"/>
                              </a:solidFill>
                              <a:prstDash val="dash"/>
                              <a:headEnd type="none" w="med" len="med"/>
                              <a:tailEnd type="triangle" w="med" len="med"/>
                            </a:ln>
                          </wps:spPr>
                          <wps:bodyPr upright="1"/>
                        </wps:wsp>
                      </wpg:grpSp>
                    </wpg:wgp>
                  </a:graphicData>
                </a:graphic>
              </wp:anchor>
            </w:drawing>
          </mc:Choice>
          <mc:Fallback>
            <w:pict>
              <v:group id="组合 26" o:spid="_x0000_s1026" o:spt="203" style="position:absolute;left:0pt;margin-left:48.2pt;margin-top:-5.6pt;height:136.65pt;width:373.75pt;z-index:251664384;mso-width-relative:page;mso-height-relative:page;" coordsize="7379,2746" o:gfxdata="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">
                <o:lock v:ext="edit" aspectratio="f"/>
                <v:shape id="Text Box 29" o:spid="_x0000_s1026" o:spt="202" type="#_x0000_t202" style="position:absolute;left:5535;top:1155;height:466;width:1124;" fillcolor="#FFFFFF" filled="t" stroked="t" coordsize="21600,21600" o:gfxdata="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On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0F6891">
                        <w:pPr>
                          <w:spacing w:beforeLines="0" w:afterLines="0"/>
                          <w:jc w:val="center"/>
                          <w:rPr>
                            <w:rFonts w:hint="default"/>
                            <w:sz w:val="28"/>
                            <w:szCs w:val="24"/>
                          </w:rPr>
                        </w:pPr>
                        <w:r>
                          <w:rPr>
                            <w:rFonts w:hint="eastAsia" w:eastAsia="宋体"/>
                            <w:sz w:val="21"/>
                            <w:szCs w:val="24"/>
                          </w:rPr>
                          <w:t>加油枪</w:t>
                        </w:r>
                      </w:p>
                    </w:txbxContent>
                  </v:textbox>
                </v:shape>
                <v:shape id="Text Box 27" o:spid="_x0000_s1026" o:spt="202" type="#_x0000_t202" style="position:absolute;left:3509;top:1140;height:466;width:1220;"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72375A6">
                        <w:pPr>
                          <w:spacing w:beforeLines="0" w:afterLines="0"/>
                          <w:jc w:val="center"/>
                          <w:rPr>
                            <w:rFonts w:hint="default"/>
                            <w:sz w:val="28"/>
                            <w:szCs w:val="24"/>
                          </w:rPr>
                        </w:pPr>
                        <w:r>
                          <w:rPr>
                            <w:rFonts w:hint="eastAsia" w:eastAsia="宋体"/>
                            <w:sz w:val="21"/>
                            <w:szCs w:val="24"/>
                          </w:rPr>
                          <w:t>受油容器</w:t>
                        </w:r>
                      </w:p>
                    </w:txbxContent>
                  </v:textbox>
                </v:shape>
                <v:line id="Line 28" o:spid="_x0000_s1026" o:spt="20" style="position:absolute;left:6692;top:2454;height:1;width:644;rotation:11796480f;" filled="f" stroked="t" coordsize="21600,21600" o:gfxdata="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dfo1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shape id="Text Box 29" o:spid="_x0000_s1026" o:spt="202" type="#_x0000_t202" style="position:absolute;left:5535;top:2250;height:466;width:1124;"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BA1158">
                        <w:pPr>
                          <w:spacing w:beforeLines="0" w:afterLines="0"/>
                          <w:jc w:val="center"/>
                          <w:rPr>
                            <w:rFonts w:hint="default"/>
                            <w:sz w:val="28"/>
                            <w:szCs w:val="24"/>
                          </w:rPr>
                        </w:pPr>
                        <w:r>
                          <w:rPr>
                            <w:rFonts w:hint="eastAsia" w:eastAsia="宋体"/>
                            <w:sz w:val="21"/>
                            <w:szCs w:val="24"/>
                          </w:rPr>
                          <w:t>真空泵</w:t>
                        </w:r>
                      </w:p>
                    </w:txbxContent>
                  </v:textbox>
                </v:shape>
                <v:shape id="Text Box 27" o:spid="_x0000_s1026" o:spt="202" type="#_x0000_t202" style="position:absolute;left:3225;top:2280;height:466;width:1501;"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AE8522C">
                        <w:pPr>
                          <w:spacing w:beforeLines="0" w:afterLines="0"/>
                          <w:jc w:val="center"/>
                          <w:rPr>
                            <w:rFonts w:hint="default"/>
                            <w:sz w:val="28"/>
                            <w:szCs w:val="24"/>
                          </w:rPr>
                        </w:pPr>
                        <w:r>
                          <w:rPr>
                            <w:rFonts w:hint="eastAsia" w:eastAsia="宋体"/>
                            <w:sz w:val="21"/>
                            <w:szCs w:val="24"/>
                          </w:rPr>
                          <w:t>油气回收管</w:t>
                        </w:r>
                        <w:r>
                          <w:rPr>
                            <w:rFonts w:hint="eastAsia" w:eastAsia="宋体"/>
                            <w:sz w:val="28"/>
                            <w:szCs w:val="24"/>
                          </w:rPr>
                          <w:t>道</w:t>
                        </w:r>
                      </w:p>
                    </w:txbxContent>
                  </v:textbox>
                </v:shape>
                <v:line id="Line 28" o:spid="_x0000_s1026" o:spt="20" style="position:absolute;left:568;top:2488;height:12;width:2581;rotation:11796480f;" filled="f" stroked="t" coordsize="21600,21600" o:gfxdata="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2/mx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line id="Line 28" o:spid="_x0000_s1026" o:spt="20" style="position:absolute;left:4772;top:2484;height:1;width:644;rotation:11796480f;" filled="f" stroked="t" coordsize="21600,21600" o:gfxdata="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78N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line id="Line 28" o:spid="_x0000_s1026" o:spt="20" style="position:absolute;left:-597;top:1231;flip:y;height:1;width:1861;rotation:5898240f;" filled="f" stroked="t" coordsize="21600,21600" o:gfxdata="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8CKm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line id="Line 28" o:spid="_x0000_s1026" o:spt="20" style="position:absolute;left:6115;top:1074;height:1;width:2054;rotation:5898240f;" filled="f" stroked="t" coordsize="21600,21600" o:gfxdata="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X9V7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group id="组合 25" o:spid="_x0000_s1026" o:spt="203" style="position:absolute;left:0;top:0;height:1450;width:7379;" coordsize="7379,1451"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line id="Line 28" o:spid="_x0000_s1026" o:spt="20" style="position:absolute;left:4802;top:1269;height:1;width:644;rotation:11796480f;" filled="f" stroked="t" coordsize="21600,21600" o:gfxdata="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VWn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Line 28" o:spid="_x0000_s1026" o:spt="20" style="position:absolute;left:4862;top:1450;height:1;width:644;" filled="f" stroked="t" coordsize="21600,21600" o:gfxdata="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r7g+/&#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shape id="Text Box 25" o:spid="_x0000_s1026" o:spt="202" type="#_x0000_t202" style="position:absolute;left:0;top:0;height:466;width:1211;"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0D4F76C">
                          <w:pPr>
                            <w:spacing w:beforeLines="0" w:afterLines="0"/>
                            <w:rPr>
                              <w:rFonts w:hint="default"/>
                              <w:sz w:val="28"/>
                              <w:szCs w:val="24"/>
                            </w:rPr>
                          </w:pPr>
                          <w:r>
                            <w:rPr>
                              <w:rFonts w:hint="eastAsia" w:eastAsia="宋体"/>
                              <w:sz w:val="21"/>
                              <w:szCs w:val="24"/>
                            </w:rPr>
                            <w:t>埋地油罐</w:t>
                          </w:r>
                          <w:r>
                            <w:rPr>
                              <w:rFonts w:hint="eastAsia" w:eastAsia="宋体"/>
                              <w:sz w:val="28"/>
                              <w:szCs w:val="24"/>
                            </w:rPr>
                            <w:t>罐</w:t>
                          </w:r>
                        </w:p>
                      </w:txbxContent>
                    </v:textbox>
                  </v:shape>
                  <v:line id="Line 26" o:spid="_x0000_s1026" o:spt="20" style="position:absolute;left:1221;top:232;height:1;width:644;" filled="f" stroked="t" coordsize="21600,21600" o:gfxdata="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Urm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Text Box 27" o:spid="_x0000_s1026" o:spt="202" type="#_x0000_t202" style="position:absolute;left:1905;top:15;height:466;width:1004;"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3AD33C">
                          <w:pPr>
                            <w:spacing w:beforeLines="0" w:afterLines="0"/>
                            <w:jc w:val="center"/>
                            <w:rPr>
                              <w:rFonts w:hint="default"/>
                              <w:sz w:val="28"/>
                              <w:szCs w:val="24"/>
                            </w:rPr>
                          </w:pPr>
                          <w:r>
                            <w:rPr>
                              <w:rFonts w:hint="eastAsia" w:eastAsia="宋体"/>
                              <w:sz w:val="21"/>
                              <w:szCs w:val="24"/>
                            </w:rPr>
                            <w:t>潜油泵</w:t>
                          </w:r>
                        </w:p>
                      </w:txbxContent>
                    </v:textbox>
                  </v:shape>
                  <v:line id="Line 28" o:spid="_x0000_s1026" o:spt="20" style="position:absolute;left:2942;top:236;height:1;width:644;" filled="f" stroked="t" coordsize="21600,21600" o:gfxdata="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AWd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Text Box 29" o:spid="_x0000_s1026" o:spt="202" type="#_x0000_t202" style="position:absolute;left:3596;top:15;height:466;width:1188;" fillcolor="#FFFFFF" filled="t" stroked="t" coordsize="21600,21600" o:gfxdata="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3s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0BF23E">
                          <w:pPr>
                            <w:spacing w:beforeLines="0" w:afterLines="0"/>
                            <w:jc w:val="center"/>
                            <w:rPr>
                              <w:rFonts w:hint="default"/>
                              <w:sz w:val="28"/>
                              <w:szCs w:val="24"/>
                            </w:rPr>
                          </w:pPr>
                          <w:r>
                            <w:rPr>
                              <w:rFonts w:hint="eastAsia" w:eastAsia="宋体"/>
                              <w:sz w:val="21"/>
                              <w:szCs w:val="24"/>
                            </w:rPr>
                            <w:t>加油管</w:t>
                          </w:r>
                          <w:r>
                            <w:rPr>
                              <w:rFonts w:hint="eastAsia" w:eastAsia="宋体"/>
                              <w:sz w:val="28"/>
                              <w:szCs w:val="24"/>
                            </w:rPr>
                            <w:t>道</w:t>
                          </w:r>
                        </w:p>
                      </w:txbxContent>
                    </v:textbox>
                  </v:shape>
                  <v:line id="Line 30" o:spid="_x0000_s1026" o:spt="20" style="position:absolute;left:4838;top:233;height:1;width:644;" filled="f" stroked="t" coordsize="21600,21600" o:gfxdata="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i2Z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Text Box 31" o:spid="_x0000_s1026" o:spt="202" type="#_x0000_t202" style="position:absolute;left:5505;top:15;height:467;width:1154;" fillcolor="#FFFFFF" filled="t" stroked="t" coordsize="21600,21600" o:gfxdata="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EZY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3BC83D3">
                          <w:pPr>
                            <w:spacing w:beforeLines="0" w:afterLines="0"/>
                            <w:ind w:left="-80" w:leftChars="-66" w:right="-179" w:rightChars="-64" w:hanging="105" w:hangingChars="50"/>
                            <w:jc w:val="center"/>
                            <w:rPr>
                              <w:rFonts w:hint="default"/>
                              <w:sz w:val="21"/>
                              <w:szCs w:val="24"/>
                            </w:rPr>
                          </w:pPr>
                          <w:r>
                            <w:rPr>
                              <w:rFonts w:hint="eastAsia" w:eastAsia="宋体"/>
                              <w:sz w:val="21"/>
                              <w:szCs w:val="24"/>
                            </w:rPr>
                            <w:t>加油机</w:t>
                          </w:r>
                        </w:p>
                      </w:txbxContent>
                    </v:textbox>
                  </v:shape>
                  <v:line id="Line 28" o:spid="_x0000_s1026" o:spt="20" style="position:absolute;left:5404;top:568;height:1;width:644;rotation:5898240f;" filled="f" stroked="t" coordsize="21600,21600" o:gfxdata="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jrEm5AAAA2w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Line 28" o:spid="_x0000_s1026" o:spt="20" style="position:absolute;left:6741;top:238;flip:y;height:1;width:638;" filled="f" stroked="t" coordsize="21600,21600" o:gfxdata="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g6XvugAAANs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Line 28" o:spid="_x0000_s1026" o:spt="20" style="position:absolute;left:5614;top:553;height:1;width:644;rotation:-5898240f;" filled="f" stroked="t" coordsize="21600,21600" o:gfxdata="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PIvL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w:pict>
          </mc:Fallback>
        </mc:AlternateContent>
      </w:r>
      <w:r>
        <w:rPr>
          <w:rFonts w:hint="default" w:ascii="Times New Roman" w:hAnsi="Times New Roman" w:cs="Times New Roman"/>
          <w:color w:val="auto"/>
          <w:sz w:val="21"/>
          <w:szCs w:val="21"/>
        </w:rPr>
        <w:t xml:space="preserve">   </w:t>
      </w:r>
    </w:p>
    <w:p w14:paraId="779CE422">
      <w:pPr>
        <w:pStyle w:val="40"/>
        <w:spacing w:beforeLines="0" w:afterLines="0" w:line="520" w:lineRule="exact"/>
        <w:ind w:firstLine="843" w:firstLineChars="400"/>
        <w:rPr>
          <w:rFonts w:hint="default" w:ascii="Times New Roman" w:hAnsi="Times New Roman" w:cs="Times New Roman"/>
          <w:b/>
          <w:color w:val="auto"/>
          <w:sz w:val="21"/>
          <w:szCs w:val="21"/>
        </w:rPr>
      </w:pPr>
    </w:p>
    <w:p w14:paraId="659FEC6A">
      <w:pPr>
        <w:pStyle w:val="40"/>
        <w:spacing w:beforeLines="0" w:afterLines="0" w:line="520" w:lineRule="exact"/>
        <w:ind w:firstLine="843" w:firstLineChars="400"/>
        <w:rPr>
          <w:rFonts w:hint="default" w:ascii="Times New Roman" w:hAnsi="Times New Roman" w:cs="Times New Roman"/>
          <w:b/>
          <w:color w:val="auto"/>
          <w:sz w:val="21"/>
          <w:szCs w:val="21"/>
        </w:rPr>
      </w:pPr>
    </w:p>
    <w:p w14:paraId="220E369B">
      <w:pPr>
        <w:pStyle w:val="40"/>
        <w:spacing w:beforeLines="0" w:afterLines="0" w:line="520" w:lineRule="exact"/>
        <w:ind w:firstLine="843" w:firstLineChars="400"/>
        <w:rPr>
          <w:rFonts w:hint="default" w:ascii="Times New Roman" w:hAnsi="Times New Roman" w:cs="Times New Roman"/>
          <w:b/>
          <w:color w:val="auto"/>
          <w:sz w:val="21"/>
          <w:szCs w:val="21"/>
        </w:rPr>
      </w:pPr>
    </w:p>
    <w:p w14:paraId="7DBD6BC7">
      <w:pPr>
        <w:pStyle w:val="40"/>
        <w:spacing w:beforeLines="0" w:afterLines="0" w:line="520" w:lineRule="exact"/>
        <w:ind w:firstLine="843" w:firstLineChars="400"/>
        <w:rPr>
          <w:rFonts w:hint="default" w:ascii="Times New Roman" w:hAnsi="Times New Roman" w:cs="Times New Roman"/>
          <w:b/>
          <w:color w:val="auto"/>
          <w:sz w:val="21"/>
          <w:szCs w:val="21"/>
        </w:rPr>
      </w:pPr>
    </w:p>
    <w:p w14:paraId="128F13B3">
      <w:pPr>
        <w:pStyle w:val="40"/>
        <w:spacing w:beforeLines="0" w:afterLines="0" w:line="520" w:lineRule="exact"/>
        <w:ind w:firstLine="843" w:firstLineChars="400"/>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注：虚线箭头表示油气回收工艺路线。</w:t>
      </w:r>
    </w:p>
    <w:p w14:paraId="12045E88">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w:t>
      </w:r>
      <w:r>
        <w:rPr>
          <w:rFonts w:hint="eastAsia" w:ascii="Times New Roman" w:hAnsi="Times New Roman" w:eastAsia="宋体" w:cs="Times New Roman"/>
          <w:color w:val="auto"/>
          <w:sz w:val="28"/>
          <w:szCs w:val="28"/>
        </w:rPr>
        <w:t>柴油加油机加油工艺，流程图如下：</w:t>
      </w:r>
    </w:p>
    <w:p w14:paraId="179816BE">
      <w:pPr>
        <w:spacing w:beforeLines="0" w:afterLines="0" w:line="520" w:lineRule="exact"/>
        <w:ind w:firstLine="56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8"/>
          <w:szCs w:val="24"/>
        </w:rPr>
        <mc:AlternateContent>
          <mc:Choice Requires="wpg">
            <w:drawing>
              <wp:anchor distT="0" distB="0" distL="114300" distR="114300" simplePos="0" relativeHeight="251663360" behindDoc="0" locked="0" layoutInCell="1" allowOverlap="1">
                <wp:simplePos x="0" y="0"/>
                <wp:positionH relativeFrom="column">
                  <wp:posOffset>687070</wp:posOffset>
                </wp:positionH>
                <wp:positionV relativeFrom="paragraph">
                  <wp:posOffset>164465</wp:posOffset>
                </wp:positionV>
                <wp:extent cx="4228465" cy="1029335"/>
                <wp:effectExtent l="4445" t="4445" r="8890" b="7620"/>
                <wp:wrapNone/>
                <wp:docPr id="69" name="组合 45"/>
                <wp:cNvGraphicFramePr/>
                <a:graphic xmlns:a="http://schemas.openxmlformats.org/drawingml/2006/main">
                  <a:graphicData uri="http://schemas.microsoft.com/office/word/2010/wordprocessingGroup">
                    <wpg:wgp>
                      <wpg:cNvGrpSpPr/>
                      <wpg:grpSpPr>
                        <a:xfrm>
                          <a:off x="0" y="0"/>
                          <a:ext cx="4228465" cy="1029335"/>
                          <a:chOff x="0" y="0"/>
                          <a:chExt cx="6659" cy="1621"/>
                        </a:xfrm>
                      </wpg:grpSpPr>
                      <wps:wsp>
                        <wps:cNvPr id="56" name="Line 28"/>
                        <wps:cNvCnPr/>
                        <wps:spPr>
                          <a:xfrm rot="10800000">
                            <a:off x="4817" y="1359"/>
                            <a:ext cx="644" cy="1"/>
                          </a:xfrm>
                          <a:prstGeom prst="line">
                            <a:avLst/>
                          </a:prstGeom>
                          <a:ln w="19050" cap="flat" cmpd="sng">
                            <a:solidFill>
                              <a:srgbClr val="000000"/>
                            </a:solidFill>
                            <a:prstDash val="solid"/>
                            <a:headEnd type="none" w="med" len="med"/>
                            <a:tailEnd type="triangle" w="med" len="med"/>
                          </a:ln>
                        </wps:spPr>
                        <wps:bodyPr upright="1"/>
                      </wps:wsp>
                      <wps:wsp>
                        <wps:cNvPr id="57" name="Text Box 2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1BA12A">
                              <w:pPr>
                                <w:spacing w:beforeLines="0" w:afterLines="0"/>
                                <w:rPr>
                                  <w:rFonts w:hint="default"/>
                                  <w:sz w:val="28"/>
                                  <w:szCs w:val="24"/>
                                </w:rPr>
                              </w:pPr>
                              <w:r>
                                <w:rPr>
                                  <w:rFonts w:hint="eastAsia" w:eastAsia="宋体"/>
                                  <w:sz w:val="21"/>
                                  <w:szCs w:val="24"/>
                                </w:rPr>
                                <w:t>埋地油罐</w:t>
                              </w:r>
                              <w:r>
                                <w:rPr>
                                  <w:rFonts w:hint="eastAsia" w:eastAsia="宋体"/>
                                  <w:sz w:val="28"/>
                                  <w:szCs w:val="24"/>
                                </w:rPr>
                                <w:t>罐</w:t>
                              </w:r>
                            </w:p>
                          </w:txbxContent>
                        </wps:txbx>
                        <wps:bodyPr wrap="square" upright="1"/>
                      </wps:wsp>
                      <wps:wsp>
                        <wps:cNvPr id="58" name="Line 26"/>
                        <wps:cNvCnPr/>
                        <wps:spPr>
                          <a:xfrm>
                            <a:off x="1221" y="232"/>
                            <a:ext cx="644" cy="1"/>
                          </a:xfrm>
                          <a:prstGeom prst="line">
                            <a:avLst/>
                          </a:prstGeom>
                          <a:ln w="19050" cap="flat" cmpd="sng">
                            <a:solidFill>
                              <a:srgbClr val="000000"/>
                            </a:solidFill>
                            <a:prstDash val="solid"/>
                            <a:headEnd type="none" w="med" len="med"/>
                            <a:tailEnd type="triangle" w="med" len="med"/>
                          </a:ln>
                        </wps:spPr>
                        <wps:bodyPr upright="1"/>
                      </wps:wsp>
                      <wps:wsp>
                        <wps:cNvPr id="59" name="Text Box 2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005FED">
                              <w:pPr>
                                <w:spacing w:beforeLines="0" w:afterLines="0"/>
                                <w:jc w:val="center"/>
                                <w:rPr>
                                  <w:rFonts w:hint="default"/>
                                  <w:sz w:val="28"/>
                                  <w:szCs w:val="24"/>
                                </w:rPr>
                              </w:pPr>
                              <w:r>
                                <w:rPr>
                                  <w:rFonts w:hint="eastAsia" w:eastAsia="宋体"/>
                                  <w:sz w:val="21"/>
                                  <w:szCs w:val="24"/>
                                </w:rPr>
                                <w:t>潜油泵</w:t>
                              </w:r>
                            </w:p>
                          </w:txbxContent>
                        </wps:txbx>
                        <wps:bodyPr wrap="square" upright="1"/>
                      </wps:wsp>
                      <wps:wsp>
                        <wps:cNvPr id="60" name="Line 28"/>
                        <wps:cNvCnPr/>
                        <wps:spPr>
                          <a:xfrm>
                            <a:off x="2942" y="236"/>
                            <a:ext cx="644" cy="1"/>
                          </a:xfrm>
                          <a:prstGeom prst="line">
                            <a:avLst/>
                          </a:prstGeom>
                          <a:ln w="19050" cap="flat" cmpd="sng">
                            <a:solidFill>
                              <a:srgbClr val="000000"/>
                            </a:solidFill>
                            <a:prstDash val="solid"/>
                            <a:headEnd type="none" w="med" len="med"/>
                            <a:tailEnd type="triangle" w="med" len="med"/>
                          </a:ln>
                        </wps:spPr>
                        <wps:bodyPr upright="1"/>
                      </wps:wsp>
                      <wps:wsp>
                        <wps:cNvPr id="61" name="Text Box 2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8C9016">
                              <w:pPr>
                                <w:spacing w:beforeLines="0" w:afterLines="0"/>
                                <w:jc w:val="center"/>
                                <w:rPr>
                                  <w:rFonts w:hint="default"/>
                                  <w:sz w:val="28"/>
                                  <w:szCs w:val="24"/>
                                </w:rPr>
                              </w:pPr>
                              <w:r>
                                <w:rPr>
                                  <w:rFonts w:hint="eastAsia" w:eastAsia="宋体"/>
                                  <w:sz w:val="21"/>
                                  <w:szCs w:val="24"/>
                                </w:rPr>
                                <w:t>加油管</w:t>
                              </w:r>
                              <w:r>
                                <w:rPr>
                                  <w:rFonts w:hint="eastAsia" w:eastAsia="宋体"/>
                                  <w:sz w:val="28"/>
                                  <w:szCs w:val="24"/>
                                </w:rPr>
                                <w:t>道</w:t>
                              </w:r>
                            </w:p>
                          </w:txbxContent>
                        </wps:txbx>
                        <wps:bodyPr wrap="square" upright="1"/>
                      </wps:wsp>
                      <wps:wsp>
                        <wps:cNvPr id="62" name="Line 30"/>
                        <wps:cNvCnPr/>
                        <wps:spPr>
                          <a:xfrm>
                            <a:off x="4838" y="233"/>
                            <a:ext cx="644" cy="1"/>
                          </a:xfrm>
                          <a:prstGeom prst="line">
                            <a:avLst/>
                          </a:prstGeom>
                          <a:ln w="19050" cap="flat" cmpd="sng">
                            <a:solidFill>
                              <a:srgbClr val="000000"/>
                            </a:solidFill>
                            <a:prstDash val="solid"/>
                            <a:headEnd type="none" w="med" len="med"/>
                            <a:tailEnd type="triangle" w="med" len="med"/>
                          </a:ln>
                        </wps:spPr>
                        <wps:bodyPr upright="1"/>
                      </wps:wsp>
                      <wps:wsp>
                        <wps:cNvPr id="63" name="Text Box 3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C9A2E">
                              <w:pPr>
                                <w:spacing w:beforeLines="0" w:afterLines="0"/>
                                <w:ind w:left="-80" w:leftChars="-66" w:right="-179" w:rightChars="-64" w:hanging="105" w:hangingChars="50"/>
                                <w:jc w:val="center"/>
                                <w:rPr>
                                  <w:rFonts w:hint="default"/>
                                  <w:sz w:val="21"/>
                                  <w:szCs w:val="24"/>
                                </w:rPr>
                              </w:pPr>
                              <w:r>
                                <w:rPr>
                                  <w:rFonts w:hint="eastAsia" w:eastAsia="宋体"/>
                                  <w:sz w:val="21"/>
                                  <w:szCs w:val="24"/>
                                </w:rPr>
                                <w:t>加油机</w:t>
                              </w:r>
                            </w:p>
                          </w:txbxContent>
                        </wps:txbx>
                        <wps:bodyPr wrap="square" upright="1"/>
                      </wps:wsp>
                      <wps:wsp>
                        <wps:cNvPr id="64" name="Line 28"/>
                        <wps:cNvCnPr/>
                        <wps:spPr>
                          <a:xfrm rot="5400000">
                            <a:off x="5524" y="568"/>
                            <a:ext cx="644" cy="1"/>
                          </a:xfrm>
                          <a:prstGeom prst="line">
                            <a:avLst/>
                          </a:prstGeom>
                          <a:ln w="19050" cap="flat" cmpd="sng">
                            <a:solidFill>
                              <a:srgbClr val="000000"/>
                            </a:solidFill>
                            <a:prstDash val="solid"/>
                            <a:headEnd type="none" w="med" len="med"/>
                            <a:tailEnd type="triangle" w="med" len="med"/>
                          </a:ln>
                        </wps:spPr>
                        <wps:bodyPr upright="1"/>
                      </wps:wsp>
                      <wps:wsp>
                        <wps:cNvPr id="67" name="Text Box 29"/>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EF7DAC">
                              <w:pPr>
                                <w:spacing w:beforeLines="0" w:afterLines="0"/>
                                <w:jc w:val="center"/>
                                <w:rPr>
                                  <w:rFonts w:hint="default"/>
                                  <w:sz w:val="28"/>
                                  <w:szCs w:val="24"/>
                                </w:rPr>
                              </w:pPr>
                              <w:r>
                                <w:rPr>
                                  <w:rFonts w:hint="eastAsia" w:eastAsia="宋体"/>
                                  <w:sz w:val="21"/>
                                  <w:szCs w:val="24"/>
                                </w:rPr>
                                <w:t>加油枪</w:t>
                              </w:r>
                            </w:p>
                          </w:txbxContent>
                        </wps:txbx>
                        <wps:bodyPr wrap="square" upright="1"/>
                      </wps:wsp>
                      <wps:wsp>
                        <wps:cNvPr id="68" name="Text Box 27"/>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4FF6E4">
                              <w:pPr>
                                <w:spacing w:beforeLines="0" w:afterLines="0"/>
                                <w:jc w:val="center"/>
                                <w:rPr>
                                  <w:rFonts w:hint="default"/>
                                  <w:sz w:val="28"/>
                                  <w:szCs w:val="24"/>
                                </w:rPr>
                              </w:pPr>
                              <w:r>
                                <w:rPr>
                                  <w:rFonts w:hint="eastAsia" w:eastAsia="宋体"/>
                                  <w:sz w:val="21"/>
                                  <w:szCs w:val="24"/>
                                </w:rPr>
                                <w:t>受油容器</w:t>
                              </w:r>
                            </w:p>
                          </w:txbxContent>
                        </wps:txbx>
                        <wps:bodyPr wrap="square" upright="1"/>
                      </wps:wsp>
                    </wpg:wgp>
                  </a:graphicData>
                </a:graphic>
              </wp:anchor>
            </w:drawing>
          </mc:Choice>
          <mc:Fallback>
            <w:pict>
              <v:group id="组合 45" o:spid="_x0000_s1026" o:spt="203" style="position:absolute;left:0pt;margin-left:54.1pt;margin-top:12.95pt;height:81.05pt;width:332.95pt;z-index:251663360;mso-width-relative:page;mso-height-relative:page;" coordsize="6659,1621" o:gfxdata="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AFzQK02QAAAAoBAAAPAAAAAAAAAAEAIAAAACIA&#10;AABkcnMvZG93bnJldi54bWxQSwECFAAUAAAACACHTuJAyt0icgkEAACWGwAADgAAAAAAAAABACAA&#10;AAAoAQAAZHJzL2Uyb0RvYy54bWxQSwUGAAAAAAYABgBZAQAAowcAAAAA&#10;">
                <o:lock v:ext="edit" aspectratio="f"/>
                <v:line id="Line 28" o:spid="_x0000_s1026" o:spt="20" style="position:absolute;left:4817;top:1359;height:1;width:644;rotation:11796480f;" filled="f" stroked="t" coordsize="21600,21600" o:gfxdata="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Ec3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shape id="Text Box 25" o:spid="_x0000_s1026" o:spt="202" type="#_x0000_t202" style="position:absolute;left:0;top:0;height:466;width:1211;"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1BA12A">
                        <w:pPr>
                          <w:spacing w:beforeLines="0" w:afterLines="0"/>
                          <w:rPr>
                            <w:rFonts w:hint="default"/>
                            <w:sz w:val="28"/>
                            <w:szCs w:val="24"/>
                          </w:rPr>
                        </w:pPr>
                        <w:r>
                          <w:rPr>
                            <w:rFonts w:hint="eastAsia" w:eastAsia="宋体"/>
                            <w:sz w:val="21"/>
                            <w:szCs w:val="24"/>
                          </w:rPr>
                          <w:t>埋地油罐</w:t>
                        </w:r>
                        <w:r>
                          <w:rPr>
                            <w:rFonts w:hint="eastAsia" w:eastAsia="宋体"/>
                            <w:sz w:val="28"/>
                            <w:szCs w:val="24"/>
                          </w:rPr>
                          <w:t>罐</w:t>
                        </w:r>
                      </w:p>
                    </w:txbxContent>
                  </v:textbox>
                </v:shape>
                <v:line id="Line 26" o:spid="_x0000_s1026" o:spt="20" style="position:absolute;left:1221;top:232;height:1;width:644;" filled="f" stroked="t" coordsize="21600,21600" o:gfxdata="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cZWs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7" o:spid="_x0000_s1026" o:spt="202" type="#_x0000_t202" style="position:absolute;left:1905;top:15;height:466;width:1004;" fillcolor="#FFFFFF" filled="t" stroked="t" coordsize="21600,21600" o:gfxdata="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TPh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D005FED">
                        <w:pPr>
                          <w:spacing w:beforeLines="0" w:afterLines="0"/>
                          <w:jc w:val="center"/>
                          <w:rPr>
                            <w:rFonts w:hint="default"/>
                            <w:sz w:val="28"/>
                            <w:szCs w:val="24"/>
                          </w:rPr>
                        </w:pPr>
                        <w:r>
                          <w:rPr>
                            <w:rFonts w:hint="eastAsia" w:eastAsia="宋体"/>
                            <w:sz w:val="21"/>
                            <w:szCs w:val="24"/>
                          </w:rPr>
                          <w:t>潜油泵</w:t>
                        </w:r>
                      </w:p>
                    </w:txbxContent>
                  </v:textbox>
                </v:shape>
                <v:line id="Line 28" o:spid="_x0000_s1026" o:spt="20" style="position:absolute;left:2942;top:236;height:1;width:644;" filled="f" stroked="t" coordsize="21600,21600" o:gfxdata="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GtTF7UAAADbAAAADwAA&#10;AAAAAAABACAAAAAiAAAAZHJzL2Rvd25yZXYueG1sUEsBAhQAFAAAAAgAh07iQDMvBZ47AAAAOQAA&#10;ABAAAAAAAAAAAQAgAAAABAEAAGRycy9zaGFwZXhtbC54bWxQSwUGAAAAAAYABgBbAQAArgMAAAAA&#10;">
                  <v:fill on="f" focussize="0,0"/>
                  <v:stroke weight="1.5pt" color="#000000" joinstyle="round" endarrow="block"/>
                  <v:imagedata o:title=""/>
                  <o:lock v:ext="edit" aspectratio="f"/>
                </v:line>
                <v:shape id="Text Box 29" o:spid="_x0000_s1026" o:spt="202" type="#_x0000_t202" style="position:absolute;left:3596;top:15;height:466;width:1188;"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8C9016">
                        <w:pPr>
                          <w:spacing w:beforeLines="0" w:afterLines="0"/>
                          <w:jc w:val="center"/>
                          <w:rPr>
                            <w:rFonts w:hint="default"/>
                            <w:sz w:val="28"/>
                            <w:szCs w:val="24"/>
                          </w:rPr>
                        </w:pPr>
                        <w:r>
                          <w:rPr>
                            <w:rFonts w:hint="eastAsia" w:eastAsia="宋体"/>
                            <w:sz w:val="21"/>
                            <w:szCs w:val="24"/>
                          </w:rPr>
                          <w:t>加油管</w:t>
                        </w:r>
                        <w:r>
                          <w:rPr>
                            <w:rFonts w:hint="eastAsia" w:eastAsia="宋体"/>
                            <w:sz w:val="28"/>
                            <w:szCs w:val="24"/>
                          </w:rPr>
                          <w:t>道</w:t>
                        </w:r>
                      </w:p>
                    </w:txbxContent>
                  </v:textbox>
                </v:shape>
                <v:line id="Line 30" o:spid="_x0000_s1026" o:spt="20" style="position:absolute;left:4838;top:233;height:1;width:644;" filled="f" stroked="t" coordsize="21600,21600" o:gfxdata="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o+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Text Box 31" o:spid="_x0000_s1026" o:spt="202" type="#_x0000_t202" style="position:absolute;left:5505;top:15;height:467;width:1154;"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DC9A2E">
                        <w:pPr>
                          <w:spacing w:beforeLines="0" w:afterLines="0"/>
                          <w:ind w:left="-80" w:leftChars="-66" w:right="-179" w:rightChars="-64" w:hanging="105" w:hangingChars="50"/>
                          <w:jc w:val="center"/>
                          <w:rPr>
                            <w:rFonts w:hint="default"/>
                            <w:sz w:val="21"/>
                            <w:szCs w:val="24"/>
                          </w:rPr>
                        </w:pPr>
                        <w:r>
                          <w:rPr>
                            <w:rFonts w:hint="eastAsia" w:eastAsia="宋体"/>
                            <w:sz w:val="21"/>
                            <w:szCs w:val="24"/>
                          </w:rPr>
                          <w:t>加油机</w:t>
                        </w:r>
                      </w:p>
                    </w:txbxContent>
                  </v:textbox>
                </v:shape>
                <v:line id="Line 28" o:spid="_x0000_s1026" o:spt="20" style="position:absolute;left:5524;top:568;height:1;width:644;rotation:5898240f;" filled="f" stroked="t" coordsize="21600,21600" o:gfxdata="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7uUt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Text Box 29" o:spid="_x0000_s1026" o:spt="202" type="#_x0000_t202" style="position:absolute;left:5535;top:1155;height:466;width:1124;" fillcolor="#FFFFFF" filled="t" stroked="t" coordsize="21600,21600" o:gfxdata="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s00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EF7DAC">
                        <w:pPr>
                          <w:spacing w:beforeLines="0" w:afterLines="0"/>
                          <w:jc w:val="center"/>
                          <w:rPr>
                            <w:rFonts w:hint="default"/>
                            <w:sz w:val="28"/>
                            <w:szCs w:val="24"/>
                          </w:rPr>
                        </w:pPr>
                        <w:r>
                          <w:rPr>
                            <w:rFonts w:hint="eastAsia" w:eastAsia="宋体"/>
                            <w:sz w:val="21"/>
                            <w:szCs w:val="24"/>
                          </w:rPr>
                          <w:t>加油枪</w:t>
                        </w:r>
                      </w:p>
                    </w:txbxContent>
                  </v:textbox>
                </v:shape>
                <v:shape id="Text Box 27" o:spid="_x0000_s1026" o:spt="202" type="#_x0000_t202" style="position:absolute;left:3509;top:1140;height:466;width:1220;"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4FF6E4">
                        <w:pPr>
                          <w:spacing w:beforeLines="0" w:afterLines="0"/>
                          <w:jc w:val="center"/>
                          <w:rPr>
                            <w:rFonts w:hint="default"/>
                            <w:sz w:val="28"/>
                            <w:szCs w:val="24"/>
                          </w:rPr>
                        </w:pPr>
                        <w:r>
                          <w:rPr>
                            <w:rFonts w:hint="eastAsia" w:eastAsia="宋体"/>
                            <w:sz w:val="21"/>
                            <w:szCs w:val="24"/>
                          </w:rPr>
                          <w:t>受油容器</w:t>
                        </w:r>
                      </w:p>
                    </w:txbxContent>
                  </v:textbox>
                </v:shape>
              </v:group>
            </w:pict>
          </mc:Fallback>
        </mc:AlternateContent>
      </w:r>
    </w:p>
    <w:p w14:paraId="7B1E5094">
      <w:pPr>
        <w:spacing w:beforeLines="0" w:afterLines="0" w:line="520" w:lineRule="exact"/>
        <w:rPr>
          <w:rFonts w:hint="default" w:ascii="Times New Roman" w:hAnsi="Times New Roman" w:eastAsia="宋体" w:cs="Times New Roman"/>
          <w:color w:val="auto"/>
          <w:sz w:val="28"/>
          <w:szCs w:val="24"/>
        </w:rPr>
      </w:pPr>
    </w:p>
    <w:p w14:paraId="34276B5D">
      <w:pPr>
        <w:spacing w:beforeLines="0" w:afterLines="0" w:line="520" w:lineRule="exact"/>
        <w:rPr>
          <w:rFonts w:hint="default" w:ascii="Times New Roman" w:hAnsi="Times New Roman" w:eastAsia="宋体" w:cs="Times New Roman"/>
          <w:color w:val="auto"/>
          <w:sz w:val="28"/>
          <w:szCs w:val="24"/>
        </w:rPr>
      </w:pPr>
    </w:p>
    <w:p w14:paraId="57EADFC8">
      <w:pPr>
        <w:pStyle w:val="3"/>
        <w:bidi w:val="0"/>
        <w:rPr>
          <w:rFonts w:hint="eastAsia"/>
          <w:lang w:val="en-US" w:eastAsia="zh-CN"/>
        </w:rPr>
      </w:pPr>
      <w:bookmarkStart w:id="73" w:name="_Toc13833"/>
      <w:r>
        <w:rPr>
          <w:rFonts w:hint="eastAsia"/>
          <w:lang w:val="en-US" w:eastAsia="zh-CN"/>
        </w:rPr>
        <w:t>2.4消防、安全设施</w:t>
      </w:r>
      <w:bookmarkEnd w:id="71"/>
      <w:bookmarkEnd w:id="72"/>
      <w:bookmarkEnd w:id="73"/>
    </w:p>
    <w:p w14:paraId="1F62D89D">
      <w:pPr>
        <w:wordWrap w:val="0"/>
        <w:adjustRightInd w:val="0"/>
        <w:snapToGrid w:val="0"/>
        <w:spacing w:line="560" w:lineRule="exact"/>
        <w:ind w:firstLine="570"/>
        <w:textAlignment w:val="center"/>
        <w:rPr>
          <w:color w:val="000000"/>
          <w:sz w:val="28"/>
          <w:szCs w:val="28"/>
        </w:rPr>
      </w:pPr>
      <w:r>
        <w:rPr>
          <w:color w:val="000000"/>
          <w:sz w:val="28"/>
          <w:szCs w:val="28"/>
        </w:rPr>
        <w:t>1</w:t>
      </w:r>
      <w:r>
        <w:rPr>
          <w:b/>
          <w:bCs/>
          <w:color w:val="000000"/>
          <w:sz w:val="28"/>
          <w:szCs w:val="28"/>
        </w:rPr>
        <w:t>、</w:t>
      </w:r>
      <w:r>
        <w:rPr>
          <w:color w:val="000000"/>
          <w:sz w:val="28"/>
          <w:szCs w:val="28"/>
        </w:rPr>
        <w:t>消防设施：</w:t>
      </w:r>
    </w:p>
    <w:p w14:paraId="23D26AE4">
      <w:pPr>
        <w:wordWrap w:val="0"/>
        <w:adjustRightInd w:val="0"/>
        <w:snapToGrid w:val="0"/>
        <w:spacing w:line="560" w:lineRule="exact"/>
        <w:ind w:firstLine="560" w:firstLineChars="200"/>
        <w:textAlignment w:val="center"/>
        <w:rPr>
          <w:rFonts w:hint="default" w:eastAsia="宋体"/>
          <w:color w:val="000000"/>
          <w:sz w:val="28"/>
          <w:szCs w:val="28"/>
          <w:lang w:val="en-US" w:eastAsia="zh-CN"/>
        </w:rPr>
      </w:pPr>
      <w:r>
        <w:rPr>
          <w:color w:val="000000"/>
          <w:sz w:val="28"/>
          <w:szCs w:val="28"/>
        </w:rPr>
        <w:t>加油站</w:t>
      </w:r>
      <w:r>
        <w:rPr>
          <w:rFonts w:hint="eastAsia"/>
          <w:color w:val="000000"/>
          <w:sz w:val="28"/>
          <w:szCs w:val="28"/>
          <w:lang w:val="en-US" w:eastAsia="zh-CN"/>
        </w:rPr>
        <w:t>处于未经营状态，相关消防设施未配套。</w:t>
      </w:r>
    </w:p>
    <w:p w14:paraId="546209FC">
      <w:pPr>
        <w:wordWrap w:val="0"/>
        <w:adjustRightInd w:val="0"/>
        <w:snapToGrid w:val="0"/>
        <w:spacing w:line="560" w:lineRule="exact"/>
        <w:ind w:firstLine="560" w:firstLineChars="200"/>
        <w:textAlignment w:val="center"/>
        <w:rPr>
          <w:color w:val="000000"/>
          <w:sz w:val="28"/>
          <w:szCs w:val="28"/>
        </w:rPr>
      </w:pPr>
      <w:r>
        <w:rPr>
          <w:color w:val="000000"/>
          <w:sz w:val="28"/>
          <w:szCs w:val="28"/>
        </w:rPr>
        <w:t>2、安全设施：</w:t>
      </w:r>
    </w:p>
    <w:p w14:paraId="1332B063">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油储罐设有通气管，通气管口设有阻火器，通气管高出地面4m。</w:t>
      </w:r>
    </w:p>
    <w:p w14:paraId="5DD62FC6">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油储罐进油口、出油管、量油孔、通气管直接单独通往油罐，人孔盖上设有量油孔，量油孔为铝制。</w:t>
      </w:r>
    </w:p>
    <w:p w14:paraId="0FD474E7">
      <w:pPr>
        <w:wordWrap w:val="0"/>
        <w:adjustRightInd w:val="0"/>
        <w:snapToGrid w:val="0"/>
        <w:spacing w:line="560" w:lineRule="exact"/>
        <w:ind w:firstLine="560" w:firstLineChars="200"/>
        <w:textAlignment w:val="center"/>
        <w:rPr>
          <w:rFonts w:hint="eastAsia"/>
          <w:color w:val="auto"/>
          <w:sz w:val="28"/>
          <w:szCs w:val="28"/>
        </w:rPr>
      </w:pPr>
      <w:r>
        <w:rPr>
          <w:color w:val="auto"/>
          <w:sz w:val="28"/>
          <w:szCs w:val="28"/>
        </w:rPr>
        <w:t>罐区卸油口</w:t>
      </w:r>
      <w:r>
        <w:rPr>
          <w:rFonts w:hint="eastAsia"/>
          <w:color w:val="auto"/>
          <w:sz w:val="28"/>
          <w:szCs w:val="28"/>
        </w:rPr>
        <w:t>设置有</w:t>
      </w:r>
      <w:r>
        <w:rPr>
          <w:color w:val="auto"/>
          <w:sz w:val="28"/>
          <w:szCs w:val="28"/>
        </w:rPr>
        <w:t>用于连接车辆的静电报警仪。储罐及管道进行了静电接地，法兰连接处用铜片进行了跨接。卸油管采用内设金属丝的软管，可以和车辆的油罐和储油罐进行可靠的静电连接。</w:t>
      </w:r>
      <w:r>
        <w:rPr>
          <w:rFonts w:hint="eastAsia"/>
          <w:color w:val="auto"/>
          <w:sz w:val="28"/>
          <w:szCs w:val="28"/>
        </w:rPr>
        <w:t>油罐设有高液位报警仪。</w:t>
      </w:r>
    </w:p>
    <w:p w14:paraId="2D472D5E">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油罐区无照明设施，加油机罩棚顶灯为隔爆型荧光灯。营业厅、罩棚区设置有事故照明。</w:t>
      </w:r>
    </w:p>
    <w:p w14:paraId="35CE197D">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输油管线采用地沟预埋式。</w:t>
      </w:r>
    </w:p>
    <w:p w14:paraId="562B3715">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加油机采用防爆型自动计量加油机。</w:t>
      </w:r>
    </w:p>
    <w:p w14:paraId="034FAE77">
      <w:pPr>
        <w:wordWrap w:val="0"/>
        <w:adjustRightInd w:val="0"/>
        <w:snapToGrid w:val="0"/>
        <w:spacing w:line="560" w:lineRule="exact"/>
        <w:ind w:firstLine="560" w:firstLineChars="200"/>
        <w:textAlignment w:val="center"/>
        <w:rPr>
          <w:rFonts w:hint="default" w:ascii="Times New Roman" w:hAnsi="Times New Roman" w:eastAsia="宋体" w:cs="Times New Roman"/>
          <w:color w:val="auto"/>
          <w:sz w:val="28"/>
          <w:szCs w:val="28"/>
          <w:lang w:val="en-US" w:eastAsia="zh-CN"/>
        </w:rPr>
      </w:pPr>
      <w:r>
        <w:rPr>
          <w:rFonts w:hint="eastAsia"/>
          <w:color w:val="auto"/>
          <w:sz w:val="28"/>
          <w:szCs w:val="28"/>
        </w:rPr>
        <w:t>加油站罩棚顶为接闪装置，周围建筑物、所有设施均在防雷有效保护范围内，防雷</w:t>
      </w:r>
      <w:r>
        <w:rPr>
          <w:rFonts w:hint="eastAsia" w:ascii="Times New Roman" w:hAnsi="Times New Roman" w:eastAsia="宋体" w:cs="Times New Roman"/>
          <w:color w:val="auto"/>
          <w:sz w:val="28"/>
          <w:szCs w:val="28"/>
        </w:rPr>
        <w:t>装置经</w:t>
      </w:r>
      <w:r>
        <w:rPr>
          <w:rFonts w:hint="eastAsia" w:ascii="Times New Roman" w:hAnsi="Times New Roman" w:eastAsia="宋体" w:cs="Times New Roman"/>
          <w:color w:val="auto"/>
          <w:sz w:val="28"/>
          <w:szCs w:val="28"/>
          <w:lang w:val="en-US" w:eastAsia="zh-CN"/>
        </w:rPr>
        <w:t>上饶市宏欣科技有限公司检测合格，有效日期至2026年5月3日。</w:t>
      </w:r>
    </w:p>
    <w:p w14:paraId="64A9A96A">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站内采用地沟式电缆敷设到用电设备。</w:t>
      </w:r>
    </w:p>
    <w:p w14:paraId="768B0219">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3、劳动保护用品</w:t>
      </w:r>
    </w:p>
    <w:p w14:paraId="1B0DC453">
      <w:pPr>
        <w:wordWrap w:val="0"/>
        <w:adjustRightInd w:val="0"/>
        <w:snapToGrid w:val="0"/>
        <w:spacing w:line="560" w:lineRule="exact"/>
        <w:ind w:firstLine="560" w:firstLineChars="200"/>
        <w:textAlignment w:val="center"/>
        <w:rPr>
          <w:rFonts w:hint="eastAsia"/>
          <w:color w:val="auto"/>
          <w:sz w:val="28"/>
          <w:szCs w:val="28"/>
        </w:rPr>
      </w:pPr>
      <w:r>
        <w:rPr>
          <w:rFonts w:hint="eastAsia"/>
          <w:color w:val="auto"/>
          <w:sz w:val="28"/>
          <w:szCs w:val="28"/>
        </w:rPr>
        <w:t>劳动保护用品主要包括防静电工作服，手套等，不允许穿带钉鞋进入工作岗位。</w:t>
      </w:r>
    </w:p>
    <w:p w14:paraId="2956370C">
      <w:pPr>
        <w:wordWrap w:val="0"/>
        <w:adjustRightInd w:val="0"/>
        <w:snapToGrid w:val="0"/>
        <w:spacing w:line="560" w:lineRule="exact"/>
        <w:ind w:firstLine="560" w:firstLineChars="200"/>
        <w:textAlignment w:val="center"/>
        <w:rPr>
          <w:rFonts w:hint="eastAsia"/>
          <w:color w:val="000000"/>
          <w:sz w:val="28"/>
          <w:szCs w:val="28"/>
          <w:lang w:val="en-US" w:eastAsia="zh-CN"/>
        </w:rPr>
      </w:pPr>
      <w:r>
        <w:rPr>
          <w:rFonts w:hint="eastAsia"/>
          <w:color w:val="000000"/>
          <w:sz w:val="28"/>
          <w:szCs w:val="28"/>
          <w:lang w:val="en-US" w:eastAsia="zh-CN"/>
        </w:rPr>
        <w:t>4、供配电</w:t>
      </w:r>
    </w:p>
    <w:p w14:paraId="2724DEAA">
      <w:pPr>
        <w:pStyle w:val="29"/>
        <w:ind w:firstLine="420" w:firstLineChars="0"/>
        <w:rPr>
          <w:rFonts w:hint="eastAsia"/>
          <w:color w:val="000000"/>
          <w:sz w:val="28"/>
          <w:szCs w:val="28"/>
        </w:rPr>
      </w:pPr>
      <w:r>
        <w:rPr>
          <w:sz w:val="28"/>
          <w:szCs w:val="28"/>
        </w:rPr>
        <w:t>电源从</w:t>
      </w:r>
      <w:r>
        <w:rPr>
          <w:rFonts w:hint="eastAsia"/>
          <w:sz w:val="28"/>
          <w:szCs w:val="28"/>
          <w:lang w:val="en-US" w:eastAsia="zh-CN"/>
        </w:rPr>
        <w:t>本地村里的</w:t>
      </w:r>
      <w:r>
        <w:rPr>
          <w:rFonts w:hint="eastAsia"/>
          <w:sz w:val="28"/>
          <w:szCs w:val="28"/>
        </w:rPr>
        <w:t>380V/220V外接电源引至位于配电间的配电箱</w:t>
      </w:r>
      <w:r>
        <w:rPr>
          <w:sz w:val="28"/>
          <w:szCs w:val="28"/>
        </w:rPr>
        <w:t>，</w:t>
      </w:r>
      <w:r>
        <w:rPr>
          <w:sz w:val="28"/>
        </w:rPr>
        <w:t>通过埋地填沙电缆沟敷设到加油机</w:t>
      </w:r>
      <w:r>
        <w:rPr>
          <w:rFonts w:hint="eastAsia"/>
          <w:sz w:val="28"/>
        </w:rPr>
        <w:t>，照明使用220V交流电压。</w:t>
      </w:r>
      <w:r>
        <w:rPr>
          <w:rFonts w:hint="eastAsia"/>
          <w:color w:val="000000"/>
          <w:sz w:val="28"/>
          <w:szCs w:val="28"/>
        </w:rPr>
        <w:t>工控设备、信息系统设置UPS电源。</w:t>
      </w:r>
    </w:p>
    <w:p w14:paraId="06EB91E7">
      <w:pPr>
        <w:wordWrap w:val="0"/>
        <w:adjustRightInd w:val="0"/>
        <w:snapToGrid w:val="0"/>
        <w:spacing w:line="560" w:lineRule="exact"/>
        <w:ind w:firstLine="560" w:firstLineChars="200"/>
        <w:textAlignment w:val="center"/>
        <w:rPr>
          <w:rFonts w:hint="eastAsia"/>
          <w:color w:val="000000"/>
          <w:sz w:val="28"/>
          <w:szCs w:val="28"/>
        </w:rPr>
      </w:pPr>
      <w:r>
        <w:rPr>
          <w:rFonts w:hint="eastAsia"/>
          <w:color w:val="000000"/>
          <w:sz w:val="28"/>
          <w:szCs w:val="28"/>
          <w:lang w:val="en-US" w:eastAsia="zh-CN"/>
        </w:rPr>
        <w:t>5</w:t>
      </w:r>
      <w:r>
        <w:rPr>
          <w:rFonts w:hint="eastAsia"/>
          <w:color w:val="000000"/>
          <w:sz w:val="28"/>
          <w:szCs w:val="28"/>
        </w:rPr>
        <w:t>、给排水</w:t>
      </w:r>
    </w:p>
    <w:p w14:paraId="66453CAA">
      <w:pPr>
        <w:wordWrap w:val="0"/>
        <w:adjustRightInd w:val="0"/>
        <w:snapToGrid w:val="0"/>
        <w:spacing w:line="560" w:lineRule="exact"/>
        <w:ind w:firstLine="570"/>
        <w:textAlignment w:val="center"/>
        <w:rPr>
          <w:color w:val="000000"/>
          <w:sz w:val="28"/>
          <w:szCs w:val="28"/>
        </w:rPr>
      </w:pPr>
      <w:r>
        <w:rPr>
          <w:rFonts w:hint="eastAsia"/>
          <w:color w:val="000000"/>
          <w:sz w:val="28"/>
          <w:szCs w:val="28"/>
        </w:rPr>
        <w:t>加油站的经营、生活用水由当地自来水管网供给。该站</w:t>
      </w:r>
      <w:r>
        <w:rPr>
          <w:rFonts w:hint="eastAsia"/>
          <w:color w:val="000000"/>
          <w:sz w:val="28"/>
          <w:szCs w:val="28"/>
          <w:lang w:val="en-US" w:eastAsia="zh-CN"/>
        </w:rPr>
        <w:t>日常经营</w:t>
      </w:r>
      <w:r>
        <w:rPr>
          <w:rFonts w:hint="eastAsia"/>
          <w:color w:val="000000"/>
          <w:sz w:val="28"/>
          <w:szCs w:val="28"/>
        </w:rPr>
        <w:t>不产生生产污水，生活污水与雨水</w:t>
      </w:r>
      <w:r>
        <w:rPr>
          <w:rFonts w:hint="eastAsia"/>
          <w:color w:val="000000"/>
          <w:sz w:val="28"/>
          <w:szCs w:val="28"/>
          <w:lang w:val="en-US" w:eastAsia="zh-CN"/>
        </w:rPr>
        <w:t>就地排出</w:t>
      </w:r>
      <w:r>
        <w:rPr>
          <w:rFonts w:hint="eastAsia"/>
          <w:color w:val="000000"/>
          <w:sz w:val="28"/>
          <w:szCs w:val="28"/>
        </w:rPr>
        <w:t>站外。</w:t>
      </w:r>
    </w:p>
    <w:p w14:paraId="752A1DB1">
      <w:pPr>
        <w:pStyle w:val="3"/>
        <w:bidi w:val="0"/>
        <w:rPr>
          <w:rFonts w:hint="eastAsia"/>
          <w:lang w:val="en-US" w:eastAsia="zh-CN"/>
        </w:rPr>
      </w:pPr>
      <w:bookmarkStart w:id="74" w:name="_Toc20930"/>
      <w:r>
        <w:rPr>
          <w:rFonts w:hint="eastAsia"/>
          <w:lang w:val="en-US" w:eastAsia="zh-CN"/>
        </w:rPr>
        <w:t>2.5安全管理体系</w:t>
      </w:r>
      <w:bookmarkEnd w:id="74"/>
    </w:p>
    <w:p w14:paraId="68164C03">
      <w:pPr>
        <w:wordWrap w:val="0"/>
        <w:adjustRightInd w:val="0"/>
        <w:snapToGrid w:val="0"/>
        <w:spacing w:line="560" w:lineRule="exact"/>
        <w:ind w:firstLine="570"/>
        <w:textAlignment w:val="center"/>
        <w:rPr>
          <w:rFonts w:hint="eastAsia" w:ascii="Times New Roman" w:hAnsi="Times New Roman" w:eastAsia="宋体" w:cs="Times New Roman"/>
          <w:color w:val="000000"/>
          <w:sz w:val="28"/>
          <w:szCs w:val="28"/>
        </w:rPr>
      </w:pPr>
      <w:r>
        <w:rPr>
          <w:rFonts w:hint="eastAsia" w:ascii="Times New Roman" w:hAnsi="Times New Roman" w:eastAsia="宋体" w:cs="Times New Roman"/>
          <w:color w:val="000000"/>
          <w:sz w:val="28"/>
          <w:szCs w:val="28"/>
        </w:rPr>
        <w:t>该加油站主要负责人和安全管理人员共两人，经过</w:t>
      </w:r>
      <w:r>
        <w:rPr>
          <w:rFonts w:hint="eastAsia" w:cs="Times New Roman"/>
          <w:color w:val="000000"/>
          <w:sz w:val="28"/>
          <w:szCs w:val="28"/>
          <w:lang w:eastAsia="zh-CN"/>
        </w:rPr>
        <w:t>鄱阳县安全生产监督管理局</w:t>
      </w:r>
      <w:r>
        <w:rPr>
          <w:rFonts w:hint="eastAsia" w:ascii="Times New Roman" w:hAnsi="Times New Roman" w:eastAsia="宋体" w:cs="Times New Roman"/>
          <w:color w:val="000000"/>
          <w:sz w:val="28"/>
          <w:szCs w:val="28"/>
        </w:rPr>
        <w:t>培训合格。该加油站人员取证情况见表2.6-1所示。</w:t>
      </w:r>
    </w:p>
    <w:p w14:paraId="6ECA4E84">
      <w:pPr>
        <w:pStyle w:val="41"/>
        <w:spacing w:line="360" w:lineRule="auto"/>
        <w:rPr>
          <w:rFonts w:hint="eastAsia" w:cs="Times New Roman"/>
          <w:color w:val="000000"/>
          <w:szCs w:val="28"/>
        </w:rPr>
      </w:pPr>
      <w:r>
        <w:rPr>
          <w:rFonts w:hint="eastAsia" w:cs="Times New Roman"/>
        </w:rPr>
        <w:t>表2.</w:t>
      </w:r>
      <w:r>
        <w:rPr>
          <w:rFonts w:hint="eastAsia" w:cs="Times New Roman"/>
          <w:lang w:val="en-US" w:eastAsia="zh-CN"/>
        </w:rPr>
        <w:t>5</w:t>
      </w:r>
      <w:r>
        <w:rPr>
          <w:rFonts w:hint="eastAsia" w:cs="Times New Roman"/>
        </w:rPr>
        <w:t>-1人员取证情况</w:t>
      </w:r>
    </w:p>
    <w:tbl>
      <w:tblPr>
        <w:tblStyle w:val="20"/>
        <w:tblW w:w="0" w:type="auto"/>
        <w:tblInd w:w="1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975"/>
        <w:gridCol w:w="2025"/>
        <w:gridCol w:w="2123"/>
        <w:gridCol w:w="1582"/>
        <w:gridCol w:w="1215"/>
        <w:gridCol w:w="571"/>
      </w:tblGrid>
      <w:tr w14:paraId="012F5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center"/>
          </w:tcPr>
          <w:p w14:paraId="1A566997">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序号</w:t>
            </w:r>
          </w:p>
        </w:tc>
        <w:tc>
          <w:tcPr>
            <w:tcW w:w="975" w:type="dxa"/>
            <w:noWrap w:val="0"/>
            <w:vAlign w:val="center"/>
          </w:tcPr>
          <w:p w14:paraId="5D037CFA">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姓名</w:t>
            </w:r>
          </w:p>
        </w:tc>
        <w:tc>
          <w:tcPr>
            <w:tcW w:w="2025" w:type="dxa"/>
            <w:noWrap w:val="0"/>
            <w:vAlign w:val="center"/>
          </w:tcPr>
          <w:p w14:paraId="0EA77DF0">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行业类别</w:t>
            </w:r>
          </w:p>
        </w:tc>
        <w:tc>
          <w:tcPr>
            <w:tcW w:w="2123" w:type="dxa"/>
            <w:noWrap w:val="0"/>
            <w:vAlign w:val="center"/>
          </w:tcPr>
          <w:p w14:paraId="67806C19">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证件编号</w:t>
            </w:r>
          </w:p>
        </w:tc>
        <w:tc>
          <w:tcPr>
            <w:tcW w:w="1582" w:type="dxa"/>
            <w:noWrap w:val="0"/>
            <w:vAlign w:val="center"/>
          </w:tcPr>
          <w:p w14:paraId="4A5E0513">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发证单位</w:t>
            </w:r>
          </w:p>
        </w:tc>
        <w:tc>
          <w:tcPr>
            <w:tcW w:w="1215" w:type="dxa"/>
            <w:noWrap w:val="0"/>
            <w:vAlign w:val="center"/>
          </w:tcPr>
          <w:p w14:paraId="1B52237A">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有效期至</w:t>
            </w:r>
          </w:p>
        </w:tc>
        <w:tc>
          <w:tcPr>
            <w:tcW w:w="571" w:type="dxa"/>
            <w:noWrap w:val="0"/>
            <w:vAlign w:val="center"/>
          </w:tcPr>
          <w:p w14:paraId="466EF33A">
            <w:pPr>
              <w:spacing w:line="340" w:lineRule="exact"/>
              <w:jc w:val="center"/>
              <w:rPr>
                <w:rFonts w:hint="eastAsia"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备注</w:t>
            </w:r>
          </w:p>
        </w:tc>
      </w:tr>
      <w:tr w14:paraId="113C2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center"/>
          </w:tcPr>
          <w:p w14:paraId="074734EB">
            <w:pPr>
              <w:spacing w:line="34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c>
          <w:tcPr>
            <w:tcW w:w="975" w:type="dxa"/>
            <w:noWrap w:val="0"/>
            <w:vAlign w:val="center"/>
          </w:tcPr>
          <w:p w14:paraId="037E481C">
            <w:pPr>
              <w:spacing w:line="3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徐培阳</w:t>
            </w:r>
          </w:p>
        </w:tc>
        <w:tc>
          <w:tcPr>
            <w:tcW w:w="2025" w:type="dxa"/>
            <w:noWrap w:val="0"/>
            <w:vAlign w:val="center"/>
          </w:tcPr>
          <w:p w14:paraId="5C44A96D">
            <w:pPr>
              <w:spacing w:line="34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危险化学品经营主要负责人</w:t>
            </w:r>
          </w:p>
        </w:tc>
        <w:tc>
          <w:tcPr>
            <w:tcW w:w="2123" w:type="dxa"/>
            <w:noWrap w:val="0"/>
            <w:vAlign w:val="center"/>
          </w:tcPr>
          <w:p w14:paraId="0792576F">
            <w:pPr>
              <w:spacing w:line="340" w:lineRule="exact"/>
              <w:jc w:val="center"/>
              <w:rPr>
                <w:rFonts w:hint="default" w:ascii="Times New Roman" w:hAnsi="宋体" w:eastAsia="宋体" w:cs="Times New Roman"/>
                <w:color w:val="000000"/>
                <w:sz w:val="21"/>
                <w:szCs w:val="21"/>
                <w:lang w:val="en-US"/>
              </w:rPr>
            </w:pPr>
            <w:r>
              <w:rPr>
                <w:rFonts w:hint="eastAsia" w:ascii="Times New Roman" w:hAnsi="宋体" w:eastAsia="宋体" w:cs="Times New Roman"/>
                <w:color w:val="000000"/>
                <w:sz w:val="21"/>
                <w:szCs w:val="21"/>
                <w:lang w:val="en-US" w:eastAsia="zh-CN"/>
              </w:rPr>
              <w:t>362330197212010076</w:t>
            </w:r>
          </w:p>
        </w:tc>
        <w:tc>
          <w:tcPr>
            <w:tcW w:w="1582" w:type="dxa"/>
            <w:noWrap w:val="0"/>
            <w:vAlign w:val="center"/>
          </w:tcPr>
          <w:p w14:paraId="18FA7681">
            <w:pPr>
              <w:spacing w:line="340" w:lineRule="exact"/>
              <w:jc w:val="center"/>
              <w:rPr>
                <w:rFonts w:hint="eastAsia" w:ascii="Times New Roman" w:hAnsi="宋体" w:eastAsia="宋体" w:cs="Times New Roman"/>
                <w:color w:val="000000"/>
                <w:sz w:val="21"/>
                <w:szCs w:val="21"/>
              </w:rPr>
            </w:pPr>
            <w:r>
              <w:rPr>
                <w:rFonts w:hint="eastAsia" w:ascii="Times New Roman" w:hAnsi="宋体" w:eastAsia="宋体" w:cs="Times New Roman"/>
                <w:color w:val="000000"/>
                <w:sz w:val="21"/>
                <w:szCs w:val="21"/>
                <w:lang w:val="en-US" w:eastAsia="zh-CN"/>
              </w:rPr>
              <w:t>鄱阳县安全生产监督管理局</w:t>
            </w:r>
          </w:p>
        </w:tc>
        <w:tc>
          <w:tcPr>
            <w:tcW w:w="1215" w:type="dxa"/>
            <w:noWrap w:val="0"/>
            <w:vAlign w:val="center"/>
          </w:tcPr>
          <w:p w14:paraId="0164510F">
            <w:pPr>
              <w:spacing w:line="340" w:lineRule="exact"/>
              <w:jc w:val="center"/>
              <w:rPr>
                <w:rFonts w:hint="default" w:ascii="Times New Roman" w:hAnsi="宋体" w:eastAsia="宋体" w:cs="Times New Roman"/>
                <w:color w:val="000000"/>
                <w:sz w:val="21"/>
                <w:szCs w:val="21"/>
                <w:lang w:val="en-US" w:eastAsia="zh-CN"/>
              </w:rPr>
            </w:pPr>
            <w:r>
              <w:rPr>
                <w:rFonts w:hint="eastAsia" w:ascii="Times New Roman" w:hAnsi="宋体" w:eastAsia="宋体" w:cs="Times New Roman"/>
                <w:color w:val="000000"/>
                <w:sz w:val="21"/>
                <w:szCs w:val="21"/>
              </w:rPr>
              <w:t>202</w:t>
            </w:r>
            <w:r>
              <w:rPr>
                <w:rFonts w:hint="eastAsia" w:hAnsi="宋体" w:cs="Times New Roman"/>
                <w:color w:val="000000"/>
                <w:sz w:val="21"/>
                <w:szCs w:val="21"/>
                <w:lang w:val="en-US" w:eastAsia="zh-CN"/>
              </w:rPr>
              <w:t>6</w:t>
            </w:r>
            <w:r>
              <w:rPr>
                <w:rFonts w:hint="eastAsia" w:ascii="Times New Roman" w:hAnsi="宋体" w:eastAsia="宋体" w:cs="Times New Roman"/>
                <w:color w:val="000000"/>
                <w:sz w:val="21"/>
                <w:szCs w:val="21"/>
              </w:rPr>
              <w:t>-0</w:t>
            </w:r>
            <w:r>
              <w:rPr>
                <w:rFonts w:hint="eastAsia" w:ascii="Times New Roman" w:hAnsi="宋体" w:eastAsia="宋体" w:cs="Times New Roman"/>
                <w:color w:val="000000"/>
                <w:sz w:val="21"/>
                <w:szCs w:val="21"/>
                <w:lang w:val="en-US" w:eastAsia="zh-CN"/>
              </w:rPr>
              <w:t>8</w:t>
            </w:r>
            <w:r>
              <w:rPr>
                <w:rFonts w:hint="eastAsia" w:ascii="Times New Roman" w:hAnsi="宋体" w:eastAsia="宋体" w:cs="Times New Roman"/>
                <w:color w:val="000000"/>
                <w:sz w:val="21"/>
                <w:szCs w:val="21"/>
              </w:rPr>
              <w:t>-</w:t>
            </w:r>
            <w:r>
              <w:rPr>
                <w:rFonts w:hint="eastAsia" w:ascii="Times New Roman" w:hAnsi="宋体" w:eastAsia="宋体" w:cs="Times New Roman"/>
                <w:color w:val="000000"/>
                <w:sz w:val="21"/>
                <w:szCs w:val="21"/>
                <w:lang w:val="en-US" w:eastAsia="zh-CN"/>
              </w:rPr>
              <w:t>22</w:t>
            </w:r>
          </w:p>
        </w:tc>
        <w:tc>
          <w:tcPr>
            <w:tcW w:w="571" w:type="dxa"/>
            <w:noWrap w:val="0"/>
            <w:vAlign w:val="center"/>
          </w:tcPr>
          <w:p w14:paraId="12991F06">
            <w:pPr>
              <w:spacing w:line="340" w:lineRule="exact"/>
              <w:jc w:val="center"/>
              <w:rPr>
                <w:rFonts w:hint="eastAsia" w:ascii="Times New Roman" w:hAnsi="Times New Roman" w:eastAsia="宋体" w:cs="Times New Roman"/>
                <w:color w:val="000000"/>
                <w:sz w:val="21"/>
                <w:szCs w:val="21"/>
              </w:rPr>
            </w:pPr>
          </w:p>
        </w:tc>
      </w:tr>
      <w:tr w14:paraId="7F90C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center"/>
          </w:tcPr>
          <w:p w14:paraId="5E3C17B7">
            <w:pPr>
              <w:spacing w:line="34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w:t>
            </w:r>
          </w:p>
        </w:tc>
        <w:tc>
          <w:tcPr>
            <w:tcW w:w="975" w:type="dxa"/>
            <w:noWrap w:val="0"/>
            <w:vAlign w:val="center"/>
          </w:tcPr>
          <w:p w14:paraId="71956C6C">
            <w:pPr>
              <w:spacing w:line="34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徐耀进</w:t>
            </w:r>
          </w:p>
        </w:tc>
        <w:tc>
          <w:tcPr>
            <w:tcW w:w="2025" w:type="dxa"/>
            <w:noWrap w:val="0"/>
            <w:vAlign w:val="center"/>
          </w:tcPr>
          <w:p w14:paraId="47DBCF01">
            <w:pPr>
              <w:spacing w:line="340" w:lineRule="exact"/>
              <w:jc w:val="center"/>
              <w:rPr>
                <w:rFonts w:hint="eastAsia" w:ascii="Times New Roman" w:hAnsi="Times New Roman" w:eastAsia="宋体" w:cs="Times New Roman"/>
                <w:color w:val="000000"/>
                <w:sz w:val="21"/>
                <w:szCs w:val="21"/>
              </w:rPr>
            </w:pPr>
            <w:r>
              <w:rPr>
                <w:rFonts w:hint="eastAsia" w:ascii="宋体" w:hAnsi="宋体" w:eastAsia="宋体" w:cs="宋体"/>
                <w:color w:val="000000"/>
                <w:sz w:val="21"/>
                <w:szCs w:val="21"/>
              </w:rPr>
              <w:t>危险化学品经营</w:t>
            </w:r>
            <w:r>
              <w:rPr>
                <w:rFonts w:hint="eastAsia" w:ascii="Times New Roman" w:hAnsi="Times New Roman" w:eastAsia="宋体" w:cs="Times New Roman"/>
                <w:color w:val="000000"/>
                <w:sz w:val="21"/>
                <w:szCs w:val="21"/>
              </w:rPr>
              <w:t>安全生产管理人员</w:t>
            </w:r>
          </w:p>
        </w:tc>
        <w:tc>
          <w:tcPr>
            <w:tcW w:w="2123" w:type="dxa"/>
            <w:noWrap w:val="0"/>
            <w:vAlign w:val="center"/>
          </w:tcPr>
          <w:p w14:paraId="6F9BAE7A">
            <w:pPr>
              <w:spacing w:line="340" w:lineRule="exact"/>
              <w:jc w:val="center"/>
              <w:rPr>
                <w:rFonts w:hint="default" w:ascii="Times New Roman" w:hAnsi="宋体" w:eastAsia="宋体" w:cs="Times New Roman"/>
                <w:color w:val="000000"/>
                <w:sz w:val="21"/>
                <w:szCs w:val="21"/>
                <w:lang w:val="en-US" w:eastAsia="zh-CN"/>
              </w:rPr>
            </w:pPr>
            <w:r>
              <w:rPr>
                <w:rFonts w:hint="eastAsia" w:ascii="Times New Roman" w:hAnsi="宋体" w:eastAsia="宋体" w:cs="Times New Roman"/>
                <w:color w:val="000000"/>
                <w:sz w:val="21"/>
                <w:szCs w:val="21"/>
                <w:lang w:val="en-US" w:eastAsia="zh-CN"/>
              </w:rPr>
              <w:t>362330196503270236</w:t>
            </w:r>
          </w:p>
        </w:tc>
        <w:tc>
          <w:tcPr>
            <w:tcW w:w="1582" w:type="dxa"/>
            <w:noWrap w:val="0"/>
            <w:vAlign w:val="center"/>
          </w:tcPr>
          <w:p w14:paraId="2568F473">
            <w:pPr>
              <w:spacing w:line="340" w:lineRule="exact"/>
              <w:jc w:val="center"/>
              <w:rPr>
                <w:rFonts w:hint="default" w:ascii="Times New Roman" w:hAnsi="宋体" w:eastAsia="宋体" w:cs="Times New Roman"/>
                <w:color w:val="000000"/>
                <w:sz w:val="21"/>
                <w:szCs w:val="21"/>
                <w:lang w:val="en-US" w:eastAsia="zh-CN"/>
              </w:rPr>
            </w:pPr>
            <w:r>
              <w:rPr>
                <w:rFonts w:hint="eastAsia" w:ascii="Times New Roman" w:hAnsi="宋体" w:eastAsia="宋体" w:cs="Times New Roman"/>
                <w:color w:val="000000"/>
                <w:sz w:val="21"/>
                <w:szCs w:val="21"/>
                <w:lang w:val="en-US" w:eastAsia="zh-CN"/>
              </w:rPr>
              <w:t>鄱阳县安全生产监督管理局</w:t>
            </w:r>
          </w:p>
        </w:tc>
        <w:tc>
          <w:tcPr>
            <w:tcW w:w="1215" w:type="dxa"/>
            <w:noWrap w:val="0"/>
            <w:vAlign w:val="center"/>
          </w:tcPr>
          <w:p w14:paraId="2DFA15FD">
            <w:pPr>
              <w:spacing w:line="340" w:lineRule="exact"/>
              <w:jc w:val="center"/>
              <w:rPr>
                <w:rFonts w:hint="default" w:ascii="Times New Roman" w:hAnsi="宋体" w:eastAsia="宋体" w:cs="Times New Roman"/>
                <w:color w:val="000000"/>
                <w:sz w:val="21"/>
                <w:szCs w:val="21"/>
                <w:lang w:val="en-US" w:eastAsia="zh-CN"/>
              </w:rPr>
            </w:pPr>
            <w:r>
              <w:rPr>
                <w:rFonts w:hint="eastAsia" w:ascii="Times New Roman" w:hAnsi="宋体" w:eastAsia="宋体" w:cs="Times New Roman"/>
                <w:color w:val="000000"/>
                <w:sz w:val="21"/>
                <w:szCs w:val="21"/>
              </w:rPr>
              <w:t>20</w:t>
            </w:r>
            <w:r>
              <w:rPr>
                <w:rFonts w:hint="eastAsia" w:ascii="Times New Roman" w:hAnsi="宋体" w:eastAsia="宋体" w:cs="Times New Roman"/>
                <w:color w:val="000000"/>
                <w:sz w:val="21"/>
                <w:szCs w:val="21"/>
                <w:lang w:val="en-US" w:eastAsia="zh-CN"/>
              </w:rPr>
              <w:t>2</w:t>
            </w:r>
            <w:r>
              <w:rPr>
                <w:rFonts w:hint="eastAsia" w:hAnsi="宋体" w:cs="Times New Roman"/>
                <w:color w:val="000000"/>
                <w:sz w:val="21"/>
                <w:szCs w:val="21"/>
                <w:lang w:val="en-US" w:eastAsia="zh-CN"/>
              </w:rPr>
              <w:t>6</w:t>
            </w:r>
            <w:r>
              <w:rPr>
                <w:rFonts w:hint="eastAsia" w:ascii="Times New Roman" w:hAnsi="宋体" w:eastAsia="宋体" w:cs="Times New Roman"/>
                <w:color w:val="000000"/>
                <w:sz w:val="21"/>
                <w:szCs w:val="21"/>
                <w:lang w:val="en-US" w:eastAsia="zh-CN"/>
              </w:rPr>
              <w:t>-08-22</w:t>
            </w:r>
          </w:p>
        </w:tc>
        <w:tc>
          <w:tcPr>
            <w:tcW w:w="571" w:type="dxa"/>
            <w:noWrap w:val="0"/>
            <w:vAlign w:val="center"/>
          </w:tcPr>
          <w:p w14:paraId="33AE749A">
            <w:pPr>
              <w:spacing w:line="340" w:lineRule="exact"/>
              <w:jc w:val="center"/>
              <w:rPr>
                <w:rFonts w:hint="eastAsia" w:ascii="Times New Roman" w:hAnsi="Times New Roman" w:eastAsia="宋体" w:cs="Times New Roman"/>
                <w:color w:val="000000"/>
                <w:sz w:val="21"/>
                <w:szCs w:val="21"/>
              </w:rPr>
            </w:pPr>
          </w:p>
        </w:tc>
      </w:tr>
    </w:tbl>
    <w:p w14:paraId="0C557655">
      <w:pPr>
        <w:bidi w:val="0"/>
        <w:ind w:firstLine="420" w:firstLineChars="0"/>
        <w:rPr>
          <w:rFonts w:hint="eastAsia"/>
        </w:rPr>
      </w:pPr>
      <w:r>
        <w:rPr>
          <w:rFonts w:hint="eastAsia"/>
        </w:rPr>
        <w:t>该加油站制定了各岗位安全生产职责，明确规定了各级领导和各岗位人员的安全生产职责和要求。</w:t>
      </w:r>
    </w:p>
    <w:p w14:paraId="79589AA7">
      <w:pPr>
        <w:pStyle w:val="41"/>
        <w:spacing w:line="360" w:lineRule="auto"/>
        <w:rPr>
          <w:rFonts w:hint="default" w:cs="Times New Roman"/>
          <w:lang w:val="en-US" w:eastAsia="zh-CN"/>
        </w:rPr>
      </w:pPr>
      <w:r>
        <w:rPr>
          <w:rFonts w:hint="eastAsia" w:cs="Times New Roman"/>
          <w:lang w:val="en-US" w:eastAsia="zh-CN"/>
        </w:rPr>
        <w:t>表2.5-2 制度、操作规程一览表</w:t>
      </w:r>
    </w:p>
    <w:tbl>
      <w:tblPr>
        <w:tblStyle w:val="20"/>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4159"/>
        <w:gridCol w:w="670"/>
        <w:gridCol w:w="3830"/>
      </w:tblGrid>
      <w:tr w14:paraId="7887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257CD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序号</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AC187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制度名称</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66686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序号</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1B6B8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制度名称</w:t>
            </w:r>
          </w:p>
        </w:tc>
      </w:tr>
      <w:tr w14:paraId="07CA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9CFA17">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28310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全员岗位安全责任制</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21BD6C">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FC4CD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危险化学品购销管理制度</w:t>
            </w:r>
          </w:p>
        </w:tc>
      </w:tr>
      <w:tr w14:paraId="7369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63FDBB">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28A88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安全生产检查制度</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0642B4">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7CED0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安全风险分级管控制度</w:t>
            </w:r>
          </w:p>
        </w:tc>
      </w:tr>
      <w:tr w14:paraId="233B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03B18A">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D2164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危险化学品安全管理制度（包括防火、防爆、防中毒、防泄漏管理内容）</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66F993">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D4BD0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职业健康与卫生管理制度</w:t>
            </w:r>
          </w:p>
        </w:tc>
      </w:tr>
      <w:tr w14:paraId="3AAA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E6A46A">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B1766D">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安全投入保障制度</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C9CFFC">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2D37D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安全生产考核奖罚制度</w:t>
            </w:r>
          </w:p>
        </w:tc>
      </w:tr>
      <w:tr w14:paraId="0447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5EBFF6">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CC28A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安全生产教育和培训制度</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7357F4">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F0496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危险作业管理制度</w:t>
            </w:r>
          </w:p>
        </w:tc>
      </w:tr>
      <w:tr w14:paraId="2BE5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CD3E3A">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D5CD6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劳动保护用品使用和管理制度</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C3D32B">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80EDD3">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安全生产隐患排查制度</w:t>
            </w:r>
          </w:p>
        </w:tc>
      </w:tr>
      <w:tr w14:paraId="40B9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D59E65">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949D2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重大隐患治理情况向负有安全生产监督管理职能部门和企业职工代表大会报告制度</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1AEE7B">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9C82F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生产安全事故报告和处理制度</w:t>
            </w:r>
          </w:p>
        </w:tc>
      </w:tr>
      <w:tr w14:paraId="0DC1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C21DA4">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ABED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生产安全事故紧急处置规程和应急预案（应急管理制度）</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B07B4E">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5ADB41">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w:t>
            </w:r>
          </w:p>
        </w:tc>
      </w:tr>
      <w:tr w14:paraId="065B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318"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905DA5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加油站作业操作规程</w:t>
            </w:r>
          </w:p>
        </w:tc>
      </w:tr>
      <w:tr w14:paraId="2F38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D4FA47">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FAF189">
            <w:pPr>
              <w:widowControl/>
              <w:spacing w:beforeLines="0" w:afterLines="0"/>
              <w:jc w:val="center"/>
              <w:rPr>
                <w:rFonts w:hint="default" w:ascii="宋体" w:hAnsi="Times New Roman" w:eastAsia="宋体" w:cs="Times New Roman"/>
                <w:color w:val="auto"/>
                <w:kern w:val="18"/>
                <w:sz w:val="21"/>
                <w:szCs w:val="21"/>
              </w:rPr>
            </w:pPr>
            <w:r>
              <w:rPr>
                <w:rFonts w:hint="default" w:ascii="宋体" w:hAnsi="Times New Roman" w:eastAsia="宋体" w:cs="Times New Roman"/>
                <w:color w:val="auto"/>
                <w:kern w:val="18"/>
                <w:sz w:val="21"/>
                <w:szCs w:val="21"/>
              </w:rPr>
              <w:t>加油操作规程</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35691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EA6256">
            <w:pPr>
              <w:widowControl/>
              <w:spacing w:beforeLines="0" w:afterLines="0"/>
              <w:jc w:val="center"/>
              <w:rPr>
                <w:rFonts w:hint="default" w:ascii="Times New Roman" w:hAnsi="Times New Roman" w:eastAsia="宋体" w:cs="Times New Roman"/>
                <w:color w:val="auto"/>
                <w:kern w:val="18"/>
                <w:sz w:val="21"/>
                <w:szCs w:val="21"/>
              </w:rPr>
            </w:pPr>
            <w:r>
              <w:rPr>
                <w:rFonts w:hint="default" w:ascii="宋体" w:hAnsi="Times New Roman" w:eastAsia="宋体" w:cs="Times New Roman"/>
                <w:color w:val="auto"/>
                <w:kern w:val="18"/>
                <w:sz w:val="21"/>
                <w:szCs w:val="21"/>
              </w:rPr>
              <w:t>计量操作规程</w:t>
            </w:r>
          </w:p>
        </w:tc>
      </w:tr>
      <w:tr w14:paraId="4EF4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8E6A4D">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958F25">
            <w:pPr>
              <w:widowControl/>
              <w:spacing w:beforeLines="0" w:afterLines="0"/>
              <w:jc w:val="center"/>
              <w:rPr>
                <w:rFonts w:hint="default" w:ascii="Times New Roman" w:hAnsi="Times New Roman" w:eastAsia="宋体" w:cs="Times New Roman"/>
                <w:color w:val="auto"/>
                <w:kern w:val="18"/>
                <w:sz w:val="21"/>
                <w:szCs w:val="21"/>
              </w:rPr>
            </w:pPr>
            <w:r>
              <w:rPr>
                <w:rFonts w:hint="default" w:ascii="宋体" w:hAnsi="Times New Roman" w:eastAsia="宋体" w:cs="Times New Roman"/>
                <w:color w:val="auto"/>
                <w:kern w:val="18"/>
                <w:sz w:val="21"/>
                <w:szCs w:val="21"/>
              </w:rPr>
              <w:t>卸油操作规程</w:t>
            </w:r>
          </w:p>
        </w:tc>
        <w:tc>
          <w:tcPr>
            <w:tcW w:w="6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D09D0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w:t>
            </w:r>
          </w:p>
        </w:tc>
        <w:tc>
          <w:tcPr>
            <w:tcW w:w="38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99FC34">
            <w:pPr>
              <w:widowControl/>
              <w:spacing w:beforeLines="0" w:afterLines="0"/>
              <w:jc w:val="center"/>
              <w:rPr>
                <w:rFonts w:hint="default" w:ascii="Times New Roman" w:hAnsi="Times New Roman" w:eastAsia="宋体" w:cs="Times New Roman"/>
                <w:color w:val="auto"/>
                <w:kern w:val="18"/>
                <w:sz w:val="21"/>
                <w:szCs w:val="21"/>
              </w:rPr>
            </w:pPr>
            <w:r>
              <w:rPr>
                <w:rFonts w:hint="default" w:ascii="宋体" w:hAnsi="Times New Roman" w:eastAsia="宋体" w:cs="Times New Roman"/>
                <w:color w:val="auto"/>
                <w:kern w:val="18"/>
                <w:sz w:val="21"/>
                <w:szCs w:val="21"/>
              </w:rPr>
              <w:t>开票操作规程</w:t>
            </w:r>
          </w:p>
        </w:tc>
      </w:tr>
    </w:tbl>
    <w:p w14:paraId="44746398">
      <w:pPr>
        <w:ind w:firstLine="42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该加油站制定了事故应急救援预案，并在鄱阳县应急管理局登记备案，备案时间为2026年4月20日，备案编号PYYJYAWH362330-2026-004。</w:t>
      </w:r>
    </w:p>
    <w:p w14:paraId="13D49E76">
      <w:pPr>
        <w:pStyle w:val="3"/>
        <w:bidi w:val="0"/>
        <w:rPr>
          <w:rFonts w:hint="eastAsia" w:eastAsia="宋体"/>
          <w:lang w:val="en-US" w:eastAsia="zh-CN"/>
        </w:rPr>
      </w:pPr>
      <w:bookmarkStart w:id="75" w:name="_Toc15149"/>
      <w:r>
        <w:rPr>
          <w:rFonts w:hint="eastAsia" w:eastAsia="宋体"/>
          <w:lang w:val="en-US" w:eastAsia="zh-CN"/>
        </w:rPr>
        <w:t>2.6加油站近三年变化情况</w:t>
      </w:r>
      <w:bookmarkEnd w:id="75"/>
    </w:p>
    <w:p w14:paraId="597A355E">
      <w:pPr>
        <w:ind w:firstLine="420" w:firstLineChars="0"/>
        <w:rPr>
          <w:rFonts w:hint="default"/>
          <w:lang w:val="en-US" w:eastAsia="zh-CN"/>
        </w:rPr>
      </w:pPr>
      <w:r>
        <w:rPr>
          <w:rFonts w:hint="eastAsia" w:eastAsia="宋体"/>
          <w:lang w:val="en-US" w:eastAsia="zh-CN"/>
        </w:rPr>
        <w:t>鄱阳县昌洲宏图加油站近三年未投入使用，处于静态管理状态</w:t>
      </w:r>
      <w:r>
        <w:rPr>
          <w:rFonts w:hint="eastAsia"/>
          <w:lang w:val="en-US" w:eastAsia="zh-CN"/>
        </w:rPr>
        <w:t>（未经营）。加油站人员管理未发生变动，站内主体设施未发生改变。</w:t>
      </w:r>
    </w:p>
    <w:p w14:paraId="7AE6CE82">
      <w:pPr>
        <w:wordWrap w:val="0"/>
        <w:adjustRightInd w:val="0"/>
        <w:snapToGrid w:val="0"/>
        <w:spacing w:line="600" w:lineRule="exact"/>
        <w:jc w:val="left"/>
        <w:textAlignment w:val="center"/>
        <w:outlineLvl w:val="9"/>
        <w:rPr>
          <w:b/>
          <w:color w:val="000000"/>
          <w:sz w:val="28"/>
          <w:szCs w:val="28"/>
        </w:rPr>
      </w:pPr>
      <w:bookmarkStart w:id="76" w:name="_Toc29767"/>
      <w:bookmarkStart w:id="77" w:name="_Toc16740"/>
      <w:bookmarkStart w:id="78" w:name="_Toc120957320"/>
      <w:bookmarkStart w:id="79" w:name="_Toc3831"/>
      <w:r>
        <w:rPr>
          <w:b/>
          <w:color w:val="000000"/>
          <w:sz w:val="28"/>
          <w:szCs w:val="28"/>
        </w:rPr>
        <w:br w:type="textWrapping"/>
      </w:r>
      <w:r>
        <w:rPr>
          <w:b/>
          <w:color w:val="000000"/>
          <w:sz w:val="28"/>
          <w:szCs w:val="28"/>
        </w:rPr>
        <w:br w:type="textWrapping"/>
      </w:r>
      <w:r>
        <w:rPr>
          <w:b/>
          <w:color w:val="000000"/>
          <w:sz w:val="28"/>
          <w:szCs w:val="28"/>
        </w:rPr>
        <w:br w:type="textWrapping"/>
      </w:r>
    </w:p>
    <w:p w14:paraId="611683F0">
      <w:pPr>
        <w:wordWrap w:val="0"/>
        <w:adjustRightInd w:val="0"/>
        <w:snapToGrid w:val="0"/>
        <w:spacing w:line="600" w:lineRule="exact"/>
        <w:jc w:val="left"/>
        <w:textAlignment w:val="center"/>
        <w:outlineLvl w:val="9"/>
        <w:rPr>
          <w:b/>
          <w:color w:val="000000"/>
          <w:sz w:val="28"/>
          <w:szCs w:val="28"/>
        </w:rPr>
      </w:pPr>
    </w:p>
    <w:p w14:paraId="79674EA7">
      <w:pPr>
        <w:wordWrap w:val="0"/>
        <w:adjustRightInd w:val="0"/>
        <w:snapToGrid w:val="0"/>
        <w:spacing w:line="600" w:lineRule="exact"/>
        <w:jc w:val="left"/>
        <w:textAlignment w:val="center"/>
        <w:outlineLvl w:val="9"/>
        <w:rPr>
          <w:b/>
          <w:color w:val="000000"/>
          <w:sz w:val="28"/>
          <w:szCs w:val="28"/>
        </w:rPr>
      </w:pPr>
    </w:p>
    <w:p w14:paraId="3EA03480">
      <w:pPr>
        <w:wordWrap w:val="0"/>
        <w:adjustRightInd w:val="0"/>
        <w:snapToGrid w:val="0"/>
        <w:spacing w:line="600" w:lineRule="exact"/>
        <w:jc w:val="left"/>
        <w:textAlignment w:val="center"/>
        <w:outlineLvl w:val="9"/>
        <w:rPr>
          <w:b/>
          <w:color w:val="000000"/>
          <w:sz w:val="28"/>
          <w:szCs w:val="28"/>
        </w:rPr>
      </w:pPr>
    </w:p>
    <w:p w14:paraId="4EB6C314">
      <w:pPr>
        <w:wordWrap w:val="0"/>
        <w:adjustRightInd w:val="0"/>
        <w:snapToGrid w:val="0"/>
        <w:spacing w:line="600" w:lineRule="exact"/>
        <w:jc w:val="left"/>
        <w:textAlignment w:val="center"/>
        <w:outlineLvl w:val="9"/>
        <w:rPr>
          <w:b/>
          <w:color w:val="000000"/>
          <w:sz w:val="28"/>
          <w:szCs w:val="28"/>
        </w:rPr>
      </w:pPr>
    </w:p>
    <w:p w14:paraId="522B14E1">
      <w:pPr>
        <w:wordWrap w:val="0"/>
        <w:adjustRightInd w:val="0"/>
        <w:snapToGrid w:val="0"/>
        <w:spacing w:line="600" w:lineRule="exact"/>
        <w:jc w:val="left"/>
        <w:textAlignment w:val="center"/>
        <w:outlineLvl w:val="9"/>
        <w:rPr>
          <w:b/>
          <w:color w:val="000000"/>
          <w:sz w:val="28"/>
          <w:szCs w:val="28"/>
        </w:rPr>
      </w:pPr>
    </w:p>
    <w:p w14:paraId="74BDB159">
      <w:pPr>
        <w:wordWrap w:val="0"/>
        <w:adjustRightInd w:val="0"/>
        <w:snapToGrid w:val="0"/>
        <w:spacing w:line="600" w:lineRule="exact"/>
        <w:jc w:val="left"/>
        <w:textAlignment w:val="center"/>
        <w:outlineLvl w:val="9"/>
        <w:rPr>
          <w:b/>
          <w:color w:val="000000"/>
          <w:sz w:val="28"/>
          <w:szCs w:val="28"/>
        </w:rPr>
      </w:pPr>
    </w:p>
    <w:p w14:paraId="62A76D42">
      <w:pPr>
        <w:wordWrap w:val="0"/>
        <w:adjustRightInd w:val="0"/>
        <w:snapToGrid w:val="0"/>
        <w:spacing w:line="600" w:lineRule="exact"/>
        <w:jc w:val="left"/>
        <w:textAlignment w:val="center"/>
        <w:outlineLvl w:val="9"/>
        <w:rPr>
          <w:b/>
          <w:color w:val="000000"/>
          <w:sz w:val="28"/>
          <w:szCs w:val="28"/>
        </w:rPr>
      </w:pPr>
    </w:p>
    <w:p w14:paraId="320BB915">
      <w:pPr>
        <w:wordWrap w:val="0"/>
        <w:adjustRightInd w:val="0"/>
        <w:snapToGrid w:val="0"/>
        <w:spacing w:line="600" w:lineRule="exact"/>
        <w:jc w:val="left"/>
        <w:textAlignment w:val="center"/>
        <w:outlineLvl w:val="9"/>
        <w:rPr>
          <w:b/>
          <w:color w:val="000000"/>
          <w:sz w:val="28"/>
          <w:szCs w:val="28"/>
        </w:rPr>
      </w:pPr>
    </w:p>
    <w:p w14:paraId="4B19C842">
      <w:pPr>
        <w:wordWrap w:val="0"/>
        <w:adjustRightInd w:val="0"/>
        <w:snapToGrid w:val="0"/>
        <w:spacing w:line="600" w:lineRule="exact"/>
        <w:jc w:val="left"/>
        <w:textAlignment w:val="center"/>
        <w:outlineLvl w:val="9"/>
        <w:rPr>
          <w:b/>
          <w:color w:val="000000"/>
          <w:sz w:val="28"/>
          <w:szCs w:val="28"/>
        </w:rPr>
      </w:pPr>
      <w:r>
        <w:rPr>
          <w:b/>
          <w:color w:val="000000"/>
          <w:sz w:val="28"/>
          <w:szCs w:val="28"/>
        </w:rPr>
        <w:br w:type="textWrapping"/>
      </w:r>
    </w:p>
    <w:p w14:paraId="4F2BA9D2">
      <w:pPr>
        <w:wordWrap w:val="0"/>
        <w:adjustRightInd w:val="0"/>
        <w:snapToGrid w:val="0"/>
        <w:spacing w:line="600" w:lineRule="exact"/>
        <w:jc w:val="left"/>
        <w:textAlignment w:val="center"/>
        <w:outlineLvl w:val="9"/>
        <w:rPr>
          <w:b/>
          <w:color w:val="000000"/>
          <w:sz w:val="28"/>
          <w:szCs w:val="28"/>
        </w:rPr>
      </w:pPr>
    </w:p>
    <w:p w14:paraId="468B1E88">
      <w:pPr>
        <w:wordWrap w:val="0"/>
        <w:adjustRightInd w:val="0"/>
        <w:snapToGrid w:val="0"/>
        <w:spacing w:line="600" w:lineRule="exact"/>
        <w:jc w:val="left"/>
        <w:textAlignment w:val="center"/>
        <w:outlineLvl w:val="0"/>
        <w:rPr>
          <w:b/>
          <w:color w:val="000000"/>
          <w:sz w:val="28"/>
          <w:szCs w:val="28"/>
        </w:rPr>
      </w:pPr>
      <w:bookmarkStart w:id="80" w:name="_Toc32598"/>
      <w:r>
        <w:rPr>
          <w:b/>
          <w:color w:val="000000"/>
          <w:sz w:val="28"/>
          <w:szCs w:val="28"/>
        </w:rPr>
        <w:br w:type="textWrapping"/>
      </w:r>
      <w:r>
        <w:rPr>
          <w:b/>
          <w:color w:val="000000"/>
          <w:sz w:val="28"/>
          <w:szCs w:val="28"/>
        </w:rPr>
        <w:br w:type="textWrapping"/>
      </w:r>
      <w:r>
        <w:rPr>
          <w:b/>
          <w:color w:val="000000"/>
          <w:sz w:val="28"/>
          <w:szCs w:val="28"/>
        </w:rPr>
        <w:br w:type="textWrapping"/>
      </w:r>
      <w:r>
        <w:rPr>
          <w:b/>
          <w:color w:val="000000"/>
          <w:sz w:val="28"/>
          <w:szCs w:val="28"/>
        </w:rPr>
        <w:t>3主要危险、有害因素分析</w:t>
      </w:r>
      <w:bookmarkEnd w:id="76"/>
      <w:bookmarkEnd w:id="77"/>
      <w:bookmarkEnd w:id="78"/>
      <w:bookmarkEnd w:id="79"/>
      <w:bookmarkEnd w:id="80"/>
    </w:p>
    <w:p w14:paraId="1D03C847">
      <w:pPr>
        <w:keepNext/>
        <w:keepLines/>
        <w:widowControl w:val="0"/>
        <w:bidi w:val="0"/>
        <w:spacing w:beforeLines="0" w:beforeAutospacing="0" w:afterLines="0" w:afterAutospacing="0" w:line="580" w:lineRule="exact"/>
        <w:jc w:val="both"/>
        <w:outlineLvl w:val="1"/>
        <w:rPr>
          <w:rFonts w:ascii="Times New Roman" w:hAnsi="Times New Roman" w:eastAsia="t" w:cs="Times New Roman"/>
          <w:b/>
          <w:color w:val="000000"/>
          <w:kern w:val="2"/>
          <w:sz w:val="28"/>
          <w:szCs w:val="28"/>
          <w:lang w:val="en-US" w:eastAsia="zh-CN" w:bidi="ar-SA"/>
        </w:rPr>
      </w:pPr>
      <w:bookmarkStart w:id="81" w:name="_Toc350517379"/>
      <w:bookmarkStart w:id="82" w:name="_Toc120957321"/>
      <w:bookmarkStart w:id="83" w:name="_Toc14127"/>
      <w:bookmarkStart w:id="84" w:name="_Toc20240"/>
      <w:r>
        <w:rPr>
          <w:rFonts w:ascii="Times New Roman" w:hAnsi="Times New Roman" w:eastAsia="t" w:cs="Times New Roman"/>
          <w:b/>
          <w:color w:val="000000"/>
          <w:kern w:val="2"/>
          <w:sz w:val="28"/>
          <w:szCs w:val="28"/>
          <w:lang w:val="en-US" w:eastAsia="zh-CN" w:bidi="ar-SA"/>
        </w:rPr>
        <w:t>3.1物料的危险、有害因素分析</w:t>
      </w:r>
      <w:bookmarkEnd w:id="81"/>
      <w:bookmarkEnd w:id="82"/>
      <w:bookmarkEnd w:id="83"/>
      <w:bookmarkEnd w:id="84"/>
    </w:p>
    <w:p w14:paraId="32200BFC">
      <w:pPr>
        <w:pStyle w:val="29"/>
        <w:spacing w:line="600" w:lineRule="exact"/>
        <w:ind w:firstLine="420" w:firstLineChars="0"/>
        <w:jc w:val="both"/>
        <w:rPr>
          <w:sz w:val="28"/>
          <w:szCs w:val="28"/>
        </w:rPr>
      </w:pPr>
      <w:r>
        <w:rPr>
          <w:rFonts w:hint="eastAsia"/>
          <w:sz w:val="28"/>
          <w:szCs w:val="28"/>
          <w:lang w:val="en-US" w:eastAsia="zh-CN"/>
        </w:rPr>
        <w:t>根据《危险化学品目录》（2026修订版）</w:t>
      </w:r>
      <w:r>
        <w:rPr>
          <w:rFonts w:hint="eastAsia"/>
          <w:sz w:val="28"/>
          <w:szCs w:val="28"/>
        </w:rPr>
        <w:t>建设项目</w:t>
      </w:r>
      <w:r>
        <w:rPr>
          <w:sz w:val="28"/>
          <w:szCs w:val="28"/>
        </w:rPr>
        <w:t>的危险化学品物质是汽油和柴油，汽油和柴油危险特性见下表所示。主要危险物质的特性如下：</w:t>
      </w:r>
    </w:p>
    <w:p w14:paraId="75B82057">
      <w:pPr>
        <w:keepNext w:val="0"/>
        <w:keepLines w:val="0"/>
        <w:widowControl w:val="0"/>
        <w:suppressLineNumbers w:val="0"/>
        <w:spacing w:before="0" w:beforeAutospacing="0" w:after="0" w:afterAutospacing="0" w:line="600" w:lineRule="exact"/>
        <w:ind w:left="0" w:right="0" w:firstLine="482" w:firstLineChars="200"/>
        <w:jc w:val="center"/>
        <w:rPr>
          <w:rFonts w:hint="eastAsia" w:ascii="Times New Roman" w:hAnsi="Times New Roman" w:eastAsia="宋体" w:cs="Times New Roman"/>
          <w:b/>
          <w:bCs/>
          <w:color w:val="auto"/>
          <w:kern w:val="2"/>
          <w:sz w:val="24"/>
          <w:szCs w:val="24"/>
        </w:rPr>
      </w:pPr>
      <w:r>
        <w:rPr>
          <w:rFonts w:hint="eastAsia" w:ascii="宋体" w:hAnsi="宋体" w:eastAsia="宋体" w:cs="宋体"/>
          <w:b/>
          <w:bCs/>
          <w:color w:val="auto"/>
          <w:kern w:val="2"/>
          <w:sz w:val="24"/>
          <w:szCs w:val="24"/>
          <w:lang w:val="en-US" w:eastAsia="zh-CN" w:bidi="ar"/>
        </w:rPr>
        <w:t>危险化学品物料危险特性表</w:t>
      </w:r>
    </w:p>
    <w:tbl>
      <w:tblPr>
        <w:tblStyle w:val="20"/>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59"/>
        <w:gridCol w:w="669"/>
        <w:gridCol w:w="589"/>
        <w:gridCol w:w="1118"/>
        <w:gridCol w:w="988"/>
        <w:gridCol w:w="1249"/>
        <w:gridCol w:w="3170"/>
      </w:tblGrid>
      <w:tr w14:paraId="1AA2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06" w:type="dxa"/>
            <w:tcBorders>
              <w:top w:val="single" w:color="auto" w:sz="4" w:space="0"/>
              <w:left w:val="single" w:color="auto" w:sz="4" w:space="0"/>
              <w:bottom w:val="single" w:color="auto" w:sz="4" w:space="0"/>
              <w:right w:val="single" w:color="auto" w:sz="4" w:space="0"/>
            </w:tcBorders>
            <w:noWrap w:val="0"/>
            <w:vAlign w:val="center"/>
          </w:tcPr>
          <w:p w14:paraId="0CD10050">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危险化学品目录序号</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4814DC3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品名</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48CEAAE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火灾</w:t>
            </w:r>
          </w:p>
          <w:p w14:paraId="274CF933">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类别</w:t>
            </w:r>
          </w:p>
        </w:tc>
        <w:tc>
          <w:tcPr>
            <w:tcW w:w="589" w:type="dxa"/>
            <w:tcBorders>
              <w:top w:val="single" w:color="auto" w:sz="4" w:space="0"/>
              <w:left w:val="single" w:color="auto" w:sz="4" w:space="0"/>
              <w:bottom w:val="single" w:color="auto" w:sz="4" w:space="0"/>
              <w:right w:val="single" w:color="auto" w:sz="4" w:space="0"/>
            </w:tcBorders>
            <w:noWrap w:val="0"/>
            <w:vAlign w:val="center"/>
          </w:tcPr>
          <w:p w14:paraId="7F17DC72">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闪点</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22CACAE">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沸点</w:t>
            </w:r>
          </w:p>
        </w:tc>
        <w:tc>
          <w:tcPr>
            <w:tcW w:w="988" w:type="dxa"/>
            <w:tcBorders>
              <w:top w:val="single" w:color="auto" w:sz="4" w:space="0"/>
              <w:left w:val="single" w:color="auto" w:sz="4" w:space="0"/>
              <w:bottom w:val="single" w:color="auto" w:sz="4" w:space="0"/>
              <w:right w:val="single" w:color="auto" w:sz="4" w:space="0"/>
            </w:tcBorders>
            <w:noWrap w:val="0"/>
            <w:vAlign w:val="center"/>
          </w:tcPr>
          <w:p w14:paraId="72910722">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eastAsia" w:ascii="宋体" w:hAnsi="宋体" w:eastAsia="宋体" w:cs="宋体"/>
                <w:b/>
                <w:bCs w:val="0"/>
                <w:color w:val="auto"/>
                <w:kern w:val="0"/>
                <w:sz w:val="21"/>
                <w:szCs w:val="21"/>
                <w:lang w:val="en-US" w:eastAsia="zh-CN" w:bidi="ar"/>
              </w:rPr>
              <w:t>爆炸极限（</w:t>
            </w:r>
            <w:r>
              <w:rPr>
                <w:rFonts w:hint="default" w:ascii="Times New Roman" w:hAnsi="Times New Roman" w:eastAsia="宋体" w:cs="Times New Roman"/>
                <w:b/>
                <w:bCs w:val="0"/>
                <w:color w:val="auto"/>
                <w:kern w:val="0"/>
                <w:sz w:val="21"/>
                <w:szCs w:val="21"/>
                <w:lang w:val="en-US" w:eastAsia="zh-CN" w:bidi="ar"/>
              </w:rPr>
              <w:t>%</w:t>
            </w:r>
            <w:r>
              <w:rPr>
                <w:rFonts w:hint="eastAsia" w:ascii="宋体" w:hAnsi="宋体" w:eastAsia="宋体" w:cs="宋体"/>
                <w:b/>
                <w:bCs w:val="0"/>
                <w:color w:val="auto"/>
                <w:kern w:val="0"/>
                <w:sz w:val="21"/>
                <w:szCs w:val="21"/>
                <w:lang w:val="en-US" w:eastAsia="zh-CN" w:bidi="ar"/>
              </w:rPr>
              <w:t>）</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7A09FD7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CAS</w:t>
            </w:r>
            <w:r>
              <w:rPr>
                <w:rFonts w:hint="eastAsia" w:ascii="宋体" w:hAnsi="宋体" w:eastAsia="宋体" w:cs="宋体"/>
                <w:b/>
                <w:bCs w:val="0"/>
                <w:color w:val="auto"/>
                <w:kern w:val="0"/>
                <w:sz w:val="21"/>
                <w:szCs w:val="21"/>
                <w:lang w:val="en-US" w:eastAsia="zh-CN" w:bidi="ar"/>
              </w:rPr>
              <w:t>号</w:t>
            </w:r>
          </w:p>
        </w:tc>
        <w:tc>
          <w:tcPr>
            <w:tcW w:w="3170" w:type="dxa"/>
            <w:tcBorders>
              <w:top w:val="single" w:color="auto" w:sz="4" w:space="0"/>
              <w:left w:val="single" w:color="auto" w:sz="4" w:space="0"/>
              <w:bottom w:val="single" w:color="auto" w:sz="4" w:space="0"/>
              <w:right w:val="single" w:color="auto" w:sz="4" w:space="0"/>
            </w:tcBorders>
            <w:noWrap w:val="0"/>
            <w:vAlign w:val="center"/>
          </w:tcPr>
          <w:p w14:paraId="1FC7713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危险性类别</w:t>
            </w:r>
          </w:p>
          <w:p w14:paraId="42CCB86A">
            <w:pPr>
              <w:pStyle w:val="12"/>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b/>
                <w:bCs/>
                <w:color w:val="auto"/>
                <w:kern w:val="2"/>
                <w:sz w:val="21"/>
                <w:szCs w:val="21"/>
                <w:lang w:val="en-US" w:eastAsia="zh-CN" w:bidi="ar"/>
              </w:rPr>
              <w:t>《危险化学品分类信息表》</w:t>
            </w:r>
          </w:p>
        </w:tc>
      </w:tr>
      <w:tr w14:paraId="5F5A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06" w:type="dxa"/>
            <w:tcBorders>
              <w:top w:val="single" w:color="auto" w:sz="4" w:space="0"/>
              <w:left w:val="single" w:color="auto" w:sz="4" w:space="0"/>
              <w:bottom w:val="single" w:color="auto" w:sz="4" w:space="0"/>
              <w:right w:val="single" w:color="auto" w:sz="4" w:space="0"/>
            </w:tcBorders>
            <w:noWrap w:val="0"/>
            <w:vAlign w:val="center"/>
          </w:tcPr>
          <w:p w14:paraId="2FC4D50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lang w:val="en-US" w:eastAsia="zh-CN" w:bidi="ar"/>
              </w:rPr>
              <w:t>1630</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780E0AC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汽油</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2474481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甲</w:t>
            </w:r>
            <w:r>
              <w:rPr>
                <w:rFonts w:hint="default" w:ascii="Times New Roman" w:hAnsi="Times New Roman" w:eastAsia="宋体" w:cs="Times New Roman"/>
                <w:color w:val="auto"/>
                <w:kern w:val="2"/>
                <w:sz w:val="21"/>
                <w:szCs w:val="21"/>
                <w:vertAlign w:val="subscript"/>
                <w:lang w:val="en-US" w:eastAsia="zh-CN" w:bidi="ar"/>
              </w:rPr>
              <w:t>B</w:t>
            </w:r>
          </w:p>
        </w:tc>
        <w:tc>
          <w:tcPr>
            <w:tcW w:w="589" w:type="dxa"/>
            <w:tcBorders>
              <w:top w:val="single" w:color="auto" w:sz="4" w:space="0"/>
              <w:left w:val="single" w:color="auto" w:sz="4" w:space="0"/>
              <w:bottom w:val="single" w:color="auto" w:sz="4" w:space="0"/>
              <w:right w:val="single" w:color="auto" w:sz="4" w:space="0"/>
            </w:tcBorders>
            <w:noWrap w:val="0"/>
            <w:vAlign w:val="center"/>
          </w:tcPr>
          <w:p w14:paraId="5D8D0F1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-58</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737566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
              </w:rPr>
              <w:t>20</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200</w:t>
            </w:r>
          </w:p>
        </w:tc>
        <w:tc>
          <w:tcPr>
            <w:tcW w:w="988" w:type="dxa"/>
            <w:tcBorders>
              <w:top w:val="single" w:color="auto" w:sz="4" w:space="0"/>
              <w:left w:val="single" w:color="auto" w:sz="4" w:space="0"/>
              <w:bottom w:val="single" w:color="auto" w:sz="4" w:space="0"/>
              <w:right w:val="single" w:color="auto" w:sz="4" w:space="0"/>
            </w:tcBorders>
            <w:noWrap w:val="0"/>
            <w:vAlign w:val="center"/>
          </w:tcPr>
          <w:p w14:paraId="48F66B7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宋体"/>
                <w:color w:val="auto"/>
                <w:kern w:val="0"/>
                <w:sz w:val="21"/>
                <w:szCs w:val="21"/>
                <w:lang w:val="en-US"/>
              </w:rPr>
            </w:pPr>
            <w:r>
              <w:rPr>
                <w:rFonts w:hint="eastAsia" w:ascii="Times New Roman" w:hAnsi="Times New Roman" w:eastAsia="宋体" w:cs="Times New Roman"/>
                <w:color w:val="auto"/>
                <w:kern w:val="0"/>
                <w:sz w:val="21"/>
                <w:szCs w:val="21"/>
                <w:lang w:val="en-US" w:eastAsia="zh-CN" w:bidi="ar"/>
              </w:rPr>
              <w:t>0.6</w:t>
            </w:r>
            <w:r>
              <w:rPr>
                <w:rFonts w:hint="eastAsia" w:ascii="宋体" w:hAnsi="宋体" w:eastAsia="宋体" w:cs="宋体"/>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6.5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4CDA652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8006-61-9</w:t>
            </w:r>
          </w:p>
        </w:tc>
        <w:tc>
          <w:tcPr>
            <w:tcW w:w="3170" w:type="dxa"/>
            <w:tcBorders>
              <w:top w:val="single" w:color="auto" w:sz="4" w:space="0"/>
              <w:left w:val="single" w:color="auto" w:sz="4" w:space="0"/>
              <w:bottom w:val="single" w:color="auto" w:sz="4" w:space="0"/>
              <w:right w:val="single" w:color="auto" w:sz="4" w:space="0"/>
            </w:tcBorders>
            <w:noWrap w:val="0"/>
            <w:vAlign w:val="center"/>
          </w:tcPr>
          <w:p w14:paraId="3CA62FAE">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易燃液体，类别</w:t>
            </w:r>
            <w:r>
              <w:rPr>
                <w:rFonts w:hint="default" w:ascii="Times New Roman" w:hAnsi="Times New Roman" w:eastAsia="宋体" w:cs="Times New Roman"/>
                <w:color w:val="auto"/>
                <w:kern w:val="0"/>
                <w:sz w:val="21"/>
                <w:szCs w:val="21"/>
                <w:lang w:val="en-US" w:eastAsia="zh-CN" w:bidi="ar"/>
              </w:rPr>
              <w:t>2*</w:t>
            </w:r>
          </w:p>
          <w:p w14:paraId="0F96640A">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生殖细胞致突变性，类别</w:t>
            </w:r>
            <w:r>
              <w:rPr>
                <w:rFonts w:hint="default" w:ascii="Times New Roman" w:hAnsi="Times New Roman" w:eastAsia="宋体" w:cs="Times New Roman"/>
                <w:color w:val="auto"/>
                <w:kern w:val="0"/>
                <w:sz w:val="21"/>
                <w:szCs w:val="21"/>
                <w:lang w:val="en-US" w:eastAsia="zh-CN" w:bidi="ar"/>
              </w:rPr>
              <w:t>1B</w:t>
            </w:r>
          </w:p>
          <w:p w14:paraId="778662EC">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致癌性，类别</w:t>
            </w:r>
            <w:r>
              <w:rPr>
                <w:rFonts w:hint="default" w:ascii="Times New Roman" w:hAnsi="Times New Roman" w:eastAsia="宋体" w:cs="Times New Roman"/>
                <w:color w:val="auto"/>
                <w:kern w:val="0"/>
                <w:sz w:val="21"/>
                <w:szCs w:val="21"/>
                <w:lang w:val="en-US" w:eastAsia="zh-CN" w:bidi="ar"/>
              </w:rPr>
              <w:t>2</w:t>
            </w:r>
          </w:p>
          <w:p w14:paraId="104CACB4">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吸入危害，类别</w:t>
            </w:r>
            <w:r>
              <w:rPr>
                <w:rFonts w:hint="default" w:ascii="Times New Roman" w:hAnsi="Times New Roman" w:eastAsia="宋体" w:cs="Times New Roman"/>
                <w:color w:val="auto"/>
                <w:kern w:val="0"/>
                <w:sz w:val="21"/>
                <w:szCs w:val="21"/>
                <w:lang w:val="en-US" w:eastAsia="zh-CN" w:bidi="ar"/>
              </w:rPr>
              <w:t>1</w:t>
            </w:r>
          </w:p>
          <w:p w14:paraId="74BF863B">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危害水生环境</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急性危害，类别</w:t>
            </w:r>
            <w:r>
              <w:rPr>
                <w:rFonts w:hint="default" w:ascii="Times New Roman" w:hAnsi="Times New Roman" w:eastAsia="宋体" w:cs="Times New Roman"/>
                <w:color w:val="auto"/>
                <w:kern w:val="0"/>
                <w:sz w:val="21"/>
                <w:szCs w:val="21"/>
                <w:lang w:val="en-US" w:eastAsia="zh-CN" w:bidi="ar"/>
              </w:rPr>
              <w:t>2</w:t>
            </w:r>
          </w:p>
          <w:p w14:paraId="50B90F1F">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危害水生环境</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长期危害，类别</w:t>
            </w:r>
            <w:r>
              <w:rPr>
                <w:rFonts w:hint="default" w:ascii="Times New Roman" w:hAnsi="Times New Roman" w:eastAsia="宋体" w:cs="Times New Roman"/>
                <w:color w:val="auto"/>
                <w:kern w:val="0"/>
                <w:sz w:val="21"/>
                <w:szCs w:val="21"/>
                <w:lang w:val="en-US" w:eastAsia="zh-CN" w:bidi="ar"/>
              </w:rPr>
              <w:t>2</w:t>
            </w:r>
          </w:p>
        </w:tc>
      </w:tr>
      <w:tr w14:paraId="7FDB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06" w:type="dxa"/>
            <w:tcBorders>
              <w:top w:val="single" w:color="auto" w:sz="4" w:space="0"/>
              <w:left w:val="single" w:color="auto" w:sz="4" w:space="0"/>
              <w:bottom w:val="single" w:color="auto" w:sz="4" w:space="0"/>
              <w:right w:val="single" w:color="auto" w:sz="4" w:space="0"/>
            </w:tcBorders>
            <w:noWrap w:val="0"/>
            <w:vAlign w:val="center"/>
          </w:tcPr>
          <w:p w14:paraId="58BE98C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lang w:val="en-US" w:eastAsia="zh-CN" w:bidi="ar"/>
              </w:rPr>
              <w:t>1674</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3DBE7C7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柴油</w:t>
            </w:r>
          </w:p>
        </w:tc>
        <w:tc>
          <w:tcPr>
            <w:tcW w:w="669" w:type="dxa"/>
            <w:tcBorders>
              <w:top w:val="single" w:color="auto" w:sz="4" w:space="0"/>
              <w:left w:val="single" w:color="auto" w:sz="4" w:space="0"/>
              <w:bottom w:val="single" w:color="auto" w:sz="4" w:space="0"/>
              <w:right w:val="single" w:color="auto" w:sz="4" w:space="0"/>
            </w:tcBorders>
            <w:noWrap w:val="0"/>
            <w:vAlign w:val="center"/>
          </w:tcPr>
          <w:p w14:paraId="1BC76B4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丙</w:t>
            </w:r>
            <w:r>
              <w:rPr>
                <w:rFonts w:hint="default" w:ascii="Times New Roman" w:hAnsi="Times New Roman" w:eastAsia="宋体" w:cs="Times New Roman"/>
                <w:color w:val="auto"/>
                <w:kern w:val="2"/>
                <w:sz w:val="21"/>
                <w:szCs w:val="21"/>
                <w:vertAlign w:val="subscript"/>
                <w:lang w:val="en-US" w:eastAsia="zh-CN" w:bidi="ar"/>
              </w:rPr>
              <w:t>A</w:t>
            </w:r>
          </w:p>
        </w:tc>
        <w:tc>
          <w:tcPr>
            <w:tcW w:w="589" w:type="dxa"/>
            <w:tcBorders>
              <w:top w:val="single" w:color="auto" w:sz="4" w:space="0"/>
              <w:left w:val="single" w:color="auto" w:sz="4" w:space="0"/>
              <w:bottom w:val="single" w:color="auto" w:sz="4" w:space="0"/>
              <w:right w:val="single" w:color="auto" w:sz="4" w:space="0"/>
            </w:tcBorders>
            <w:noWrap w:val="0"/>
            <w:vAlign w:val="center"/>
          </w:tcPr>
          <w:p w14:paraId="5DE8628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18"/>
                <w:szCs w:val="18"/>
                <w:lang w:val="en-US" w:eastAsia="zh-CN" w:bidi="ar"/>
              </w:rPr>
              <w:t>＞</w:t>
            </w:r>
            <w:r>
              <w:rPr>
                <w:rFonts w:hint="default" w:ascii="Times New Roman" w:hAnsi="Times New Roman" w:eastAsia="宋体" w:cs="Times New Roman"/>
                <w:color w:val="auto"/>
                <w:kern w:val="2"/>
                <w:sz w:val="18"/>
                <w:szCs w:val="18"/>
                <w:lang w:val="en-US" w:eastAsia="zh-CN" w:bidi="ar"/>
              </w:rPr>
              <w:t>60</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014A87A">
            <w:pPr>
              <w:keepNext w:val="0"/>
              <w:keepLines w:val="0"/>
              <w:widowControl w:val="0"/>
              <w:suppressLineNumbers w:val="0"/>
              <w:spacing w:before="0" w:beforeAutospacing="0" w:after="0" w:afterAutospacing="0" w:line="240" w:lineRule="exact"/>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
              </w:rPr>
              <w:t>282</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338</w:t>
            </w:r>
          </w:p>
        </w:tc>
        <w:tc>
          <w:tcPr>
            <w:tcW w:w="988" w:type="dxa"/>
            <w:tcBorders>
              <w:top w:val="single" w:color="auto" w:sz="4" w:space="0"/>
              <w:left w:val="single" w:color="auto" w:sz="4" w:space="0"/>
              <w:bottom w:val="single" w:color="auto" w:sz="4" w:space="0"/>
              <w:right w:val="single" w:color="auto" w:sz="4" w:space="0"/>
            </w:tcBorders>
            <w:noWrap w:val="0"/>
            <w:vAlign w:val="center"/>
          </w:tcPr>
          <w:p w14:paraId="094DE19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
              </w:rPr>
              <w:t>0.6</w:t>
            </w:r>
            <w:r>
              <w:rPr>
                <w:rFonts w:hint="eastAsia" w:ascii="宋体" w:hAnsi="宋体" w:eastAsia="宋体" w:cs="宋体"/>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6.5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56F0355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68334-30-5</w:t>
            </w:r>
          </w:p>
        </w:tc>
        <w:tc>
          <w:tcPr>
            <w:tcW w:w="3170" w:type="dxa"/>
            <w:tcBorders>
              <w:top w:val="single" w:color="auto" w:sz="4" w:space="0"/>
              <w:left w:val="single" w:color="auto" w:sz="4" w:space="0"/>
              <w:bottom w:val="single" w:color="auto" w:sz="4" w:space="0"/>
              <w:right w:val="single" w:color="auto" w:sz="4" w:space="0"/>
            </w:tcBorders>
            <w:noWrap w:val="0"/>
            <w:vAlign w:val="center"/>
          </w:tcPr>
          <w:p w14:paraId="2BEF8D6F">
            <w:pPr>
              <w:keepNext w:val="0"/>
              <w:keepLines w:val="0"/>
              <w:widowControl/>
              <w:suppressLineNumbers w:val="0"/>
              <w:spacing w:before="0" w:beforeAutospacing="0" w:after="0" w:afterAutospacing="0" w:line="240" w:lineRule="exac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易燃液体，类别</w:t>
            </w:r>
            <w:r>
              <w:rPr>
                <w:rFonts w:hint="default" w:ascii="Times New Roman" w:hAnsi="Times New Roman" w:eastAsia="宋体" w:cs="Times New Roman"/>
                <w:color w:val="auto"/>
                <w:kern w:val="0"/>
                <w:sz w:val="21"/>
                <w:szCs w:val="21"/>
                <w:lang w:val="en-US" w:eastAsia="zh-CN" w:bidi="ar"/>
              </w:rPr>
              <w:t>3</w:t>
            </w:r>
          </w:p>
        </w:tc>
      </w:tr>
    </w:tbl>
    <w:p w14:paraId="6365E475">
      <w:pPr>
        <w:pStyle w:val="29"/>
        <w:spacing w:line="600" w:lineRule="exact"/>
        <w:ind w:firstLine="420" w:firstLineChars="0"/>
        <w:jc w:val="both"/>
        <w:rPr>
          <w:rFonts w:hint="eastAsia"/>
          <w:sz w:val="28"/>
          <w:szCs w:val="28"/>
          <w:lang w:eastAsia="zh-CN"/>
        </w:rPr>
      </w:pPr>
    </w:p>
    <w:p w14:paraId="3CD249A1">
      <w:pPr>
        <w:keepNext w:val="0"/>
        <w:keepLines w:val="0"/>
        <w:pageBreakBefore w:val="0"/>
        <w:widowControl w:val="0"/>
        <w:kinsoku/>
        <w:wordWrap/>
        <w:overflowPunct/>
        <w:topLinePunct w:val="0"/>
        <w:autoSpaceDE/>
        <w:autoSpaceDN/>
        <w:bidi w:val="0"/>
        <w:adjustRightInd/>
        <w:snapToGrid/>
        <w:spacing w:line="240" w:lineRule="auto"/>
        <w:ind w:left="2942" w:leftChars="0" w:firstLine="420" w:firstLineChars="0"/>
        <w:jc w:val="both"/>
        <w:textAlignment w:val="auto"/>
        <w:rPr>
          <w:color w:val="000000"/>
          <w:sz w:val="24"/>
          <w:szCs w:val="24"/>
        </w:rPr>
      </w:pPr>
      <w:r>
        <w:rPr>
          <w:color w:val="000000"/>
          <w:sz w:val="24"/>
          <w:szCs w:val="24"/>
        </w:rPr>
        <w:t>表3</w:t>
      </w:r>
      <w:r>
        <w:rPr>
          <w:rFonts w:hint="eastAsia"/>
          <w:color w:val="000000"/>
          <w:sz w:val="24"/>
          <w:szCs w:val="24"/>
        </w:rPr>
        <w:t>.1</w:t>
      </w:r>
      <w:r>
        <w:rPr>
          <w:color w:val="000000"/>
          <w:sz w:val="24"/>
          <w:szCs w:val="24"/>
        </w:rPr>
        <w:t>-</w:t>
      </w:r>
      <w:r>
        <w:rPr>
          <w:rFonts w:hint="eastAsia"/>
          <w:color w:val="000000"/>
          <w:sz w:val="24"/>
          <w:szCs w:val="24"/>
          <w:lang w:val="en-US" w:eastAsia="zh-CN"/>
        </w:rPr>
        <w:t>1</w:t>
      </w:r>
      <w:r>
        <w:rPr>
          <w:color w:val="000000"/>
          <w:sz w:val="24"/>
          <w:szCs w:val="24"/>
        </w:rPr>
        <w:t>汽油</w:t>
      </w:r>
    </w:p>
    <w:tbl>
      <w:tblPr>
        <w:tblStyle w:val="21"/>
        <w:tblpPr w:leftFromText="180" w:rightFromText="180" w:vertAnchor="text" w:horzAnchor="page" w:tblpX="1551" w:tblpY="640"/>
        <w:tblOverlap w:val="never"/>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47"/>
      </w:tblGrid>
      <w:tr w14:paraId="4F0D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EA1DFD9">
            <w:pPr>
              <w:pStyle w:val="1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jc w:val="both"/>
              <w:textAlignment w:val="auto"/>
              <w:rPr>
                <w:rFonts w:hint="eastAsia" w:ascii="宋体" w:hAnsi="宋体" w:eastAsia="宋体" w:cs="宋体"/>
                <w:color w:val="auto"/>
                <w:sz w:val="21"/>
                <w:szCs w:val="21"/>
                <w:vertAlign w:val="baseline"/>
              </w:rPr>
            </w:pPr>
            <w:r>
              <w:rPr>
                <w:rFonts w:hint="eastAsia" w:ascii="宋体" w:hAnsi="宋体" w:eastAsia="宋体" w:cs="宋体"/>
                <w:b w:val="0"/>
                <w:i w:val="0"/>
                <w:caps w:val="0"/>
                <w:color w:val="auto"/>
                <w:spacing w:val="0"/>
                <w:kern w:val="0"/>
                <w:sz w:val="21"/>
                <w:szCs w:val="21"/>
                <w:lang w:val="en-US" w:eastAsia="zh-CN" w:bidi="ar"/>
              </w:rPr>
              <w:t>名称：</w:t>
            </w:r>
          </w:p>
        </w:tc>
        <w:tc>
          <w:tcPr>
            <w:tcW w:w="6847" w:type="dxa"/>
            <w:noWrap w:val="0"/>
            <w:vAlign w:val="top"/>
          </w:tcPr>
          <w:p w14:paraId="2584CA74">
            <w:pPr>
              <w:pStyle w:val="1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80" w:lineRule="exact"/>
              <w:textAlignment w:val="auto"/>
              <w:rPr>
                <w:rFonts w:hint="eastAsia" w:ascii="宋体" w:hAnsi="宋体" w:eastAsia="宋体" w:cs="宋体"/>
                <w:color w:val="auto"/>
                <w:sz w:val="21"/>
                <w:szCs w:val="21"/>
                <w:vertAlign w:val="baseline"/>
              </w:rPr>
            </w:pPr>
            <w:r>
              <w:rPr>
                <w:rFonts w:hint="eastAsia" w:ascii="宋体" w:hAnsi="宋体" w:eastAsia="宋体" w:cs="宋体"/>
                <w:b w:val="0"/>
                <w:i w:val="0"/>
                <w:caps w:val="0"/>
                <w:color w:val="auto"/>
                <w:spacing w:val="0"/>
                <w:kern w:val="0"/>
                <w:sz w:val="21"/>
                <w:szCs w:val="21"/>
                <w:lang w:val="en-US" w:eastAsia="zh-CN" w:bidi="ar"/>
              </w:rPr>
              <w:t>汽油        Gasoline       Petrol</w:t>
            </w:r>
          </w:p>
        </w:tc>
      </w:tr>
      <w:tr w14:paraId="60AC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2D6859E">
            <w:pPr>
              <w:pStyle w:val="19"/>
              <w:keepNext w:val="0"/>
              <w:keepLines w:val="0"/>
              <w:pageBreakBefore w:val="0"/>
              <w:widowControl/>
              <w:kinsoku/>
              <w:overflowPunct/>
              <w:topLinePunct w:val="0"/>
              <w:autoSpaceDE/>
              <w:autoSpaceDN/>
              <w:bidi w:val="0"/>
              <w:adjustRightInd/>
              <w:snapToGrid/>
              <w:spacing w:before="0" w:beforeLines="0" w:beforeAutospacing="0" w:after="0" w:afterLines="0" w:afterAutospacing="0" w:line="280" w:lineRule="exact"/>
              <w:jc w:val="both"/>
              <w:rPr>
                <w:rFonts w:hint="eastAsia" w:ascii="宋体" w:hAnsi="宋体" w:eastAsia="宋体" w:cs="宋体"/>
                <w:color w:val="auto"/>
                <w:sz w:val="21"/>
                <w:szCs w:val="21"/>
                <w:vertAlign w:val="baseline"/>
              </w:rPr>
            </w:pPr>
            <w:r>
              <w:rPr>
                <w:rFonts w:hint="eastAsia" w:ascii="宋体" w:hAnsi="宋体" w:eastAsia="宋体" w:cs="宋体"/>
                <w:b w:val="0"/>
                <w:i w:val="0"/>
                <w:caps w:val="0"/>
                <w:color w:val="auto"/>
                <w:spacing w:val="0"/>
                <w:kern w:val="0"/>
                <w:sz w:val="21"/>
                <w:szCs w:val="21"/>
                <w:lang w:val="en-US" w:eastAsia="zh-CN" w:bidi="ar"/>
              </w:rPr>
              <w:t>CAS：</w:t>
            </w:r>
          </w:p>
        </w:tc>
        <w:tc>
          <w:tcPr>
            <w:tcW w:w="6847" w:type="dxa"/>
            <w:noWrap w:val="0"/>
            <w:vAlign w:val="top"/>
          </w:tcPr>
          <w:p w14:paraId="73920CC7">
            <w:pPr>
              <w:pStyle w:val="19"/>
              <w:keepNext w:val="0"/>
              <w:keepLines w:val="0"/>
              <w:pageBreakBefore w:val="0"/>
              <w:widowControl/>
              <w:kinsoku/>
              <w:overflowPunct/>
              <w:topLinePunct w:val="0"/>
              <w:autoSpaceDE/>
              <w:autoSpaceDN/>
              <w:bidi w:val="0"/>
              <w:adjustRightInd/>
              <w:snapToGrid/>
              <w:spacing w:before="0" w:beforeLines="0" w:beforeAutospacing="0" w:after="0" w:afterLines="0" w:afterAutospacing="0" w:line="280" w:lineRule="exact"/>
              <w:rPr>
                <w:rFonts w:hint="eastAsia" w:ascii="宋体" w:hAnsi="宋体" w:eastAsia="宋体" w:cs="宋体"/>
                <w:color w:val="auto"/>
                <w:sz w:val="21"/>
                <w:szCs w:val="21"/>
                <w:vertAlign w:val="baseline"/>
              </w:rPr>
            </w:pPr>
            <w:r>
              <w:rPr>
                <w:rFonts w:hint="eastAsia" w:ascii="宋体" w:hAnsi="宋体" w:eastAsia="宋体" w:cs="宋体"/>
                <w:b w:val="0"/>
                <w:i w:val="0"/>
                <w:caps w:val="0"/>
                <w:color w:val="auto"/>
                <w:spacing w:val="0"/>
                <w:kern w:val="0"/>
                <w:sz w:val="21"/>
                <w:szCs w:val="21"/>
                <w:lang w:val="en-US" w:eastAsia="zh-CN" w:bidi="ar"/>
              </w:rPr>
              <w:t>8006-61-9</w:t>
            </w:r>
          </w:p>
        </w:tc>
      </w:tr>
      <w:tr w14:paraId="148F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338195EA">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健康危害：</w:t>
            </w:r>
          </w:p>
        </w:tc>
        <w:tc>
          <w:tcPr>
            <w:tcW w:w="6847" w:type="dxa"/>
            <w:noWrap w:val="0"/>
            <w:vAlign w:val="center"/>
          </w:tcPr>
          <w:p w14:paraId="00CA7E3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紊乱、周围神经病。严重中毒出现中毒性脑病，症状类似精神分裂症。皮肤损害。</w:t>
            </w:r>
          </w:p>
        </w:tc>
      </w:tr>
      <w:tr w14:paraId="5B74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718DD58">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燃爆危险：</w:t>
            </w:r>
          </w:p>
        </w:tc>
        <w:tc>
          <w:tcPr>
            <w:tcW w:w="6847" w:type="dxa"/>
            <w:noWrap w:val="0"/>
            <w:vAlign w:val="center"/>
          </w:tcPr>
          <w:p w14:paraId="536C44D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本品极度易燃。</w:t>
            </w:r>
          </w:p>
        </w:tc>
      </w:tr>
      <w:tr w14:paraId="0005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3D6CE5DA">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皮肤接触：</w:t>
            </w:r>
          </w:p>
        </w:tc>
        <w:tc>
          <w:tcPr>
            <w:tcW w:w="6847" w:type="dxa"/>
            <w:noWrap w:val="0"/>
            <w:vAlign w:val="center"/>
          </w:tcPr>
          <w:p w14:paraId="4104ECF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立即脱去污染的衣着，用肥皂水和清水彻底冲洗皮肤。就医。</w:t>
            </w:r>
          </w:p>
        </w:tc>
      </w:tr>
      <w:tr w14:paraId="77CE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37D14AD">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眼睛接触：</w:t>
            </w:r>
          </w:p>
        </w:tc>
        <w:tc>
          <w:tcPr>
            <w:tcW w:w="6847" w:type="dxa"/>
            <w:noWrap w:val="0"/>
            <w:vAlign w:val="center"/>
          </w:tcPr>
          <w:p w14:paraId="39804B7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立即提起眼睑，用大量流动清水或生理盐水彻底冲洗至少15分钟。就医。</w:t>
            </w:r>
          </w:p>
        </w:tc>
      </w:tr>
      <w:tr w14:paraId="4321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632803A">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吸入：</w:t>
            </w:r>
          </w:p>
        </w:tc>
        <w:tc>
          <w:tcPr>
            <w:tcW w:w="6847" w:type="dxa"/>
            <w:noWrap w:val="0"/>
            <w:vAlign w:val="center"/>
          </w:tcPr>
          <w:p w14:paraId="7197101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迅速脱离现场至空气新鲜处。保持呼吸道通畅。如呼吸困难，给输氧。如呼吸停止，立即进行人工呼吸。就医。</w:t>
            </w:r>
          </w:p>
        </w:tc>
      </w:tr>
      <w:tr w14:paraId="23A6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9ED2861">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食入：</w:t>
            </w:r>
          </w:p>
        </w:tc>
        <w:tc>
          <w:tcPr>
            <w:tcW w:w="6847" w:type="dxa"/>
            <w:noWrap w:val="0"/>
            <w:vAlign w:val="center"/>
          </w:tcPr>
          <w:p w14:paraId="0E67E55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给饮牛奶或用植物油洗胃和灌肠。就医。</w:t>
            </w:r>
          </w:p>
        </w:tc>
      </w:tr>
      <w:tr w14:paraId="5CAE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4B25E8F9">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危险特性：</w:t>
            </w:r>
          </w:p>
        </w:tc>
        <w:tc>
          <w:tcPr>
            <w:tcW w:w="6847" w:type="dxa"/>
            <w:noWrap w:val="0"/>
            <w:vAlign w:val="center"/>
          </w:tcPr>
          <w:p w14:paraId="42B0984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其蒸气与空气可形成爆炸性混合物，遇明火、高热极易燃烧爆炸。与氧化剂能发生强烈反应。其蒸气比空气重，能在较低处扩散到相当远的地方，遇火源会着火回燃。</w:t>
            </w:r>
          </w:p>
        </w:tc>
      </w:tr>
      <w:tr w14:paraId="7998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F824DC2">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有害燃烧产物：</w:t>
            </w:r>
          </w:p>
        </w:tc>
        <w:tc>
          <w:tcPr>
            <w:tcW w:w="6847" w:type="dxa"/>
            <w:noWrap w:val="0"/>
            <w:vAlign w:val="center"/>
          </w:tcPr>
          <w:p w14:paraId="3ADA4CF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一氧化碳、二氧化碳。</w:t>
            </w:r>
          </w:p>
        </w:tc>
      </w:tr>
      <w:tr w14:paraId="52C3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D64F0F7">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灭火方法：</w:t>
            </w:r>
          </w:p>
        </w:tc>
        <w:tc>
          <w:tcPr>
            <w:tcW w:w="6847" w:type="dxa"/>
            <w:noWrap w:val="0"/>
            <w:vAlign w:val="center"/>
          </w:tcPr>
          <w:p w14:paraId="419D222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喷水冷却容器，可能的话将容器从火场移至空旷处。灭火剂：泡沫、干粉、二氧化碳。用水灭火无效。</w:t>
            </w:r>
          </w:p>
        </w:tc>
      </w:tr>
      <w:tr w14:paraId="0D8C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49434C82">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应急处理：</w:t>
            </w:r>
          </w:p>
        </w:tc>
        <w:tc>
          <w:tcPr>
            <w:tcW w:w="6847" w:type="dxa"/>
            <w:noWrap w:val="0"/>
            <w:vAlign w:val="center"/>
          </w:tcPr>
          <w:p w14:paraId="3E31453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迅速撤离泄漏污染区人员至安全区，并进行隔离，严格限制出入。切断火源。建议应急处理人员戴自给正压式呼吸器，穿防静电工作服。尽可能切断泄漏源。防止流入下水道、排洪沟等限制性空间。小量泄漏：用砂土、蛭石或</w:t>
            </w:r>
            <w:r>
              <w:rPr>
                <w:rFonts w:hint="eastAsia" w:ascii="宋体" w:hAnsi="宋体" w:cs="宋体"/>
                <w:b w:val="0"/>
                <w:i w:val="0"/>
                <w:caps w:val="0"/>
                <w:color w:val="auto"/>
                <w:spacing w:val="0"/>
                <w:kern w:val="0"/>
                <w:sz w:val="21"/>
                <w:szCs w:val="21"/>
                <w:lang w:val="en-US" w:eastAsia="zh-CN" w:bidi="ar"/>
              </w:rPr>
              <w:t>其他</w:t>
            </w:r>
            <w:r>
              <w:rPr>
                <w:rFonts w:hint="eastAsia" w:ascii="宋体" w:hAnsi="宋体" w:eastAsia="宋体" w:cs="宋体"/>
                <w:b w:val="0"/>
                <w:i w:val="0"/>
                <w:caps w:val="0"/>
                <w:color w:val="auto"/>
                <w:spacing w:val="0"/>
                <w:kern w:val="0"/>
                <w:sz w:val="21"/>
                <w:szCs w:val="21"/>
                <w:lang w:val="en-US" w:eastAsia="zh-CN" w:bidi="ar"/>
              </w:rPr>
              <w:t>惰性材料吸收。或在保证安全情况下，就地焚烧。大量泄漏：构筑围堤或挖坑收容。用泡沫覆盖，降低蒸气灾害。用防爆泵转移至槽车或专用收集器内，回收或运至废物处理场所处置。</w:t>
            </w:r>
          </w:p>
        </w:tc>
      </w:tr>
      <w:tr w14:paraId="26BA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E6F8A99">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操作注意事项：</w:t>
            </w:r>
          </w:p>
        </w:tc>
        <w:tc>
          <w:tcPr>
            <w:tcW w:w="6847" w:type="dxa"/>
            <w:noWrap w:val="0"/>
            <w:vAlign w:val="center"/>
          </w:tcPr>
          <w:p w14:paraId="62B961D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密闭操作，全面通风。操作人员必须经过专门培训，严格遵守操作规程。建议操作人员穿防静电工作服，戴橡胶耐油手套。远离火种、热源，工作场所严禁吸烟。使用防爆型的通风系统和设备。防止蒸气泄漏到工作场所空气中。避免与氧化剂接触。灌装时应控制流速，且有接地装置，防止静电积聚。搬运时要轻装轻卸，防止包装及容器损坏。配备相应品种和数量的消防器材及泄漏应急处理设备。倒空的容器可能残留有害物。</w:t>
            </w:r>
          </w:p>
        </w:tc>
      </w:tr>
      <w:tr w14:paraId="1549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44B9351">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储存注意事项：</w:t>
            </w:r>
          </w:p>
        </w:tc>
        <w:tc>
          <w:tcPr>
            <w:tcW w:w="6847" w:type="dxa"/>
            <w:noWrap w:val="0"/>
            <w:vAlign w:val="center"/>
          </w:tcPr>
          <w:p w14:paraId="7749DC0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r>
      <w:tr w14:paraId="005C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41A421A">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中国MAC(mg/m3)：</w:t>
            </w:r>
          </w:p>
        </w:tc>
        <w:tc>
          <w:tcPr>
            <w:tcW w:w="6847" w:type="dxa"/>
            <w:noWrap w:val="0"/>
            <w:vAlign w:val="center"/>
          </w:tcPr>
          <w:p w14:paraId="49221B9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300[溶剂汽油]</w:t>
            </w:r>
          </w:p>
        </w:tc>
      </w:tr>
      <w:tr w14:paraId="01C6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4C83AAF">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前苏联MAC(mg/m3)：</w:t>
            </w:r>
          </w:p>
        </w:tc>
        <w:tc>
          <w:tcPr>
            <w:tcW w:w="6847" w:type="dxa"/>
            <w:noWrap w:val="0"/>
            <w:vAlign w:val="center"/>
          </w:tcPr>
          <w:p w14:paraId="32C76D1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300</w:t>
            </w:r>
          </w:p>
        </w:tc>
      </w:tr>
      <w:tr w14:paraId="6E4F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2A6B7B6E">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TLVTN：</w:t>
            </w:r>
          </w:p>
        </w:tc>
        <w:tc>
          <w:tcPr>
            <w:tcW w:w="6847" w:type="dxa"/>
            <w:noWrap w:val="0"/>
            <w:vAlign w:val="center"/>
          </w:tcPr>
          <w:p w14:paraId="13C928F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ACGIH 300ppm,890mg/m3</w:t>
            </w:r>
          </w:p>
        </w:tc>
      </w:tr>
      <w:tr w14:paraId="2390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216C3C2F">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TLVWN：</w:t>
            </w:r>
          </w:p>
        </w:tc>
        <w:tc>
          <w:tcPr>
            <w:tcW w:w="6847" w:type="dxa"/>
            <w:noWrap w:val="0"/>
            <w:vAlign w:val="center"/>
          </w:tcPr>
          <w:p w14:paraId="3070C66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ACGIH 500ppm,1480mg/m3</w:t>
            </w:r>
          </w:p>
        </w:tc>
      </w:tr>
      <w:tr w14:paraId="6A48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71E66F1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监测方法：</w:t>
            </w:r>
          </w:p>
        </w:tc>
        <w:tc>
          <w:tcPr>
            <w:tcW w:w="6847" w:type="dxa"/>
            <w:noWrap w:val="0"/>
            <w:vAlign w:val="center"/>
          </w:tcPr>
          <w:p w14:paraId="2981064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气相色谱法</w:t>
            </w:r>
          </w:p>
        </w:tc>
      </w:tr>
      <w:tr w14:paraId="0EFC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2E1B6FF">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工程控制：</w:t>
            </w:r>
          </w:p>
        </w:tc>
        <w:tc>
          <w:tcPr>
            <w:tcW w:w="6847" w:type="dxa"/>
            <w:noWrap w:val="0"/>
            <w:vAlign w:val="center"/>
          </w:tcPr>
          <w:p w14:paraId="462F6BB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生产过程密闭，全面通风。</w:t>
            </w:r>
          </w:p>
        </w:tc>
      </w:tr>
      <w:tr w14:paraId="6E93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70CE2386">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呼吸系统防护：</w:t>
            </w:r>
          </w:p>
        </w:tc>
        <w:tc>
          <w:tcPr>
            <w:tcW w:w="6847" w:type="dxa"/>
            <w:noWrap w:val="0"/>
            <w:vAlign w:val="center"/>
          </w:tcPr>
          <w:p w14:paraId="1C032FE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一般不需要特殊防护，高浓度接触时可佩戴自吸过滤式防毒面具（半面罩）。</w:t>
            </w:r>
          </w:p>
        </w:tc>
      </w:tr>
      <w:tr w14:paraId="2F7D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2DEF92D0">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眼睛防护：</w:t>
            </w:r>
          </w:p>
        </w:tc>
        <w:tc>
          <w:tcPr>
            <w:tcW w:w="6847" w:type="dxa"/>
            <w:noWrap w:val="0"/>
            <w:vAlign w:val="center"/>
          </w:tcPr>
          <w:p w14:paraId="65D68E2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一般不需要特殊防护，高浓度接触时可戴化学安全防护眼镜。</w:t>
            </w:r>
          </w:p>
        </w:tc>
      </w:tr>
      <w:tr w14:paraId="1CF3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2EFFDDE0">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身体防护：</w:t>
            </w:r>
          </w:p>
        </w:tc>
        <w:tc>
          <w:tcPr>
            <w:tcW w:w="6847" w:type="dxa"/>
            <w:noWrap w:val="0"/>
            <w:vAlign w:val="center"/>
          </w:tcPr>
          <w:p w14:paraId="3698FB3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穿防静电工作服。</w:t>
            </w:r>
          </w:p>
        </w:tc>
      </w:tr>
      <w:tr w14:paraId="34B6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6419D2F2">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手防护：</w:t>
            </w:r>
          </w:p>
        </w:tc>
        <w:tc>
          <w:tcPr>
            <w:tcW w:w="6847" w:type="dxa"/>
            <w:noWrap w:val="0"/>
            <w:vAlign w:val="center"/>
          </w:tcPr>
          <w:p w14:paraId="5C15B2F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戴橡胶耐油手套。</w:t>
            </w:r>
          </w:p>
        </w:tc>
      </w:tr>
      <w:tr w14:paraId="5A33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75F094B5">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其他防护：</w:t>
            </w:r>
          </w:p>
        </w:tc>
        <w:tc>
          <w:tcPr>
            <w:tcW w:w="6847" w:type="dxa"/>
            <w:noWrap w:val="0"/>
            <w:vAlign w:val="center"/>
          </w:tcPr>
          <w:p w14:paraId="39EA514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工作现场严禁吸烟。避免长期反复接触。</w:t>
            </w:r>
          </w:p>
        </w:tc>
      </w:tr>
      <w:tr w14:paraId="2099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7FAED58">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主要成分：</w:t>
            </w:r>
          </w:p>
        </w:tc>
        <w:tc>
          <w:tcPr>
            <w:tcW w:w="6847" w:type="dxa"/>
            <w:noWrap w:val="0"/>
            <w:vAlign w:val="center"/>
          </w:tcPr>
          <w:p w14:paraId="4B306B7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C4～C12脂肪烃和环烷烃。</w:t>
            </w:r>
          </w:p>
        </w:tc>
      </w:tr>
      <w:tr w14:paraId="5E4D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37F878B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外观与性状：</w:t>
            </w:r>
          </w:p>
        </w:tc>
        <w:tc>
          <w:tcPr>
            <w:tcW w:w="6847" w:type="dxa"/>
            <w:noWrap w:val="0"/>
            <w:vAlign w:val="center"/>
          </w:tcPr>
          <w:p w14:paraId="3016E23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无色或淡黄色易挥发液体, 具有特殊臭味。</w:t>
            </w:r>
          </w:p>
        </w:tc>
      </w:tr>
      <w:tr w14:paraId="5657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EC9FE19">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熔点(℃)：</w:t>
            </w:r>
          </w:p>
        </w:tc>
        <w:tc>
          <w:tcPr>
            <w:tcW w:w="6847" w:type="dxa"/>
            <w:noWrap w:val="0"/>
            <w:vAlign w:val="center"/>
          </w:tcPr>
          <w:p w14:paraId="407A562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&lt;-60</w:t>
            </w:r>
          </w:p>
        </w:tc>
      </w:tr>
      <w:tr w14:paraId="03D8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748410C">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沸点(℃)：</w:t>
            </w:r>
          </w:p>
        </w:tc>
        <w:tc>
          <w:tcPr>
            <w:tcW w:w="6847" w:type="dxa"/>
            <w:noWrap w:val="0"/>
            <w:vAlign w:val="center"/>
          </w:tcPr>
          <w:p w14:paraId="3AA0713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40～200</w:t>
            </w:r>
          </w:p>
        </w:tc>
      </w:tr>
      <w:tr w14:paraId="2500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DE18DCF">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相对密度(水=1)：</w:t>
            </w:r>
          </w:p>
        </w:tc>
        <w:tc>
          <w:tcPr>
            <w:tcW w:w="6847" w:type="dxa"/>
            <w:noWrap w:val="0"/>
            <w:vAlign w:val="center"/>
          </w:tcPr>
          <w:p w14:paraId="30CA84F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0.70～0.79</w:t>
            </w:r>
          </w:p>
        </w:tc>
      </w:tr>
      <w:tr w14:paraId="3140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CF95B9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相对蒸气密度(空气=1)：</w:t>
            </w:r>
          </w:p>
        </w:tc>
        <w:tc>
          <w:tcPr>
            <w:tcW w:w="6847" w:type="dxa"/>
            <w:noWrap w:val="0"/>
            <w:vAlign w:val="center"/>
          </w:tcPr>
          <w:p w14:paraId="6151187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3.5</w:t>
            </w:r>
          </w:p>
        </w:tc>
      </w:tr>
      <w:tr w14:paraId="2EFC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607638A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闪点(℃)：</w:t>
            </w:r>
          </w:p>
        </w:tc>
        <w:tc>
          <w:tcPr>
            <w:tcW w:w="6847" w:type="dxa"/>
            <w:noWrap w:val="0"/>
            <w:vAlign w:val="center"/>
          </w:tcPr>
          <w:p w14:paraId="4F93EE1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-50</w:t>
            </w:r>
          </w:p>
        </w:tc>
      </w:tr>
      <w:tr w14:paraId="007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06D89AB9">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引燃温度(℃)：</w:t>
            </w:r>
          </w:p>
        </w:tc>
        <w:tc>
          <w:tcPr>
            <w:tcW w:w="6847" w:type="dxa"/>
            <w:noWrap w:val="0"/>
            <w:vAlign w:val="center"/>
          </w:tcPr>
          <w:p w14:paraId="7F3DC77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415～530</w:t>
            </w:r>
          </w:p>
        </w:tc>
      </w:tr>
      <w:tr w14:paraId="59A4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78134DA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爆炸上限%(V/V)：</w:t>
            </w:r>
          </w:p>
        </w:tc>
        <w:tc>
          <w:tcPr>
            <w:tcW w:w="6847" w:type="dxa"/>
            <w:noWrap w:val="0"/>
            <w:vAlign w:val="center"/>
          </w:tcPr>
          <w:p w14:paraId="2BB73A4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6.</w:t>
            </w:r>
            <w:r>
              <w:rPr>
                <w:rFonts w:hint="eastAsia" w:ascii="宋体" w:hAnsi="宋体" w:cs="宋体"/>
                <w:b w:val="0"/>
                <w:i w:val="0"/>
                <w:caps w:val="0"/>
                <w:color w:val="auto"/>
                <w:spacing w:val="0"/>
                <w:kern w:val="0"/>
                <w:sz w:val="21"/>
                <w:szCs w:val="21"/>
                <w:lang w:val="en-US" w:eastAsia="zh-CN" w:bidi="ar"/>
              </w:rPr>
              <w:t>5</w:t>
            </w:r>
          </w:p>
        </w:tc>
      </w:tr>
      <w:tr w14:paraId="7E33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7BABCB8C">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爆炸下限%(V/V)：</w:t>
            </w:r>
          </w:p>
        </w:tc>
        <w:tc>
          <w:tcPr>
            <w:tcW w:w="6847" w:type="dxa"/>
            <w:noWrap w:val="0"/>
            <w:vAlign w:val="center"/>
          </w:tcPr>
          <w:p w14:paraId="4D63B0E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default" w:ascii="宋体" w:hAnsi="宋体" w:eastAsia="宋体" w:cs="宋体"/>
                <w:b w:val="0"/>
                <w:i w:val="0"/>
                <w:caps w:val="0"/>
                <w:color w:val="auto"/>
                <w:spacing w:val="0"/>
                <w:kern w:val="2"/>
                <w:sz w:val="21"/>
                <w:szCs w:val="21"/>
                <w:lang w:val="en-US" w:eastAsia="zh-CN" w:bidi="ar-SA"/>
              </w:rPr>
            </w:pPr>
            <w:r>
              <w:rPr>
                <w:rFonts w:hint="eastAsia" w:ascii="宋体" w:hAnsi="宋体" w:cs="宋体"/>
                <w:b w:val="0"/>
                <w:i w:val="0"/>
                <w:caps w:val="0"/>
                <w:color w:val="auto"/>
                <w:spacing w:val="0"/>
                <w:kern w:val="0"/>
                <w:sz w:val="21"/>
                <w:szCs w:val="21"/>
                <w:lang w:val="en-US" w:eastAsia="zh-CN" w:bidi="ar"/>
              </w:rPr>
              <w:t>0.6</w:t>
            </w:r>
          </w:p>
        </w:tc>
      </w:tr>
      <w:tr w14:paraId="4254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3A62EB5A">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溶解性：</w:t>
            </w:r>
          </w:p>
        </w:tc>
        <w:tc>
          <w:tcPr>
            <w:tcW w:w="6847" w:type="dxa"/>
            <w:noWrap w:val="0"/>
            <w:vAlign w:val="center"/>
          </w:tcPr>
          <w:p w14:paraId="110D41C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不溶于水，易溶于苯、二硫化碳、醇、脂肪。</w:t>
            </w:r>
          </w:p>
        </w:tc>
      </w:tr>
      <w:tr w14:paraId="7E31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69E62830">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主要用途：</w:t>
            </w:r>
          </w:p>
        </w:tc>
        <w:tc>
          <w:tcPr>
            <w:tcW w:w="6847" w:type="dxa"/>
            <w:noWrap w:val="0"/>
            <w:vAlign w:val="center"/>
          </w:tcPr>
          <w:p w14:paraId="0E6E6F7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主要用作汽油机的燃料, 用于橡胶、制鞋、印刷、制革、颜料等行业, 也可用作机械零件的去污剂。</w:t>
            </w:r>
          </w:p>
        </w:tc>
      </w:tr>
      <w:tr w14:paraId="30A2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2107BA40">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禁配物：</w:t>
            </w:r>
          </w:p>
        </w:tc>
        <w:tc>
          <w:tcPr>
            <w:tcW w:w="6847" w:type="dxa"/>
            <w:noWrap w:val="0"/>
            <w:vAlign w:val="center"/>
          </w:tcPr>
          <w:p w14:paraId="1407225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强氧化剂。</w:t>
            </w:r>
          </w:p>
        </w:tc>
      </w:tr>
      <w:tr w14:paraId="2322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4A010EF0">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急性毒性：</w:t>
            </w:r>
          </w:p>
        </w:tc>
        <w:tc>
          <w:tcPr>
            <w:tcW w:w="6847" w:type="dxa"/>
            <w:noWrap w:val="0"/>
            <w:vAlign w:val="center"/>
          </w:tcPr>
          <w:p w14:paraId="3699323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LD50：67000 mg/kg(小鼠经口)(120号溶剂汽油) LC50：103000mg/m3，2小时(小鼠吸入)(120号溶剂汽油)</w:t>
            </w:r>
          </w:p>
        </w:tc>
      </w:tr>
      <w:tr w14:paraId="52C4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0D0AFC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刺激性：</w:t>
            </w:r>
          </w:p>
        </w:tc>
        <w:tc>
          <w:tcPr>
            <w:tcW w:w="6847" w:type="dxa"/>
            <w:noWrap w:val="0"/>
            <w:vAlign w:val="center"/>
          </w:tcPr>
          <w:p w14:paraId="74F7EC7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人经眼：140ppm/8小时，轻度刺激。</w:t>
            </w:r>
          </w:p>
        </w:tc>
      </w:tr>
      <w:tr w14:paraId="5F4A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5154474">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cs="宋体"/>
                <w:b w:val="0"/>
                <w:i w:val="0"/>
                <w:caps w:val="0"/>
                <w:color w:val="auto"/>
                <w:spacing w:val="0"/>
                <w:kern w:val="0"/>
                <w:sz w:val="21"/>
                <w:szCs w:val="21"/>
                <w:lang w:val="en-US" w:eastAsia="zh-CN" w:bidi="ar"/>
              </w:rPr>
              <w:t>其他有害</w:t>
            </w:r>
            <w:r>
              <w:rPr>
                <w:rFonts w:hint="eastAsia" w:ascii="宋体" w:hAnsi="宋体" w:eastAsia="宋体" w:cs="宋体"/>
                <w:b w:val="0"/>
                <w:i w:val="0"/>
                <w:caps w:val="0"/>
                <w:color w:val="auto"/>
                <w:spacing w:val="0"/>
                <w:kern w:val="0"/>
                <w:sz w:val="21"/>
                <w:szCs w:val="21"/>
                <w:lang w:val="en-US" w:eastAsia="zh-CN" w:bidi="ar"/>
              </w:rPr>
              <w:t>作用：</w:t>
            </w:r>
          </w:p>
        </w:tc>
        <w:tc>
          <w:tcPr>
            <w:tcW w:w="6847" w:type="dxa"/>
            <w:noWrap w:val="0"/>
            <w:vAlign w:val="center"/>
          </w:tcPr>
          <w:p w14:paraId="7337C45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该物质对环境可能有危害，对水体应给予特别注意。</w:t>
            </w:r>
          </w:p>
        </w:tc>
      </w:tr>
      <w:tr w14:paraId="0371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16C10A95">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废弃处置方法：</w:t>
            </w:r>
          </w:p>
        </w:tc>
        <w:tc>
          <w:tcPr>
            <w:tcW w:w="6847" w:type="dxa"/>
            <w:noWrap w:val="0"/>
            <w:vAlign w:val="center"/>
          </w:tcPr>
          <w:p w14:paraId="56F393F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用焚烧法处置。</w:t>
            </w:r>
          </w:p>
        </w:tc>
      </w:tr>
      <w:tr w14:paraId="4592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3E8C9732">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危险货物编号：</w:t>
            </w:r>
          </w:p>
        </w:tc>
        <w:tc>
          <w:tcPr>
            <w:tcW w:w="6847" w:type="dxa"/>
            <w:noWrap w:val="0"/>
            <w:vAlign w:val="center"/>
          </w:tcPr>
          <w:p w14:paraId="3455895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31001</w:t>
            </w:r>
          </w:p>
        </w:tc>
      </w:tr>
      <w:tr w14:paraId="5B23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5AD52B2D">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UN编号：</w:t>
            </w:r>
          </w:p>
        </w:tc>
        <w:tc>
          <w:tcPr>
            <w:tcW w:w="6847" w:type="dxa"/>
            <w:noWrap w:val="0"/>
            <w:vAlign w:val="center"/>
          </w:tcPr>
          <w:p w14:paraId="144BF2C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1203</w:t>
            </w:r>
          </w:p>
        </w:tc>
      </w:tr>
      <w:tr w14:paraId="60E3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33FFAC1B">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包装类别：</w:t>
            </w:r>
          </w:p>
        </w:tc>
        <w:tc>
          <w:tcPr>
            <w:tcW w:w="6847" w:type="dxa"/>
            <w:noWrap w:val="0"/>
            <w:vAlign w:val="center"/>
          </w:tcPr>
          <w:p w14:paraId="25594DA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O52</w:t>
            </w:r>
          </w:p>
        </w:tc>
      </w:tr>
      <w:tr w14:paraId="2204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472" w:type="dxa"/>
            <w:noWrap w:val="0"/>
            <w:vAlign w:val="top"/>
          </w:tcPr>
          <w:p w14:paraId="7D407E74">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包装方法：</w:t>
            </w:r>
          </w:p>
        </w:tc>
        <w:tc>
          <w:tcPr>
            <w:tcW w:w="6847" w:type="dxa"/>
            <w:noWrap w:val="0"/>
            <w:vAlign w:val="center"/>
          </w:tcPr>
          <w:p w14:paraId="7D5F784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小开口钢桶；安瓿瓶外普通木箱；螺纹口玻璃瓶、铁盖压口玻璃瓶、塑料瓶或金属桶（罐）外普通木箱。</w:t>
            </w:r>
          </w:p>
        </w:tc>
      </w:tr>
      <w:tr w14:paraId="1DB3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top"/>
          </w:tcPr>
          <w:p w14:paraId="69EA072E">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运输注意事项：</w:t>
            </w:r>
          </w:p>
        </w:tc>
        <w:tc>
          <w:tcPr>
            <w:tcW w:w="6847" w:type="dxa"/>
            <w:noWrap w:val="0"/>
            <w:vAlign w:val="center"/>
          </w:tcPr>
          <w:p w14:paraId="552252C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等混装混运。运输途中应防</w:t>
            </w:r>
            <w:r>
              <w:rPr>
                <w:rFonts w:hint="eastAsia" w:ascii="宋体" w:hAnsi="宋体" w:cs="宋体"/>
                <w:b w:val="0"/>
                <w:i w:val="0"/>
                <w:caps w:val="0"/>
                <w:color w:val="auto"/>
                <w:spacing w:val="0"/>
                <w:kern w:val="0"/>
                <w:sz w:val="21"/>
                <w:szCs w:val="21"/>
                <w:lang w:val="en-US" w:eastAsia="zh-CN" w:bidi="ar"/>
              </w:rPr>
              <w:t>暴晒</w:t>
            </w:r>
            <w:r>
              <w:rPr>
                <w:rFonts w:hint="eastAsia" w:ascii="宋体" w:hAnsi="宋体" w:eastAsia="宋体" w:cs="宋体"/>
                <w:b w:val="0"/>
                <w:i w:val="0"/>
                <w:caps w:val="0"/>
                <w:color w:val="auto"/>
                <w:spacing w:val="0"/>
                <w:kern w:val="0"/>
                <w:sz w:val="21"/>
                <w:szCs w:val="21"/>
                <w:lang w:val="en-US" w:eastAsia="zh-CN" w:bidi="ar"/>
              </w:rPr>
              <w:t>、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14:paraId="74A58EDF">
      <w:pPr>
        <w:jc w:val="center"/>
        <w:rPr>
          <w:color w:val="000000"/>
          <w:sz w:val="24"/>
          <w:szCs w:val="24"/>
        </w:rPr>
      </w:pPr>
    </w:p>
    <w:p w14:paraId="152E358D">
      <w:pPr>
        <w:jc w:val="center"/>
        <w:rPr>
          <w:rFonts w:hint="eastAsia" w:eastAsia="宋体"/>
          <w:color w:val="000000"/>
          <w:sz w:val="24"/>
          <w:szCs w:val="24"/>
          <w:lang w:eastAsia="zh-CN"/>
        </w:rPr>
      </w:pPr>
      <w:r>
        <w:rPr>
          <w:color w:val="000000"/>
          <w:sz w:val="24"/>
          <w:szCs w:val="24"/>
        </w:rPr>
        <w:t>表3</w:t>
      </w:r>
      <w:r>
        <w:rPr>
          <w:rFonts w:hint="eastAsia"/>
          <w:color w:val="000000"/>
          <w:sz w:val="24"/>
          <w:szCs w:val="24"/>
        </w:rPr>
        <w:t>.1</w:t>
      </w:r>
      <w:r>
        <w:rPr>
          <w:color w:val="000000"/>
          <w:sz w:val="24"/>
          <w:szCs w:val="24"/>
        </w:rPr>
        <w:t>-</w:t>
      </w:r>
      <w:r>
        <w:rPr>
          <w:rFonts w:hint="eastAsia"/>
          <w:color w:val="000000"/>
          <w:sz w:val="24"/>
          <w:szCs w:val="24"/>
          <w:lang w:val="en-US" w:eastAsia="zh-CN"/>
        </w:rPr>
        <w:t>2</w:t>
      </w:r>
      <w:r>
        <w:rPr>
          <w:color w:val="000000"/>
          <w:sz w:val="24"/>
          <w:szCs w:val="24"/>
        </w:rPr>
        <w:t>柴油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6050"/>
      </w:tblGrid>
      <w:tr w14:paraId="5887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3980CD70">
            <w:pPr>
              <w:keepNext w:val="0"/>
              <w:keepLines w:val="0"/>
              <w:pageBreakBefore w:val="0"/>
              <w:widowControl/>
              <w:suppressLineNumbers w:val="0"/>
              <w:kinsoku/>
              <w:wordWrap/>
              <w:overflowPunct/>
              <w:topLinePunct w:val="0"/>
              <w:autoSpaceDE/>
              <w:autoSpaceDN/>
              <w:bidi w:val="0"/>
              <w:adjustRightInd/>
              <w:snapToGrid/>
              <w:spacing w:beforeAutospacing="0" w:afterAutospacing="0"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kern w:val="0"/>
                <w:sz w:val="21"/>
                <w:szCs w:val="21"/>
                <w:lang w:val="en-US" w:eastAsia="zh-CN" w:bidi="ar"/>
              </w:rPr>
              <w:t>名称：</w:t>
            </w:r>
          </w:p>
        </w:tc>
        <w:tc>
          <w:tcPr>
            <w:tcW w:w="6050" w:type="dxa"/>
            <w:noWrap w:val="0"/>
            <w:vAlign w:val="center"/>
          </w:tcPr>
          <w:p w14:paraId="361EFC2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kern w:val="0"/>
                <w:sz w:val="21"/>
                <w:szCs w:val="21"/>
                <w:lang w:val="en-US" w:eastAsia="zh-CN" w:bidi="ar"/>
              </w:rPr>
              <w:t xml:space="preserve">柴油     Diesel fuel     Diesel oil </w:t>
            </w:r>
          </w:p>
        </w:tc>
      </w:tr>
      <w:tr w14:paraId="3443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27EB14F">
            <w:pPr>
              <w:keepNext w:val="0"/>
              <w:keepLines w:val="0"/>
              <w:pageBreakBefore w:val="0"/>
              <w:widowControl/>
              <w:suppressLineNumbers w:val="0"/>
              <w:kinsoku/>
              <w:wordWrap/>
              <w:overflowPunct/>
              <w:topLinePunct w:val="0"/>
              <w:autoSpaceDE/>
              <w:autoSpaceDN/>
              <w:bidi w:val="0"/>
              <w:adjustRightInd/>
              <w:snapToGrid/>
              <w:spacing w:beforeAutospacing="0" w:afterAutospacing="0"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kern w:val="0"/>
                <w:sz w:val="21"/>
                <w:szCs w:val="21"/>
                <w:lang w:val="en-US" w:eastAsia="zh-CN" w:bidi="ar"/>
              </w:rPr>
              <w:t>CAS：</w:t>
            </w:r>
          </w:p>
        </w:tc>
        <w:tc>
          <w:tcPr>
            <w:tcW w:w="6050" w:type="dxa"/>
            <w:noWrap w:val="0"/>
            <w:vAlign w:val="center"/>
          </w:tcPr>
          <w:p w14:paraId="0035B4D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kern w:val="0"/>
                <w:sz w:val="21"/>
                <w:szCs w:val="21"/>
                <w:lang w:val="en-US" w:eastAsia="zh-CN" w:bidi="ar"/>
              </w:rPr>
              <w:t>68334-30-5</w:t>
            </w:r>
          </w:p>
        </w:tc>
      </w:tr>
      <w:tr w14:paraId="4ACC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6C2752A5">
            <w:pPr>
              <w:keepNext w:val="0"/>
              <w:keepLines w:val="0"/>
              <w:pageBreakBefore w:val="0"/>
              <w:widowControl/>
              <w:suppressLineNumbers w:val="0"/>
              <w:kinsoku/>
              <w:wordWrap/>
              <w:overflowPunct/>
              <w:topLinePunct w:val="0"/>
              <w:autoSpaceDE/>
              <w:autoSpaceDN/>
              <w:bidi w:val="0"/>
              <w:adjustRightInd/>
              <w:snapToGrid/>
              <w:spacing w:beforeAutospacing="0" w:afterAutospacing="0"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kern w:val="0"/>
                <w:sz w:val="21"/>
                <w:szCs w:val="21"/>
                <w:lang w:val="en-US" w:eastAsia="zh-CN" w:bidi="ar"/>
              </w:rPr>
              <w:t>健康危害</w:t>
            </w:r>
          </w:p>
        </w:tc>
        <w:tc>
          <w:tcPr>
            <w:tcW w:w="6050" w:type="dxa"/>
            <w:noWrap w:val="0"/>
            <w:vAlign w:val="center"/>
          </w:tcPr>
          <w:p w14:paraId="4437699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kern w:val="0"/>
                <w:sz w:val="21"/>
                <w:szCs w:val="21"/>
                <w:lang w:val="en-US" w:eastAsia="zh-CN" w:bidi="ar"/>
              </w:rPr>
              <w:t>皮肤接触可为主要吸收途径，可致急性肾脏损害。柴油可引起接触性皮炎、油性痤疮。吸入其雾滴或液体呛入可引起吸入性肺炎。能经胎盘进入胎儿血中。柴油废气可引起眼、鼻刺激症状，头晕及头痛。</w:t>
            </w:r>
          </w:p>
        </w:tc>
      </w:tr>
      <w:tr w14:paraId="26DD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0EAA5F13">
            <w:pPr>
              <w:keepNext w:val="0"/>
              <w:keepLines w:val="0"/>
              <w:pageBreakBefore w:val="0"/>
              <w:widowControl/>
              <w:suppressLineNumbers w:val="0"/>
              <w:kinsoku/>
              <w:wordWrap/>
              <w:overflowPunct/>
              <w:topLinePunct w:val="0"/>
              <w:autoSpaceDE/>
              <w:autoSpaceDN/>
              <w:bidi w:val="0"/>
              <w:adjustRightInd/>
              <w:snapToGrid/>
              <w:spacing w:beforeAutospacing="0" w:afterAutospacing="0" w:line="260" w:lineRule="exact"/>
              <w:ind w:left="0" w:leftChars="0" w:firstLine="0" w:firstLineChars="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环境危害：</w:t>
            </w:r>
          </w:p>
        </w:tc>
        <w:tc>
          <w:tcPr>
            <w:tcW w:w="6050" w:type="dxa"/>
            <w:noWrap w:val="0"/>
            <w:vAlign w:val="center"/>
          </w:tcPr>
          <w:p w14:paraId="0D75C6D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60" w:lineRule="exact"/>
              <w:ind w:left="0" w:leftChars="0" w:firstLine="0" w:firstLineChars="0"/>
              <w:jc w:val="left"/>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对环境有危害，对水体和大气可造成污染。</w:t>
            </w:r>
          </w:p>
        </w:tc>
      </w:tr>
      <w:tr w14:paraId="7C2E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63778D66">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燃爆危险：</w:t>
            </w:r>
          </w:p>
        </w:tc>
        <w:tc>
          <w:tcPr>
            <w:tcW w:w="6050" w:type="dxa"/>
            <w:noWrap w:val="0"/>
            <w:vAlign w:val="center"/>
          </w:tcPr>
          <w:p w14:paraId="4B24DEF1">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本品易燃，</w:t>
            </w:r>
            <w:r>
              <w:rPr>
                <w:rFonts w:hint="eastAsia" w:ascii="宋体" w:hAnsi="宋体" w:cs="宋体"/>
                <w:kern w:val="0"/>
                <w:sz w:val="21"/>
                <w:szCs w:val="21"/>
                <w:lang w:val="en-US" w:eastAsia="zh-CN" w:bidi="ar"/>
              </w:rPr>
              <w:t>具有</w:t>
            </w:r>
            <w:r>
              <w:rPr>
                <w:rFonts w:hint="eastAsia" w:ascii="宋体" w:hAnsi="宋体" w:eastAsia="宋体" w:cs="宋体"/>
                <w:kern w:val="0"/>
                <w:sz w:val="21"/>
                <w:szCs w:val="21"/>
                <w:lang w:val="en-US" w:eastAsia="zh-CN" w:bidi="ar"/>
              </w:rPr>
              <w:t>刺激性。</w:t>
            </w:r>
          </w:p>
        </w:tc>
      </w:tr>
      <w:tr w14:paraId="33B9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13E7620">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皮肤接触：</w:t>
            </w:r>
          </w:p>
        </w:tc>
        <w:tc>
          <w:tcPr>
            <w:tcW w:w="6050" w:type="dxa"/>
            <w:noWrap w:val="0"/>
            <w:vAlign w:val="center"/>
          </w:tcPr>
          <w:p w14:paraId="5CA0BA36">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立即脱去污染的衣着，用肥皂水和清水彻底冲洗皮肤。就医。</w:t>
            </w:r>
          </w:p>
        </w:tc>
      </w:tr>
      <w:tr w14:paraId="4E12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18F08493">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眼睛接触：</w:t>
            </w:r>
          </w:p>
        </w:tc>
        <w:tc>
          <w:tcPr>
            <w:tcW w:w="6050" w:type="dxa"/>
            <w:noWrap w:val="0"/>
            <w:vAlign w:val="center"/>
          </w:tcPr>
          <w:p w14:paraId="43460E3A">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提起眼睑，用流动清水或生理盐水冲洗。就医。</w:t>
            </w:r>
          </w:p>
        </w:tc>
      </w:tr>
      <w:tr w14:paraId="03A4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35B70133">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吸入：</w:t>
            </w:r>
          </w:p>
        </w:tc>
        <w:tc>
          <w:tcPr>
            <w:tcW w:w="6050" w:type="dxa"/>
            <w:noWrap w:val="0"/>
            <w:vAlign w:val="center"/>
          </w:tcPr>
          <w:p w14:paraId="5D0DDE7D">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迅速脱离现场至空气新鲜处。保持呼吸道通畅。如呼吸困难，给输氧。如呼吸停止，立即进行人工呼吸。就医。</w:t>
            </w:r>
          </w:p>
        </w:tc>
      </w:tr>
      <w:tr w14:paraId="5945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10564484">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食入：</w:t>
            </w:r>
          </w:p>
        </w:tc>
        <w:tc>
          <w:tcPr>
            <w:tcW w:w="6050" w:type="dxa"/>
            <w:noWrap w:val="0"/>
            <w:vAlign w:val="center"/>
          </w:tcPr>
          <w:p w14:paraId="06255A0C">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尽快彻底洗胃。就医。</w:t>
            </w:r>
          </w:p>
        </w:tc>
      </w:tr>
      <w:tr w14:paraId="0465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5E79A58B">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危险特性：</w:t>
            </w:r>
          </w:p>
        </w:tc>
        <w:tc>
          <w:tcPr>
            <w:tcW w:w="6050" w:type="dxa"/>
            <w:noWrap w:val="0"/>
            <w:vAlign w:val="center"/>
          </w:tcPr>
          <w:p w14:paraId="7F7C905E">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遇明火、高热或与氧化剂接触，有引起燃烧爆炸的危险。若遇高热，容器内压增大，有开裂和爆炸的危险。</w:t>
            </w:r>
          </w:p>
        </w:tc>
      </w:tr>
      <w:tr w14:paraId="56BD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1CC47F5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有害燃烧产物：：</w:t>
            </w:r>
          </w:p>
        </w:tc>
        <w:tc>
          <w:tcPr>
            <w:tcW w:w="6050" w:type="dxa"/>
            <w:noWrap w:val="0"/>
            <w:vAlign w:val="center"/>
          </w:tcPr>
          <w:p w14:paraId="298C3378">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一氧化碳、二氧化碳。</w:t>
            </w:r>
          </w:p>
        </w:tc>
      </w:tr>
      <w:tr w14:paraId="1BAD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49F31BD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灭火方法：：</w:t>
            </w:r>
          </w:p>
        </w:tc>
        <w:tc>
          <w:tcPr>
            <w:tcW w:w="6050" w:type="dxa"/>
            <w:noWrap w:val="0"/>
            <w:vAlign w:val="center"/>
          </w:tcPr>
          <w:p w14:paraId="330C565F">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3745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39F42A42">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应急处理：</w:t>
            </w:r>
          </w:p>
        </w:tc>
        <w:tc>
          <w:tcPr>
            <w:tcW w:w="6050" w:type="dxa"/>
            <w:noWrap w:val="0"/>
            <w:vAlign w:val="center"/>
          </w:tcPr>
          <w:p w14:paraId="7CA1BFDA">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14:paraId="239C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2352D34C">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操作注意事项：</w:t>
            </w:r>
          </w:p>
        </w:tc>
        <w:tc>
          <w:tcPr>
            <w:tcW w:w="6050" w:type="dxa"/>
            <w:noWrap w:val="0"/>
            <w:vAlign w:val="center"/>
          </w:tcPr>
          <w:p w14:paraId="7E7DD43C">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密闭操作，注意通风。操作人员必须经过专门培训，严格遵守操作规程。建议操作人员佩戴自吸过滤式防毒面具（半面罩），戴化学安全防护眼镜，戴橡胶耐油手套。远离火种、热源，工作场所严禁吸烟。使用防爆型的通风系统和设备。防止蒸气泄漏到工作场所空气中。避免与氧化剂、卤素接触。充装要控制流速，防止静电积聚。搬运时要轻装轻卸，防止包装及容器损坏。配备相应品种和数量的消防器材及泄漏应急处理设备。倒空的容器可能残留有害物。</w:t>
            </w:r>
          </w:p>
        </w:tc>
      </w:tr>
      <w:tr w14:paraId="6A6A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479D000C">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储存注意事项：</w:t>
            </w:r>
          </w:p>
        </w:tc>
        <w:tc>
          <w:tcPr>
            <w:tcW w:w="6050" w:type="dxa"/>
            <w:noWrap w:val="0"/>
            <w:vAlign w:val="center"/>
          </w:tcPr>
          <w:p w14:paraId="18F33708">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储存于阴凉、通风的库房。远离火种、热源。应与氧化剂、卤素分开存放，切忌混储。采用防爆型照明、通风设施。禁止使用易产生火花的机械设备和工具。储区应备有泄漏应急处理设备和合适的收容材料。</w:t>
            </w:r>
          </w:p>
        </w:tc>
      </w:tr>
      <w:tr w14:paraId="4B38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EB075BA">
            <w:pPr>
              <w:keepNext w:val="0"/>
              <w:keepLines w:val="0"/>
              <w:pageBreakBefore w:val="0"/>
              <w:widowControl/>
              <w:suppressLineNumbers w:val="0"/>
              <w:kinsoku/>
              <w:wordWrap w:val="0"/>
              <w:overflowPunct/>
              <w:topLinePunct w:val="0"/>
              <w:autoSpaceDE/>
              <w:autoSpaceDN/>
              <w:bidi w:val="0"/>
              <w:adjustRightInd/>
              <w:snapToGrid/>
              <w:spacing w:line="260" w:lineRule="exact"/>
              <w:jc w:val="center"/>
              <w:textAlignment w:val="top"/>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TLVTN：</w:t>
            </w:r>
          </w:p>
        </w:tc>
        <w:tc>
          <w:tcPr>
            <w:tcW w:w="6050" w:type="dxa"/>
            <w:noWrap w:val="0"/>
            <w:vAlign w:val="center"/>
          </w:tcPr>
          <w:p w14:paraId="7FC03B28">
            <w:pPr>
              <w:keepNext w:val="0"/>
              <w:keepLines w:val="0"/>
              <w:pageBreakBefore w:val="0"/>
              <w:widowControl/>
              <w:suppressLineNumbers w:val="0"/>
              <w:kinsoku/>
              <w:wordWrap w:val="0"/>
              <w:overflowPunct/>
              <w:topLinePunct w:val="0"/>
              <w:autoSpaceDE/>
              <w:autoSpaceDN/>
              <w:bidi w:val="0"/>
              <w:adjustRightInd/>
              <w:snapToGrid/>
              <w:spacing w:line="260" w:lineRule="exact"/>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未制订标准</w:t>
            </w:r>
          </w:p>
        </w:tc>
      </w:tr>
      <w:tr w14:paraId="15C0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3844DF78">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TLVWN：：</w:t>
            </w:r>
          </w:p>
        </w:tc>
        <w:tc>
          <w:tcPr>
            <w:tcW w:w="6050" w:type="dxa"/>
            <w:noWrap w:val="0"/>
            <w:vAlign w:val="center"/>
          </w:tcPr>
          <w:p w14:paraId="07CF7359">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未制订标准</w:t>
            </w:r>
          </w:p>
        </w:tc>
      </w:tr>
      <w:tr w14:paraId="7759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FC0B9B9">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工程控制：：</w:t>
            </w:r>
          </w:p>
        </w:tc>
        <w:tc>
          <w:tcPr>
            <w:tcW w:w="6050" w:type="dxa"/>
            <w:noWrap w:val="0"/>
            <w:vAlign w:val="center"/>
          </w:tcPr>
          <w:p w14:paraId="4CB72CB7">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密闭操作，注意通风。</w:t>
            </w:r>
          </w:p>
        </w:tc>
      </w:tr>
      <w:tr w14:paraId="35C5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5F611FF7">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呼吸系统防护：</w:t>
            </w:r>
          </w:p>
        </w:tc>
        <w:tc>
          <w:tcPr>
            <w:tcW w:w="6050" w:type="dxa"/>
            <w:noWrap w:val="0"/>
            <w:vAlign w:val="center"/>
          </w:tcPr>
          <w:p w14:paraId="08D31C18">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空气中浓度超标时，建议佩戴自吸过滤式防毒面具（半面罩）。紧急事态抢救或撤离时，应该佩戴空气呼吸器。</w:t>
            </w:r>
          </w:p>
        </w:tc>
      </w:tr>
      <w:tr w14:paraId="6AF2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B38D673">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眼睛防护：</w:t>
            </w:r>
          </w:p>
        </w:tc>
        <w:tc>
          <w:tcPr>
            <w:tcW w:w="6050" w:type="dxa"/>
            <w:noWrap w:val="0"/>
            <w:vAlign w:val="center"/>
          </w:tcPr>
          <w:p w14:paraId="0FC7724A">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戴化学安全防护眼镜。</w:t>
            </w:r>
          </w:p>
        </w:tc>
      </w:tr>
      <w:tr w14:paraId="4F92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432A9B50">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身体防护：</w:t>
            </w:r>
          </w:p>
        </w:tc>
        <w:tc>
          <w:tcPr>
            <w:tcW w:w="6050" w:type="dxa"/>
            <w:noWrap w:val="0"/>
            <w:vAlign w:val="center"/>
          </w:tcPr>
          <w:p w14:paraId="633257F1">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穿一般作业防护服。</w:t>
            </w:r>
          </w:p>
        </w:tc>
      </w:tr>
      <w:tr w14:paraId="7071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4A37C56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手防护：</w:t>
            </w:r>
          </w:p>
        </w:tc>
        <w:tc>
          <w:tcPr>
            <w:tcW w:w="6050" w:type="dxa"/>
            <w:noWrap w:val="0"/>
            <w:vAlign w:val="center"/>
          </w:tcPr>
          <w:p w14:paraId="13E5B713">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戴橡胶耐油手套。</w:t>
            </w:r>
          </w:p>
        </w:tc>
      </w:tr>
      <w:tr w14:paraId="1265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37846ACD">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其他防护：</w:t>
            </w:r>
          </w:p>
        </w:tc>
        <w:tc>
          <w:tcPr>
            <w:tcW w:w="6050" w:type="dxa"/>
            <w:noWrap w:val="0"/>
            <w:vAlign w:val="center"/>
          </w:tcPr>
          <w:p w14:paraId="072DAA5F">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工作现场严禁吸烟。避免长期反复接触。</w:t>
            </w:r>
          </w:p>
        </w:tc>
      </w:tr>
      <w:tr w14:paraId="109F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201D74F2">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外观与性状：</w:t>
            </w:r>
          </w:p>
        </w:tc>
        <w:tc>
          <w:tcPr>
            <w:tcW w:w="6050" w:type="dxa"/>
            <w:noWrap w:val="0"/>
            <w:vAlign w:val="center"/>
          </w:tcPr>
          <w:p w14:paraId="7E66F5CF">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稍</w:t>
            </w:r>
            <w:r>
              <w:rPr>
                <w:rFonts w:hint="eastAsia" w:ascii="宋体" w:hAnsi="宋体" w:cs="宋体"/>
                <w:b w:val="0"/>
                <w:i w:val="0"/>
                <w:caps w:val="0"/>
                <w:color w:val="000000"/>
                <w:spacing w:val="0"/>
                <w:kern w:val="0"/>
                <w:sz w:val="21"/>
                <w:szCs w:val="21"/>
                <w:lang w:val="en-US" w:eastAsia="zh-CN" w:bidi="ar"/>
              </w:rPr>
              <w:t>有黏性的</w:t>
            </w:r>
            <w:r>
              <w:rPr>
                <w:rFonts w:hint="eastAsia" w:ascii="宋体" w:hAnsi="宋体" w:eastAsia="宋体" w:cs="宋体"/>
                <w:b w:val="0"/>
                <w:i w:val="0"/>
                <w:caps w:val="0"/>
                <w:color w:val="000000"/>
                <w:spacing w:val="0"/>
                <w:kern w:val="0"/>
                <w:sz w:val="21"/>
                <w:szCs w:val="21"/>
                <w:lang w:val="en-US" w:eastAsia="zh-CN" w:bidi="ar"/>
              </w:rPr>
              <w:t>棕色液体。</w:t>
            </w:r>
          </w:p>
        </w:tc>
      </w:tr>
      <w:tr w14:paraId="5DC9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19BCE40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熔点(℃)：</w:t>
            </w:r>
          </w:p>
        </w:tc>
        <w:tc>
          <w:tcPr>
            <w:tcW w:w="6050" w:type="dxa"/>
            <w:noWrap w:val="0"/>
            <w:vAlign w:val="center"/>
          </w:tcPr>
          <w:p w14:paraId="41859449">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-18</w:t>
            </w:r>
          </w:p>
        </w:tc>
      </w:tr>
      <w:tr w14:paraId="2AE2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67447E50">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沸点(℃)：：</w:t>
            </w:r>
          </w:p>
        </w:tc>
        <w:tc>
          <w:tcPr>
            <w:tcW w:w="6050" w:type="dxa"/>
            <w:noWrap w:val="0"/>
            <w:vAlign w:val="center"/>
          </w:tcPr>
          <w:p w14:paraId="113A6FDD">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282-338</w:t>
            </w:r>
          </w:p>
        </w:tc>
      </w:tr>
      <w:tr w14:paraId="4A8A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33AD1BCA">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相对密度(水=1)：</w:t>
            </w:r>
          </w:p>
        </w:tc>
        <w:tc>
          <w:tcPr>
            <w:tcW w:w="6050" w:type="dxa"/>
            <w:noWrap w:val="0"/>
            <w:vAlign w:val="center"/>
          </w:tcPr>
          <w:p w14:paraId="78F655BE">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0.87-0.9</w:t>
            </w:r>
          </w:p>
        </w:tc>
      </w:tr>
      <w:tr w14:paraId="57D5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1A1E93F4">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闪点(℃)：</w:t>
            </w:r>
          </w:p>
        </w:tc>
        <w:tc>
          <w:tcPr>
            <w:tcW w:w="6050" w:type="dxa"/>
            <w:noWrap w:val="0"/>
            <w:vAlign w:val="center"/>
          </w:tcPr>
          <w:p w14:paraId="0D598E7A">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cs="宋体"/>
                <w:b w:val="0"/>
                <w:i w:val="0"/>
                <w:caps w:val="0"/>
                <w:color w:val="000000"/>
                <w:spacing w:val="0"/>
                <w:kern w:val="0"/>
                <w:sz w:val="21"/>
                <w:szCs w:val="21"/>
                <w:lang w:val="en-US" w:eastAsia="zh-CN" w:bidi="ar"/>
              </w:rPr>
              <w:t>5</w:t>
            </w:r>
            <w:r>
              <w:rPr>
                <w:rFonts w:hint="eastAsia" w:ascii="宋体" w:hAnsi="宋体" w:eastAsia="宋体" w:cs="宋体"/>
                <w:b w:val="0"/>
                <w:i w:val="0"/>
                <w:caps w:val="0"/>
                <w:color w:val="000000"/>
                <w:spacing w:val="0"/>
                <w:kern w:val="0"/>
                <w:sz w:val="21"/>
                <w:szCs w:val="21"/>
                <w:lang w:val="en-US" w:eastAsia="zh-CN" w:bidi="ar"/>
              </w:rPr>
              <w:t>8</w:t>
            </w:r>
          </w:p>
        </w:tc>
      </w:tr>
      <w:tr w14:paraId="24F7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411B7385">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引燃温度(℃)：</w:t>
            </w:r>
          </w:p>
        </w:tc>
        <w:tc>
          <w:tcPr>
            <w:tcW w:w="6050" w:type="dxa"/>
            <w:noWrap w:val="0"/>
            <w:vAlign w:val="center"/>
          </w:tcPr>
          <w:p w14:paraId="013FDA19">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257</w:t>
            </w:r>
          </w:p>
        </w:tc>
      </w:tr>
      <w:tr w14:paraId="0FD3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shd w:val="clear" w:color="auto" w:fill="auto"/>
            <w:noWrap w:val="0"/>
            <w:vAlign w:val="top"/>
          </w:tcPr>
          <w:p w14:paraId="64E40059">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爆炸上限%(V/V)：</w:t>
            </w:r>
          </w:p>
        </w:tc>
        <w:tc>
          <w:tcPr>
            <w:tcW w:w="6050" w:type="dxa"/>
            <w:shd w:val="clear" w:color="auto" w:fill="auto"/>
            <w:noWrap w:val="0"/>
            <w:vAlign w:val="center"/>
          </w:tcPr>
          <w:p w14:paraId="7E29ECD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6.</w:t>
            </w:r>
            <w:r>
              <w:rPr>
                <w:rFonts w:hint="eastAsia" w:ascii="宋体" w:hAnsi="宋体" w:cs="宋体"/>
                <w:b w:val="0"/>
                <w:i w:val="0"/>
                <w:caps w:val="0"/>
                <w:color w:val="auto"/>
                <w:spacing w:val="0"/>
                <w:kern w:val="0"/>
                <w:sz w:val="21"/>
                <w:szCs w:val="21"/>
                <w:lang w:val="en-US" w:eastAsia="zh-CN" w:bidi="ar"/>
              </w:rPr>
              <w:t>5</w:t>
            </w:r>
          </w:p>
        </w:tc>
      </w:tr>
      <w:tr w14:paraId="357A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shd w:val="clear" w:color="auto" w:fill="auto"/>
            <w:noWrap w:val="0"/>
            <w:vAlign w:val="top"/>
          </w:tcPr>
          <w:p w14:paraId="47765734">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top"/>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eastAsia="宋体" w:cs="宋体"/>
                <w:b w:val="0"/>
                <w:i w:val="0"/>
                <w:caps w:val="0"/>
                <w:color w:val="auto"/>
                <w:spacing w:val="0"/>
                <w:kern w:val="0"/>
                <w:sz w:val="21"/>
                <w:szCs w:val="21"/>
                <w:lang w:val="en-US" w:eastAsia="zh-CN" w:bidi="ar"/>
              </w:rPr>
              <w:t>爆炸下限%(V/V)：</w:t>
            </w:r>
          </w:p>
        </w:tc>
        <w:tc>
          <w:tcPr>
            <w:tcW w:w="6050" w:type="dxa"/>
            <w:shd w:val="clear" w:color="auto" w:fill="auto"/>
            <w:noWrap w:val="0"/>
            <w:vAlign w:val="center"/>
          </w:tcPr>
          <w:p w14:paraId="3966FEE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80" w:lineRule="exact"/>
              <w:ind w:left="0" w:leftChars="0" w:firstLine="0" w:firstLineChars="0"/>
              <w:jc w:val="left"/>
              <w:rPr>
                <w:rFonts w:hint="eastAsia" w:ascii="宋体" w:hAnsi="宋体" w:eastAsia="宋体" w:cs="宋体"/>
                <w:b w:val="0"/>
                <w:i w:val="0"/>
                <w:caps w:val="0"/>
                <w:color w:val="auto"/>
                <w:spacing w:val="0"/>
                <w:kern w:val="2"/>
                <w:sz w:val="21"/>
                <w:szCs w:val="21"/>
                <w:lang w:val="en-US" w:eastAsia="zh-CN" w:bidi="ar-SA"/>
              </w:rPr>
            </w:pPr>
            <w:r>
              <w:rPr>
                <w:rFonts w:hint="eastAsia" w:ascii="宋体" w:hAnsi="宋体" w:cs="宋体"/>
                <w:b w:val="0"/>
                <w:i w:val="0"/>
                <w:caps w:val="0"/>
                <w:color w:val="auto"/>
                <w:spacing w:val="0"/>
                <w:kern w:val="0"/>
                <w:sz w:val="21"/>
                <w:szCs w:val="21"/>
                <w:lang w:val="en-US" w:eastAsia="zh-CN" w:bidi="ar"/>
              </w:rPr>
              <w:t>0.6</w:t>
            </w:r>
          </w:p>
        </w:tc>
      </w:tr>
      <w:tr w14:paraId="2DE0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046E838A">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主要用途：</w:t>
            </w:r>
          </w:p>
        </w:tc>
        <w:tc>
          <w:tcPr>
            <w:tcW w:w="6050" w:type="dxa"/>
            <w:noWrap w:val="0"/>
            <w:vAlign w:val="center"/>
          </w:tcPr>
          <w:p w14:paraId="7C4DB4B4">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用作柴油机的燃料。</w:t>
            </w:r>
          </w:p>
        </w:tc>
      </w:tr>
      <w:tr w14:paraId="4FFF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521C7B87">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禁配物：</w:t>
            </w:r>
          </w:p>
        </w:tc>
        <w:tc>
          <w:tcPr>
            <w:tcW w:w="6050" w:type="dxa"/>
            <w:noWrap w:val="0"/>
            <w:vAlign w:val="center"/>
          </w:tcPr>
          <w:p w14:paraId="267CD8E0">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强氧化剂、卤素。</w:t>
            </w:r>
          </w:p>
        </w:tc>
      </w:tr>
      <w:tr w14:paraId="2F38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A7945F4">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急性毒性：</w:t>
            </w:r>
          </w:p>
        </w:tc>
        <w:tc>
          <w:tcPr>
            <w:tcW w:w="6050" w:type="dxa"/>
            <w:noWrap w:val="0"/>
            <w:vAlign w:val="center"/>
          </w:tcPr>
          <w:p w14:paraId="13E6D9AC">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LD50：无资料 LC50：无资料</w:t>
            </w:r>
          </w:p>
        </w:tc>
      </w:tr>
      <w:tr w14:paraId="07C4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612144BE">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cs="宋体"/>
                <w:b w:val="0"/>
                <w:i w:val="0"/>
                <w:caps w:val="0"/>
                <w:color w:val="000000"/>
                <w:spacing w:val="0"/>
                <w:kern w:val="0"/>
                <w:sz w:val="21"/>
                <w:szCs w:val="21"/>
                <w:lang w:val="en-US" w:eastAsia="zh-CN" w:bidi="ar"/>
              </w:rPr>
              <w:t>其他有害</w:t>
            </w:r>
            <w:r>
              <w:rPr>
                <w:rFonts w:hint="eastAsia" w:ascii="宋体" w:hAnsi="宋体" w:eastAsia="宋体" w:cs="宋体"/>
                <w:b w:val="0"/>
                <w:i w:val="0"/>
                <w:caps w:val="0"/>
                <w:color w:val="000000"/>
                <w:spacing w:val="0"/>
                <w:kern w:val="0"/>
                <w:sz w:val="21"/>
                <w:szCs w:val="21"/>
                <w:lang w:val="en-US" w:eastAsia="zh-CN" w:bidi="ar"/>
              </w:rPr>
              <w:t>作用：</w:t>
            </w:r>
          </w:p>
        </w:tc>
        <w:tc>
          <w:tcPr>
            <w:tcW w:w="6050" w:type="dxa"/>
            <w:noWrap w:val="0"/>
            <w:vAlign w:val="center"/>
          </w:tcPr>
          <w:p w14:paraId="4A49B7C0">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该物质对环境有危害，建议不要让其进入环境。对水体和大气可造成污染，破坏水生生物呼吸系统。对海藻应给予特别注意。</w:t>
            </w:r>
          </w:p>
        </w:tc>
      </w:tr>
      <w:tr w14:paraId="4171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46C9A2D1">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废弃处置方法：</w:t>
            </w:r>
          </w:p>
        </w:tc>
        <w:tc>
          <w:tcPr>
            <w:tcW w:w="6050" w:type="dxa"/>
            <w:noWrap w:val="0"/>
            <w:vAlign w:val="center"/>
          </w:tcPr>
          <w:p w14:paraId="4DA1354F">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0"/>
                <w:sz w:val="21"/>
                <w:szCs w:val="21"/>
                <w:lang w:val="en-US" w:eastAsia="zh-CN" w:bidi="ar"/>
              </w:rPr>
            </w:pPr>
            <w:r>
              <w:rPr>
                <w:rFonts w:hint="eastAsia" w:ascii="宋体" w:hAnsi="宋体" w:eastAsia="宋体" w:cs="宋体"/>
                <w:b w:val="0"/>
                <w:i w:val="0"/>
                <w:caps w:val="0"/>
                <w:color w:val="000000"/>
                <w:spacing w:val="0"/>
                <w:kern w:val="0"/>
                <w:sz w:val="21"/>
                <w:szCs w:val="21"/>
                <w:lang w:val="en-US" w:eastAsia="zh-CN" w:bidi="ar"/>
              </w:rPr>
              <w:t>处置前应参阅国家和地方有关法规。建议用焚烧法处置。</w:t>
            </w:r>
          </w:p>
        </w:tc>
      </w:tr>
      <w:tr w14:paraId="6154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926FBFB">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包装类别：</w:t>
            </w:r>
          </w:p>
        </w:tc>
        <w:tc>
          <w:tcPr>
            <w:tcW w:w="6050" w:type="dxa"/>
            <w:noWrap w:val="0"/>
            <w:vAlign w:val="center"/>
          </w:tcPr>
          <w:p w14:paraId="69C1076D">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Z01</w:t>
            </w:r>
          </w:p>
        </w:tc>
      </w:tr>
      <w:tr w14:paraId="1B25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1604D3AC">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包装方法：</w:t>
            </w:r>
          </w:p>
        </w:tc>
        <w:tc>
          <w:tcPr>
            <w:tcW w:w="6050" w:type="dxa"/>
            <w:noWrap w:val="0"/>
            <w:vAlign w:val="center"/>
          </w:tcPr>
          <w:p w14:paraId="13CE57EA">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无资料。</w:t>
            </w:r>
          </w:p>
        </w:tc>
      </w:tr>
      <w:tr w14:paraId="301E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dxa"/>
            <w:noWrap w:val="0"/>
            <w:vAlign w:val="center"/>
          </w:tcPr>
          <w:p w14:paraId="7AB20EAF">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top"/>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运输注意事项：</w:t>
            </w:r>
          </w:p>
        </w:tc>
        <w:tc>
          <w:tcPr>
            <w:tcW w:w="6050" w:type="dxa"/>
            <w:noWrap w:val="0"/>
            <w:vAlign w:val="center"/>
          </w:tcPr>
          <w:p w14:paraId="36D838BD">
            <w:pPr>
              <w:keepNext w:val="0"/>
              <w:keepLines w:val="0"/>
              <w:pageBreakBefore w:val="0"/>
              <w:widowControl/>
              <w:suppressLineNumbers w:val="0"/>
              <w:kinsoku/>
              <w:wordWrap w:val="0"/>
              <w:overflowPunct/>
              <w:topLinePunct w:val="0"/>
              <w:autoSpaceDE/>
              <w:autoSpaceDN/>
              <w:bidi w:val="0"/>
              <w:adjustRightInd/>
              <w:snapToGrid/>
              <w:spacing w:line="260" w:lineRule="exact"/>
              <w:ind w:left="0" w:leftChars="0" w:firstLine="0" w:firstLineChars="0"/>
              <w:jc w:val="left"/>
              <w:rPr>
                <w:rFonts w:hint="eastAsia" w:ascii="宋体" w:hAnsi="宋体" w:eastAsia="宋体" w:cs="宋体"/>
                <w:b w:val="0"/>
                <w:i w:val="0"/>
                <w:caps w:val="0"/>
                <w:color w:val="000000"/>
                <w:spacing w:val="0"/>
                <w:kern w:val="2"/>
                <w:sz w:val="21"/>
                <w:szCs w:val="21"/>
                <w:lang w:val="en-US" w:eastAsia="zh-CN" w:bidi="ar-SA"/>
              </w:rPr>
            </w:pPr>
            <w:r>
              <w:rPr>
                <w:rFonts w:hint="eastAsia" w:ascii="宋体" w:hAnsi="宋体" w:eastAsia="宋体" w:cs="宋体"/>
                <w:b w:val="0"/>
                <w:i w:val="0"/>
                <w:caps w:val="0"/>
                <w:color w:val="000000"/>
                <w:spacing w:val="0"/>
                <w:kern w:val="0"/>
                <w:sz w:val="21"/>
                <w:szCs w:val="21"/>
                <w:lang w:val="en-US" w:eastAsia="zh-CN" w:bidi="ar"/>
              </w:rPr>
              <w:t>运输前应先检查包装容器是否完整、密封，运输过程中要确保容器不泄漏、不倒塌、不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w:t>
            </w:r>
            <w:r>
              <w:rPr>
                <w:rFonts w:hint="eastAsia" w:ascii="宋体" w:hAnsi="宋体" w:cs="宋体"/>
                <w:b w:val="0"/>
                <w:i w:val="0"/>
                <w:caps w:val="0"/>
                <w:color w:val="000000"/>
                <w:spacing w:val="0"/>
                <w:kern w:val="0"/>
                <w:sz w:val="21"/>
                <w:szCs w:val="21"/>
                <w:lang w:val="en-US" w:eastAsia="zh-CN" w:bidi="ar"/>
              </w:rPr>
              <w:t>暴晒</w:t>
            </w:r>
            <w:r>
              <w:rPr>
                <w:rFonts w:hint="eastAsia" w:ascii="宋体" w:hAnsi="宋体" w:eastAsia="宋体" w:cs="宋体"/>
                <w:b w:val="0"/>
                <w:i w:val="0"/>
                <w:caps w:val="0"/>
                <w:color w:val="000000"/>
                <w:spacing w:val="0"/>
                <w:kern w:val="0"/>
                <w:sz w:val="21"/>
                <w:szCs w:val="21"/>
                <w:lang w:val="en-US" w:eastAsia="zh-CN" w:bidi="ar"/>
              </w:rPr>
              <w:t>、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bl>
    <w:p w14:paraId="16FCC8B9">
      <w:pPr>
        <w:jc w:val="center"/>
        <w:rPr>
          <w:color w:val="000000"/>
          <w:sz w:val="24"/>
          <w:szCs w:val="24"/>
        </w:rPr>
      </w:pPr>
    </w:p>
    <w:p w14:paraId="3E73A56C">
      <w:pPr>
        <w:keepNext/>
        <w:keepLines/>
        <w:widowControl w:val="0"/>
        <w:bidi w:val="0"/>
        <w:spacing w:beforeLines="0" w:beforeAutospacing="0" w:afterLines="0" w:afterAutospacing="0" w:line="580" w:lineRule="exact"/>
        <w:jc w:val="both"/>
        <w:outlineLvl w:val="1"/>
        <w:rPr>
          <w:rFonts w:hint="eastAsia" w:ascii="Times New Roman" w:hAnsi="Times New Roman" w:eastAsia="t" w:cs="Times New Roman"/>
          <w:b/>
          <w:kern w:val="2"/>
          <w:sz w:val="28"/>
          <w:szCs w:val="24"/>
          <w:lang w:val="en-US" w:eastAsia="zh-CN" w:bidi="ar-SA"/>
        </w:rPr>
      </w:pPr>
      <w:bookmarkStart w:id="85" w:name="_Toc29423"/>
      <w:bookmarkStart w:id="86" w:name="_Toc29800"/>
      <w:r>
        <w:rPr>
          <w:rFonts w:hint="eastAsia" w:ascii="Times New Roman" w:hAnsi="Times New Roman" w:eastAsia="t" w:cs="Times New Roman"/>
          <w:b/>
          <w:kern w:val="2"/>
          <w:sz w:val="28"/>
          <w:szCs w:val="24"/>
          <w:lang w:val="en-US" w:eastAsia="zh-CN" w:bidi="ar-SA"/>
        </w:rPr>
        <w:t>3.2危险化学品及危险工艺辨识</w:t>
      </w:r>
      <w:bookmarkEnd w:id="85"/>
      <w:bookmarkEnd w:id="86"/>
    </w:p>
    <w:p w14:paraId="49A90F80">
      <w:pPr>
        <w:spacing w:line="600" w:lineRule="exact"/>
        <w:ind w:firstLine="560" w:firstLineChars="200"/>
        <w:rPr>
          <w:bCs/>
          <w:color w:val="auto"/>
          <w:kern w:val="0"/>
          <w:sz w:val="28"/>
          <w:szCs w:val="28"/>
        </w:rPr>
      </w:pPr>
      <w:bookmarkStart w:id="87" w:name="_Toc12496"/>
      <w:bookmarkStart w:id="88" w:name="_Toc25342"/>
      <w:bookmarkStart w:id="89" w:name="_Toc7855"/>
      <w:bookmarkStart w:id="90" w:name="_Toc17361955"/>
      <w:r>
        <w:rPr>
          <w:bCs/>
          <w:color w:val="auto"/>
          <w:kern w:val="0"/>
          <w:sz w:val="28"/>
          <w:szCs w:val="28"/>
        </w:rPr>
        <w:t>1、剧毒化学品</w:t>
      </w:r>
    </w:p>
    <w:p w14:paraId="4DCD0656">
      <w:pPr>
        <w:pStyle w:val="29"/>
        <w:spacing w:line="600" w:lineRule="exact"/>
        <w:ind w:firstLine="560" w:firstLineChars="200"/>
        <w:rPr>
          <w:bCs/>
          <w:color w:val="auto"/>
          <w:kern w:val="0"/>
          <w:sz w:val="28"/>
          <w:szCs w:val="28"/>
        </w:rPr>
      </w:pPr>
      <w:r>
        <w:rPr>
          <w:bCs/>
          <w:color w:val="auto"/>
          <w:kern w:val="0"/>
          <w:sz w:val="28"/>
          <w:szCs w:val="28"/>
        </w:rPr>
        <w:t>根据《危险化学品目录》（</w:t>
      </w:r>
      <w:r>
        <w:rPr>
          <w:rFonts w:hint="eastAsia"/>
          <w:bCs/>
          <w:color w:val="auto"/>
          <w:kern w:val="0"/>
          <w:sz w:val="28"/>
          <w:szCs w:val="28"/>
          <w:lang w:val="en-US" w:eastAsia="zh-CN"/>
        </w:rPr>
        <w:t>2026修订版</w:t>
      </w:r>
      <w:r>
        <w:rPr>
          <w:bCs/>
          <w:color w:val="auto"/>
          <w:kern w:val="0"/>
          <w:sz w:val="28"/>
          <w:szCs w:val="28"/>
        </w:rPr>
        <w:t>）的规定，本项目不涉及剧毒化学品。</w:t>
      </w:r>
    </w:p>
    <w:p w14:paraId="2CD01BA0">
      <w:pPr>
        <w:pStyle w:val="29"/>
        <w:spacing w:line="600" w:lineRule="exact"/>
        <w:ind w:firstLine="560" w:firstLineChars="200"/>
        <w:rPr>
          <w:color w:val="auto"/>
          <w:kern w:val="0"/>
          <w:sz w:val="28"/>
          <w:szCs w:val="28"/>
        </w:rPr>
      </w:pPr>
      <w:r>
        <w:rPr>
          <w:color w:val="auto"/>
          <w:sz w:val="28"/>
        </w:rPr>
        <w:t>2、高</w:t>
      </w:r>
      <w:r>
        <w:rPr>
          <w:color w:val="auto"/>
          <w:kern w:val="0"/>
          <w:sz w:val="28"/>
          <w:szCs w:val="28"/>
        </w:rPr>
        <w:t>毒</w:t>
      </w:r>
      <w:r>
        <w:rPr>
          <w:color w:val="auto"/>
          <w:sz w:val="28"/>
        </w:rPr>
        <w:t>物品</w:t>
      </w:r>
    </w:p>
    <w:p w14:paraId="01B59965">
      <w:pPr>
        <w:spacing w:line="600" w:lineRule="exact"/>
        <w:ind w:firstLine="560" w:firstLineChars="200"/>
        <w:rPr>
          <w:bCs/>
          <w:color w:val="auto"/>
          <w:kern w:val="0"/>
          <w:sz w:val="28"/>
          <w:szCs w:val="28"/>
        </w:rPr>
      </w:pPr>
      <w:r>
        <w:rPr>
          <w:color w:val="auto"/>
          <w:kern w:val="0"/>
          <w:sz w:val="28"/>
          <w:szCs w:val="28"/>
        </w:rPr>
        <w:t xml:space="preserve">根据《高毒物品目录》（卫法监发[2003]142号）判定，本项目不涉及高毒物品。  </w:t>
      </w:r>
    </w:p>
    <w:p w14:paraId="56318B02">
      <w:pPr>
        <w:spacing w:line="600" w:lineRule="exact"/>
        <w:ind w:firstLine="560" w:firstLineChars="200"/>
        <w:rPr>
          <w:bCs/>
          <w:color w:val="auto"/>
          <w:kern w:val="0"/>
          <w:sz w:val="28"/>
          <w:szCs w:val="28"/>
        </w:rPr>
      </w:pPr>
      <w:r>
        <w:rPr>
          <w:bCs/>
          <w:color w:val="auto"/>
          <w:kern w:val="0"/>
          <w:sz w:val="28"/>
          <w:szCs w:val="28"/>
        </w:rPr>
        <w:t>3、易制毒化学品辨识</w:t>
      </w:r>
    </w:p>
    <w:p w14:paraId="38D868F8">
      <w:pPr>
        <w:spacing w:line="600" w:lineRule="exact"/>
        <w:ind w:firstLine="560" w:firstLineChars="200"/>
        <w:rPr>
          <w:bCs/>
          <w:color w:val="auto"/>
          <w:kern w:val="0"/>
          <w:sz w:val="28"/>
          <w:szCs w:val="28"/>
        </w:rPr>
      </w:pPr>
      <w:r>
        <w:rPr>
          <w:bCs/>
          <w:color w:val="auto"/>
          <w:kern w:val="0"/>
          <w:sz w:val="28"/>
          <w:szCs w:val="28"/>
        </w:rPr>
        <w:t>根据《易制毒化学品管理条例》的规定，本项目不涉及易制毒化学品。</w:t>
      </w:r>
    </w:p>
    <w:p w14:paraId="03BAA000">
      <w:pPr>
        <w:tabs>
          <w:tab w:val="left" w:pos="6845"/>
        </w:tabs>
        <w:spacing w:line="600" w:lineRule="exact"/>
        <w:ind w:firstLine="560" w:firstLineChars="200"/>
        <w:rPr>
          <w:bCs/>
          <w:color w:val="auto"/>
          <w:kern w:val="0"/>
          <w:sz w:val="28"/>
          <w:szCs w:val="28"/>
        </w:rPr>
      </w:pPr>
      <w:r>
        <w:rPr>
          <w:bCs/>
          <w:color w:val="auto"/>
          <w:kern w:val="0"/>
          <w:sz w:val="28"/>
          <w:szCs w:val="28"/>
        </w:rPr>
        <w:t>4、易制爆危险化学品辨识</w:t>
      </w:r>
    </w:p>
    <w:p w14:paraId="636FBC0D">
      <w:pPr>
        <w:spacing w:line="600" w:lineRule="exact"/>
        <w:ind w:firstLine="560" w:firstLineChars="200"/>
        <w:rPr>
          <w:bCs/>
          <w:color w:val="auto"/>
          <w:kern w:val="0"/>
          <w:sz w:val="28"/>
          <w:szCs w:val="28"/>
        </w:rPr>
      </w:pPr>
      <w:r>
        <w:rPr>
          <w:bCs/>
          <w:color w:val="auto"/>
          <w:kern w:val="0"/>
          <w:sz w:val="28"/>
          <w:szCs w:val="28"/>
        </w:rPr>
        <w:t>根据《易制爆危险化学品名录》（2017年版）的规定，本项目不涉及易制爆危险化学品。</w:t>
      </w:r>
    </w:p>
    <w:p w14:paraId="288AAC29">
      <w:pPr>
        <w:tabs>
          <w:tab w:val="left" w:pos="6845"/>
        </w:tabs>
        <w:spacing w:line="600" w:lineRule="exact"/>
        <w:ind w:firstLine="560" w:firstLineChars="200"/>
        <w:rPr>
          <w:bCs/>
          <w:color w:val="auto"/>
          <w:kern w:val="0"/>
          <w:sz w:val="28"/>
          <w:szCs w:val="28"/>
        </w:rPr>
      </w:pPr>
      <w:r>
        <w:rPr>
          <w:bCs/>
          <w:color w:val="auto"/>
          <w:kern w:val="0"/>
          <w:sz w:val="28"/>
          <w:szCs w:val="28"/>
        </w:rPr>
        <w:t>5、监控化学品辨识</w:t>
      </w:r>
    </w:p>
    <w:p w14:paraId="75D02CFB">
      <w:pPr>
        <w:spacing w:line="600" w:lineRule="exact"/>
        <w:ind w:firstLine="560" w:firstLineChars="200"/>
        <w:rPr>
          <w:bCs/>
          <w:color w:val="auto"/>
          <w:kern w:val="0"/>
          <w:sz w:val="28"/>
          <w:szCs w:val="28"/>
        </w:rPr>
      </w:pPr>
      <w:r>
        <w:rPr>
          <w:bCs/>
          <w:color w:val="auto"/>
          <w:kern w:val="0"/>
          <w:sz w:val="28"/>
          <w:szCs w:val="28"/>
        </w:rPr>
        <w:t>根据</w:t>
      </w:r>
      <w:r>
        <w:rPr>
          <w:color w:val="auto"/>
          <w:sz w:val="28"/>
          <w:szCs w:val="28"/>
        </w:rPr>
        <w:t>《各类监控化学品名录》工信部【2020】第52号的</w:t>
      </w:r>
      <w:r>
        <w:rPr>
          <w:bCs/>
          <w:color w:val="auto"/>
          <w:kern w:val="0"/>
          <w:sz w:val="28"/>
          <w:szCs w:val="28"/>
        </w:rPr>
        <w:t>规定，本项目中不涉及监控化学品。</w:t>
      </w:r>
    </w:p>
    <w:p w14:paraId="5896A9DD">
      <w:pPr>
        <w:pStyle w:val="7"/>
        <w:spacing w:line="580" w:lineRule="exact"/>
        <w:ind w:firstLine="560"/>
        <w:rPr>
          <w:bCs/>
          <w:color w:val="auto"/>
          <w:sz w:val="28"/>
          <w:szCs w:val="28"/>
        </w:rPr>
      </w:pPr>
      <w:r>
        <w:rPr>
          <w:bCs/>
          <w:color w:val="auto"/>
          <w:sz w:val="28"/>
          <w:szCs w:val="28"/>
        </w:rPr>
        <w:t>6、</w:t>
      </w:r>
      <w:r>
        <w:rPr>
          <w:color w:val="auto"/>
          <w:sz w:val="28"/>
          <w:szCs w:val="28"/>
        </w:rPr>
        <w:t>特别管控危险化学品</w:t>
      </w:r>
    </w:p>
    <w:p w14:paraId="084251B2">
      <w:pPr>
        <w:pStyle w:val="7"/>
        <w:spacing w:line="580" w:lineRule="exact"/>
        <w:ind w:firstLine="560"/>
        <w:rPr>
          <w:color w:val="auto"/>
          <w:sz w:val="28"/>
          <w:szCs w:val="28"/>
        </w:rPr>
      </w:pPr>
      <w:r>
        <w:rPr>
          <w:color w:val="auto"/>
          <w:sz w:val="28"/>
          <w:szCs w:val="28"/>
        </w:rPr>
        <w:t>根据《特别管控危险化学品目录》应急管理部等四部门公告[2020]第3号的规定，该项目涉及的汽油属于特别管控危险化学品。</w:t>
      </w:r>
    </w:p>
    <w:p w14:paraId="2F4C0011">
      <w:pPr>
        <w:spacing w:line="600" w:lineRule="exact"/>
        <w:ind w:firstLine="560" w:firstLineChars="200"/>
        <w:rPr>
          <w:bCs/>
          <w:color w:val="auto"/>
          <w:kern w:val="0"/>
          <w:sz w:val="28"/>
          <w:szCs w:val="28"/>
        </w:rPr>
      </w:pPr>
      <w:r>
        <w:rPr>
          <w:bCs/>
          <w:color w:val="auto"/>
          <w:kern w:val="0"/>
          <w:sz w:val="28"/>
          <w:szCs w:val="28"/>
        </w:rPr>
        <w:t>7、重点监管的危险化学品辨识</w:t>
      </w:r>
    </w:p>
    <w:p w14:paraId="66500BD7">
      <w:pPr>
        <w:spacing w:line="600" w:lineRule="exact"/>
        <w:ind w:firstLine="560" w:firstLineChars="200"/>
        <w:rPr>
          <w:bCs/>
          <w:color w:val="auto"/>
          <w:kern w:val="0"/>
          <w:sz w:val="28"/>
          <w:szCs w:val="28"/>
        </w:rPr>
      </w:pPr>
      <w:r>
        <w:rPr>
          <w:bCs/>
          <w:color w:val="auto"/>
          <w:kern w:val="0"/>
          <w:sz w:val="28"/>
        </w:rPr>
        <w:t>根据《重点监管危险化学品名录》（2013年版）的规定</w:t>
      </w:r>
      <w:r>
        <w:rPr>
          <w:bCs/>
          <w:color w:val="auto"/>
          <w:kern w:val="0"/>
          <w:sz w:val="28"/>
          <w:szCs w:val="28"/>
        </w:rPr>
        <w:t>，</w:t>
      </w:r>
      <w:r>
        <w:rPr>
          <w:bCs/>
          <w:color w:val="auto"/>
          <w:kern w:val="0"/>
          <w:sz w:val="28"/>
        </w:rPr>
        <w:t>该加油站汽油属于</w:t>
      </w:r>
      <w:r>
        <w:rPr>
          <w:bCs/>
          <w:color w:val="auto"/>
          <w:kern w:val="0"/>
          <w:sz w:val="28"/>
          <w:szCs w:val="28"/>
        </w:rPr>
        <w:t>重点监管的危险化学品，因此作业人员操作人员必须经过专门培训，严格遵守操作规程，熟练掌握操作技能，具备应急处置知识。</w:t>
      </w:r>
    </w:p>
    <w:bookmarkEnd w:id="87"/>
    <w:bookmarkEnd w:id="88"/>
    <w:bookmarkEnd w:id="89"/>
    <w:bookmarkEnd w:id="90"/>
    <w:p w14:paraId="4B1908AB">
      <w:pPr>
        <w:wordWrap w:val="0"/>
        <w:adjustRightInd w:val="0"/>
        <w:snapToGrid w:val="0"/>
        <w:spacing w:line="600" w:lineRule="exact"/>
        <w:textAlignment w:val="center"/>
        <w:outlineLvl w:val="1"/>
        <w:rPr>
          <w:b/>
          <w:bCs/>
          <w:color w:val="000000"/>
          <w:sz w:val="28"/>
        </w:rPr>
      </w:pPr>
      <w:bookmarkStart w:id="91" w:name="_Toc120957322"/>
      <w:bookmarkStart w:id="92" w:name="_Toc7943392"/>
      <w:bookmarkStart w:id="93" w:name="_Toc15459870"/>
      <w:bookmarkStart w:id="94" w:name="_Toc5925"/>
      <w:bookmarkStart w:id="95" w:name="_Toc22297"/>
      <w:r>
        <w:rPr>
          <w:b/>
          <w:bCs/>
          <w:color w:val="000000"/>
          <w:sz w:val="28"/>
          <w:szCs w:val="28"/>
        </w:rPr>
        <w:t>3.</w:t>
      </w:r>
      <w:r>
        <w:rPr>
          <w:rFonts w:hint="eastAsia" w:ascii="Times New Roman" w:eastAsia="宋体"/>
          <w:b/>
          <w:bCs/>
          <w:color w:val="000000"/>
          <w:sz w:val="28"/>
          <w:szCs w:val="28"/>
          <w:lang w:val="en-US" w:eastAsia="zh-CN"/>
        </w:rPr>
        <w:t>3</w:t>
      </w:r>
      <w:r>
        <w:rPr>
          <w:b/>
          <w:bCs/>
          <w:color w:val="000000"/>
          <w:sz w:val="28"/>
        </w:rPr>
        <w:t>重大危险源辨识</w:t>
      </w:r>
      <w:bookmarkEnd w:id="91"/>
      <w:bookmarkEnd w:id="92"/>
      <w:bookmarkEnd w:id="93"/>
      <w:bookmarkEnd w:id="94"/>
      <w:bookmarkEnd w:id="95"/>
    </w:p>
    <w:p w14:paraId="6BC5D6BD">
      <w:pPr>
        <w:pStyle w:val="29"/>
        <w:rPr>
          <w:rFonts w:hint="default" w:eastAsia="宋体"/>
          <w:sz w:val="28"/>
          <w:szCs w:val="28"/>
          <w:lang w:val="en-US" w:eastAsia="zh-CN"/>
        </w:rPr>
      </w:pPr>
      <w:r>
        <w:rPr>
          <w:rFonts w:hint="eastAsia"/>
          <w:sz w:val="28"/>
          <w:szCs w:val="28"/>
          <w:lang w:val="en-US" w:eastAsia="zh-CN"/>
        </w:rPr>
        <w:t>1、重大危险源辨识依据</w:t>
      </w:r>
    </w:p>
    <w:p w14:paraId="320045EC">
      <w:pPr>
        <w:spacing w:line="600" w:lineRule="exact"/>
        <w:ind w:firstLine="560" w:firstLineChars="200"/>
        <w:rPr>
          <w:rFonts w:hint="eastAsia"/>
          <w:color w:val="000000"/>
          <w:sz w:val="28"/>
          <w:szCs w:val="28"/>
        </w:rPr>
      </w:pPr>
      <w:r>
        <w:rPr>
          <w:color w:val="000000"/>
          <w:sz w:val="28"/>
          <w:szCs w:val="28"/>
        </w:rPr>
        <w:t>《危险化学品重大危险源辨识》规定：</w:t>
      </w:r>
    </w:p>
    <w:p w14:paraId="10365CEB">
      <w:pPr>
        <w:spacing w:line="620" w:lineRule="exact"/>
        <w:ind w:firstLine="560" w:firstLineChars="200"/>
        <w:rPr>
          <w:bCs/>
          <w:color w:val="000000"/>
          <w:kern w:val="0"/>
          <w:sz w:val="28"/>
          <w:szCs w:val="28"/>
        </w:rPr>
      </w:pPr>
      <w:r>
        <w:rPr>
          <w:bCs/>
          <w:color w:val="000000"/>
          <w:kern w:val="0"/>
          <w:sz w:val="28"/>
          <w:szCs w:val="28"/>
          <w:lang w:val="zh-CN"/>
        </w:rPr>
        <w:t>单元：</w:t>
      </w:r>
      <w:r>
        <w:rPr>
          <w:bCs/>
          <w:color w:val="000000"/>
          <w:kern w:val="0"/>
          <w:sz w:val="28"/>
          <w:szCs w:val="28"/>
        </w:rPr>
        <w:t>涉及危险化学品生产、储存装置、设施或场所。分为生产单元和储存单元。</w:t>
      </w:r>
    </w:p>
    <w:p w14:paraId="03BC272C">
      <w:pPr>
        <w:spacing w:line="620" w:lineRule="exact"/>
        <w:ind w:firstLine="560" w:firstLineChars="200"/>
        <w:rPr>
          <w:bCs/>
          <w:color w:val="000000"/>
          <w:kern w:val="0"/>
          <w:sz w:val="28"/>
          <w:szCs w:val="28"/>
        </w:rPr>
      </w:pPr>
      <w:r>
        <w:rPr>
          <w:bCs/>
          <w:color w:val="000000"/>
          <w:kern w:val="0"/>
          <w:sz w:val="28"/>
          <w:szCs w:val="28"/>
        </w:rPr>
        <w:t>生产单元：</w:t>
      </w:r>
      <w:r>
        <w:rPr>
          <w:bCs/>
          <w:color w:val="000000"/>
          <w:kern w:val="0"/>
          <w:sz w:val="28"/>
          <w:szCs w:val="28"/>
          <w:lang w:val="zh-CN"/>
        </w:rPr>
        <w:t>危险化学品的生产、加工及使用等的装置及设施，当</w:t>
      </w:r>
      <w:r>
        <w:rPr>
          <w:bCs/>
          <w:color w:val="000000"/>
          <w:spacing w:val="-6"/>
          <w:kern w:val="0"/>
          <w:sz w:val="28"/>
          <w:szCs w:val="28"/>
          <w:lang w:val="zh-CN"/>
        </w:rPr>
        <w:t>装置及设施之间有切断阀时，以切断阀作为分隔界限划分为独立的单元。</w:t>
      </w:r>
    </w:p>
    <w:p w14:paraId="41A8E8F3">
      <w:pPr>
        <w:spacing w:line="620" w:lineRule="exact"/>
        <w:ind w:firstLine="560" w:firstLineChars="200"/>
        <w:rPr>
          <w:bCs/>
          <w:color w:val="000000"/>
          <w:kern w:val="0"/>
          <w:sz w:val="28"/>
          <w:szCs w:val="28"/>
        </w:rPr>
      </w:pPr>
      <w:r>
        <w:rPr>
          <w:bCs/>
          <w:color w:val="000000"/>
          <w:kern w:val="0"/>
          <w:sz w:val="28"/>
          <w:szCs w:val="28"/>
        </w:rPr>
        <w:t>储存单元：</w:t>
      </w:r>
      <w:r>
        <w:rPr>
          <w:bCs/>
          <w:color w:val="000000"/>
          <w:kern w:val="0"/>
          <w:sz w:val="28"/>
          <w:szCs w:val="28"/>
          <w:lang w:val="zh-CN"/>
        </w:rPr>
        <w:t>用于储存危险化学品的储罐或仓库组成的相对独立的区域，储罐区以罐区防火堤为界限划分为独立的单元，仓库以独立库房</w:t>
      </w:r>
      <w:r>
        <w:rPr>
          <w:bCs/>
          <w:color w:val="000000"/>
          <w:kern w:val="0"/>
          <w:sz w:val="28"/>
          <w:szCs w:val="28"/>
        </w:rPr>
        <w:t>(</w:t>
      </w:r>
      <w:r>
        <w:rPr>
          <w:bCs/>
          <w:color w:val="000000"/>
          <w:kern w:val="0"/>
          <w:sz w:val="28"/>
          <w:szCs w:val="28"/>
          <w:lang w:val="zh-CN"/>
        </w:rPr>
        <w:t>独立建筑物〉为界限划分为独立的单元。</w:t>
      </w:r>
    </w:p>
    <w:p w14:paraId="7188EA9F">
      <w:pPr>
        <w:keepNext w:val="0"/>
        <w:keepLines w:val="0"/>
        <w:pageBreakBefore w:val="0"/>
        <w:widowControl w:val="0"/>
        <w:kinsoku/>
        <w:wordWrap/>
        <w:overflowPunct/>
        <w:topLinePunct w:val="0"/>
        <w:autoSpaceDE/>
        <w:autoSpaceDN/>
        <w:bidi w:val="0"/>
        <w:adjustRightInd/>
        <w:snapToGrid/>
        <w:spacing w:line="580" w:lineRule="exact"/>
        <w:ind w:firstLine="536" w:firstLineChars="200"/>
        <w:textAlignment w:val="auto"/>
        <w:rPr>
          <w:bCs/>
          <w:color w:val="000000"/>
          <w:spacing w:val="-6"/>
          <w:kern w:val="0"/>
          <w:sz w:val="28"/>
          <w:szCs w:val="28"/>
        </w:rPr>
      </w:pPr>
      <w:r>
        <w:rPr>
          <w:bCs/>
          <w:color w:val="000000"/>
          <w:spacing w:val="-6"/>
          <w:kern w:val="0"/>
          <w:sz w:val="28"/>
          <w:szCs w:val="28"/>
        </w:rPr>
        <w:t>临界量：</w:t>
      </w:r>
      <w:r>
        <w:rPr>
          <w:bCs/>
          <w:color w:val="000000"/>
          <w:spacing w:val="-6"/>
          <w:kern w:val="0"/>
          <w:sz w:val="28"/>
          <w:szCs w:val="28"/>
          <w:lang w:val="zh-CN"/>
        </w:rPr>
        <w:t>某种或某类危险化学品构成重大危险源所规定的最小数量。</w:t>
      </w:r>
    </w:p>
    <w:p w14:paraId="634EEC4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rPr>
        <w:t>危险化学品重大危险源：</w:t>
      </w:r>
      <w:r>
        <w:rPr>
          <w:bCs/>
          <w:color w:val="000000"/>
          <w:kern w:val="0"/>
          <w:sz w:val="28"/>
          <w:szCs w:val="28"/>
          <w:lang w:val="zh-CN"/>
        </w:rPr>
        <w:t>长期地或临时地生产、储存、使用和经营危险化学品，且危险化学品的数量等于或超过临界量的单元。</w:t>
      </w:r>
    </w:p>
    <w:p w14:paraId="302B4C5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rPr>
      </w:pPr>
      <w:r>
        <w:rPr>
          <w:bCs/>
          <w:color w:val="000000"/>
          <w:kern w:val="0"/>
          <w:sz w:val="28"/>
          <w:szCs w:val="28"/>
        </w:rPr>
        <w:t>混合物：</w:t>
      </w:r>
      <w:r>
        <w:rPr>
          <w:bCs/>
          <w:color w:val="000000"/>
          <w:kern w:val="0"/>
          <w:sz w:val="28"/>
          <w:szCs w:val="28"/>
          <w:lang w:val="zh-CN"/>
        </w:rPr>
        <w:t>由两种或者多种物质组成的混合体或者溶液。</w:t>
      </w:r>
    </w:p>
    <w:p w14:paraId="39D4821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lang w:val="zh-CN"/>
        </w:rPr>
        <w:t>生产单元、储存单元内存在的危险化学品为多品种时，则按下式计算，若满足下面公式，则为重大危险源：</w:t>
      </w:r>
    </w:p>
    <w:p w14:paraId="17FF79F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rPr>
        <w:t>S＝q</w:t>
      </w:r>
      <w:r>
        <w:rPr>
          <w:bCs/>
          <w:color w:val="000000"/>
          <w:kern w:val="0"/>
          <w:sz w:val="28"/>
          <w:szCs w:val="28"/>
          <w:vertAlign w:val="subscript"/>
        </w:rPr>
        <w:t>1</w:t>
      </w:r>
      <w:r>
        <w:rPr>
          <w:bCs/>
          <w:color w:val="000000"/>
          <w:kern w:val="0"/>
          <w:sz w:val="28"/>
          <w:szCs w:val="28"/>
        </w:rPr>
        <w:t>/Q</w:t>
      </w:r>
      <w:r>
        <w:rPr>
          <w:bCs/>
          <w:color w:val="000000"/>
          <w:kern w:val="0"/>
          <w:sz w:val="28"/>
          <w:szCs w:val="28"/>
          <w:vertAlign w:val="subscript"/>
        </w:rPr>
        <w:t>1</w:t>
      </w:r>
      <w:r>
        <w:rPr>
          <w:bCs/>
          <w:color w:val="000000"/>
          <w:kern w:val="0"/>
          <w:sz w:val="28"/>
          <w:szCs w:val="28"/>
        </w:rPr>
        <w:t>＋q</w:t>
      </w:r>
      <w:r>
        <w:rPr>
          <w:bCs/>
          <w:color w:val="000000"/>
          <w:kern w:val="0"/>
          <w:sz w:val="28"/>
          <w:szCs w:val="28"/>
          <w:vertAlign w:val="subscript"/>
        </w:rPr>
        <w:t>2</w:t>
      </w:r>
      <w:r>
        <w:rPr>
          <w:bCs/>
          <w:color w:val="000000"/>
          <w:kern w:val="0"/>
          <w:sz w:val="28"/>
          <w:szCs w:val="28"/>
        </w:rPr>
        <w:t>/Q</w:t>
      </w:r>
      <w:r>
        <w:rPr>
          <w:bCs/>
          <w:color w:val="000000"/>
          <w:kern w:val="0"/>
          <w:sz w:val="28"/>
          <w:szCs w:val="28"/>
          <w:vertAlign w:val="subscript"/>
        </w:rPr>
        <w:t>2</w:t>
      </w:r>
      <w:r>
        <w:rPr>
          <w:bCs/>
          <w:color w:val="000000"/>
          <w:kern w:val="0"/>
          <w:sz w:val="28"/>
          <w:szCs w:val="28"/>
        </w:rPr>
        <w:t>＋…＋qn/Qn≥1</w:t>
      </w:r>
    </w:p>
    <w:p w14:paraId="5FF3FEC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lang w:val="zh-CN"/>
        </w:rPr>
        <w:t>式中：S－辨识指标；</w:t>
      </w:r>
    </w:p>
    <w:p w14:paraId="1D7DCD5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lang w:val="zh-CN"/>
        </w:rPr>
        <w:t>q1,q2 , …qn －每种危险化学品实际存在量，t；</w:t>
      </w:r>
    </w:p>
    <w:p w14:paraId="6E6ADC6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lang w:val="zh-CN"/>
        </w:rPr>
        <w:t>Q1,Q2…Qn－与每种危险化学品相对应的临界量，t。</w:t>
      </w:r>
    </w:p>
    <w:p w14:paraId="3F6A51D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bCs/>
          <w:color w:val="000000"/>
          <w:kern w:val="0"/>
          <w:sz w:val="28"/>
          <w:szCs w:val="28"/>
          <w:lang w:val="zh-CN"/>
        </w:rPr>
      </w:pPr>
      <w:r>
        <w:rPr>
          <w:bCs/>
          <w:color w:val="000000"/>
          <w:kern w:val="0"/>
          <w:sz w:val="28"/>
          <w:szCs w:val="28"/>
          <w:lang w:val="zh-CN"/>
        </w:rPr>
        <w:t>危险化学品储罐以及其他容器、设备或仓储区的危险化学品实际存在量按最大设计量确定。</w:t>
      </w:r>
    </w:p>
    <w:p w14:paraId="72E50AE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Cs/>
          <w:color w:val="000000"/>
          <w:kern w:val="0"/>
          <w:sz w:val="28"/>
          <w:szCs w:val="28"/>
          <w:lang w:val="en-US" w:eastAsia="zh-CN"/>
        </w:rPr>
      </w:pPr>
      <w:r>
        <w:rPr>
          <w:rFonts w:hint="eastAsia" w:ascii="Times New Roman" w:eastAsia="宋体"/>
          <w:bCs/>
          <w:color w:val="000000"/>
          <w:kern w:val="0"/>
          <w:sz w:val="28"/>
          <w:szCs w:val="28"/>
          <w:lang w:val="en-US" w:eastAsia="zh-CN"/>
        </w:rPr>
        <w:t>2、危险化学品重大危险源的辨识情况</w:t>
      </w:r>
    </w:p>
    <w:p w14:paraId="4DC8583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color w:val="auto"/>
          <w:sz w:val="28"/>
          <w:szCs w:val="28"/>
        </w:rPr>
      </w:pPr>
      <w:r>
        <w:rPr>
          <w:rFonts w:hint="eastAsia" w:ascii="Times New Roman" w:eastAsia="宋体"/>
          <w:bCs/>
          <w:color w:val="000000"/>
          <w:kern w:val="0"/>
          <w:sz w:val="28"/>
          <w:szCs w:val="28"/>
          <w:lang w:val="en-US" w:eastAsia="zh-CN"/>
        </w:rPr>
        <w:tab/>
      </w:r>
      <w:r>
        <w:rPr>
          <w:color w:val="auto"/>
          <w:sz w:val="28"/>
        </w:rPr>
        <w:t>根据《危险化学品重大危险源辨识》</w:t>
      </w:r>
      <w:r>
        <w:rPr>
          <w:color w:val="auto"/>
          <w:sz w:val="28"/>
          <w:szCs w:val="28"/>
        </w:rPr>
        <w:t>（GB18218-2018）</w:t>
      </w:r>
      <w:r>
        <w:rPr>
          <w:color w:val="auto"/>
          <w:sz w:val="28"/>
        </w:rPr>
        <w:t>的规定</w:t>
      </w:r>
      <w:r>
        <w:rPr>
          <w:color w:val="auto"/>
          <w:sz w:val="28"/>
          <w:szCs w:val="28"/>
        </w:rPr>
        <w:t>，本站的</w:t>
      </w:r>
      <w:r>
        <w:rPr>
          <w:color w:val="auto"/>
          <w:sz w:val="28"/>
        </w:rPr>
        <w:t>汽油（表1，第66项）、</w:t>
      </w:r>
      <w:r>
        <w:rPr>
          <w:color w:val="auto"/>
          <w:sz w:val="28"/>
          <w:szCs w:val="28"/>
        </w:rPr>
        <w:t>柴油（表2，易燃液体类别3，W5.4）被列入危险化学品重大危险源规定的物质种类，其中汽油临界量为200t，柴油临界量为5000t。单元划分分为生产单元和储存单元，其中加油区为生产单元，油储罐区为储存单元。</w:t>
      </w:r>
    </w:p>
    <w:p w14:paraId="4CDAE285">
      <w:pPr>
        <w:keepNext w:val="0"/>
        <w:keepLines w:val="0"/>
        <w:pageBreakBefore w:val="0"/>
        <w:widowControl w:val="0"/>
        <w:tabs>
          <w:tab w:val="left" w:pos="5535"/>
        </w:tabs>
        <w:kinsoku/>
        <w:wordWrap/>
        <w:overflowPunct/>
        <w:topLinePunct w:val="0"/>
        <w:autoSpaceDE/>
        <w:autoSpaceDN/>
        <w:bidi w:val="0"/>
        <w:adjustRightInd/>
        <w:snapToGrid/>
        <w:spacing w:line="580" w:lineRule="exact"/>
        <w:ind w:firstLine="700" w:firstLineChars="250"/>
        <w:textAlignment w:val="auto"/>
        <w:rPr>
          <w:color w:val="auto"/>
          <w:sz w:val="28"/>
          <w:szCs w:val="28"/>
        </w:rPr>
      </w:pPr>
      <w:r>
        <w:rPr>
          <w:color w:val="auto"/>
          <w:sz w:val="28"/>
          <w:szCs w:val="28"/>
        </w:rPr>
        <w:t>存在量：（汽油密度取0.75g/ml，柴油密度取0.85g/ml）</w:t>
      </w:r>
    </w:p>
    <w:p w14:paraId="031145E5">
      <w:pPr>
        <w:adjustRightInd w:val="0"/>
        <w:snapToGrid w:val="0"/>
        <w:spacing w:line="520" w:lineRule="exact"/>
        <w:ind w:firstLine="560" w:firstLineChars="200"/>
        <w:rPr>
          <w:rFonts w:hint="eastAsia"/>
          <w:color w:val="auto"/>
          <w:sz w:val="28"/>
          <w:szCs w:val="28"/>
        </w:rPr>
      </w:pPr>
      <w:r>
        <w:rPr>
          <w:rFonts w:hint="default" w:ascii="Times New Roman" w:hAnsi="Times New Roman" w:eastAsia="宋体" w:cs="Times New Roman"/>
          <w:color w:val="auto"/>
          <w:sz w:val="28"/>
          <w:szCs w:val="28"/>
        </w:rPr>
        <w:t>（1）加油区：</w:t>
      </w:r>
      <w:r>
        <w:rPr>
          <w:rFonts w:hint="eastAsia"/>
          <w:color w:val="auto"/>
          <w:sz w:val="28"/>
          <w:szCs w:val="28"/>
        </w:rPr>
        <w:t>该站共</w:t>
      </w:r>
      <w:r>
        <w:rPr>
          <w:rFonts w:hint="eastAsia"/>
          <w:color w:val="auto"/>
          <w:sz w:val="28"/>
          <w:szCs w:val="28"/>
          <w:lang w:val="en-US" w:eastAsia="zh-CN"/>
        </w:rPr>
        <w:t>2</w:t>
      </w:r>
      <w:r>
        <w:rPr>
          <w:rFonts w:hint="eastAsia"/>
          <w:color w:val="auto"/>
          <w:sz w:val="28"/>
          <w:szCs w:val="28"/>
        </w:rPr>
        <w:t>把汽油加油枪，假设所有汽油加油枪同时给汽车加油，每辆汽车按加油量60L计算，则加油区汽油理论最大在线量为0.</w:t>
      </w:r>
      <w:r>
        <w:rPr>
          <w:rFonts w:hint="eastAsia"/>
          <w:color w:val="auto"/>
          <w:sz w:val="28"/>
          <w:szCs w:val="28"/>
          <w:lang w:val="en-US" w:eastAsia="zh-CN"/>
        </w:rPr>
        <w:t>12</w:t>
      </w:r>
      <w:r>
        <w:rPr>
          <w:rFonts w:hint="eastAsia"/>
          <w:color w:val="auto"/>
          <w:sz w:val="28"/>
          <w:szCs w:val="28"/>
        </w:rPr>
        <w:t>m³，折算质量单位约为0.0948吨。该站共</w:t>
      </w:r>
      <w:r>
        <w:rPr>
          <w:rFonts w:hint="eastAsia"/>
          <w:color w:val="auto"/>
          <w:sz w:val="28"/>
          <w:szCs w:val="28"/>
          <w:lang w:val="en-US" w:eastAsia="zh-CN"/>
        </w:rPr>
        <w:t>2</w:t>
      </w:r>
      <w:r>
        <w:rPr>
          <w:rFonts w:hint="eastAsia"/>
          <w:color w:val="auto"/>
          <w:sz w:val="28"/>
          <w:szCs w:val="28"/>
        </w:rPr>
        <w:t>把柴油加油枪，假设所有柴油加油枪同时给汽车加油，每辆汽车按加油量60L计算，则加油区柴油理论最大在线量为0.</w:t>
      </w:r>
      <w:r>
        <w:rPr>
          <w:rFonts w:hint="eastAsia"/>
          <w:color w:val="auto"/>
          <w:sz w:val="28"/>
          <w:szCs w:val="28"/>
          <w:lang w:val="en-US" w:eastAsia="zh-CN"/>
        </w:rPr>
        <w:t>12</w:t>
      </w:r>
      <w:r>
        <w:rPr>
          <w:rFonts w:hint="eastAsia"/>
          <w:color w:val="auto"/>
          <w:sz w:val="28"/>
          <w:szCs w:val="28"/>
        </w:rPr>
        <w:t>m³，折算质量单位约为0.108吨。由上述可知，加油区的汽油、柴油实际最大在线量远小于其临界量，故加油区不构成危险化学品重大危险源。</w:t>
      </w:r>
    </w:p>
    <w:p w14:paraId="4C5A3297">
      <w:pPr>
        <w:adjustRightInd w:val="0"/>
        <w:snapToGrid w:val="0"/>
        <w:spacing w:line="52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w:t>
      </w:r>
      <w:r>
        <w:rPr>
          <w:rFonts w:hint="eastAsia" w:cs="Times New Roman"/>
          <w:color w:val="auto"/>
          <w:sz w:val="28"/>
          <w:szCs w:val="28"/>
          <w:lang w:eastAsia="zh-CN"/>
        </w:rPr>
        <w:t>油罐区</w:t>
      </w:r>
      <w:r>
        <w:rPr>
          <w:rFonts w:hint="default" w:ascii="Times New Roman" w:hAnsi="Times New Roman" w:eastAsia="宋体" w:cs="Times New Roman"/>
          <w:color w:val="auto"/>
          <w:sz w:val="28"/>
          <w:szCs w:val="28"/>
        </w:rPr>
        <w:t>：</w:t>
      </w:r>
      <w:r>
        <w:rPr>
          <w:rFonts w:hint="default" w:ascii="Times New Roman" w:hAnsi="Times New Roman" w:cs="Times New Roman"/>
          <w:color w:val="auto"/>
          <w:sz w:val="28"/>
          <w:szCs w:val="28"/>
        </w:rPr>
        <w:t>本站汽油储罐储存最大量为</w:t>
      </w:r>
      <w:r>
        <w:rPr>
          <w:rFonts w:hint="eastAsia" w:cs="Times New Roman"/>
          <w:color w:val="auto"/>
          <w:sz w:val="28"/>
          <w:szCs w:val="28"/>
          <w:lang w:val="en-US" w:eastAsia="zh-CN"/>
        </w:rPr>
        <w:t>60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47.4</w:t>
      </w:r>
      <w:r>
        <w:rPr>
          <w:rFonts w:hint="default" w:ascii="Times New Roman" w:hAnsi="Times New Roman" w:cs="Times New Roman"/>
          <w:color w:val="auto"/>
          <w:sz w:val="28"/>
          <w:szCs w:val="28"/>
        </w:rPr>
        <w:t>吨；柴油储罐储存最大量为</w:t>
      </w:r>
      <w:r>
        <w:rPr>
          <w:rFonts w:hint="eastAsia" w:cs="Times New Roman"/>
          <w:color w:val="auto"/>
          <w:sz w:val="28"/>
          <w:szCs w:val="28"/>
          <w:lang w:val="en-US" w:eastAsia="zh-CN"/>
        </w:rPr>
        <w:t>80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72</w:t>
      </w:r>
      <w:r>
        <w:rPr>
          <w:rFonts w:hint="default" w:ascii="Times New Roman" w:hAnsi="Times New Roman" w:cs="Times New Roman"/>
          <w:color w:val="auto"/>
          <w:sz w:val="28"/>
          <w:szCs w:val="28"/>
        </w:rPr>
        <w:t>吨</w:t>
      </w:r>
      <w:r>
        <w:rPr>
          <w:rFonts w:hint="default" w:ascii="Times New Roman" w:hAnsi="Times New Roman" w:eastAsia="宋体" w:cs="Times New Roman"/>
          <w:color w:val="auto"/>
          <w:sz w:val="28"/>
          <w:szCs w:val="28"/>
        </w:rPr>
        <w:t>。</w:t>
      </w:r>
    </w:p>
    <w:p w14:paraId="0CAE2C58">
      <w:pPr>
        <w:adjustRightInd w:val="0"/>
        <w:snapToGrid w:val="0"/>
        <w:spacing w:line="520" w:lineRule="exact"/>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辨识情况见下表。</w:t>
      </w:r>
    </w:p>
    <w:p w14:paraId="01C66AF5">
      <w:pPr>
        <w:autoSpaceDE w:val="0"/>
        <w:autoSpaceDN w:val="0"/>
        <w:adjustRightInd w:val="0"/>
        <w:spacing w:line="600" w:lineRule="exact"/>
        <w:jc w:val="center"/>
        <w:rPr>
          <w:rFonts w:hint="default" w:ascii="Times New Roman" w:hAnsi="Times New Roman" w:cs="Times New Roman"/>
          <w:b/>
          <w:color w:val="auto"/>
          <w:sz w:val="28"/>
          <w:szCs w:val="28"/>
          <w:lang w:val="zh-CN"/>
        </w:rPr>
      </w:pPr>
      <w:r>
        <w:rPr>
          <w:rFonts w:hint="eastAsia"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加油站危险化学品重大危险源辨识表</w:t>
      </w:r>
    </w:p>
    <w:tbl>
      <w:tblPr>
        <w:tblStyle w:val="20"/>
        <w:tblW w:w="9832" w:type="dxa"/>
        <w:tblInd w:w="0" w:type="dxa"/>
        <w:tblLayout w:type="fixed"/>
        <w:tblCellMar>
          <w:top w:w="0" w:type="dxa"/>
          <w:left w:w="108" w:type="dxa"/>
          <w:bottom w:w="0" w:type="dxa"/>
          <w:right w:w="108" w:type="dxa"/>
        </w:tblCellMar>
      </w:tblPr>
      <w:tblGrid>
        <w:gridCol w:w="787"/>
        <w:gridCol w:w="1415"/>
        <w:gridCol w:w="525"/>
        <w:gridCol w:w="1743"/>
        <w:gridCol w:w="1313"/>
        <w:gridCol w:w="1387"/>
        <w:gridCol w:w="1050"/>
        <w:gridCol w:w="806"/>
        <w:gridCol w:w="806"/>
      </w:tblGrid>
      <w:tr w14:paraId="3FF856B5">
        <w:tblPrEx>
          <w:tblCellMar>
            <w:top w:w="0" w:type="dxa"/>
            <w:left w:w="108" w:type="dxa"/>
            <w:bottom w:w="0" w:type="dxa"/>
            <w:right w:w="108" w:type="dxa"/>
          </w:tblCellMar>
        </w:tblPrEx>
        <w:trPr>
          <w:trHeight w:val="440" w:hRule="atLeast"/>
        </w:trPr>
        <w:tc>
          <w:tcPr>
            <w:tcW w:w="787" w:type="dxa"/>
            <w:tcBorders>
              <w:top w:val="single" w:color="auto" w:sz="6" w:space="0"/>
              <w:left w:val="single" w:color="auto" w:sz="6" w:space="0"/>
              <w:bottom w:val="single" w:color="auto" w:sz="4" w:space="0"/>
              <w:right w:val="single" w:color="auto" w:sz="6" w:space="0"/>
            </w:tcBorders>
            <w:noWrap w:val="0"/>
            <w:vAlign w:val="center"/>
          </w:tcPr>
          <w:p w14:paraId="34ECB48A">
            <w:pPr>
              <w:autoSpaceDE w:val="0"/>
              <w:autoSpaceDN w:val="0"/>
              <w:adjustRightInd w:val="0"/>
              <w:spacing w:line="240" w:lineRule="exact"/>
              <w:ind w:firstLine="0" w:firstLineChars="0"/>
              <w:jc w:val="both"/>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序号</w:t>
            </w:r>
          </w:p>
        </w:tc>
        <w:tc>
          <w:tcPr>
            <w:tcW w:w="1415" w:type="dxa"/>
            <w:tcBorders>
              <w:top w:val="single" w:color="auto" w:sz="6" w:space="0"/>
              <w:left w:val="single" w:color="auto" w:sz="6" w:space="0"/>
              <w:bottom w:val="single" w:color="auto" w:sz="4" w:space="0"/>
              <w:right w:val="single" w:color="auto" w:sz="4" w:space="0"/>
            </w:tcBorders>
            <w:noWrap w:val="0"/>
            <w:vAlign w:val="center"/>
          </w:tcPr>
          <w:p w14:paraId="638BEACB">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单元</w:t>
            </w:r>
          </w:p>
        </w:tc>
        <w:tc>
          <w:tcPr>
            <w:tcW w:w="525" w:type="dxa"/>
            <w:tcBorders>
              <w:top w:val="single" w:color="auto" w:sz="6" w:space="0"/>
              <w:left w:val="single" w:color="auto" w:sz="4" w:space="0"/>
              <w:bottom w:val="single" w:color="auto" w:sz="4" w:space="0"/>
              <w:right w:val="single" w:color="auto" w:sz="6" w:space="0"/>
            </w:tcBorders>
            <w:noWrap w:val="0"/>
            <w:vAlign w:val="center"/>
          </w:tcPr>
          <w:p w14:paraId="4D8D255A">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物质</w:t>
            </w:r>
          </w:p>
        </w:tc>
        <w:tc>
          <w:tcPr>
            <w:tcW w:w="1743" w:type="dxa"/>
            <w:tcBorders>
              <w:top w:val="single" w:color="auto" w:sz="6" w:space="0"/>
              <w:left w:val="single" w:color="auto" w:sz="6" w:space="0"/>
              <w:bottom w:val="single" w:color="auto" w:sz="4" w:space="0"/>
              <w:right w:val="single" w:color="auto" w:sz="6" w:space="0"/>
            </w:tcBorders>
            <w:noWrap w:val="0"/>
            <w:vAlign w:val="center"/>
          </w:tcPr>
          <w:p w14:paraId="51FD050C">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危险性分类</w:t>
            </w:r>
          </w:p>
        </w:tc>
        <w:tc>
          <w:tcPr>
            <w:tcW w:w="1313" w:type="dxa"/>
            <w:tcBorders>
              <w:top w:val="single" w:color="auto" w:sz="6" w:space="0"/>
              <w:left w:val="single" w:color="auto" w:sz="6" w:space="0"/>
              <w:bottom w:val="single" w:color="auto" w:sz="4" w:space="0"/>
              <w:right w:val="single" w:color="auto" w:sz="6" w:space="0"/>
            </w:tcBorders>
            <w:noWrap w:val="0"/>
            <w:vAlign w:val="center"/>
          </w:tcPr>
          <w:p w14:paraId="0B005CAB">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临界量（t）</w:t>
            </w:r>
          </w:p>
        </w:tc>
        <w:tc>
          <w:tcPr>
            <w:tcW w:w="1387" w:type="dxa"/>
            <w:tcBorders>
              <w:top w:val="single" w:color="auto" w:sz="6" w:space="0"/>
              <w:left w:val="single" w:color="auto" w:sz="6" w:space="0"/>
              <w:bottom w:val="single" w:color="auto" w:sz="4" w:space="0"/>
              <w:right w:val="single" w:color="auto" w:sz="6" w:space="0"/>
            </w:tcBorders>
            <w:noWrap w:val="0"/>
            <w:vAlign w:val="center"/>
          </w:tcPr>
          <w:p w14:paraId="386115DC">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存在量（t）</w:t>
            </w:r>
          </w:p>
        </w:tc>
        <w:tc>
          <w:tcPr>
            <w:tcW w:w="1050" w:type="dxa"/>
            <w:tcBorders>
              <w:top w:val="single" w:color="auto" w:sz="6" w:space="0"/>
              <w:left w:val="single" w:color="auto" w:sz="6" w:space="0"/>
              <w:bottom w:val="single" w:color="auto" w:sz="4" w:space="0"/>
              <w:right w:val="single" w:color="auto" w:sz="6" w:space="0"/>
            </w:tcBorders>
            <w:noWrap w:val="0"/>
            <w:vAlign w:val="center"/>
          </w:tcPr>
          <w:p w14:paraId="5D0B518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β值</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3D80FACF">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q/Q</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01EE93F6">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βq/Q</w:t>
            </w:r>
          </w:p>
        </w:tc>
      </w:tr>
      <w:tr w14:paraId="48A7BC48">
        <w:tblPrEx>
          <w:tblCellMar>
            <w:top w:w="0" w:type="dxa"/>
            <w:left w:w="108" w:type="dxa"/>
            <w:bottom w:w="0" w:type="dxa"/>
            <w:right w:w="108" w:type="dxa"/>
          </w:tblCellMar>
        </w:tblPrEx>
        <w:trPr>
          <w:trHeight w:val="440" w:hRule="atLeast"/>
        </w:trPr>
        <w:tc>
          <w:tcPr>
            <w:tcW w:w="787" w:type="dxa"/>
            <w:vMerge w:val="restart"/>
            <w:tcBorders>
              <w:top w:val="single" w:color="auto" w:sz="6" w:space="0"/>
              <w:left w:val="single" w:color="auto" w:sz="6" w:space="0"/>
              <w:bottom w:val="single" w:color="auto" w:sz="4" w:space="0"/>
              <w:right w:val="single" w:color="auto" w:sz="6" w:space="0"/>
            </w:tcBorders>
            <w:noWrap w:val="0"/>
            <w:vAlign w:val="center"/>
          </w:tcPr>
          <w:p w14:paraId="5CC0D13E">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415" w:type="dxa"/>
            <w:vMerge w:val="restart"/>
            <w:tcBorders>
              <w:top w:val="single" w:color="auto" w:sz="6" w:space="0"/>
              <w:left w:val="single" w:color="auto" w:sz="6" w:space="0"/>
              <w:bottom w:val="single" w:color="auto" w:sz="4" w:space="0"/>
              <w:right w:val="single" w:color="auto" w:sz="4" w:space="0"/>
            </w:tcBorders>
            <w:noWrap w:val="0"/>
            <w:vAlign w:val="center"/>
          </w:tcPr>
          <w:p w14:paraId="45A05B62">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加油区</w:t>
            </w:r>
          </w:p>
        </w:tc>
        <w:tc>
          <w:tcPr>
            <w:tcW w:w="525" w:type="dxa"/>
            <w:tcBorders>
              <w:top w:val="single" w:color="auto" w:sz="6" w:space="0"/>
              <w:left w:val="single" w:color="auto" w:sz="4" w:space="0"/>
              <w:bottom w:val="single" w:color="auto" w:sz="4" w:space="0"/>
              <w:right w:val="single" w:color="auto" w:sz="6" w:space="0"/>
            </w:tcBorders>
            <w:noWrap w:val="0"/>
            <w:vAlign w:val="center"/>
          </w:tcPr>
          <w:p w14:paraId="331098F8">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汽油</w:t>
            </w:r>
          </w:p>
        </w:tc>
        <w:tc>
          <w:tcPr>
            <w:tcW w:w="1743" w:type="dxa"/>
            <w:tcBorders>
              <w:top w:val="single" w:color="auto" w:sz="6" w:space="0"/>
              <w:left w:val="single" w:color="auto" w:sz="6" w:space="0"/>
              <w:bottom w:val="single" w:color="auto" w:sz="4" w:space="0"/>
              <w:right w:val="single" w:color="auto" w:sz="6" w:space="0"/>
            </w:tcBorders>
            <w:noWrap w:val="0"/>
            <w:vAlign w:val="center"/>
          </w:tcPr>
          <w:p w14:paraId="00FD1967">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易燃液体</w:t>
            </w:r>
          </w:p>
        </w:tc>
        <w:tc>
          <w:tcPr>
            <w:tcW w:w="1313" w:type="dxa"/>
            <w:tcBorders>
              <w:top w:val="single" w:color="auto" w:sz="6" w:space="0"/>
              <w:left w:val="single" w:color="auto" w:sz="6" w:space="0"/>
              <w:bottom w:val="single" w:color="auto" w:sz="4" w:space="0"/>
              <w:right w:val="single" w:color="auto" w:sz="6" w:space="0"/>
            </w:tcBorders>
            <w:noWrap w:val="0"/>
            <w:vAlign w:val="center"/>
          </w:tcPr>
          <w:p w14:paraId="5C60A8D3">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200</w:t>
            </w:r>
          </w:p>
        </w:tc>
        <w:tc>
          <w:tcPr>
            <w:tcW w:w="1387" w:type="dxa"/>
            <w:tcBorders>
              <w:top w:val="single" w:color="auto" w:sz="6" w:space="0"/>
              <w:left w:val="single" w:color="auto" w:sz="6" w:space="0"/>
              <w:bottom w:val="single" w:color="auto" w:sz="4" w:space="0"/>
              <w:right w:val="single" w:color="auto" w:sz="6" w:space="0"/>
            </w:tcBorders>
            <w:noWrap w:val="0"/>
            <w:vAlign w:val="center"/>
          </w:tcPr>
          <w:p w14:paraId="543236A0">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en-US" w:eastAsia="zh-CN"/>
              </w:rPr>
              <w:t>0.0948</w:t>
            </w:r>
          </w:p>
        </w:tc>
        <w:tc>
          <w:tcPr>
            <w:tcW w:w="1050" w:type="dxa"/>
            <w:tcBorders>
              <w:top w:val="single" w:color="auto" w:sz="6" w:space="0"/>
              <w:left w:val="single" w:color="auto" w:sz="6" w:space="0"/>
              <w:bottom w:val="single" w:color="auto" w:sz="4" w:space="0"/>
              <w:right w:val="single" w:color="auto" w:sz="6" w:space="0"/>
            </w:tcBorders>
            <w:noWrap w:val="0"/>
            <w:vAlign w:val="center"/>
          </w:tcPr>
          <w:p w14:paraId="52D6B002">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03D3CDA1">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en-US" w:eastAsia="zh-CN"/>
              </w:rPr>
              <w:t>0.000474</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227AC07D">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0.000474</w:t>
            </w:r>
          </w:p>
        </w:tc>
      </w:tr>
      <w:tr w14:paraId="0535921D">
        <w:tblPrEx>
          <w:tblCellMar>
            <w:top w:w="0" w:type="dxa"/>
            <w:left w:w="108" w:type="dxa"/>
            <w:bottom w:w="0" w:type="dxa"/>
            <w:right w:w="108" w:type="dxa"/>
          </w:tblCellMar>
        </w:tblPrEx>
        <w:trPr>
          <w:trHeight w:val="440" w:hRule="atLeast"/>
        </w:trPr>
        <w:tc>
          <w:tcPr>
            <w:tcW w:w="787" w:type="dxa"/>
            <w:vMerge w:val="continue"/>
            <w:tcBorders>
              <w:top w:val="single" w:color="auto" w:sz="6" w:space="0"/>
              <w:left w:val="single" w:color="auto" w:sz="6" w:space="0"/>
              <w:bottom w:val="single" w:color="auto" w:sz="4" w:space="0"/>
              <w:right w:val="single" w:color="auto" w:sz="6" w:space="0"/>
            </w:tcBorders>
            <w:noWrap w:val="0"/>
            <w:vAlign w:val="center"/>
          </w:tcPr>
          <w:p w14:paraId="5D6BFB98">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p>
        </w:tc>
        <w:tc>
          <w:tcPr>
            <w:tcW w:w="1415" w:type="dxa"/>
            <w:vMerge w:val="continue"/>
            <w:tcBorders>
              <w:top w:val="single" w:color="auto" w:sz="6" w:space="0"/>
              <w:left w:val="single" w:color="auto" w:sz="6" w:space="0"/>
              <w:bottom w:val="single" w:color="auto" w:sz="4" w:space="0"/>
              <w:right w:val="single" w:color="auto" w:sz="4" w:space="0"/>
            </w:tcBorders>
            <w:noWrap w:val="0"/>
            <w:vAlign w:val="center"/>
          </w:tcPr>
          <w:p w14:paraId="6FA2E2D2">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p>
        </w:tc>
        <w:tc>
          <w:tcPr>
            <w:tcW w:w="525" w:type="dxa"/>
            <w:tcBorders>
              <w:top w:val="single" w:color="auto" w:sz="6" w:space="0"/>
              <w:left w:val="single" w:color="auto" w:sz="4" w:space="0"/>
              <w:bottom w:val="single" w:color="auto" w:sz="4" w:space="0"/>
              <w:right w:val="single" w:color="auto" w:sz="6" w:space="0"/>
            </w:tcBorders>
            <w:noWrap w:val="0"/>
            <w:vAlign w:val="center"/>
          </w:tcPr>
          <w:p w14:paraId="05EFC15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柴油</w:t>
            </w:r>
          </w:p>
        </w:tc>
        <w:tc>
          <w:tcPr>
            <w:tcW w:w="1743" w:type="dxa"/>
            <w:tcBorders>
              <w:top w:val="single" w:color="auto" w:sz="6" w:space="0"/>
              <w:left w:val="single" w:color="auto" w:sz="6" w:space="0"/>
              <w:bottom w:val="single" w:color="auto" w:sz="4" w:space="0"/>
              <w:right w:val="single" w:color="auto" w:sz="6" w:space="0"/>
            </w:tcBorders>
            <w:noWrap w:val="0"/>
            <w:vAlign w:val="center"/>
          </w:tcPr>
          <w:p w14:paraId="2FFB756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易燃液体</w:t>
            </w:r>
          </w:p>
        </w:tc>
        <w:tc>
          <w:tcPr>
            <w:tcW w:w="1313" w:type="dxa"/>
            <w:tcBorders>
              <w:top w:val="single" w:color="auto" w:sz="6" w:space="0"/>
              <w:left w:val="single" w:color="auto" w:sz="6" w:space="0"/>
              <w:bottom w:val="single" w:color="auto" w:sz="4" w:space="0"/>
              <w:right w:val="single" w:color="auto" w:sz="6" w:space="0"/>
            </w:tcBorders>
            <w:noWrap w:val="0"/>
            <w:vAlign w:val="center"/>
          </w:tcPr>
          <w:p w14:paraId="02583B25">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5000</w:t>
            </w:r>
          </w:p>
        </w:tc>
        <w:tc>
          <w:tcPr>
            <w:tcW w:w="1387" w:type="dxa"/>
            <w:tcBorders>
              <w:top w:val="single" w:color="auto" w:sz="6" w:space="0"/>
              <w:left w:val="single" w:color="auto" w:sz="6" w:space="0"/>
              <w:bottom w:val="single" w:color="auto" w:sz="4" w:space="0"/>
              <w:right w:val="single" w:color="auto" w:sz="6" w:space="0"/>
            </w:tcBorders>
            <w:noWrap w:val="0"/>
            <w:vAlign w:val="center"/>
          </w:tcPr>
          <w:p w14:paraId="6BF87BCC">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en-US" w:eastAsia="zh-CN"/>
              </w:rPr>
              <w:t>0.108</w:t>
            </w:r>
          </w:p>
        </w:tc>
        <w:tc>
          <w:tcPr>
            <w:tcW w:w="1050" w:type="dxa"/>
            <w:tcBorders>
              <w:top w:val="single" w:color="auto" w:sz="6" w:space="0"/>
              <w:left w:val="single" w:color="auto" w:sz="6" w:space="0"/>
              <w:bottom w:val="single" w:color="auto" w:sz="4" w:space="0"/>
              <w:right w:val="single" w:color="auto" w:sz="6" w:space="0"/>
            </w:tcBorders>
            <w:noWrap w:val="0"/>
            <w:vAlign w:val="center"/>
          </w:tcPr>
          <w:p w14:paraId="1E14157E">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7DF1352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0.0000216</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7E625492">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0.0000216</w:t>
            </w:r>
          </w:p>
        </w:tc>
      </w:tr>
      <w:tr w14:paraId="76A69AAA">
        <w:tblPrEx>
          <w:tblCellMar>
            <w:top w:w="0" w:type="dxa"/>
            <w:left w:w="108" w:type="dxa"/>
            <w:bottom w:w="0" w:type="dxa"/>
            <w:right w:w="108" w:type="dxa"/>
          </w:tblCellMar>
        </w:tblPrEx>
        <w:trPr>
          <w:trHeight w:val="440" w:hRule="atLeast"/>
        </w:trPr>
        <w:tc>
          <w:tcPr>
            <w:tcW w:w="8220" w:type="dxa"/>
            <w:gridSpan w:val="7"/>
            <w:tcBorders>
              <w:top w:val="single" w:color="auto" w:sz="6" w:space="0"/>
              <w:left w:val="single" w:color="auto" w:sz="6" w:space="0"/>
              <w:bottom w:val="single" w:color="auto" w:sz="4" w:space="0"/>
              <w:right w:val="single" w:color="auto" w:sz="6" w:space="0"/>
            </w:tcBorders>
            <w:noWrap w:val="0"/>
            <w:vAlign w:val="center"/>
          </w:tcPr>
          <w:p w14:paraId="500B5715">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en-US" w:eastAsia="zh-CN"/>
              </w:rPr>
              <w:t>合计</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27741300">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en-US" w:eastAsia="zh-CN"/>
              </w:rPr>
              <w:t>0.0004956</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6E232BB5">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0.0004956</w:t>
            </w:r>
          </w:p>
        </w:tc>
      </w:tr>
      <w:tr w14:paraId="0EBE49D0">
        <w:tblPrEx>
          <w:tblCellMar>
            <w:top w:w="0" w:type="dxa"/>
            <w:left w:w="108" w:type="dxa"/>
            <w:bottom w:w="0" w:type="dxa"/>
            <w:right w:w="108" w:type="dxa"/>
          </w:tblCellMar>
        </w:tblPrEx>
        <w:trPr>
          <w:trHeight w:val="440" w:hRule="atLeast"/>
        </w:trPr>
        <w:tc>
          <w:tcPr>
            <w:tcW w:w="2727" w:type="dxa"/>
            <w:gridSpan w:val="3"/>
            <w:tcBorders>
              <w:top w:val="single" w:color="auto" w:sz="6" w:space="0"/>
              <w:left w:val="single" w:color="auto" w:sz="6" w:space="0"/>
              <w:bottom w:val="single" w:color="auto" w:sz="4" w:space="0"/>
              <w:right w:val="single" w:color="auto" w:sz="6" w:space="0"/>
            </w:tcBorders>
            <w:noWrap w:val="0"/>
            <w:vAlign w:val="center"/>
          </w:tcPr>
          <w:p w14:paraId="71C149C2">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重大危险源辨识结论</w:t>
            </w:r>
          </w:p>
        </w:tc>
        <w:tc>
          <w:tcPr>
            <w:tcW w:w="7105" w:type="dxa"/>
            <w:gridSpan w:val="6"/>
            <w:tcBorders>
              <w:top w:val="single" w:color="auto" w:sz="6" w:space="0"/>
              <w:left w:val="single" w:color="auto" w:sz="6" w:space="0"/>
              <w:bottom w:val="single" w:color="auto" w:sz="4" w:space="0"/>
              <w:right w:val="single" w:color="auto" w:sz="6" w:space="0"/>
            </w:tcBorders>
            <w:noWrap w:val="0"/>
            <w:vAlign w:val="center"/>
          </w:tcPr>
          <w:p w14:paraId="7E024051">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∑q/Q=0.0004956＜1，不构成重大危险源</w:t>
            </w:r>
          </w:p>
        </w:tc>
      </w:tr>
      <w:tr w14:paraId="7AB48C22">
        <w:tblPrEx>
          <w:tblCellMar>
            <w:top w:w="0" w:type="dxa"/>
            <w:left w:w="108" w:type="dxa"/>
            <w:bottom w:w="0" w:type="dxa"/>
            <w:right w:w="108" w:type="dxa"/>
          </w:tblCellMar>
        </w:tblPrEx>
        <w:trPr>
          <w:trHeight w:val="440" w:hRule="atLeast"/>
        </w:trPr>
        <w:tc>
          <w:tcPr>
            <w:tcW w:w="787" w:type="dxa"/>
            <w:vMerge w:val="restart"/>
            <w:tcBorders>
              <w:top w:val="single" w:color="auto" w:sz="6" w:space="0"/>
              <w:left w:val="single" w:color="auto" w:sz="6" w:space="0"/>
              <w:right w:val="single" w:color="auto" w:sz="6" w:space="0"/>
            </w:tcBorders>
            <w:noWrap w:val="0"/>
            <w:vAlign w:val="center"/>
          </w:tcPr>
          <w:p w14:paraId="39FE7AD3">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2</w:t>
            </w:r>
          </w:p>
        </w:tc>
        <w:tc>
          <w:tcPr>
            <w:tcW w:w="1415" w:type="dxa"/>
            <w:vMerge w:val="restart"/>
            <w:tcBorders>
              <w:top w:val="single" w:color="auto" w:sz="6" w:space="0"/>
              <w:left w:val="single" w:color="auto" w:sz="6" w:space="0"/>
              <w:right w:val="single" w:color="auto" w:sz="4" w:space="0"/>
            </w:tcBorders>
            <w:noWrap w:val="0"/>
            <w:vAlign w:val="center"/>
          </w:tcPr>
          <w:p w14:paraId="1191191E">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zh-CN" w:eastAsia="zh-CN"/>
              </w:rPr>
              <w:t>油罐区</w:t>
            </w:r>
          </w:p>
        </w:tc>
        <w:tc>
          <w:tcPr>
            <w:tcW w:w="525" w:type="dxa"/>
            <w:tcBorders>
              <w:top w:val="single" w:color="auto" w:sz="6" w:space="0"/>
              <w:left w:val="single" w:color="auto" w:sz="4" w:space="0"/>
              <w:bottom w:val="single" w:color="auto" w:sz="4" w:space="0"/>
              <w:right w:val="single" w:color="auto" w:sz="6" w:space="0"/>
            </w:tcBorders>
            <w:noWrap w:val="0"/>
            <w:vAlign w:val="center"/>
          </w:tcPr>
          <w:p w14:paraId="524FD378">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汽油</w:t>
            </w:r>
          </w:p>
        </w:tc>
        <w:tc>
          <w:tcPr>
            <w:tcW w:w="1743" w:type="dxa"/>
            <w:tcBorders>
              <w:top w:val="single" w:color="auto" w:sz="6" w:space="0"/>
              <w:left w:val="single" w:color="auto" w:sz="6" w:space="0"/>
              <w:bottom w:val="single" w:color="auto" w:sz="4" w:space="0"/>
              <w:right w:val="single" w:color="auto" w:sz="6" w:space="0"/>
            </w:tcBorders>
            <w:noWrap w:val="0"/>
            <w:vAlign w:val="center"/>
          </w:tcPr>
          <w:p w14:paraId="40D0DBD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易燃液体</w:t>
            </w:r>
          </w:p>
        </w:tc>
        <w:tc>
          <w:tcPr>
            <w:tcW w:w="1313" w:type="dxa"/>
            <w:tcBorders>
              <w:top w:val="single" w:color="auto" w:sz="6" w:space="0"/>
              <w:left w:val="single" w:color="auto" w:sz="6" w:space="0"/>
              <w:bottom w:val="single" w:color="auto" w:sz="4" w:space="0"/>
              <w:right w:val="single" w:color="auto" w:sz="6" w:space="0"/>
            </w:tcBorders>
            <w:noWrap w:val="0"/>
            <w:vAlign w:val="center"/>
          </w:tcPr>
          <w:p w14:paraId="255C8889">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200</w:t>
            </w:r>
          </w:p>
        </w:tc>
        <w:tc>
          <w:tcPr>
            <w:tcW w:w="1387" w:type="dxa"/>
            <w:tcBorders>
              <w:top w:val="single" w:color="auto" w:sz="6" w:space="0"/>
              <w:left w:val="single" w:color="auto" w:sz="6" w:space="0"/>
              <w:bottom w:val="single" w:color="auto" w:sz="4" w:space="0"/>
              <w:right w:val="single" w:color="auto" w:sz="6" w:space="0"/>
            </w:tcBorders>
            <w:noWrap w:val="0"/>
            <w:vAlign w:val="center"/>
          </w:tcPr>
          <w:p w14:paraId="5703AB57">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47.4</w:t>
            </w:r>
          </w:p>
        </w:tc>
        <w:tc>
          <w:tcPr>
            <w:tcW w:w="1050" w:type="dxa"/>
            <w:tcBorders>
              <w:top w:val="single" w:color="auto" w:sz="6" w:space="0"/>
              <w:left w:val="single" w:color="auto" w:sz="6" w:space="0"/>
              <w:bottom w:val="single" w:color="auto" w:sz="4" w:space="0"/>
              <w:right w:val="single" w:color="auto" w:sz="6" w:space="0"/>
            </w:tcBorders>
            <w:noWrap w:val="0"/>
            <w:vAlign w:val="center"/>
          </w:tcPr>
          <w:p w14:paraId="5B2B9AC8">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180F4125">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0.237</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6716CDEC">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0.237</w:t>
            </w:r>
          </w:p>
        </w:tc>
      </w:tr>
      <w:tr w14:paraId="7CE58DA6">
        <w:tblPrEx>
          <w:tblCellMar>
            <w:top w:w="0" w:type="dxa"/>
            <w:left w:w="108" w:type="dxa"/>
            <w:bottom w:w="0" w:type="dxa"/>
            <w:right w:w="108" w:type="dxa"/>
          </w:tblCellMar>
        </w:tblPrEx>
        <w:trPr>
          <w:trHeight w:val="440" w:hRule="atLeast"/>
        </w:trPr>
        <w:tc>
          <w:tcPr>
            <w:tcW w:w="787" w:type="dxa"/>
            <w:vMerge w:val="continue"/>
            <w:tcBorders>
              <w:left w:val="single" w:color="auto" w:sz="6" w:space="0"/>
              <w:bottom w:val="single" w:color="auto" w:sz="4" w:space="0"/>
              <w:right w:val="single" w:color="auto" w:sz="6" w:space="0"/>
            </w:tcBorders>
            <w:noWrap w:val="0"/>
            <w:vAlign w:val="center"/>
          </w:tcPr>
          <w:p w14:paraId="514D70DA">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p>
        </w:tc>
        <w:tc>
          <w:tcPr>
            <w:tcW w:w="1415" w:type="dxa"/>
            <w:vMerge w:val="continue"/>
            <w:tcBorders>
              <w:left w:val="single" w:color="auto" w:sz="6" w:space="0"/>
              <w:bottom w:val="single" w:color="auto" w:sz="4" w:space="0"/>
              <w:right w:val="single" w:color="auto" w:sz="4" w:space="0"/>
            </w:tcBorders>
            <w:noWrap w:val="0"/>
            <w:vAlign w:val="center"/>
          </w:tcPr>
          <w:p w14:paraId="45C16CBA">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p>
        </w:tc>
        <w:tc>
          <w:tcPr>
            <w:tcW w:w="525" w:type="dxa"/>
            <w:tcBorders>
              <w:top w:val="single" w:color="auto" w:sz="6" w:space="0"/>
              <w:left w:val="single" w:color="auto" w:sz="4" w:space="0"/>
              <w:bottom w:val="single" w:color="auto" w:sz="4" w:space="0"/>
              <w:right w:val="single" w:color="auto" w:sz="6" w:space="0"/>
            </w:tcBorders>
            <w:noWrap w:val="0"/>
            <w:vAlign w:val="center"/>
          </w:tcPr>
          <w:p w14:paraId="1CCFD4A8">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柴油</w:t>
            </w:r>
          </w:p>
        </w:tc>
        <w:tc>
          <w:tcPr>
            <w:tcW w:w="1743" w:type="dxa"/>
            <w:tcBorders>
              <w:top w:val="single" w:color="auto" w:sz="6" w:space="0"/>
              <w:left w:val="single" w:color="auto" w:sz="6" w:space="0"/>
              <w:bottom w:val="single" w:color="auto" w:sz="4" w:space="0"/>
              <w:right w:val="single" w:color="auto" w:sz="6" w:space="0"/>
            </w:tcBorders>
            <w:noWrap w:val="0"/>
            <w:vAlign w:val="center"/>
          </w:tcPr>
          <w:p w14:paraId="364C2289">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易燃液体</w:t>
            </w:r>
          </w:p>
        </w:tc>
        <w:tc>
          <w:tcPr>
            <w:tcW w:w="1313" w:type="dxa"/>
            <w:tcBorders>
              <w:top w:val="single" w:color="auto" w:sz="6" w:space="0"/>
              <w:left w:val="single" w:color="auto" w:sz="6" w:space="0"/>
              <w:bottom w:val="single" w:color="auto" w:sz="4" w:space="0"/>
              <w:right w:val="single" w:color="auto" w:sz="6" w:space="0"/>
            </w:tcBorders>
            <w:noWrap w:val="0"/>
            <w:vAlign w:val="center"/>
          </w:tcPr>
          <w:p w14:paraId="6B8368C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5000</w:t>
            </w:r>
          </w:p>
        </w:tc>
        <w:tc>
          <w:tcPr>
            <w:tcW w:w="1387" w:type="dxa"/>
            <w:tcBorders>
              <w:top w:val="single" w:color="auto" w:sz="6" w:space="0"/>
              <w:left w:val="single" w:color="auto" w:sz="6" w:space="0"/>
              <w:bottom w:val="single" w:color="auto" w:sz="4" w:space="0"/>
              <w:right w:val="single" w:color="auto" w:sz="6" w:space="0"/>
            </w:tcBorders>
            <w:noWrap w:val="0"/>
            <w:vAlign w:val="center"/>
          </w:tcPr>
          <w:p w14:paraId="59CACFD8">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w:t>
            </w:r>
          </w:p>
        </w:tc>
        <w:tc>
          <w:tcPr>
            <w:tcW w:w="1050" w:type="dxa"/>
            <w:tcBorders>
              <w:top w:val="single" w:color="auto" w:sz="6" w:space="0"/>
              <w:left w:val="single" w:color="auto" w:sz="6" w:space="0"/>
              <w:bottom w:val="single" w:color="auto" w:sz="4" w:space="0"/>
              <w:right w:val="single" w:color="auto" w:sz="6" w:space="0"/>
            </w:tcBorders>
            <w:noWrap w:val="0"/>
            <w:vAlign w:val="center"/>
          </w:tcPr>
          <w:p w14:paraId="52902C21">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53A759C4">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0.0144</w:t>
            </w:r>
          </w:p>
        </w:tc>
        <w:tc>
          <w:tcPr>
            <w:tcW w:w="806" w:type="dxa"/>
            <w:tcBorders>
              <w:top w:val="single" w:color="auto" w:sz="6" w:space="0"/>
              <w:left w:val="single" w:color="auto" w:sz="6" w:space="0"/>
              <w:bottom w:val="single" w:color="auto" w:sz="4" w:space="0"/>
              <w:right w:val="single" w:color="auto" w:sz="6" w:space="0"/>
            </w:tcBorders>
            <w:noWrap w:val="0"/>
            <w:vAlign w:val="center"/>
          </w:tcPr>
          <w:p w14:paraId="2600A6EE">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0.0144</w:t>
            </w:r>
          </w:p>
        </w:tc>
      </w:tr>
      <w:tr w14:paraId="7E1CA498">
        <w:tblPrEx>
          <w:tblCellMar>
            <w:top w:w="0" w:type="dxa"/>
            <w:left w:w="108" w:type="dxa"/>
            <w:bottom w:w="0" w:type="dxa"/>
            <w:right w:w="108" w:type="dxa"/>
          </w:tblCellMar>
        </w:tblPrEx>
        <w:trPr>
          <w:trHeight w:val="431" w:hRule="atLeast"/>
        </w:trPr>
        <w:tc>
          <w:tcPr>
            <w:tcW w:w="8220" w:type="dxa"/>
            <w:gridSpan w:val="7"/>
            <w:tcBorders>
              <w:top w:val="single" w:color="auto" w:sz="6" w:space="0"/>
              <w:left w:val="single" w:color="auto" w:sz="6" w:space="0"/>
              <w:bottom w:val="single" w:color="auto" w:sz="6" w:space="0"/>
              <w:right w:val="single" w:color="auto" w:sz="4" w:space="0"/>
            </w:tcBorders>
            <w:noWrap w:val="0"/>
            <w:vAlign w:val="center"/>
          </w:tcPr>
          <w:p w14:paraId="19380E02">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合计</w:t>
            </w:r>
          </w:p>
        </w:tc>
        <w:tc>
          <w:tcPr>
            <w:tcW w:w="806" w:type="dxa"/>
            <w:tcBorders>
              <w:top w:val="single" w:color="auto" w:sz="6" w:space="0"/>
              <w:left w:val="single" w:color="auto" w:sz="4" w:space="0"/>
              <w:bottom w:val="single" w:color="auto" w:sz="6" w:space="0"/>
              <w:right w:val="single" w:color="auto" w:sz="4" w:space="0"/>
            </w:tcBorders>
            <w:noWrap w:val="0"/>
            <w:vAlign w:val="center"/>
          </w:tcPr>
          <w:p w14:paraId="21456082">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0.2514</w:t>
            </w:r>
          </w:p>
        </w:tc>
        <w:tc>
          <w:tcPr>
            <w:tcW w:w="806" w:type="dxa"/>
            <w:tcBorders>
              <w:top w:val="single" w:color="auto" w:sz="6" w:space="0"/>
              <w:left w:val="single" w:color="auto" w:sz="4" w:space="0"/>
              <w:bottom w:val="single" w:color="auto" w:sz="6" w:space="0"/>
              <w:right w:val="single" w:color="auto" w:sz="4" w:space="0"/>
            </w:tcBorders>
            <w:noWrap w:val="0"/>
            <w:vAlign w:val="center"/>
          </w:tcPr>
          <w:p w14:paraId="4857ADD3">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0.2514</w:t>
            </w:r>
          </w:p>
        </w:tc>
      </w:tr>
      <w:tr w14:paraId="2764A5F7">
        <w:tblPrEx>
          <w:tblCellMar>
            <w:top w:w="0" w:type="dxa"/>
            <w:left w:w="108" w:type="dxa"/>
            <w:bottom w:w="0" w:type="dxa"/>
            <w:right w:w="108" w:type="dxa"/>
          </w:tblCellMar>
        </w:tblPrEx>
        <w:trPr>
          <w:trHeight w:val="431" w:hRule="atLeast"/>
        </w:trPr>
        <w:tc>
          <w:tcPr>
            <w:tcW w:w="2202" w:type="dxa"/>
            <w:gridSpan w:val="2"/>
            <w:tcBorders>
              <w:top w:val="single" w:color="auto" w:sz="6" w:space="0"/>
              <w:left w:val="single" w:color="auto" w:sz="6" w:space="0"/>
              <w:bottom w:val="single" w:color="auto" w:sz="6" w:space="0"/>
              <w:right w:val="single" w:color="auto" w:sz="4" w:space="0"/>
            </w:tcBorders>
            <w:shd w:val="clear" w:color="auto" w:fill="auto"/>
            <w:noWrap w:val="0"/>
            <w:vAlign w:val="center"/>
          </w:tcPr>
          <w:p w14:paraId="5CF0B2EC">
            <w:pPr>
              <w:autoSpaceDE w:val="0"/>
              <w:autoSpaceDN w:val="0"/>
              <w:adjustRightInd w:val="0"/>
              <w:spacing w:line="240" w:lineRule="exact"/>
              <w:ind w:firstLine="0" w:firstLineChars="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重大危险源辨识结论</w:t>
            </w:r>
          </w:p>
        </w:tc>
        <w:tc>
          <w:tcPr>
            <w:tcW w:w="7630" w:type="dxa"/>
            <w:gridSpan w:val="7"/>
            <w:tcBorders>
              <w:top w:val="single" w:color="auto" w:sz="6" w:space="0"/>
              <w:left w:val="single" w:color="auto" w:sz="4" w:space="0"/>
              <w:bottom w:val="single" w:color="auto" w:sz="6" w:space="0"/>
              <w:right w:val="single" w:color="auto" w:sz="4" w:space="0"/>
            </w:tcBorders>
            <w:shd w:val="clear" w:color="auto" w:fill="auto"/>
            <w:noWrap w:val="0"/>
            <w:vAlign w:val="center"/>
          </w:tcPr>
          <w:p w14:paraId="3CA6F0CF">
            <w:pPr>
              <w:autoSpaceDE w:val="0"/>
              <w:autoSpaceDN w:val="0"/>
              <w:adjustRightInd w:val="0"/>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∑q/Q=0.2514＜1，不构成重大危险源</w:t>
            </w:r>
          </w:p>
        </w:tc>
      </w:tr>
    </w:tbl>
    <w:p w14:paraId="5A652209">
      <w:pPr>
        <w:keepNext w:val="0"/>
        <w:keepLines w:val="0"/>
        <w:pageBreakBefore w:val="0"/>
        <w:widowControl w:val="0"/>
        <w:kinsoku/>
        <w:wordWrap w:val="0"/>
        <w:overflowPunct/>
        <w:topLinePunct w:val="0"/>
        <w:autoSpaceDE/>
        <w:autoSpaceDN/>
        <w:bidi w:val="0"/>
        <w:adjustRightInd w:val="0"/>
        <w:snapToGrid w:val="0"/>
        <w:spacing w:line="580" w:lineRule="exact"/>
        <w:ind w:firstLine="420" w:firstLineChars="0"/>
        <w:textAlignment w:val="center"/>
        <w:rPr>
          <w:rFonts w:hint="eastAsia"/>
          <w:color w:val="000000"/>
          <w:sz w:val="28"/>
          <w:szCs w:val="28"/>
        </w:rPr>
      </w:pPr>
      <w:r>
        <w:rPr>
          <w:rFonts w:hint="eastAsia" w:ascii="Times New Roman" w:eastAsia="宋体"/>
          <w:color w:val="000000"/>
          <w:sz w:val="28"/>
          <w:szCs w:val="28"/>
          <w:lang w:val="en-US" w:eastAsia="zh-CN"/>
        </w:rPr>
        <w:t>由上表可知，</w:t>
      </w:r>
      <w:r>
        <w:rPr>
          <w:rFonts w:hint="eastAsia"/>
          <w:color w:val="000000"/>
          <w:sz w:val="28"/>
          <w:szCs w:val="28"/>
        </w:rPr>
        <w:t>该加油站加油区（经营）和储油罐区均</w:t>
      </w:r>
      <w:r>
        <w:rPr>
          <w:color w:val="000000"/>
          <w:sz w:val="28"/>
          <w:szCs w:val="28"/>
        </w:rPr>
        <w:t>未超过《危险化学品重大危险源辨识》（GB18218-2018）规定的临界量，不构成</w:t>
      </w:r>
      <w:r>
        <w:rPr>
          <w:rFonts w:hint="eastAsia"/>
          <w:color w:val="000000"/>
          <w:sz w:val="28"/>
          <w:szCs w:val="28"/>
        </w:rPr>
        <w:t>危险化学品</w:t>
      </w:r>
      <w:r>
        <w:rPr>
          <w:color w:val="000000"/>
          <w:sz w:val="28"/>
          <w:szCs w:val="28"/>
        </w:rPr>
        <w:t>重大危险源。</w:t>
      </w:r>
    </w:p>
    <w:p w14:paraId="74E16481">
      <w:pPr>
        <w:keepNext w:val="0"/>
        <w:keepLines w:val="0"/>
        <w:pageBreakBefore w:val="0"/>
        <w:widowControl w:val="0"/>
        <w:kinsoku/>
        <w:wordWrap w:val="0"/>
        <w:overflowPunct/>
        <w:topLinePunct w:val="0"/>
        <w:autoSpaceDE/>
        <w:autoSpaceDN/>
        <w:bidi w:val="0"/>
        <w:adjustRightInd w:val="0"/>
        <w:snapToGrid w:val="0"/>
        <w:spacing w:line="580" w:lineRule="exact"/>
        <w:ind w:firstLine="560" w:firstLineChars="200"/>
        <w:textAlignment w:val="center"/>
        <w:rPr>
          <w:rFonts w:hint="eastAsia"/>
          <w:color w:val="000000"/>
          <w:sz w:val="28"/>
          <w:szCs w:val="28"/>
        </w:rPr>
      </w:pPr>
      <w:r>
        <w:rPr>
          <w:rFonts w:hint="eastAsia"/>
          <w:color w:val="000000"/>
          <w:sz w:val="28"/>
          <w:szCs w:val="28"/>
        </w:rPr>
        <w:t>该加油站</w:t>
      </w:r>
      <w:r>
        <w:rPr>
          <w:rFonts w:hint="eastAsia"/>
          <w:color w:val="000000"/>
          <w:sz w:val="28"/>
          <w:szCs w:val="28"/>
          <w:lang w:val="en-US" w:eastAsia="zh-CN"/>
        </w:rPr>
        <w:t>加油区、</w:t>
      </w:r>
      <w:r>
        <w:rPr>
          <w:rFonts w:hint="eastAsia"/>
          <w:color w:val="000000"/>
          <w:sz w:val="28"/>
          <w:szCs w:val="28"/>
        </w:rPr>
        <w:t>储罐区单元均不构成危险化学品重大危险源。</w:t>
      </w:r>
    </w:p>
    <w:p w14:paraId="3B3B3529">
      <w:pPr>
        <w:keepNext w:val="0"/>
        <w:keepLines w:val="0"/>
        <w:pageBreakBefore w:val="0"/>
        <w:widowControl w:val="0"/>
        <w:kinsoku/>
        <w:wordWrap w:val="0"/>
        <w:overflowPunct/>
        <w:topLinePunct w:val="0"/>
        <w:autoSpaceDE/>
        <w:autoSpaceDN/>
        <w:bidi w:val="0"/>
        <w:adjustRightInd w:val="0"/>
        <w:snapToGrid w:val="0"/>
        <w:spacing w:beforeAutospacing="0" w:afterAutospacing="0" w:line="580" w:lineRule="exact"/>
        <w:textAlignment w:val="center"/>
        <w:outlineLvl w:val="1"/>
        <w:rPr>
          <w:rFonts w:hint="eastAsia"/>
          <w:b/>
          <w:bCs/>
          <w:color w:val="000000"/>
          <w:sz w:val="28"/>
          <w:szCs w:val="28"/>
          <w:lang w:val="en-US" w:eastAsia="zh-CN"/>
        </w:rPr>
      </w:pPr>
      <w:bookmarkStart w:id="96" w:name="_Toc15650"/>
      <w:bookmarkStart w:id="97" w:name="_Toc120957323"/>
      <w:bookmarkStart w:id="98" w:name="_Toc35241864"/>
      <w:bookmarkStart w:id="99" w:name="_Toc24694"/>
      <w:r>
        <w:rPr>
          <w:b/>
          <w:bCs/>
          <w:color w:val="000000"/>
          <w:sz w:val="28"/>
          <w:szCs w:val="28"/>
        </w:rPr>
        <w:t>3.</w:t>
      </w:r>
      <w:r>
        <w:rPr>
          <w:rFonts w:hint="eastAsia" w:ascii="Times New Roman" w:eastAsia="宋体"/>
          <w:b/>
          <w:bCs/>
          <w:color w:val="000000"/>
          <w:sz w:val="28"/>
          <w:szCs w:val="28"/>
          <w:lang w:val="en-US" w:eastAsia="zh-CN"/>
        </w:rPr>
        <w:t>4</w:t>
      </w:r>
      <w:bookmarkEnd w:id="96"/>
      <w:bookmarkEnd w:id="97"/>
      <w:bookmarkEnd w:id="98"/>
      <w:r>
        <w:rPr>
          <w:rFonts w:hint="eastAsia"/>
          <w:b/>
          <w:bCs/>
          <w:color w:val="000000"/>
          <w:sz w:val="28"/>
          <w:szCs w:val="28"/>
          <w:lang w:val="en-US" w:eastAsia="zh-CN"/>
        </w:rPr>
        <w:t>经营过程中的危险辨识</w:t>
      </w:r>
      <w:bookmarkEnd w:id="99"/>
    </w:p>
    <w:p w14:paraId="176F266F">
      <w:pPr>
        <w:pStyle w:val="7"/>
        <w:keepNext w:val="0"/>
        <w:keepLines w:val="0"/>
        <w:pageBreakBefore w:val="0"/>
        <w:widowControl w:val="0"/>
        <w:kinsoku/>
        <w:overflowPunct/>
        <w:topLinePunct w:val="0"/>
        <w:autoSpaceDE/>
        <w:autoSpaceDN/>
        <w:bidi w:val="0"/>
        <w:spacing w:line="580" w:lineRule="exact"/>
        <w:ind w:firstLine="420" w:firstLineChars="0"/>
      </w:pPr>
      <w: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14:paraId="4C8D3288">
      <w:pPr>
        <w:keepNext w:val="0"/>
        <w:keepLines w:val="0"/>
        <w:pageBreakBefore w:val="0"/>
        <w:widowControl w:val="0"/>
        <w:kinsoku/>
        <w:overflowPunct/>
        <w:topLinePunct w:val="0"/>
        <w:autoSpaceDE/>
        <w:autoSpaceDN/>
        <w:bidi w:val="0"/>
        <w:spacing w:line="580" w:lineRule="exact"/>
        <w:ind w:firstLine="420" w:firstLineChars="0"/>
        <w:rPr>
          <w:rFonts w:hint="default"/>
          <w:color w:val="auto"/>
          <w:lang w:val="en-US" w:eastAsia="zh-CN"/>
        </w:rPr>
      </w:pPr>
      <w:r>
        <w:rPr>
          <w:color w:val="auto"/>
          <w:sz w:val="28"/>
          <w:szCs w:val="28"/>
        </w:rPr>
        <w:t>通过对该企业提供的有关资料的分析，结合调研和现场调查、了解的资料分析，按照</w:t>
      </w:r>
      <w:r>
        <w:rPr>
          <w:color w:val="auto"/>
          <w:spacing w:val="-8"/>
          <w:sz w:val="28"/>
        </w:rPr>
        <w:t>《</w:t>
      </w:r>
      <w:r>
        <w:rPr>
          <w:rFonts w:hint="eastAsia"/>
          <w:color w:val="auto"/>
          <w:spacing w:val="-8"/>
          <w:sz w:val="28"/>
          <w:lang w:eastAsia="zh-CN"/>
        </w:rPr>
        <w:t>生产安全事故分类与编码</w:t>
      </w:r>
      <w:r>
        <w:rPr>
          <w:color w:val="auto"/>
          <w:spacing w:val="-8"/>
          <w:sz w:val="28"/>
        </w:rPr>
        <w:t>》GB6441-</w:t>
      </w:r>
      <w:r>
        <w:rPr>
          <w:rFonts w:hint="eastAsia"/>
          <w:color w:val="auto"/>
          <w:spacing w:val="-8"/>
          <w:sz w:val="28"/>
          <w:lang w:val="en-US" w:eastAsia="zh-CN"/>
        </w:rPr>
        <w:t>2025</w:t>
      </w:r>
      <w:r>
        <w:rPr>
          <w:color w:val="auto"/>
          <w:sz w:val="28"/>
          <w:szCs w:val="28"/>
        </w:rPr>
        <w:t>的规定，对本项目存在危险因素归纳汇总。</w:t>
      </w:r>
    </w:p>
    <w:p w14:paraId="31AE8D9D">
      <w:pPr>
        <w:wordWrap w:val="0"/>
        <w:adjustRightInd w:val="0"/>
        <w:snapToGrid w:val="0"/>
        <w:spacing w:line="600" w:lineRule="exact"/>
        <w:textAlignment w:val="center"/>
        <w:outlineLvl w:val="2"/>
        <w:rPr>
          <w:b/>
          <w:bCs/>
          <w:color w:val="000000"/>
          <w:sz w:val="28"/>
          <w:szCs w:val="28"/>
        </w:rPr>
      </w:pPr>
      <w:bookmarkStart w:id="100" w:name="_Toc35241865"/>
      <w:bookmarkStart w:id="101" w:name="_Toc29508"/>
      <w:bookmarkStart w:id="102" w:name="_Toc120957324"/>
      <w:bookmarkStart w:id="103" w:name="_Toc2106"/>
      <w:r>
        <w:rPr>
          <w:b/>
          <w:bCs/>
          <w:color w:val="000000"/>
          <w:sz w:val="28"/>
          <w:szCs w:val="28"/>
        </w:rPr>
        <w:t>3.</w:t>
      </w:r>
      <w:r>
        <w:rPr>
          <w:rFonts w:hint="eastAsia" w:ascii="Times New Roman" w:eastAsia="宋体"/>
          <w:b/>
          <w:bCs/>
          <w:color w:val="000000"/>
          <w:sz w:val="28"/>
          <w:szCs w:val="28"/>
          <w:lang w:val="en-US" w:eastAsia="zh-CN"/>
        </w:rPr>
        <w:t>4</w:t>
      </w:r>
      <w:r>
        <w:rPr>
          <w:b/>
          <w:bCs/>
          <w:color w:val="000000"/>
          <w:sz w:val="28"/>
          <w:szCs w:val="28"/>
        </w:rPr>
        <w:t>.</w:t>
      </w:r>
      <w:r>
        <w:rPr>
          <w:rFonts w:hint="eastAsia"/>
          <w:b/>
          <w:bCs/>
          <w:color w:val="000000"/>
          <w:sz w:val="28"/>
          <w:szCs w:val="28"/>
          <w:lang w:val="en-US" w:eastAsia="zh-CN"/>
        </w:rPr>
        <w:t>1</w:t>
      </w:r>
      <w:r>
        <w:rPr>
          <w:b/>
          <w:bCs/>
          <w:color w:val="000000"/>
          <w:sz w:val="28"/>
          <w:szCs w:val="28"/>
        </w:rPr>
        <w:t>火灾、</w:t>
      </w:r>
      <w:r>
        <w:rPr>
          <w:rFonts w:hint="eastAsia"/>
          <w:b/>
          <w:bCs/>
          <w:color w:val="000000"/>
          <w:sz w:val="28"/>
          <w:szCs w:val="28"/>
          <w:lang w:val="en-US" w:eastAsia="zh-CN"/>
        </w:rPr>
        <w:t>可燃液体蒸汽</w:t>
      </w:r>
      <w:r>
        <w:rPr>
          <w:b/>
          <w:bCs/>
          <w:color w:val="000000"/>
          <w:sz w:val="28"/>
          <w:szCs w:val="28"/>
        </w:rPr>
        <w:t>爆炸</w:t>
      </w:r>
      <w:bookmarkEnd w:id="100"/>
      <w:bookmarkEnd w:id="101"/>
      <w:bookmarkEnd w:id="102"/>
      <w:bookmarkEnd w:id="103"/>
    </w:p>
    <w:p w14:paraId="237D82A7">
      <w:pPr>
        <w:pageBreakBefore w:val="0"/>
        <w:widowControl w:val="0"/>
        <w:kinsoku/>
        <w:wordWrap/>
        <w:overflowPunct/>
        <w:topLinePunct w:val="0"/>
        <w:bidi w:val="0"/>
        <w:snapToGrid/>
        <w:spacing w:line="560" w:lineRule="exact"/>
        <w:ind w:firstLine="536"/>
        <w:textAlignment w:val="auto"/>
        <w:rPr>
          <w:rFonts w:hint="eastAsia" w:ascii="Times New Roman" w:hAnsi="Times New Roman" w:eastAsia="宋体" w:cs="Times New Roman"/>
          <w:color w:val="auto"/>
          <w:spacing w:val="-6"/>
          <w:lang w:eastAsia="zh-CN"/>
        </w:rPr>
      </w:pPr>
      <w:r>
        <w:rPr>
          <w:rFonts w:hint="default" w:ascii="Times New Roman" w:hAnsi="Times New Roman" w:cs="Times New Roman"/>
          <w:color w:val="auto"/>
          <w:spacing w:val="-6"/>
        </w:rPr>
        <w:t>汽油具有燃烧、爆炸性</w:t>
      </w:r>
      <w:r>
        <w:rPr>
          <w:rFonts w:hint="eastAsia" w:ascii="Times New Roman" w:hAnsi="Times New Roman" w:cs="Times New Roman"/>
          <w:color w:val="auto"/>
          <w:spacing w:val="-6"/>
          <w:lang w:eastAsia="zh-CN"/>
        </w:rPr>
        <w:t>且</w:t>
      </w:r>
      <w:r>
        <w:rPr>
          <w:rFonts w:hint="default" w:ascii="Times New Roman" w:hAnsi="Times New Roman" w:cs="Times New Roman"/>
          <w:color w:val="auto"/>
          <w:spacing w:val="-6"/>
        </w:rPr>
        <w:t>其闪点低，自燃温度低、又属挥发性物质。柴油为易燃物质。可燃液体蒸气在地面低洼处、管沟、加油机底部、油罐区密闭空间积聚；油气与空气混合达到爆炸极限，遇静电火花、车辆排气管明火、非防爆电气开关电火花、手机静电、违规动火吸烟等点火源，瞬间引发蒸气闪爆，继而引燃泄漏油品形成流淌火、池火</w:t>
      </w:r>
      <w:r>
        <w:rPr>
          <w:rFonts w:hint="eastAsia" w:cs="Times New Roman"/>
          <w:color w:val="auto"/>
          <w:spacing w:val="-6"/>
          <w:lang w:eastAsia="zh-CN"/>
        </w:rPr>
        <w:t>。</w:t>
      </w:r>
    </w:p>
    <w:p w14:paraId="4FDEF4E5">
      <w:pPr>
        <w:pageBreakBefore w:val="0"/>
        <w:widowControl w:val="0"/>
        <w:kinsoku/>
        <w:wordWrap/>
        <w:overflowPunct/>
        <w:topLinePunct w:val="0"/>
        <w:bidi w:val="0"/>
        <w:snapToGrid/>
        <w:spacing w:line="560" w:lineRule="exact"/>
        <w:ind w:firstLine="536"/>
        <w:textAlignment w:val="auto"/>
        <w:rPr>
          <w:rFonts w:hint="default" w:ascii="Times New Roman" w:hAnsi="Times New Roman" w:cs="Times New Roman"/>
          <w:color w:val="auto"/>
        </w:rPr>
      </w:pPr>
      <w:r>
        <w:rPr>
          <w:rFonts w:hint="default" w:ascii="Times New Roman" w:hAnsi="Times New Roman" w:cs="Times New Roman"/>
          <w:color w:val="auto"/>
          <w:spacing w:val="-6"/>
        </w:rPr>
        <w:t>其发生火灾、</w:t>
      </w:r>
      <w:r>
        <w:rPr>
          <w:rFonts w:hint="eastAsia" w:cs="Times New Roman"/>
          <w:color w:val="auto"/>
          <w:spacing w:val="-6"/>
          <w:lang w:val="en-US" w:eastAsia="zh-CN"/>
        </w:rPr>
        <w:t>可燃液体蒸汽</w:t>
      </w:r>
      <w:r>
        <w:rPr>
          <w:rFonts w:hint="default" w:ascii="Times New Roman" w:hAnsi="Times New Roman" w:cs="Times New Roman"/>
          <w:color w:val="auto"/>
          <w:spacing w:val="-6"/>
        </w:rPr>
        <w:t>爆炸可能性有：</w:t>
      </w:r>
    </w:p>
    <w:p w14:paraId="28A1D3D8">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1、泄漏：</w:t>
      </w:r>
    </w:p>
    <w:p w14:paraId="057D6B8E">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（1）储罐因长期使用，罐体腐蚀而产生穿孔、破裂，从而大量泄漏；</w:t>
      </w:r>
    </w:p>
    <w:p w14:paraId="7D73F5D3">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（2）管道因长期使用，管壁腐蚀而产生穿孔、破裂；</w:t>
      </w:r>
    </w:p>
    <w:p w14:paraId="1AECC9C1">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（3）管道焊接处焊接质量差发生裂缝而产生泄漏；</w:t>
      </w:r>
    </w:p>
    <w:p w14:paraId="04DF774C">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（4）管道、法兰连接处垫子长期使用老化发生泄漏；</w:t>
      </w:r>
    </w:p>
    <w:p w14:paraId="1F027EE8">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（5）加油机管道连接不牢而发生泄漏；</w:t>
      </w:r>
    </w:p>
    <w:p w14:paraId="7B164B74">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（6）储罐受外界热辐射的影响，罐体温度过高，从而从呼吸管中呼出大量油气；</w:t>
      </w:r>
    </w:p>
    <w:p w14:paraId="6D6B1A78">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（7）卸油、加油过程中的油气挥发；</w:t>
      </w:r>
    </w:p>
    <w:p w14:paraId="060A6E5F">
      <w:pPr>
        <w:pageBreakBefore w:val="0"/>
        <w:widowControl w:val="0"/>
        <w:kinsoku/>
        <w:wordWrap/>
        <w:overflowPunct/>
        <w:topLinePunct w:val="0"/>
        <w:bidi w:val="0"/>
        <w:snapToGrid/>
        <w:spacing w:line="560" w:lineRule="exact"/>
        <w:ind w:firstLine="544"/>
        <w:textAlignment w:val="auto"/>
        <w:rPr>
          <w:rFonts w:hint="eastAsia" w:ascii="Times New Roman" w:hAnsi="Times New Roman" w:eastAsia="宋体" w:cs="Times New Roman"/>
          <w:color w:val="auto"/>
          <w:spacing w:val="-4"/>
          <w:lang w:eastAsia="zh-CN"/>
        </w:rPr>
      </w:pPr>
      <w:r>
        <w:rPr>
          <w:rFonts w:hint="default" w:ascii="Times New Roman" w:hAnsi="Times New Roman" w:cs="Times New Roman"/>
          <w:color w:val="auto"/>
          <w:spacing w:val="-4"/>
        </w:rPr>
        <w:t>（8）车辆碰撞事故、加油车辆带枪启动、卸油车辆滑行等导致油品泄漏</w:t>
      </w:r>
      <w:r>
        <w:rPr>
          <w:rFonts w:hint="eastAsia" w:ascii="Times New Roman" w:hAnsi="Times New Roman" w:cs="Times New Roman"/>
          <w:color w:val="auto"/>
          <w:spacing w:val="-4"/>
          <w:lang w:eastAsia="zh-CN"/>
        </w:rPr>
        <w:t>；</w:t>
      </w:r>
    </w:p>
    <w:p w14:paraId="1DD94C72">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2、点火源</w:t>
      </w:r>
    </w:p>
    <w:p w14:paraId="43CB8720">
      <w:pPr>
        <w:pageBreakBefore w:val="0"/>
        <w:widowControl w:val="0"/>
        <w:kinsoku/>
        <w:wordWrap/>
        <w:overflowPunct/>
        <w:topLinePunct w:val="0"/>
        <w:bidi w:val="0"/>
        <w:snapToGrid/>
        <w:spacing w:line="560" w:lineRule="exact"/>
        <w:ind w:firstLine="516"/>
        <w:textAlignment w:val="auto"/>
        <w:rPr>
          <w:rFonts w:hint="default" w:ascii="Times New Roman" w:hAnsi="Times New Roman" w:cs="Times New Roman"/>
          <w:color w:val="auto"/>
          <w:spacing w:val="-11"/>
        </w:rPr>
      </w:pPr>
      <w:r>
        <w:rPr>
          <w:rFonts w:hint="default" w:ascii="Times New Roman" w:hAnsi="Times New Roman" w:cs="Times New Roman"/>
          <w:color w:val="auto"/>
          <w:spacing w:val="-11"/>
        </w:rPr>
        <w:t>（1）设备、管道、加油枪发生故障，</w:t>
      </w:r>
      <w:r>
        <w:rPr>
          <w:rFonts w:hint="default" w:ascii="Times New Roman" w:hAnsi="Times New Roman" w:cs="Times New Roman"/>
          <w:color w:val="auto"/>
          <w:spacing w:val="-11"/>
          <w:lang w:eastAsia="zh-CN"/>
        </w:rPr>
        <w:t>出现摩擦</w:t>
      </w:r>
      <w:r>
        <w:rPr>
          <w:rFonts w:hint="default" w:ascii="Times New Roman" w:hAnsi="Times New Roman" w:cs="Times New Roman"/>
          <w:color w:val="auto"/>
          <w:spacing w:val="-11"/>
        </w:rPr>
        <w:t>、撞击等而产生火花。</w:t>
      </w:r>
    </w:p>
    <w:p w14:paraId="00CD9A7A">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（2）电气绝缘失效，接触不良，过载、超压、短路引起电火花。</w:t>
      </w:r>
    </w:p>
    <w:p w14:paraId="7D1DA0B2">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（3）燃爆场合的防爆电气失效或接入非防爆电气等。</w:t>
      </w:r>
    </w:p>
    <w:p w14:paraId="1B7AFE7C">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（4）静电，包括液体流动产生的静电和人体静电；导除静电不良，发生静电放电。</w:t>
      </w:r>
    </w:p>
    <w:p w14:paraId="0373A7F3">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（5）防雷系统失效，出现雷电火花。</w:t>
      </w:r>
    </w:p>
    <w:p w14:paraId="2CC777AB">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（6）电缆、导线、其他电器设备接触不良发热升温；电缆、导线和其他电器设备过载、过流发热升温。</w:t>
      </w:r>
    </w:p>
    <w:p w14:paraId="1F59FC6B">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3、人的不安全行为</w:t>
      </w:r>
    </w:p>
    <w:p w14:paraId="2501D905">
      <w:pPr>
        <w:pageBreakBefore w:val="0"/>
        <w:widowControl w:val="0"/>
        <w:kinsoku/>
        <w:wordWrap/>
        <w:overflowPunct/>
        <w:topLinePunct w:val="0"/>
        <w:autoSpaceDE/>
        <w:autoSpaceDN/>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1）操作人员的违章作业，检修人员的违章行为。如违章用火动火，检修用的电焊、气焊、砂轮打磨、敲击、焚烧、清除杂物；外来人员违章带入火源，如吸烟、点打火机；手机、无线电话、对讲机等流散杂电能源发生火花等。</w:t>
      </w:r>
    </w:p>
    <w:p w14:paraId="41607741">
      <w:pPr>
        <w:keepNext/>
        <w:keepLines/>
        <w:pageBreakBefore w:val="0"/>
        <w:widowControl w:val="0"/>
        <w:kinsoku/>
        <w:wordWrap/>
        <w:overflowPunct/>
        <w:topLinePunct w:val="0"/>
        <w:autoSpaceDE/>
        <w:autoSpaceDN/>
        <w:bidi w:val="0"/>
        <w:adjustRightInd/>
        <w:snapToGrid/>
        <w:spacing w:line="560" w:lineRule="exact"/>
        <w:ind w:firstLine="0" w:firstLineChars="0"/>
        <w:jc w:val="both"/>
        <w:textAlignment w:val="auto"/>
        <w:outlineLvl w:val="2"/>
        <w:rPr>
          <w:rFonts w:hint="eastAsia" w:ascii="宋体" w:hAnsi="宋体" w:eastAsia="宋体" w:cs="宋体"/>
          <w:b/>
          <w:bCs/>
          <w:color w:val="auto"/>
          <w:kern w:val="2"/>
          <w:sz w:val="28"/>
          <w:szCs w:val="28"/>
          <w:lang w:val="en-US" w:eastAsia="zh-CN" w:bidi="ar-SA"/>
        </w:rPr>
      </w:pPr>
      <w:bookmarkStart w:id="104" w:name="_Toc8290"/>
      <w:bookmarkStart w:id="105" w:name="_Toc29418"/>
      <w:bookmarkStart w:id="106" w:name="_Toc24534"/>
      <w:bookmarkStart w:id="107" w:name="_Toc31966"/>
      <w:bookmarkStart w:id="108" w:name="_Toc20938"/>
      <w:bookmarkStart w:id="109" w:name="_Toc20980"/>
      <w:bookmarkStart w:id="110" w:name="_Toc350517382"/>
      <w:bookmarkStart w:id="111" w:name="_Toc22291"/>
      <w:bookmarkStart w:id="112" w:name="_Toc35241867"/>
      <w:bookmarkStart w:id="113" w:name="_Toc120957326"/>
      <w:r>
        <w:rPr>
          <w:rFonts w:hint="eastAsia" w:ascii="宋体" w:hAnsi="宋体" w:eastAsia="宋体" w:cs="宋体"/>
          <w:b/>
          <w:bCs/>
          <w:color w:val="auto"/>
          <w:kern w:val="2"/>
          <w:sz w:val="28"/>
          <w:szCs w:val="28"/>
          <w:lang w:val="en-US" w:eastAsia="zh-CN" w:bidi="ar-SA"/>
        </w:rPr>
        <w:t>3.4.2</w:t>
      </w:r>
      <w:bookmarkEnd w:id="104"/>
      <w:bookmarkEnd w:id="105"/>
      <w:bookmarkEnd w:id="106"/>
      <w:r>
        <w:rPr>
          <w:rFonts w:hint="eastAsia"/>
          <w:b/>
          <w:bCs/>
          <w:lang w:eastAsia="zh-CN"/>
        </w:rPr>
        <w:t>厂(场)内车辆致害</w:t>
      </w:r>
      <w:bookmarkEnd w:id="107"/>
    </w:p>
    <w:p w14:paraId="55622AD6">
      <w:pPr>
        <w:pageBreakBefore w:val="0"/>
        <w:widowControl w:val="0"/>
        <w:kinsoku/>
        <w:wordWrap/>
        <w:overflowPunct/>
        <w:topLinePunct w:val="0"/>
        <w:bidi w:val="0"/>
        <w:adjustRightInd w:val="0"/>
        <w:snapToGrid/>
        <w:spacing w:line="560" w:lineRule="exact"/>
        <w:ind w:firstLine="570"/>
        <w:textAlignment w:val="auto"/>
        <w:rPr>
          <w:rFonts w:hint="eastAsia" w:ascii="宋体" w:hAnsi="宋体" w:eastAsia="宋体" w:cs="宋体"/>
          <w:color w:val="auto"/>
          <w:sz w:val="28"/>
          <w:szCs w:val="28"/>
        </w:rPr>
      </w:pPr>
      <w:r>
        <w:rPr>
          <w:rFonts w:hint="eastAsia" w:ascii="宋体" w:hAnsi="宋体" w:cs="宋体"/>
          <w:bCs/>
          <w:color w:val="auto"/>
          <w:sz w:val="28"/>
          <w:szCs w:val="28"/>
          <w:lang w:eastAsia="zh-CN"/>
        </w:rPr>
        <w:t>厂(场)内车辆致害</w:t>
      </w:r>
      <w:r>
        <w:rPr>
          <w:rFonts w:hint="eastAsia" w:ascii="宋体" w:hAnsi="宋体" w:eastAsia="宋体" w:cs="宋体"/>
          <w:color w:val="auto"/>
          <w:sz w:val="28"/>
        </w:rPr>
        <w:t>指企业机动车辆在行驶中引起的人体坠落和物体倒塌、飞落、挤压伤亡事故，</w:t>
      </w:r>
      <w:r>
        <w:rPr>
          <w:rFonts w:hint="eastAsia" w:ascii="宋体" w:hAnsi="宋体" w:eastAsia="宋体" w:cs="宋体"/>
          <w:color w:val="auto"/>
          <w:sz w:val="28"/>
          <w:szCs w:val="28"/>
        </w:rPr>
        <w:t>项目物料进出均由汽车完成，</w:t>
      </w:r>
      <w:r>
        <w:rPr>
          <w:rFonts w:hint="eastAsia" w:ascii="宋体" w:hAnsi="宋体" w:eastAsia="宋体" w:cs="宋体"/>
          <w:color w:val="auto"/>
          <w:sz w:val="28"/>
        </w:rPr>
        <w:t>场内汽车来往频繁，有可能因</w:t>
      </w:r>
      <w:r>
        <w:rPr>
          <w:rFonts w:hint="eastAsia" w:ascii="宋体" w:hAnsi="宋体" w:eastAsia="宋体" w:cs="宋体"/>
          <w:color w:val="auto"/>
          <w:sz w:val="28"/>
          <w:szCs w:val="28"/>
        </w:rPr>
        <w:t>道路缺陷、安全标志不明或缺失、</w:t>
      </w:r>
      <w:r>
        <w:rPr>
          <w:rFonts w:hint="eastAsia" w:ascii="宋体" w:hAnsi="宋体" w:eastAsia="宋体" w:cs="宋体"/>
          <w:color w:val="auto"/>
          <w:sz w:val="28"/>
        </w:rPr>
        <w:t>车辆故障、车辆违章行驶、驾驶员思想麻痹、加油员引导失当等原因，</w:t>
      </w:r>
      <w:r>
        <w:rPr>
          <w:rFonts w:hint="eastAsia" w:ascii="宋体" w:hAnsi="宋体" w:eastAsia="宋体" w:cs="宋体"/>
          <w:color w:val="auto"/>
          <w:sz w:val="28"/>
          <w:szCs w:val="28"/>
        </w:rPr>
        <w:t>引发</w:t>
      </w:r>
      <w:r>
        <w:rPr>
          <w:rFonts w:hint="eastAsia" w:ascii="宋体" w:hAnsi="宋体" w:cs="宋体"/>
          <w:color w:val="auto"/>
          <w:sz w:val="28"/>
          <w:szCs w:val="28"/>
          <w:lang w:eastAsia="zh-CN"/>
        </w:rPr>
        <w:t>厂(场)内车辆致害</w:t>
      </w:r>
      <w:r>
        <w:rPr>
          <w:rFonts w:hint="eastAsia" w:ascii="宋体" w:hAnsi="宋体" w:eastAsia="宋体" w:cs="宋体"/>
          <w:color w:val="auto"/>
          <w:sz w:val="28"/>
          <w:szCs w:val="28"/>
        </w:rPr>
        <w:t>事故。</w:t>
      </w:r>
    </w:p>
    <w:p w14:paraId="4E1C8E3B">
      <w:pPr>
        <w:keepNext/>
        <w:keepLines/>
        <w:pageBreakBefore w:val="0"/>
        <w:widowControl w:val="0"/>
        <w:kinsoku/>
        <w:wordWrap/>
        <w:overflowPunct/>
        <w:topLinePunct w:val="0"/>
        <w:autoSpaceDE/>
        <w:autoSpaceDN/>
        <w:bidi w:val="0"/>
        <w:adjustRightInd/>
        <w:snapToGrid/>
        <w:spacing w:line="560" w:lineRule="exact"/>
        <w:ind w:firstLine="0" w:firstLineChars="0"/>
        <w:jc w:val="both"/>
        <w:textAlignment w:val="auto"/>
        <w:outlineLvl w:val="2"/>
        <w:rPr>
          <w:rFonts w:hint="eastAsia" w:ascii="Times New Roman" w:hAnsi="Times New Roman" w:eastAsia="宋体" w:cs="Times New Roman"/>
          <w:b/>
          <w:bCs/>
          <w:lang w:eastAsia="zh-CN"/>
        </w:rPr>
      </w:pPr>
      <w:bookmarkStart w:id="114" w:name="_Toc29551"/>
      <w:bookmarkStart w:id="115" w:name="_Toc25256"/>
      <w:bookmarkStart w:id="116" w:name="_Toc28146"/>
      <w:r>
        <w:rPr>
          <w:rFonts w:hint="eastAsia" w:ascii="Times New Roman" w:hAnsi="Times New Roman" w:eastAsia="宋体" w:cs="Times New Roman"/>
          <w:b/>
          <w:bCs/>
          <w:lang w:eastAsia="zh-CN"/>
        </w:rPr>
        <w:t>3.</w:t>
      </w:r>
      <w:r>
        <w:rPr>
          <w:rFonts w:hint="eastAsia" w:ascii="Times New Roman" w:hAnsi="Times New Roman" w:eastAsia="宋体" w:cs="Times New Roman"/>
          <w:b/>
          <w:bCs/>
          <w:lang w:val="en-US" w:eastAsia="zh-CN"/>
        </w:rPr>
        <w:t>4</w:t>
      </w:r>
      <w:r>
        <w:rPr>
          <w:rFonts w:hint="eastAsia" w:ascii="Times New Roman" w:hAnsi="Times New Roman" w:eastAsia="宋体" w:cs="Times New Roman"/>
          <w:b/>
          <w:bCs/>
          <w:lang w:eastAsia="zh-CN"/>
        </w:rPr>
        <w:t>.3</w:t>
      </w:r>
      <w:bookmarkEnd w:id="108"/>
      <w:bookmarkEnd w:id="109"/>
      <w:bookmarkEnd w:id="114"/>
      <w:bookmarkEnd w:id="115"/>
      <w:r>
        <w:rPr>
          <w:rFonts w:hint="default" w:ascii="Times New Roman" w:hAnsi="Times New Roman" w:eastAsia="宋体" w:cs="Times New Roman"/>
          <w:b/>
          <w:bCs/>
          <w:lang w:eastAsia="zh-CN"/>
        </w:rPr>
        <w:t>高处坠落</w:t>
      </w:r>
      <w:bookmarkEnd w:id="116"/>
    </w:p>
    <w:p w14:paraId="2FA5D5AF">
      <w:pPr>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14:paraId="684E9F17">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spacing w:val="-6"/>
          <w:kern w:val="0"/>
        </w:rPr>
      </w:pPr>
      <w:r>
        <w:rPr>
          <w:rFonts w:hint="default" w:ascii="Times New Roman" w:hAnsi="Times New Roman" w:cs="Times New Roman"/>
          <w:color w:val="auto"/>
        </w:rPr>
        <w:t>该加油站存在高2m及以上的操作巡检作业，如罩棚检维修作业、站房装修改造作业等，在施工或检修时需搭设脚手架或采用</w:t>
      </w:r>
      <w:r>
        <w:rPr>
          <w:rFonts w:hint="eastAsia" w:ascii="Times New Roman" w:hAnsi="Times New Roman" w:cs="Times New Roman"/>
          <w:color w:val="auto"/>
          <w:lang w:eastAsia="zh-CN"/>
        </w:rPr>
        <w:t>其他</w:t>
      </w:r>
      <w:r>
        <w:rPr>
          <w:rFonts w:hint="default" w:ascii="Times New Roman" w:hAnsi="Times New Roman" w:cs="Times New Roman"/>
          <w:color w:val="auto"/>
        </w:rPr>
        <w:t>方式进行高处作业，操作人员巡检或检修人员进行作业时，可能由于平台</w:t>
      </w:r>
      <w:r>
        <w:rPr>
          <w:rFonts w:hint="default" w:ascii="Times New Roman" w:hAnsi="Times New Roman" w:cs="Times New Roman"/>
          <w:color w:val="auto"/>
          <w:spacing w:val="-6"/>
          <w:kern w:val="0"/>
        </w:rPr>
        <w:t>护栏缺陷、临时脚手架缺陷；高处作业未使用防护用品，思想麻痹、身体、精神状态不良等发生高处坠落事故。造成高处坠落的主要因素是：</w:t>
      </w:r>
    </w:p>
    <w:p w14:paraId="02C14022">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（1）没有按要求使用安全带。</w:t>
      </w:r>
    </w:p>
    <w:p w14:paraId="12712B4D">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（2）高处作业时安全防护设施损坏。</w:t>
      </w:r>
    </w:p>
    <w:p w14:paraId="2138FD1E">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（3）使用安全保护装置不完善或在缺乏安全设备、设施上进行作业。</w:t>
      </w:r>
    </w:p>
    <w:p w14:paraId="67BA3B6A">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（4）工作责任心不强，主观判断失误。</w:t>
      </w:r>
    </w:p>
    <w:p w14:paraId="223A3A0F">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（5）作业人员疏忽大意，疲劳过度。</w:t>
      </w:r>
    </w:p>
    <w:p w14:paraId="206AAFCC">
      <w:pPr>
        <w:pageBreakBefore w:val="0"/>
        <w:widowControl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rPr>
        <w:t>（6）高处作业安全管理不到位。</w:t>
      </w:r>
    </w:p>
    <w:p w14:paraId="0019B9BB">
      <w:pPr>
        <w:pageBreakBefore w:val="0"/>
        <w:widowControl w:val="0"/>
        <w:kinsoku/>
        <w:wordWrap/>
        <w:overflowPunct/>
        <w:topLinePunct w:val="0"/>
        <w:bidi w:val="0"/>
        <w:snapToGrid/>
        <w:spacing w:line="560" w:lineRule="exact"/>
        <w:ind w:firstLine="560" w:firstLineChars="200"/>
        <w:textAlignment w:val="auto"/>
        <w:rPr>
          <w:rFonts w:hint="eastAsia" w:ascii="宋体" w:hAnsi="宋体" w:eastAsia="宋体" w:cs="宋体"/>
          <w:color w:val="auto"/>
          <w:sz w:val="28"/>
          <w:szCs w:val="28"/>
        </w:rPr>
      </w:pPr>
      <w:r>
        <w:rPr>
          <w:rFonts w:hint="default" w:ascii="Times New Roman" w:hAnsi="Times New Roman" w:cs="Times New Roman"/>
          <w:color w:val="auto"/>
        </w:rPr>
        <w:t>（7）没有按要求穿防滑性能良好的软底鞋等</w:t>
      </w:r>
      <w:r>
        <w:rPr>
          <w:rFonts w:hint="eastAsia" w:ascii="宋体" w:hAnsi="宋体" w:eastAsia="宋体" w:cs="宋体"/>
          <w:color w:val="auto"/>
          <w:sz w:val="28"/>
          <w:szCs w:val="28"/>
        </w:rPr>
        <w:t>。</w:t>
      </w:r>
    </w:p>
    <w:p w14:paraId="459EEECB">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宋体" w:hAnsi="宋体" w:eastAsia="宋体" w:cs="宋体"/>
          <w:b/>
          <w:color w:val="auto"/>
          <w:sz w:val="28"/>
        </w:rPr>
      </w:pPr>
      <w:bookmarkStart w:id="117" w:name="_Toc30566"/>
      <w:bookmarkStart w:id="118" w:name="_Toc13630"/>
      <w:bookmarkStart w:id="119" w:name="_Toc31559"/>
      <w:bookmarkStart w:id="120" w:name="_Toc21664"/>
      <w:bookmarkStart w:id="121" w:name="_Toc5333"/>
      <w:r>
        <w:rPr>
          <w:rFonts w:hint="eastAsia" w:ascii="宋体" w:hAnsi="宋体" w:eastAsia="宋体" w:cs="宋体"/>
          <w:b/>
          <w:color w:val="auto"/>
          <w:sz w:val="28"/>
        </w:rPr>
        <w:t>3.</w:t>
      </w:r>
      <w:r>
        <w:rPr>
          <w:rFonts w:hint="eastAsia" w:ascii="宋体" w:hAnsi="宋体" w:eastAsia="宋体" w:cs="宋体"/>
          <w:b/>
          <w:color w:val="auto"/>
          <w:sz w:val="28"/>
          <w:lang w:val="en-US" w:eastAsia="zh-CN"/>
        </w:rPr>
        <w:t>4</w:t>
      </w:r>
      <w:r>
        <w:rPr>
          <w:rFonts w:hint="eastAsia" w:ascii="宋体" w:hAnsi="宋体" w:eastAsia="宋体" w:cs="宋体"/>
          <w:b/>
          <w:color w:val="auto"/>
          <w:sz w:val="28"/>
        </w:rPr>
        <w:t>.4触电</w:t>
      </w:r>
      <w:bookmarkEnd w:id="117"/>
      <w:bookmarkEnd w:id="118"/>
      <w:bookmarkEnd w:id="119"/>
      <w:bookmarkEnd w:id="120"/>
      <w:bookmarkEnd w:id="121"/>
    </w:p>
    <w:p w14:paraId="35D5900F">
      <w:pPr>
        <w:pageBreakBefore w:val="0"/>
        <w:widowControl w:val="0"/>
        <w:kinsoku/>
        <w:wordWrap/>
        <w:overflowPunct/>
        <w:topLinePunct w:val="0"/>
        <w:bidi w:val="0"/>
        <w:snapToGrid/>
        <w:spacing w:line="560" w:lineRule="exact"/>
        <w:ind w:firstLine="560" w:firstLineChars="200"/>
        <w:jc w:val="left"/>
        <w:textAlignment w:val="auto"/>
        <w:rPr>
          <w:rFonts w:hint="eastAsia" w:ascii="宋体" w:hAnsi="宋体" w:eastAsia="宋体" w:cs="宋体"/>
          <w:color w:val="auto"/>
          <w:sz w:val="28"/>
          <w:szCs w:val="28"/>
        </w:rPr>
      </w:pPr>
      <w:bookmarkStart w:id="122" w:name="_Toc8845"/>
      <w:bookmarkStart w:id="123" w:name="_Toc13360"/>
      <w:r>
        <w:rPr>
          <w:rFonts w:hint="eastAsia" w:ascii="宋体" w:hAnsi="宋体" w:eastAsia="宋体" w:cs="宋体"/>
          <w:color w:val="auto"/>
          <w:sz w:val="28"/>
          <w:szCs w:val="28"/>
        </w:rPr>
        <w:t>电气伤害主要包括触电和电弧灼伤。</w:t>
      </w:r>
    </w:p>
    <w:p w14:paraId="294350C0">
      <w:pPr>
        <w:pageBreakBefore w:val="0"/>
        <w:widowControl w:val="0"/>
        <w:kinsoku/>
        <w:wordWrap/>
        <w:overflowPunct/>
        <w:topLinePunct w:val="0"/>
        <w:bidi w:val="0"/>
        <w:snapToGrid/>
        <w:spacing w:line="560" w:lineRule="exact"/>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项目中有用电设备，人体接触高、低压电源会造成触电伤害，雷击也可能产生类似的后果。如果设备开关本体缺陷、设备保护接地失效或操作失误，个人思想麻痹，防护缺陷，操作高压开关不使用绝缘工具，或非专业人员违章操作等，易发生人员触电事故。而电气布线及用电设备容易产生绝缘性能降低，甚至外壳带电，特别在多雨、潮湿、高温季节可能造成人身触电事故。</w:t>
      </w:r>
    </w:p>
    <w:p w14:paraId="7249D708">
      <w:pPr>
        <w:pageBreakBefore w:val="0"/>
        <w:widowControl w:val="0"/>
        <w:kinsoku/>
        <w:wordWrap/>
        <w:overflowPunct/>
        <w:topLinePunct w:val="0"/>
        <w:bidi w:val="0"/>
        <w:snapToGrid/>
        <w:spacing w:line="560" w:lineRule="exact"/>
        <w:ind w:firstLine="544" w:firstLineChars="200"/>
        <w:jc w:val="left"/>
        <w:textAlignment w:val="auto"/>
        <w:rPr>
          <w:rFonts w:hint="eastAsia" w:ascii="宋体" w:hAnsi="宋体" w:eastAsia="宋体" w:cs="宋体"/>
          <w:color w:val="auto"/>
          <w:spacing w:val="-4"/>
          <w:sz w:val="28"/>
          <w:szCs w:val="28"/>
        </w:rPr>
      </w:pPr>
      <w:r>
        <w:rPr>
          <w:rFonts w:hint="eastAsia" w:ascii="宋体" w:hAnsi="宋体" w:eastAsia="宋体" w:cs="宋体"/>
          <w:color w:val="auto"/>
          <w:spacing w:val="-4"/>
          <w:sz w:val="28"/>
          <w:szCs w:val="28"/>
        </w:rPr>
        <w:t>电弧灼伤主要表现在违章操作如带负荷送电或停电，绝缘损坏或人为造成短路，引发电弧可能造成电灼伤事故。电焊作业亦会引起电弧灼伤事故。</w:t>
      </w:r>
    </w:p>
    <w:bookmarkEnd w:id="122"/>
    <w:bookmarkEnd w:id="123"/>
    <w:p w14:paraId="14DD36E3">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宋体" w:hAnsi="宋体" w:eastAsia="宋体" w:cs="宋体"/>
          <w:b/>
          <w:color w:val="auto"/>
          <w:sz w:val="28"/>
        </w:rPr>
      </w:pPr>
      <w:bookmarkStart w:id="124" w:name="_Toc12233"/>
      <w:bookmarkStart w:id="125" w:name="_Toc823"/>
      <w:bookmarkStart w:id="126" w:name="_Toc29396"/>
      <w:bookmarkStart w:id="127" w:name="_Toc26196"/>
      <w:bookmarkStart w:id="128" w:name="_Toc8837"/>
      <w:r>
        <w:rPr>
          <w:rFonts w:hint="eastAsia" w:ascii="宋体" w:hAnsi="宋体" w:eastAsia="宋体" w:cs="宋体"/>
          <w:b/>
          <w:color w:val="auto"/>
          <w:sz w:val="28"/>
        </w:rPr>
        <w:t>3.</w:t>
      </w:r>
      <w:r>
        <w:rPr>
          <w:rFonts w:hint="eastAsia" w:ascii="宋体" w:hAnsi="宋体" w:eastAsia="宋体" w:cs="宋体"/>
          <w:b/>
          <w:color w:val="auto"/>
          <w:sz w:val="28"/>
          <w:lang w:val="en-US" w:eastAsia="zh-CN"/>
        </w:rPr>
        <w:t>4</w:t>
      </w:r>
      <w:r>
        <w:rPr>
          <w:rFonts w:hint="eastAsia" w:ascii="宋体" w:hAnsi="宋体" w:eastAsia="宋体" w:cs="宋体"/>
          <w:b/>
          <w:color w:val="auto"/>
          <w:sz w:val="28"/>
        </w:rPr>
        <w:t>.5物体打击</w:t>
      </w:r>
      <w:bookmarkEnd w:id="124"/>
      <w:bookmarkEnd w:id="125"/>
      <w:bookmarkEnd w:id="126"/>
      <w:bookmarkEnd w:id="127"/>
      <w:bookmarkEnd w:id="128"/>
    </w:p>
    <w:p w14:paraId="0D420F61">
      <w:pPr>
        <w:pageBreakBefore w:val="0"/>
        <w:widowControl w:val="0"/>
        <w:kinsoku/>
        <w:wordWrap/>
        <w:overflowPunct/>
        <w:topLinePunct w:val="0"/>
        <w:bidi w:val="0"/>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物体在外力或重力作用下，打击人体会造成人身伤害事故。罩棚高处的灯具等物体固定不牢，因腐蚀或风造成断裂，检修时使用工具飞出击打到人体上；作业工具和材料使用放置不当，造成高处落物等，易发生物体打击事故。</w:t>
      </w:r>
    </w:p>
    <w:p w14:paraId="2D1EE743">
      <w:pPr>
        <w:keepNext w:val="0"/>
        <w:keepLines w:val="0"/>
        <w:pageBreakBefore w:val="0"/>
        <w:widowControl w:val="0"/>
        <w:kinsoku/>
        <w:wordWrap/>
        <w:overflowPunct/>
        <w:topLinePunct w:val="0"/>
        <w:autoSpaceDE/>
        <w:autoSpaceDN/>
        <w:bidi w:val="0"/>
        <w:adjustRightInd/>
        <w:snapToGrid/>
        <w:spacing w:line="560" w:lineRule="exact"/>
        <w:textAlignment w:val="auto"/>
        <w:outlineLvl w:val="2"/>
        <w:rPr>
          <w:rFonts w:hint="eastAsia" w:ascii="宋体" w:hAnsi="宋体" w:eastAsia="宋体" w:cs="宋体"/>
          <w:b/>
          <w:color w:val="auto"/>
          <w:sz w:val="28"/>
        </w:rPr>
      </w:pPr>
      <w:bookmarkStart w:id="129" w:name="_Toc14544"/>
      <w:bookmarkStart w:id="130" w:name="_Toc14003"/>
      <w:bookmarkStart w:id="131" w:name="_Toc24629"/>
      <w:bookmarkStart w:id="132" w:name="_Toc4962"/>
      <w:bookmarkStart w:id="133" w:name="_Toc20602"/>
      <w:r>
        <w:rPr>
          <w:rFonts w:hint="eastAsia" w:ascii="宋体" w:hAnsi="宋体" w:eastAsia="宋体" w:cs="宋体"/>
          <w:b/>
          <w:color w:val="auto"/>
          <w:sz w:val="28"/>
        </w:rPr>
        <w:t>3.</w:t>
      </w:r>
      <w:r>
        <w:rPr>
          <w:rFonts w:hint="eastAsia" w:ascii="宋体" w:hAnsi="宋体" w:eastAsia="宋体" w:cs="宋体"/>
          <w:b/>
          <w:color w:val="auto"/>
          <w:sz w:val="28"/>
          <w:lang w:val="en-US" w:eastAsia="zh-CN"/>
        </w:rPr>
        <w:t>4</w:t>
      </w:r>
      <w:r>
        <w:rPr>
          <w:rFonts w:hint="eastAsia" w:ascii="宋体" w:hAnsi="宋体" w:eastAsia="宋体" w:cs="宋体"/>
          <w:b/>
          <w:color w:val="auto"/>
          <w:sz w:val="28"/>
        </w:rPr>
        <w:t>.6中毒</w:t>
      </w:r>
      <w:r>
        <w:rPr>
          <w:rFonts w:hint="eastAsia" w:ascii="宋体" w:hAnsi="宋体" w:cs="宋体"/>
          <w:b/>
          <w:color w:val="auto"/>
          <w:sz w:val="28"/>
          <w:lang w:eastAsia="zh-CN"/>
        </w:rPr>
        <w:t>、</w:t>
      </w:r>
      <w:r>
        <w:rPr>
          <w:rFonts w:hint="eastAsia" w:ascii="宋体" w:hAnsi="宋体" w:eastAsia="宋体" w:cs="宋体"/>
          <w:b/>
          <w:color w:val="auto"/>
          <w:sz w:val="28"/>
        </w:rPr>
        <w:t>窒息</w:t>
      </w:r>
      <w:bookmarkEnd w:id="129"/>
      <w:bookmarkEnd w:id="130"/>
      <w:bookmarkEnd w:id="131"/>
      <w:bookmarkEnd w:id="132"/>
      <w:bookmarkEnd w:id="133"/>
    </w:p>
    <w:p w14:paraId="30E50C79">
      <w:pPr>
        <w:rPr>
          <w:rFonts w:hint="eastAsia"/>
          <w:lang w:eastAsia="zh-CN"/>
        </w:rPr>
      </w:pPr>
      <w:r>
        <w:rPr>
          <w:rFonts w:hint="eastAsia"/>
          <w:lang w:eastAsia="zh-CN"/>
        </w:rPr>
        <w:t>(1)事故发生的可能性</w:t>
      </w:r>
    </w:p>
    <w:p w14:paraId="2EB1AA01">
      <w:pPr>
        <w:rPr>
          <w:rFonts w:hint="eastAsia"/>
          <w:lang w:eastAsia="zh-CN"/>
        </w:rPr>
      </w:pPr>
      <w:r>
        <w:rPr>
          <w:rFonts w:hint="eastAsia"/>
          <w:lang w:eastAsia="zh-CN"/>
        </w:rPr>
        <w:t>汽油、柴油都具有一定的毒性，汽油毒性小，但具有挥发性，易通过呼吸系统或皮肤吸收进入人体，如果油品大量泄漏，作业人员短时间内高浓度吸入；或作业人员长期接触油蒸气，又没有适当的防护用品，会造成对人体的伤害。</w:t>
      </w:r>
    </w:p>
    <w:p w14:paraId="5A977C05">
      <w:pPr>
        <w:rPr>
          <w:rFonts w:hint="eastAsia"/>
          <w:lang w:eastAsia="zh-CN"/>
        </w:rPr>
      </w:pPr>
      <w:r>
        <w:rPr>
          <w:rFonts w:hint="eastAsia"/>
          <w:lang w:eastAsia="zh-CN"/>
        </w:rPr>
        <w:t>a 若油品质量不符合要求，油品中硫化氢含量过高，油品发生泄漏，</w:t>
      </w:r>
    </w:p>
    <w:p w14:paraId="215C47F4">
      <w:pPr>
        <w:rPr>
          <w:rFonts w:hint="eastAsia"/>
        </w:rPr>
      </w:pPr>
      <w:r>
        <w:rPr>
          <w:rFonts w:hint="eastAsia"/>
        </w:rPr>
        <w:t>作业人员防护用品佩戴不全或没有，会导致人员中毒。</w:t>
      </w:r>
    </w:p>
    <w:p w14:paraId="1E311DB5">
      <w:pPr>
        <w:rPr>
          <w:rFonts w:hint="eastAsia"/>
        </w:rPr>
      </w:pPr>
      <w:r>
        <w:rPr>
          <w:rFonts w:hint="eastAsia"/>
        </w:rPr>
        <w:t>b 油品挥发在作业区的空气中，作业人员长期吸入，会导致作业人员发生中毒，甚至</w:t>
      </w:r>
      <w:r>
        <w:rPr>
          <w:rFonts w:hint="eastAsia"/>
          <w:lang w:eastAsia="zh-CN"/>
        </w:rPr>
        <w:t>窒息</w:t>
      </w:r>
      <w:r>
        <w:rPr>
          <w:rFonts w:hint="eastAsia"/>
        </w:rPr>
        <w:t>。</w:t>
      </w:r>
    </w:p>
    <w:p w14:paraId="58DA9F0B">
      <w:pPr>
        <w:rPr>
          <w:rFonts w:hint="default"/>
          <w:lang w:val="en-US" w:eastAsia="zh-CN"/>
        </w:rPr>
      </w:pPr>
      <w:r>
        <w:rPr>
          <w:rFonts w:hint="eastAsia"/>
          <w:lang w:val="en-US" w:eastAsia="zh-CN"/>
        </w:rPr>
        <w:t>C 人员进入受限空间作业，如进入储罐内进行清洗和维护作业，如果未进行有效的置换或通风，不按照操作规程作业，可能造成人员中毒、窒息</w:t>
      </w:r>
    </w:p>
    <w:p w14:paraId="62A3B122">
      <w:pPr>
        <w:rPr>
          <w:rFonts w:hint="eastAsia"/>
        </w:rPr>
      </w:pPr>
      <w:r>
        <w:rPr>
          <w:rFonts w:hint="eastAsia"/>
        </w:rPr>
        <w:t>(2) 事故的严重程度及影响范围</w:t>
      </w:r>
    </w:p>
    <w:p w14:paraId="200D0816">
      <w:pPr>
        <w:pageBreakBefore w:val="0"/>
        <w:widowControl w:val="0"/>
        <w:kinsoku/>
        <w:wordWrap/>
        <w:overflowPunct/>
        <w:topLinePunct w:val="0"/>
        <w:bidi w:val="0"/>
        <w:snapToGrid/>
        <w:spacing w:before="156" w:after="156" w:line="560" w:lineRule="exact"/>
        <w:textAlignment w:val="auto"/>
        <w:outlineLvl w:val="9"/>
        <w:rPr>
          <w:rFonts w:hint="default" w:ascii="Times New Roman" w:hAnsi="Times New Roman" w:cs="Times New Roman"/>
          <w:color w:val="auto"/>
        </w:rPr>
      </w:pPr>
      <w:r>
        <w:rPr>
          <w:rFonts w:hint="eastAsia" w:ascii="Times New Roman" w:hAnsi="Times New Roman" w:eastAsia="宋体" w:cs="Times New Roman"/>
          <w:b w:val="0"/>
          <w:kern w:val="2"/>
          <w:sz w:val="28"/>
          <w:szCs w:val="24"/>
          <w:lang w:val="en-US" w:eastAsia="zh-CN" w:bidi="ar-SA"/>
        </w:rPr>
        <w:t>发生中毒、窒息事故后会造成人员大脑等身体器官损坏甚至死亡。</w:t>
      </w:r>
      <w:r>
        <w:rPr>
          <w:rFonts w:hint="eastAsia" w:ascii="宋体" w:hAnsi="宋体" w:eastAsia="宋体" w:cs="宋体"/>
          <w:color w:val="auto"/>
          <w:sz w:val="28"/>
          <w:szCs w:val="28"/>
        </w:rPr>
        <w:br w:type="textWrapping"/>
      </w:r>
      <w:bookmarkStart w:id="134" w:name="_Toc6337"/>
      <w:r>
        <w:rPr>
          <w:rFonts w:hint="default" w:ascii="Times New Roman" w:hAnsi="Times New Roman" w:cs="Times New Roman"/>
          <w:color w:val="auto"/>
        </w:rPr>
        <w:t>3.</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坍塌</w:t>
      </w:r>
      <w:bookmarkEnd w:id="134"/>
    </w:p>
    <w:p w14:paraId="090F1A1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建筑在设计中如果构件荷载设计不够，结构方案布置不合理、构件之间连接不可靠等问题，一旦发生火灾、爆炸或其他灾害，高温造成构件损坏，极易造成建筑整体坍塌。</w:t>
      </w:r>
    </w:p>
    <w:p w14:paraId="11A349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建筑在施工中水泥、钢筋、石灰等材料质量不符合标准，建筑承重梁、柱等构件保护层厚度不达标，致使建筑局部或整体安全性差，发生火灾后，建筑可发生坍塌事故。</w:t>
      </w:r>
    </w:p>
    <w:p w14:paraId="41D05B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建筑在爆炸、地震、撞击等外力作用下，对建筑结构造成破坏，使建筑发生坍塌。</w:t>
      </w:r>
    </w:p>
    <w:p w14:paraId="4BDD53F3">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加油站涉及罩棚、站房及其他建筑，如果安装质量不符合要求，或在设计时强度不够，可能会发生坍塌事故。</w:t>
      </w:r>
    </w:p>
    <w:p w14:paraId="45404467">
      <w:pPr>
        <w:pStyle w:val="4"/>
        <w:pageBreakBefore w:val="0"/>
        <w:widowControl w:val="0"/>
        <w:kinsoku/>
        <w:wordWrap/>
        <w:overflowPunct/>
        <w:topLinePunct w:val="0"/>
        <w:bidi w:val="0"/>
        <w:snapToGrid/>
        <w:spacing w:before="156" w:after="156" w:line="560" w:lineRule="exact"/>
        <w:textAlignment w:val="auto"/>
        <w:rPr>
          <w:rFonts w:hint="eastAsia" w:ascii="Times New Roman" w:hAnsi="Times New Roman" w:eastAsia="宋体" w:cs="Times New Roman"/>
          <w:b/>
          <w:bCs/>
          <w:color w:val="auto"/>
          <w:lang w:val="en-US" w:eastAsia="zh-CN"/>
        </w:rPr>
      </w:pPr>
      <w:bookmarkStart w:id="135" w:name="_Toc908"/>
      <w:bookmarkStart w:id="136" w:name="_Toc29282"/>
      <w:r>
        <w:rPr>
          <w:rFonts w:hint="eastAsia" w:ascii="Times New Roman" w:hAnsi="Times New Roman" w:eastAsia="宋体" w:cs="Times New Roman"/>
          <w:b/>
          <w:bCs/>
          <w:color w:val="auto"/>
          <w:lang w:val="en-US" w:eastAsia="zh-CN"/>
        </w:rPr>
        <w:t>3.4.8灼烫</w:t>
      </w:r>
      <w:bookmarkEnd w:id="135"/>
      <w:bookmarkEnd w:id="136"/>
    </w:p>
    <w:p w14:paraId="414EB5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Cs w:val="28"/>
        </w:rPr>
      </w:pPr>
      <w:r>
        <w:rPr>
          <w:rFonts w:hint="eastAsia" w:ascii="Times New Roman" w:hAnsi="Times New Roman" w:eastAsia="宋体" w:cs="Times New Roman"/>
          <w:color w:val="auto"/>
          <w:szCs w:val="28"/>
          <w:lang w:val="en-US" w:eastAsia="zh-CN"/>
        </w:rPr>
        <w:t>化学灼烫是生产过程中腐蚀品对人体造成危害的常见症状，是化学物质对皮肤、粘膜等的刺激、腐蚀及化学反应热引起的急性伤害。</w:t>
      </w:r>
    </w:p>
    <w:p w14:paraId="05DC0C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Cs w:val="28"/>
        </w:rPr>
      </w:pPr>
      <w:r>
        <w:rPr>
          <w:rFonts w:hint="eastAsia" w:ascii="Times New Roman" w:hAnsi="Times New Roman" w:eastAsia="宋体" w:cs="Times New Roman"/>
          <w:color w:val="auto"/>
          <w:szCs w:val="28"/>
          <w:lang w:val="en-US" w:eastAsia="zh-CN"/>
        </w:rPr>
        <w:t>腐蚀物质接触人的皮肤、眼睛或进入肺部、食道等，会引起表皮细胞组织发生破坏作用而造成灼伤。内部器官被灼伤时，严重的会引起炎症， 如肺炎等，甚至会造成死亡。</w:t>
      </w:r>
    </w:p>
    <w:p w14:paraId="6E443E9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Cs w:val="28"/>
          <w:lang w:val="en-US" w:eastAsia="zh-CN"/>
        </w:rPr>
      </w:pPr>
      <w:r>
        <w:rPr>
          <w:rFonts w:hint="eastAsia" w:ascii="Times New Roman" w:hAnsi="Times New Roman" w:eastAsia="宋体" w:cs="Times New Roman"/>
          <w:color w:val="auto"/>
          <w:szCs w:val="28"/>
          <w:lang w:val="en-US" w:eastAsia="zh-CN"/>
        </w:rPr>
        <w:t>加油站涉及汽油、柴油， 若个体防护不当或操作不当，则有可能造成皮肤、眼睛化学灼伤。</w:t>
      </w:r>
    </w:p>
    <w:p w14:paraId="692CCEBE">
      <w:pPr>
        <w:pStyle w:val="4"/>
        <w:pageBreakBefore w:val="0"/>
        <w:widowControl w:val="0"/>
        <w:kinsoku/>
        <w:wordWrap/>
        <w:overflowPunct/>
        <w:topLinePunct w:val="0"/>
        <w:bidi w:val="0"/>
        <w:snapToGrid/>
        <w:spacing w:before="156" w:after="156" w:line="560" w:lineRule="exact"/>
        <w:textAlignment w:val="auto"/>
        <w:rPr>
          <w:rFonts w:hint="eastAsia" w:ascii="Times New Roman" w:hAnsi="Times New Roman" w:eastAsia="宋体" w:cs="Times New Roman"/>
          <w:b/>
          <w:bCs/>
          <w:color w:val="auto"/>
          <w:lang w:val="en-US" w:eastAsia="zh-CN"/>
        </w:rPr>
      </w:pPr>
      <w:bookmarkStart w:id="137" w:name="_Toc7255"/>
      <w:bookmarkStart w:id="138" w:name="_Toc25662"/>
      <w:r>
        <w:rPr>
          <w:rFonts w:hint="eastAsia" w:ascii="Times New Roman" w:hAnsi="Times New Roman" w:eastAsia="宋体" w:cs="Times New Roman"/>
          <w:b/>
          <w:bCs/>
          <w:color w:val="auto"/>
          <w:lang w:val="en-US" w:eastAsia="zh-CN"/>
        </w:rPr>
        <w:t>3.4.9其他伤害</w:t>
      </w:r>
      <w:bookmarkEnd w:id="137"/>
      <w:bookmarkEnd w:id="138"/>
    </w:p>
    <w:p w14:paraId="1FA7547E">
      <w:pPr>
        <w:spacing w:line="600" w:lineRule="exact"/>
        <w:ind w:firstLine="570"/>
        <w:rPr>
          <w:rFonts w:hint="eastAsia" w:ascii="宋体" w:hAnsi="宋体"/>
          <w:color w:val="auto"/>
          <w:sz w:val="28"/>
          <w:szCs w:val="28"/>
        </w:rPr>
      </w:pPr>
      <w:r>
        <w:rPr>
          <w:rFonts w:hint="eastAsia" w:ascii="宋体" w:hAnsi="宋体"/>
          <w:color w:val="auto"/>
          <w:sz w:val="28"/>
          <w:szCs w:val="28"/>
        </w:rPr>
        <w:t>加油、卸油时油品泄漏不及时处理，形成油污和积垢等，作业人员可能发生滑倒等。</w:t>
      </w:r>
    </w:p>
    <w:bookmarkEnd w:id="110"/>
    <w:bookmarkEnd w:id="111"/>
    <w:bookmarkEnd w:id="112"/>
    <w:bookmarkEnd w:id="113"/>
    <w:p w14:paraId="6E109093">
      <w:pPr>
        <w:pStyle w:val="3"/>
        <w:spacing w:before="156" w:after="156" w:line="560" w:lineRule="exact"/>
        <w:rPr>
          <w:rFonts w:hint="default" w:ascii="Times New Roman" w:hAnsi="Times New Roman" w:eastAsia="宋体" w:cs="Times New Roman"/>
          <w:color w:val="auto"/>
          <w:sz w:val="28"/>
          <w:szCs w:val="28"/>
        </w:rPr>
      </w:pPr>
      <w:bookmarkStart w:id="139" w:name="_Toc12457"/>
      <w:bookmarkStart w:id="140" w:name="_Toc15006"/>
      <w:bookmarkStart w:id="141" w:name="_Toc92712572"/>
      <w:bookmarkStart w:id="142" w:name="_Toc24310"/>
      <w:bookmarkStart w:id="143" w:name="_Toc24318"/>
      <w:bookmarkStart w:id="144" w:name="_Toc13578"/>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 xml:space="preserve"> </w:t>
      </w:r>
      <w:r>
        <w:rPr>
          <w:rFonts w:hint="default" w:ascii="宋体" w:hAnsi="Times New Roman" w:eastAsia="宋体" w:cs="Times New Roman"/>
          <w:color w:val="auto"/>
          <w:sz w:val="28"/>
          <w:szCs w:val="28"/>
        </w:rPr>
        <w:t>作业过程危害因素分析</w:t>
      </w:r>
      <w:bookmarkEnd w:id="139"/>
      <w:bookmarkEnd w:id="140"/>
      <w:bookmarkEnd w:id="141"/>
      <w:bookmarkEnd w:id="142"/>
      <w:bookmarkEnd w:id="143"/>
      <w:bookmarkEnd w:id="144"/>
    </w:p>
    <w:p w14:paraId="2BBEB33E">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（1）加油作业</w:t>
      </w:r>
    </w:p>
    <w:p w14:paraId="5A7CC3C4">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加油作业的危险因素，从人的不安全行为来分析，关联加油员、驾驶员；从物的不安全状况入手，则关联加油机与加油车。</w:t>
      </w:r>
    </w:p>
    <w:p w14:paraId="766AC5BB">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汽车可加油量的确定，主要是靠驾驶员的经验判断，由于无法精确认定，往往会造成漫溢，在加油场地形成可燃气体。加油枪管与各类油箱口，都存在着一定的间隙。加油时，带有压力的油料，进入油箱，激发产生大量的油蒸气，积聚在油箱口，形成与加油作业同步伴生的危险因素。</w:t>
      </w:r>
    </w:p>
    <w:p w14:paraId="48978CC0">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加油车辆的点火系统、电路系统、发动机温度、排气管温度等，都具备点燃、引爆一定浓度的可燃</w:t>
      </w:r>
      <w:r>
        <w:rPr>
          <w:rFonts w:hint="eastAsia" w:ascii="宋体" w:cs="Times New Roman"/>
          <w:color w:val="auto"/>
          <w:sz w:val="28"/>
          <w:szCs w:val="28"/>
          <w:lang w:val="en-US" w:eastAsia="zh-CN"/>
        </w:rPr>
        <w:t>液体蒸汽</w:t>
      </w:r>
      <w:r>
        <w:rPr>
          <w:rFonts w:hint="default" w:ascii="宋体" w:hAnsi="Times New Roman" w:eastAsia="宋体" w:cs="Times New Roman"/>
          <w:color w:val="auto"/>
          <w:sz w:val="28"/>
          <w:szCs w:val="28"/>
        </w:rPr>
        <w:t>的</w:t>
      </w:r>
      <w:r>
        <w:rPr>
          <w:rFonts w:hint="eastAsia" w:ascii="宋体" w:cs="Times New Roman"/>
          <w:color w:val="auto"/>
          <w:sz w:val="28"/>
          <w:szCs w:val="28"/>
          <w:lang w:val="en-US" w:eastAsia="zh-CN"/>
        </w:rPr>
        <w:t>可能</w:t>
      </w:r>
      <w:r>
        <w:rPr>
          <w:rFonts w:hint="default" w:ascii="宋体" w:hAnsi="Times New Roman" w:eastAsia="宋体" w:cs="Times New Roman"/>
          <w:color w:val="auto"/>
          <w:sz w:val="28"/>
          <w:szCs w:val="28"/>
        </w:rPr>
        <w:t>，是发生火灾、爆炸事故的潜在隐患。热能</w:t>
      </w:r>
    </w:p>
    <w:p w14:paraId="5F6670FC">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（2）卸油作业</w:t>
      </w:r>
    </w:p>
    <w:p w14:paraId="54CF5F35">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卸油作业是加油站利用油罐汽车补充储量的主要作业方式。是一种不分白天黑夜的经常性作业。</w:t>
      </w:r>
    </w:p>
    <w:p w14:paraId="05085F31">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油罐汽车装油运输过程中，罐内油料不停地晃动，与罐壁摩擦撞击，产生大量静电，在卸油时极易产生静电起火。</w:t>
      </w:r>
    </w:p>
    <w:p w14:paraId="4980BA6F">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油罐的进油管是连接罐车和油罐的通道，安装时未伸至罐内距罐底20 cm处，则造成喷溅式卸油，促成静电大量的产生和积聚，是形成火灾、爆炸事故的重要条件。</w:t>
      </w:r>
    </w:p>
    <w:p w14:paraId="63313379">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罐车进站后，站内计量人员登罐验收品种和罐内空高，站无专用登高设施，车罐体无作业平台，罐口有油污和积垢等，作业人员容易发生滑跌，造成失重坠落。</w:t>
      </w:r>
    </w:p>
    <w:p w14:paraId="30D01FA1">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（3）清罐作业</w:t>
      </w:r>
    </w:p>
    <w:p w14:paraId="0CC43697">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在油罐清罐过程中，特别是在打开罐时，由于大量的油气溢出，同时周围空气也得以进入罐中，从而在罐内外形成油气与空气的混合性气体，其浓度通常是在爆炸极限值内。</w:t>
      </w:r>
    </w:p>
    <w:p w14:paraId="414711E5">
      <w:pPr>
        <w:spacing w:beforeLines="0" w:afterLines="0" w:line="56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作业现场能量的来源很多，比如清罐过程中人孔、清扫孔、透光孔法兰与油罐相互碰撞产生的火花、违章使用铁制工具引起的碰撞火花、现场违章动火、未保温的高温物体表面、太阳暴晒以及冲洗过程中形成的静电放电火花等，都具备点燃、引爆一定浓度的可燃气体的热能，是发生火灾、爆炸事故的潜在隐患。</w:t>
      </w:r>
    </w:p>
    <w:p w14:paraId="5B6D4E78">
      <w:pPr>
        <w:spacing w:beforeLines="0" w:afterLines="0" w:line="560" w:lineRule="exact"/>
        <w:ind w:firstLine="560" w:firstLineChars="20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（4）受限空间作业</w:t>
      </w:r>
    </w:p>
    <w:p w14:paraId="6DE97654">
      <w:pPr>
        <w:spacing w:beforeLines="0" w:afterLines="0" w:line="560" w:lineRule="exact"/>
        <w:ind w:firstLine="560" w:firstLineChars="200"/>
        <w:rPr>
          <w:rFonts w:hint="default" w:ascii="Times New Roman" w:hAnsi="Times New Roman" w:eastAsia="宋体" w:cs="Times New Roman"/>
          <w:color w:val="auto"/>
          <w:sz w:val="28"/>
          <w:szCs w:val="24"/>
        </w:rPr>
      </w:pPr>
      <w:bookmarkStart w:id="145" w:name="_Toc3312"/>
      <w:bookmarkStart w:id="146" w:name="_Toc92712573"/>
      <w:bookmarkStart w:id="147" w:name="_Toc25088"/>
      <w:bookmarkStart w:id="148" w:name="_Toc31633"/>
      <w:bookmarkStart w:id="149" w:name="_Toc32477"/>
      <w:bookmarkStart w:id="150" w:name="_Toc31750"/>
      <w:bookmarkStart w:id="151" w:name="_Toc18812"/>
      <w:bookmarkStart w:id="152" w:name="_Toc4021"/>
      <w:r>
        <w:rPr>
          <w:rFonts w:hint="default" w:ascii="宋体" w:hAnsi="Times New Roman" w:eastAsia="宋体" w:cs="Times New Roman"/>
          <w:color w:val="auto"/>
          <w:sz w:val="28"/>
          <w:szCs w:val="24"/>
        </w:rPr>
        <w:t>所谓受限空间作业是指进入生产或生活区域内的各类塔、球、釜、槽、罐、炉膛、锅筒、管道、容器以及地下室、井、地坑、下水道或其他封闭半封闭场所内进行的作业。</w:t>
      </w:r>
    </w:p>
    <w:p w14:paraId="167E1740">
      <w:pPr>
        <w:spacing w:beforeLines="0" w:afterLines="0" w:line="560" w:lineRule="exact"/>
        <w:ind w:firstLine="560" w:firstLineChars="200"/>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8"/>
          <w:szCs w:val="24"/>
        </w:rPr>
        <w:t>该项目中，设置埋地油罐、地下人孔井，需要定期进入进行维护、清理和定检，由于其作业条件复杂等特点，在作业过程中极易发生人身伤害事故。</w:t>
      </w:r>
    </w:p>
    <w:p w14:paraId="32BE8E82">
      <w:pPr>
        <w:spacing w:beforeLines="0" w:afterLines="0" w:line="560" w:lineRule="exact"/>
        <w:ind w:firstLine="560" w:firstLineChars="200"/>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8"/>
          <w:szCs w:val="24"/>
        </w:rPr>
        <w:t>该加油站设备油罐、地下人孔井属封闭空间作业，此空间存在通风不良，易造成易燃易爆、有毒有害等物质积聚或者氧含量不足。当作业人员对受限空间概念的陌生，以至于根本无法认清相应空间存在的危害性；监护、救援人员相关知识的匮乏及救援设备的缺失可能发生受限空间作业事故。</w:t>
      </w:r>
    </w:p>
    <w:p w14:paraId="44F467FD">
      <w:pPr>
        <w:pStyle w:val="3"/>
        <w:spacing w:before="156" w:after="156" w:line="560" w:lineRule="exact"/>
        <w:rPr>
          <w:rFonts w:hint="default" w:ascii="Times New Roman" w:hAnsi="Times New Roman" w:eastAsia="宋体" w:cs="Times New Roman"/>
          <w:color w:val="auto"/>
          <w:sz w:val="28"/>
          <w:szCs w:val="28"/>
        </w:rPr>
      </w:pPr>
      <w:bookmarkStart w:id="153" w:name="_Toc20845"/>
      <w:bookmarkStart w:id="154" w:name="_Toc2371"/>
      <w:bookmarkStart w:id="155" w:name="_Toc5805"/>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6</w:t>
      </w:r>
      <w:r>
        <w:rPr>
          <w:rFonts w:hint="default" w:ascii="宋体" w:hAnsi="Times New Roman" w:eastAsia="宋体" w:cs="Times New Roman"/>
          <w:color w:val="auto"/>
          <w:sz w:val="28"/>
          <w:szCs w:val="28"/>
        </w:rPr>
        <w:t>环境、自然危害因素分析</w:t>
      </w:r>
      <w:bookmarkEnd w:id="145"/>
      <w:bookmarkEnd w:id="146"/>
      <w:bookmarkEnd w:id="147"/>
      <w:bookmarkEnd w:id="153"/>
      <w:bookmarkEnd w:id="154"/>
      <w:bookmarkEnd w:id="155"/>
    </w:p>
    <w:p w14:paraId="777BD495">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加油站在经营、检修过程中可能存在因环境不良、地面物质堆积、操作空间过于狭窄，或操作人员注意力不集中、工具不称手、防护措施不当等原因造成的滑跌、绊倒、碰撞等，造成人员伤害。</w:t>
      </w:r>
    </w:p>
    <w:p w14:paraId="2B9B2D0E">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地震、强雷电区域、内涝均是能产生巨大破坏作用的自然现象，对建筑物破坏作用明显，威胁设备、人员的安全。</w:t>
      </w:r>
    </w:p>
    <w:p w14:paraId="169076F6">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由于江西省气候具有明显的亚热带季风气候区特点，系中亚热带向北亚热带过渡区气候温和，四季分明，大雨集中在每年六、七月间，突然的大规模降水可能导致排水不畅，暴雨可能威胁加油站的安全（如</w:t>
      </w:r>
      <w:r>
        <w:rPr>
          <w:rFonts w:hint="default" w:ascii="宋体" w:hAnsi="Times New Roman" w:eastAsia="宋体" w:cs="Times New Roman"/>
          <w:color w:val="auto"/>
          <w:spacing w:val="-2"/>
          <w:sz w:val="28"/>
          <w:szCs w:val="28"/>
        </w:rPr>
        <w:t>浮罐，拉断管线等</w:t>
      </w:r>
      <w:r>
        <w:rPr>
          <w:rFonts w:hint="default" w:ascii="宋体" w:hAnsi="Times New Roman" w:eastAsia="宋体" w:cs="Times New Roman"/>
          <w:color w:val="auto"/>
          <w:sz w:val="28"/>
          <w:szCs w:val="28"/>
        </w:rPr>
        <w:t>）。</w:t>
      </w:r>
    </w:p>
    <w:p w14:paraId="5C2B7726">
      <w:pPr>
        <w:spacing w:beforeLines="0" w:afterLines="0" w:line="620" w:lineRule="exact"/>
        <w:ind w:firstLine="570"/>
        <w:rPr>
          <w:rFonts w:hint="default" w:ascii="宋体" w:hAnsi="宋体" w:eastAsia="宋体"/>
          <w:color w:val="auto"/>
          <w:sz w:val="28"/>
          <w:szCs w:val="24"/>
        </w:rPr>
      </w:pPr>
      <w:r>
        <w:rPr>
          <w:rFonts w:hint="default" w:ascii="宋体" w:hAnsi="宋体" w:eastAsia="宋体"/>
          <w:color w:val="auto"/>
          <w:sz w:val="28"/>
          <w:szCs w:val="24"/>
        </w:rPr>
        <w:t>全年平均气温</w:t>
      </w:r>
      <w:r>
        <w:rPr>
          <w:rFonts w:hint="default" w:ascii="宋体" w:hAnsi="Times New Roman" w:eastAsia="宋体" w:cs="Times New Roman"/>
          <w:color w:val="auto"/>
          <w:sz w:val="28"/>
          <w:szCs w:val="28"/>
        </w:rPr>
        <w:t>16.7~18.3℃</w:t>
      </w:r>
      <w:r>
        <w:rPr>
          <w:rFonts w:hint="default" w:ascii="宋体" w:hAnsi="宋体" w:eastAsia="宋体"/>
          <w:color w:val="auto"/>
          <w:sz w:val="28"/>
          <w:szCs w:val="24"/>
        </w:rPr>
        <w:t>，</w:t>
      </w:r>
      <w:r>
        <w:rPr>
          <w:rFonts w:hint="default"/>
          <w:color w:val="auto"/>
          <w:sz w:val="28"/>
          <w:szCs w:val="24"/>
        </w:rPr>
        <w:t>1</w:t>
      </w:r>
      <w:r>
        <w:rPr>
          <w:rFonts w:hint="default" w:ascii="宋体" w:eastAsia="宋体"/>
          <w:color w:val="auto"/>
          <w:sz w:val="28"/>
          <w:szCs w:val="24"/>
        </w:rPr>
        <w:t>月平均气温</w:t>
      </w:r>
      <w:r>
        <w:rPr>
          <w:rFonts w:hint="default" w:ascii="宋体" w:hAnsi="Times New Roman" w:eastAsia="宋体" w:cs="Times New Roman"/>
          <w:color w:val="auto"/>
          <w:sz w:val="28"/>
          <w:szCs w:val="28"/>
        </w:rPr>
        <w:t>4.6~5.9℃</w:t>
      </w:r>
      <w:r>
        <w:rPr>
          <w:rFonts w:hint="default" w:ascii="宋体" w:eastAsia="宋体"/>
          <w:color w:val="auto"/>
          <w:sz w:val="28"/>
          <w:szCs w:val="24"/>
        </w:rPr>
        <w:t xml:space="preserve">；夏季炎热，7月平均气温 </w:t>
      </w:r>
      <w:r>
        <w:rPr>
          <w:rFonts w:hint="default" w:ascii="宋体" w:hAnsi="Times New Roman" w:eastAsia="宋体" w:cs="Times New Roman"/>
          <w:color w:val="auto"/>
          <w:sz w:val="28"/>
          <w:szCs w:val="28"/>
        </w:rPr>
        <w:t>28.0~30.0℃</w:t>
      </w:r>
      <w:r>
        <w:rPr>
          <w:rFonts w:hint="default" w:ascii="宋体" w:hAnsi="宋体" w:eastAsia="宋体"/>
          <w:color w:val="auto"/>
          <w:sz w:val="28"/>
          <w:szCs w:val="24"/>
        </w:rPr>
        <w:t>。夏季出现短暂高温天气时注意作业员工的防暑降温，同时注意储油设施和加油设备在高温气候时的安全。此外，寒冷的冬季可能由于冰冻的出现，大面积的冰冻会导致加油站的用水水管破裂，同时导致加油站地面打滑，引发车辆伤人事故。</w:t>
      </w:r>
    </w:p>
    <w:p w14:paraId="56B462DF">
      <w:pPr>
        <w:pStyle w:val="3"/>
        <w:spacing w:before="156" w:after="156" w:line="620" w:lineRule="exact"/>
        <w:rPr>
          <w:rFonts w:hint="default" w:ascii="Times New Roman" w:hAnsi="Times New Roman" w:eastAsia="宋体" w:cs="Times New Roman"/>
          <w:color w:val="auto"/>
          <w:sz w:val="28"/>
          <w:szCs w:val="28"/>
        </w:rPr>
      </w:pPr>
      <w:bookmarkStart w:id="156" w:name="_Toc12194"/>
      <w:bookmarkStart w:id="157" w:name="_Toc92712574"/>
      <w:bookmarkStart w:id="158" w:name="_Toc20350"/>
      <w:bookmarkStart w:id="159" w:name="_Toc26386"/>
      <w:bookmarkStart w:id="160" w:name="_Toc23514"/>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 xml:space="preserve"> </w:t>
      </w:r>
      <w:r>
        <w:rPr>
          <w:rFonts w:hint="default" w:ascii="宋体" w:hAnsi="Times New Roman" w:eastAsia="宋体" w:cs="Times New Roman"/>
          <w:color w:val="auto"/>
          <w:sz w:val="28"/>
          <w:szCs w:val="28"/>
        </w:rPr>
        <w:t>有害因素分析</w:t>
      </w:r>
      <w:bookmarkEnd w:id="156"/>
      <w:bookmarkEnd w:id="157"/>
      <w:bookmarkEnd w:id="158"/>
      <w:bookmarkEnd w:id="159"/>
      <w:bookmarkEnd w:id="160"/>
    </w:p>
    <w:p w14:paraId="2C5FD06B">
      <w:pPr>
        <w:pStyle w:val="4"/>
        <w:spacing w:before="156" w:after="156" w:line="620" w:lineRule="exact"/>
        <w:rPr>
          <w:rFonts w:hint="default" w:ascii="Times New Roman" w:hAnsi="Times New Roman" w:eastAsia="宋体" w:cs="Times New Roman"/>
          <w:color w:val="auto"/>
          <w:sz w:val="28"/>
          <w:szCs w:val="28"/>
        </w:rPr>
      </w:pPr>
      <w:bookmarkStart w:id="161" w:name="_Toc24275"/>
      <w:bookmarkStart w:id="162" w:name="_Toc3276"/>
      <w:bookmarkStart w:id="163" w:name="_Toc24032"/>
      <w:bookmarkStart w:id="164" w:name="_Toc25351"/>
      <w:bookmarkStart w:id="165" w:name="_Toc15704"/>
      <w:bookmarkStart w:id="166" w:name="_Toc92712575"/>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 xml:space="preserve">.1 </w:t>
      </w:r>
      <w:r>
        <w:rPr>
          <w:rFonts w:hint="default" w:ascii="宋体" w:hAnsi="Times New Roman" w:eastAsia="宋体" w:cs="Times New Roman"/>
          <w:color w:val="auto"/>
          <w:sz w:val="28"/>
          <w:szCs w:val="28"/>
        </w:rPr>
        <w:t>有害物质</w:t>
      </w:r>
      <w:bookmarkEnd w:id="161"/>
      <w:bookmarkEnd w:id="162"/>
      <w:bookmarkEnd w:id="163"/>
      <w:bookmarkEnd w:id="164"/>
      <w:bookmarkEnd w:id="165"/>
      <w:bookmarkEnd w:id="166"/>
    </w:p>
    <w:p w14:paraId="463913F7">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经营、储存的汽油、柴油等危险化学品物质即使在正常的生产过程中也会有微量的泄漏，长期低浓度接触这些物质可能对人体造成不良影响，可能导致神经衰弱综合征、皮肤过敏、损害。</w:t>
      </w:r>
    </w:p>
    <w:p w14:paraId="530A3FAD">
      <w:pPr>
        <w:pStyle w:val="4"/>
        <w:spacing w:before="156" w:after="156" w:line="620" w:lineRule="exact"/>
        <w:rPr>
          <w:rFonts w:hint="default" w:ascii="Times New Roman" w:hAnsi="Times New Roman" w:eastAsia="宋体" w:cs="Times New Roman"/>
          <w:color w:val="auto"/>
          <w:sz w:val="28"/>
          <w:szCs w:val="28"/>
        </w:rPr>
      </w:pPr>
      <w:bookmarkStart w:id="167" w:name="_Toc5098"/>
      <w:bookmarkStart w:id="168" w:name="_Toc15120"/>
      <w:bookmarkStart w:id="169" w:name="_Toc92712576"/>
      <w:bookmarkStart w:id="170" w:name="_Toc4303"/>
      <w:bookmarkStart w:id="171" w:name="_Toc16502"/>
      <w:bookmarkStart w:id="172" w:name="_Toc9601"/>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 xml:space="preserve">.2 </w:t>
      </w:r>
      <w:r>
        <w:rPr>
          <w:rFonts w:hint="default" w:ascii="宋体" w:hAnsi="Times New Roman" w:eastAsia="宋体" w:cs="Times New Roman"/>
          <w:color w:val="auto"/>
          <w:sz w:val="28"/>
          <w:szCs w:val="28"/>
        </w:rPr>
        <w:t>噪声危害</w:t>
      </w:r>
      <w:bookmarkEnd w:id="167"/>
      <w:bookmarkEnd w:id="168"/>
      <w:bookmarkEnd w:id="169"/>
      <w:bookmarkEnd w:id="170"/>
      <w:bookmarkEnd w:id="171"/>
      <w:bookmarkEnd w:id="172"/>
    </w:p>
    <w:p w14:paraId="7A2621FD">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加油站经营中的噪声一般来自大型车辆的启动、运行的噪声。</w:t>
      </w:r>
    </w:p>
    <w:p w14:paraId="459E9F7A">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此外机械运转部件发生故障也会产生较大的机械噪声。</w:t>
      </w:r>
    </w:p>
    <w:bookmarkEnd w:id="148"/>
    <w:bookmarkEnd w:id="149"/>
    <w:bookmarkEnd w:id="150"/>
    <w:bookmarkEnd w:id="151"/>
    <w:bookmarkEnd w:id="152"/>
    <w:p w14:paraId="478D3A6E">
      <w:pPr>
        <w:pStyle w:val="3"/>
        <w:spacing w:before="156" w:after="156" w:line="620" w:lineRule="exact"/>
        <w:rPr>
          <w:rFonts w:hint="default" w:ascii="Times New Roman" w:hAnsi="Times New Roman" w:eastAsia="宋体" w:cs="Times New Roman"/>
          <w:color w:val="auto"/>
          <w:sz w:val="28"/>
          <w:szCs w:val="28"/>
        </w:rPr>
      </w:pPr>
      <w:bookmarkStart w:id="173" w:name="_Toc92712578"/>
      <w:bookmarkStart w:id="174" w:name="_Toc4842"/>
      <w:bookmarkStart w:id="175" w:name="_Toc90566107"/>
      <w:bookmarkStart w:id="176" w:name="_Toc7328"/>
      <w:bookmarkStart w:id="177" w:name="_Toc20697"/>
      <w:bookmarkStart w:id="178" w:name="_Toc13507"/>
      <w:bookmarkStart w:id="179" w:name="_Toc24728"/>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8</w:t>
      </w:r>
      <w:r>
        <w:rPr>
          <w:rFonts w:hint="default" w:ascii="宋体" w:hAnsi="Times New Roman" w:eastAsia="宋体" w:cs="Times New Roman"/>
          <w:color w:val="auto"/>
          <w:sz w:val="28"/>
          <w:szCs w:val="28"/>
        </w:rPr>
        <w:t>危险和有害因素分析总结</w:t>
      </w:r>
      <w:bookmarkEnd w:id="173"/>
      <w:bookmarkEnd w:id="174"/>
      <w:bookmarkEnd w:id="175"/>
      <w:bookmarkEnd w:id="176"/>
      <w:bookmarkEnd w:id="177"/>
      <w:bookmarkEnd w:id="178"/>
      <w:bookmarkEnd w:id="179"/>
    </w:p>
    <w:p w14:paraId="2C39D95A">
      <w:pPr>
        <w:spacing w:beforeLines="0" w:afterLines="0" w:line="620" w:lineRule="exact"/>
        <w:ind w:firstLine="57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通过上述危险、有害因素的分析以及案例分析，该站的主要危险和有害因素见下表3.</w:t>
      </w:r>
      <w:r>
        <w:rPr>
          <w:rFonts w:hint="eastAsia" w:ascii="宋体" w:hAnsi="Times New Roman" w:eastAsia="宋体" w:cs="Times New Roman"/>
          <w:color w:val="auto"/>
          <w:sz w:val="28"/>
          <w:szCs w:val="28"/>
          <w:lang w:val="en-US" w:eastAsia="zh-CN"/>
        </w:rPr>
        <w:t>8</w:t>
      </w:r>
      <w:r>
        <w:rPr>
          <w:rFonts w:hint="default" w:ascii="宋体" w:hAnsi="Times New Roman" w:eastAsia="宋体" w:cs="Times New Roman"/>
          <w:color w:val="auto"/>
          <w:sz w:val="28"/>
          <w:szCs w:val="28"/>
        </w:rPr>
        <w:t>-1。</w:t>
      </w:r>
    </w:p>
    <w:p w14:paraId="1243D90E">
      <w:pPr>
        <w:pStyle w:val="43"/>
        <w:spacing w:before="156"/>
        <w:rPr>
          <w:rFonts w:hint="default" w:ascii="Times New Roman" w:hAnsi="Times New Roman" w:cs="Times New Roman"/>
          <w:color w:val="auto"/>
          <w:sz w:val="24"/>
          <w:szCs w:val="20"/>
        </w:rPr>
      </w:pPr>
      <w:r>
        <w:rPr>
          <w:rFonts w:hint="default" w:hAnsi="Times New Roman" w:cs="Times New Roman"/>
          <w:color w:val="auto"/>
          <w:sz w:val="24"/>
          <w:szCs w:val="20"/>
        </w:rPr>
        <w:t>表3.</w:t>
      </w:r>
      <w:r>
        <w:rPr>
          <w:rFonts w:hint="eastAsia" w:ascii="Times New Roman" w:hAnsi="Times New Roman" w:cs="Times New Roman"/>
          <w:color w:val="auto"/>
          <w:sz w:val="24"/>
          <w:szCs w:val="20"/>
          <w:lang w:val="en-US" w:eastAsia="zh-CN"/>
        </w:rPr>
        <w:t>8</w:t>
      </w:r>
      <w:r>
        <w:rPr>
          <w:rFonts w:hint="default" w:ascii="Times New Roman" w:hAnsi="Times New Roman" w:cs="Times New Roman"/>
          <w:color w:val="auto"/>
          <w:sz w:val="24"/>
          <w:szCs w:val="20"/>
        </w:rPr>
        <w:t xml:space="preserve">-1  </w:t>
      </w:r>
      <w:r>
        <w:rPr>
          <w:rFonts w:hint="default" w:hAnsi="Times New Roman" w:cs="Times New Roman"/>
          <w:color w:val="auto"/>
          <w:sz w:val="24"/>
          <w:szCs w:val="20"/>
        </w:rPr>
        <w:t>主要危险有害因素分布表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2736"/>
        <w:gridCol w:w="2526"/>
        <w:gridCol w:w="2526"/>
      </w:tblGrid>
      <w:tr w14:paraId="1FC85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7" w:hRule="atLeast"/>
          <w:tblHeader/>
          <w:jc w:val="center"/>
        </w:trPr>
        <w:tc>
          <w:tcPr>
            <w:tcW w:w="0" w:type="auto"/>
            <w:tcBorders>
              <w:top w:val="single" w:color="auto" w:sz="12" w:space="0"/>
              <w:left w:val="single" w:color="auto" w:sz="12" w:space="0"/>
              <w:bottom w:val="single" w:color="auto" w:sz="6" w:space="0"/>
              <w:right w:val="single" w:color="auto" w:sz="6" w:space="0"/>
              <w:tl2br w:val="nil"/>
              <w:tr2bl w:val="nil"/>
            </w:tcBorders>
            <w:noWrap w:val="0"/>
            <w:vAlign w:val="center"/>
          </w:tcPr>
          <w:p w14:paraId="476FE12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序号</w:t>
            </w:r>
          </w:p>
        </w:tc>
        <w:tc>
          <w:tcPr>
            <w:tcW w:w="0" w:type="auto"/>
            <w:tcBorders>
              <w:top w:val="single" w:color="auto" w:sz="12" w:space="0"/>
              <w:left w:val="single" w:color="auto" w:sz="6" w:space="0"/>
              <w:bottom w:val="single" w:color="auto" w:sz="6" w:space="0"/>
              <w:right w:val="single" w:color="auto" w:sz="6" w:space="0"/>
              <w:tl2br w:val="nil"/>
              <w:tr2bl w:val="nil"/>
            </w:tcBorders>
            <w:noWrap w:val="0"/>
            <w:vAlign w:val="center"/>
          </w:tcPr>
          <w:p w14:paraId="515FCC4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危险危害因素</w:t>
            </w:r>
          </w:p>
        </w:tc>
        <w:tc>
          <w:tcPr>
            <w:tcW w:w="0" w:type="auto"/>
            <w:tcBorders>
              <w:top w:val="single" w:color="auto" w:sz="12" w:space="0"/>
              <w:left w:val="single" w:color="auto" w:sz="6" w:space="0"/>
              <w:bottom w:val="single" w:color="auto" w:sz="6" w:space="0"/>
              <w:right w:val="single" w:color="auto" w:sz="6" w:space="0"/>
              <w:tl2br w:val="nil"/>
              <w:tr2bl w:val="nil"/>
            </w:tcBorders>
            <w:noWrap w:val="0"/>
            <w:vAlign w:val="center"/>
          </w:tcPr>
          <w:p w14:paraId="4FA6991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造成后果</w:t>
            </w:r>
          </w:p>
        </w:tc>
        <w:tc>
          <w:tcPr>
            <w:tcW w:w="0" w:type="auto"/>
            <w:tcBorders>
              <w:top w:val="single" w:color="auto" w:sz="12" w:space="0"/>
              <w:left w:val="single" w:color="auto" w:sz="6" w:space="0"/>
              <w:bottom w:val="single" w:color="auto" w:sz="6" w:space="0"/>
              <w:right w:val="single" w:color="auto" w:sz="12" w:space="0"/>
              <w:tl2br w:val="nil"/>
              <w:tr2bl w:val="nil"/>
            </w:tcBorders>
            <w:noWrap w:val="0"/>
            <w:vAlign w:val="center"/>
          </w:tcPr>
          <w:p w14:paraId="20A9004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所在部位</w:t>
            </w:r>
          </w:p>
        </w:tc>
      </w:tr>
      <w:tr w14:paraId="0FEC5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03E4C104">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30852B4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火灾、</w:t>
            </w:r>
            <w:r>
              <w:rPr>
                <w:rFonts w:hint="eastAsia" w:ascii="宋体" w:hAnsi="Times New Roman" w:eastAsia="宋体" w:cs="Times New Roman"/>
                <w:color w:val="auto"/>
                <w:sz w:val="21"/>
                <w:szCs w:val="21"/>
                <w:lang w:val="en-US" w:eastAsia="zh-CN"/>
              </w:rPr>
              <w:t>可燃液体蒸汽</w:t>
            </w:r>
            <w:r>
              <w:rPr>
                <w:rFonts w:hint="default" w:ascii="宋体" w:hAnsi="Times New Roman" w:eastAsia="宋体" w:cs="Times New Roman"/>
                <w:color w:val="auto"/>
                <w:sz w:val="21"/>
                <w:szCs w:val="21"/>
              </w:rPr>
              <w:t>爆炸</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5AD9A17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人员伤亡、财产损失</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38B7514A">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油罐、加油区、经营场所</w:t>
            </w:r>
          </w:p>
        </w:tc>
      </w:tr>
      <w:tr w14:paraId="6CD6D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028C4A71">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76D5F6EA">
            <w:pPr>
              <w:pStyle w:val="42"/>
              <w:spacing w:beforeLines="0" w:afterLines="0"/>
              <w:rPr>
                <w:rFonts w:hint="default" w:ascii="Times New Roman" w:hAnsi="Times New Roman" w:eastAsia="宋体" w:cs="Times New Roman"/>
                <w:color w:val="auto"/>
                <w:sz w:val="21"/>
                <w:szCs w:val="21"/>
              </w:rPr>
            </w:pPr>
            <w:r>
              <w:rPr>
                <w:rFonts w:hint="eastAsia" w:ascii="宋体" w:hAnsi="Times New Roman" w:eastAsia="宋体" w:cs="Times New Roman"/>
                <w:color w:val="auto"/>
                <w:sz w:val="21"/>
                <w:szCs w:val="21"/>
                <w:lang w:val="en-US" w:eastAsia="zh-CN"/>
              </w:rPr>
              <w:t>厂(场)内车辆致害</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6B6C469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人员伤亡或设备损坏</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71D3E85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加油站场内</w:t>
            </w:r>
          </w:p>
        </w:tc>
      </w:tr>
      <w:tr w14:paraId="4CCBE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36A74E33">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48B0443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触电</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1D5725E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56BF2F5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配电间、电气设备</w:t>
            </w:r>
          </w:p>
        </w:tc>
      </w:tr>
      <w:tr w14:paraId="02934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763BF11A">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6FEF1EE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物体打击</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768E0F3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人员伤害或引起二次事故</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6BB220A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经营场所</w:t>
            </w:r>
          </w:p>
        </w:tc>
      </w:tr>
      <w:tr w14:paraId="58260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5C25163E">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372A34D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中毒</w:t>
            </w:r>
            <w:r>
              <w:rPr>
                <w:rFonts w:hint="eastAsia" w:ascii="宋体" w:hAnsi="Times New Roman" w:eastAsia="宋体" w:cs="Times New Roman"/>
                <w:color w:val="auto"/>
                <w:sz w:val="21"/>
                <w:szCs w:val="21"/>
                <w:lang w:eastAsia="zh-CN"/>
              </w:rPr>
              <w:t>、</w:t>
            </w:r>
            <w:r>
              <w:rPr>
                <w:rFonts w:hint="default" w:ascii="宋体" w:hAnsi="Times New Roman" w:eastAsia="宋体" w:cs="Times New Roman"/>
                <w:color w:val="auto"/>
                <w:sz w:val="21"/>
                <w:szCs w:val="21"/>
              </w:rPr>
              <w:t>窒息</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24F2C72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375199AD">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储罐装置</w:t>
            </w:r>
          </w:p>
        </w:tc>
      </w:tr>
      <w:tr w14:paraId="15BAF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55D8086E">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6260D72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高处坠落</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0D4659D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164449D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卸油区、罩棚</w:t>
            </w:r>
          </w:p>
        </w:tc>
      </w:tr>
      <w:tr w14:paraId="70335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4FFF44BC">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00071D8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灼烫（包括汽油化学灼伤）</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7D9D353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人员受伤</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36317E4D">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卸油区、加油区、配电间</w:t>
            </w:r>
          </w:p>
        </w:tc>
      </w:tr>
      <w:tr w14:paraId="6AB31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25486BCD">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36B76BD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坍塌</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13D2334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64D5BC6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加油区、站房</w:t>
            </w:r>
          </w:p>
        </w:tc>
      </w:tr>
      <w:tr w14:paraId="11DDF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76695A26">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0E91F6F5">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噪音</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51C4297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人员受伤</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370229EC">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加油站厂内</w:t>
            </w:r>
          </w:p>
        </w:tc>
      </w:tr>
      <w:tr w14:paraId="32644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0" w:type="auto"/>
            <w:tcBorders>
              <w:top w:val="single" w:color="auto" w:sz="6" w:space="0"/>
              <w:left w:val="single" w:color="auto" w:sz="12" w:space="0"/>
              <w:bottom w:val="single" w:color="auto" w:sz="6" w:space="0"/>
              <w:right w:val="single" w:color="auto" w:sz="6" w:space="0"/>
              <w:tl2br w:val="nil"/>
              <w:tr2bl w:val="nil"/>
            </w:tcBorders>
            <w:noWrap w:val="0"/>
            <w:vAlign w:val="center"/>
          </w:tcPr>
          <w:p w14:paraId="279CBE03">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1CF70E7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其他伤害</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center"/>
          </w:tcPr>
          <w:p w14:paraId="2959541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人员受伤</w:t>
            </w:r>
          </w:p>
        </w:tc>
        <w:tc>
          <w:tcPr>
            <w:tcW w:w="0" w:type="auto"/>
            <w:tcBorders>
              <w:top w:val="single" w:color="auto" w:sz="6" w:space="0"/>
              <w:left w:val="single" w:color="auto" w:sz="6" w:space="0"/>
              <w:bottom w:val="single" w:color="auto" w:sz="6" w:space="0"/>
              <w:right w:val="single" w:color="auto" w:sz="12" w:space="0"/>
              <w:tl2br w:val="nil"/>
              <w:tr2bl w:val="nil"/>
            </w:tcBorders>
            <w:noWrap w:val="0"/>
            <w:vAlign w:val="center"/>
          </w:tcPr>
          <w:p w14:paraId="5806D5C1">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加油站厂内</w:t>
            </w:r>
          </w:p>
        </w:tc>
      </w:tr>
      <w:tr w14:paraId="5CCF5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0" w:type="auto"/>
            <w:tcBorders>
              <w:top w:val="single" w:color="auto" w:sz="6" w:space="0"/>
              <w:left w:val="single" w:color="auto" w:sz="12" w:space="0"/>
              <w:bottom w:val="single" w:color="auto" w:sz="12" w:space="0"/>
              <w:right w:val="single" w:color="auto" w:sz="6" w:space="0"/>
              <w:tl2br w:val="nil"/>
              <w:tr2bl w:val="nil"/>
            </w:tcBorders>
            <w:noWrap w:val="0"/>
            <w:vAlign w:val="center"/>
          </w:tcPr>
          <w:p w14:paraId="3F56A9C4">
            <w:pPr>
              <w:pStyle w:val="42"/>
              <w:numPr>
                <w:ilvl w:val="0"/>
                <w:numId w:val="2"/>
              </w:numPr>
              <w:spacing w:beforeLines="0" w:afterLines="0"/>
              <w:rPr>
                <w:rFonts w:hint="default" w:ascii="Times New Roman" w:hAnsi="Times New Roman" w:eastAsia="宋体" w:cs="Times New Roman"/>
                <w:color w:val="auto"/>
                <w:sz w:val="21"/>
                <w:szCs w:val="21"/>
              </w:rPr>
            </w:pPr>
          </w:p>
        </w:tc>
        <w:tc>
          <w:tcPr>
            <w:tcW w:w="0" w:type="auto"/>
            <w:tcBorders>
              <w:top w:val="single" w:color="auto" w:sz="6" w:space="0"/>
              <w:left w:val="single" w:color="auto" w:sz="6" w:space="0"/>
              <w:bottom w:val="single" w:color="auto" w:sz="12" w:space="0"/>
              <w:right w:val="single" w:color="auto" w:sz="6" w:space="0"/>
              <w:tl2br w:val="nil"/>
              <w:tr2bl w:val="nil"/>
            </w:tcBorders>
            <w:noWrap w:val="0"/>
            <w:vAlign w:val="center"/>
          </w:tcPr>
          <w:p w14:paraId="1FE0C46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环境、自然因素</w:t>
            </w:r>
          </w:p>
        </w:tc>
        <w:tc>
          <w:tcPr>
            <w:tcW w:w="0" w:type="auto"/>
            <w:tcBorders>
              <w:top w:val="single" w:color="auto" w:sz="6" w:space="0"/>
              <w:left w:val="single" w:color="auto" w:sz="6" w:space="0"/>
              <w:bottom w:val="single" w:color="auto" w:sz="12" w:space="0"/>
              <w:right w:val="single" w:color="auto" w:sz="6" w:space="0"/>
              <w:tl2br w:val="nil"/>
              <w:tr2bl w:val="nil"/>
            </w:tcBorders>
            <w:noWrap w:val="0"/>
            <w:vAlign w:val="center"/>
          </w:tcPr>
          <w:p w14:paraId="29F9F53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人员伤亡、财产损失</w:t>
            </w:r>
          </w:p>
        </w:tc>
        <w:tc>
          <w:tcPr>
            <w:tcW w:w="0" w:type="auto"/>
            <w:tcBorders>
              <w:top w:val="single" w:color="auto" w:sz="6" w:space="0"/>
              <w:left w:val="single" w:color="auto" w:sz="6" w:space="0"/>
              <w:bottom w:val="single" w:color="auto" w:sz="12" w:space="0"/>
              <w:right w:val="single" w:color="auto" w:sz="12" w:space="0"/>
              <w:tl2br w:val="nil"/>
              <w:tr2bl w:val="nil"/>
            </w:tcBorders>
            <w:noWrap w:val="0"/>
            <w:vAlign w:val="center"/>
          </w:tcPr>
          <w:p w14:paraId="2871A06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经营作业场所</w:t>
            </w:r>
          </w:p>
        </w:tc>
      </w:tr>
    </w:tbl>
    <w:p w14:paraId="07A9D72C">
      <w:pPr>
        <w:pStyle w:val="3"/>
        <w:spacing w:before="156" w:after="156" w:line="560" w:lineRule="exact"/>
        <w:rPr>
          <w:rFonts w:hint="default" w:ascii="Times New Roman" w:hAnsi="Times New Roman" w:eastAsia="宋体" w:cs="Times New Roman"/>
          <w:color w:val="auto"/>
          <w:sz w:val="28"/>
          <w:szCs w:val="28"/>
        </w:rPr>
      </w:pPr>
      <w:bookmarkStart w:id="180" w:name="_Toc25879"/>
      <w:bookmarkStart w:id="181" w:name="_Toc30502"/>
      <w:bookmarkStart w:id="182" w:name="_Toc30431"/>
      <w:bookmarkStart w:id="183" w:name="_Toc12689"/>
      <w:bookmarkStart w:id="184" w:name="_Toc9485"/>
      <w:bookmarkStart w:id="185" w:name="_Toc14711"/>
      <w:bookmarkStart w:id="186" w:name="_Toc7354"/>
      <w:bookmarkStart w:id="187" w:name="_Toc20211"/>
      <w:bookmarkStart w:id="188" w:name="_Toc28553"/>
      <w:bookmarkStart w:id="189" w:name="_Toc9160"/>
      <w:bookmarkStart w:id="190" w:name="_Toc1204"/>
      <w:bookmarkStart w:id="191" w:name="_Toc22511"/>
      <w:bookmarkStart w:id="192" w:name="_Toc10354"/>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9</w:t>
      </w:r>
      <w:r>
        <w:rPr>
          <w:rFonts w:hint="default" w:ascii="宋体" w:hAnsi="Times New Roman" w:eastAsia="宋体" w:cs="Times New Roman"/>
          <w:color w:val="auto"/>
          <w:sz w:val="28"/>
          <w:szCs w:val="28"/>
        </w:rPr>
        <w:t>爆炸危险区域划分</w:t>
      </w:r>
      <w:bookmarkEnd w:id="180"/>
      <w:bookmarkEnd w:id="181"/>
      <w:bookmarkEnd w:id="182"/>
      <w:bookmarkEnd w:id="183"/>
      <w:bookmarkEnd w:id="184"/>
      <w:bookmarkEnd w:id="185"/>
      <w:bookmarkEnd w:id="186"/>
      <w:bookmarkEnd w:id="187"/>
      <w:bookmarkEnd w:id="188"/>
      <w:bookmarkEnd w:id="189"/>
      <w:bookmarkEnd w:id="190"/>
      <w:bookmarkEnd w:id="191"/>
    </w:p>
    <w:p w14:paraId="698EBACA">
      <w:pPr>
        <w:spacing w:beforeLines="0" w:afterLines="0" w:line="560" w:lineRule="exact"/>
        <w:ind w:firstLine="560"/>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8"/>
          <w:szCs w:val="24"/>
        </w:rPr>
        <w:t>该加油站采用油气回收系统，根据《汽车加油加气加氢站技术标准》GB50156-2021附录C，其爆炸危险区域划分见表3.</w:t>
      </w:r>
      <w:r>
        <w:rPr>
          <w:rFonts w:hint="eastAsia" w:ascii="宋体" w:hAnsi="Times New Roman" w:eastAsia="宋体" w:cs="Times New Roman"/>
          <w:color w:val="auto"/>
          <w:sz w:val="28"/>
          <w:szCs w:val="24"/>
          <w:lang w:val="en-US" w:eastAsia="zh-CN"/>
        </w:rPr>
        <w:t>9</w:t>
      </w:r>
      <w:r>
        <w:rPr>
          <w:rFonts w:hint="default" w:ascii="宋体" w:hAnsi="Times New Roman" w:eastAsia="宋体" w:cs="Times New Roman"/>
          <w:color w:val="auto"/>
          <w:sz w:val="28"/>
          <w:szCs w:val="24"/>
        </w:rPr>
        <w:t>-1：</w:t>
      </w:r>
    </w:p>
    <w:p w14:paraId="713D59D5">
      <w:pPr>
        <w:autoSpaceDE w:val="0"/>
        <w:autoSpaceDN w:val="0"/>
        <w:adjustRightInd w:val="0"/>
        <w:snapToGrid w:val="0"/>
        <w:spacing w:beforeLines="0" w:afterLines="0" w:line="560" w:lineRule="exact"/>
        <w:ind w:firstLine="482"/>
        <w:jc w:val="center"/>
        <w:rPr>
          <w:rFonts w:hint="default" w:ascii="Times New Roman" w:hAnsi="Times New Roman" w:eastAsia="宋体" w:cs="Times New Roman"/>
          <w:b/>
          <w:color w:val="auto"/>
          <w:sz w:val="24"/>
          <w:szCs w:val="24"/>
        </w:rPr>
      </w:pPr>
      <w:r>
        <w:rPr>
          <w:rStyle w:val="46"/>
          <w:rFonts w:hint="default" w:hAnsi="Times New Roman" w:cs="Times New Roman"/>
          <w:color w:val="auto"/>
          <w:sz w:val="21"/>
          <w:szCs w:val="20"/>
        </w:rPr>
        <w:t>表3.</w:t>
      </w:r>
      <w:r>
        <w:rPr>
          <w:rStyle w:val="46"/>
          <w:rFonts w:hint="eastAsia" w:hAnsi="Times New Roman" w:eastAsia="宋体" w:cs="Times New Roman"/>
          <w:color w:val="auto"/>
          <w:sz w:val="21"/>
          <w:szCs w:val="20"/>
          <w:lang w:val="en-US" w:eastAsia="zh-CN"/>
        </w:rPr>
        <w:t>9</w:t>
      </w:r>
      <w:r>
        <w:rPr>
          <w:rStyle w:val="46"/>
          <w:rFonts w:hint="default" w:hAnsi="Times New Roman" w:cs="Times New Roman"/>
          <w:color w:val="auto"/>
          <w:sz w:val="21"/>
          <w:szCs w:val="20"/>
        </w:rPr>
        <w:t>-1  爆炸危险区域划分图</w:t>
      </w:r>
    </w:p>
    <w:tbl>
      <w:tblPr>
        <w:tblStyle w:val="20"/>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227"/>
        <w:gridCol w:w="4687"/>
      </w:tblGrid>
      <w:tr w14:paraId="5397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2" w:hRule="atLeast"/>
          <w:tblHeader/>
          <w:jc w:val="center"/>
        </w:trPr>
        <w:tc>
          <w:tcPr>
            <w:tcW w:w="15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709DF6">
            <w:pPr>
              <w:adjustRightInd w:val="0"/>
              <w:snapToGrid w:val="0"/>
              <w:spacing w:beforeLines="0" w:afterLines="0" w:line="240" w:lineRule="atLeast"/>
              <w:jc w:val="center"/>
              <w:rPr>
                <w:rFonts w:hint="default" w:ascii="Times New Roman" w:hAnsi="Times New Roman" w:eastAsia="宋体" w:cs="Times New Roman"/>
                <w:b/>
                <w:color w:val="auto"/>
                <w:sz w:val="18"/>
                <w:szCs w:val="18"/>
              </w:rPr>
            </w:pPr>
            <w:r>
              <w:rPr>
                <w:rFonts w:hint="default" w:ascii="宋体" w:hAnsi="Times New Roman" w:eastAsia="宋体" w:cs="Times New Roman"/>
                <w:b/>
                <w:color w:val="auto"/>
                <w:sz w:val="18"/>
                <w:szCs w:val="18"/>
              </w:rPr>
              <w:t>区域名称</w:t>
            </w:r>
          </w:p>
        </w:tc>
        <w:tc>
          <w:tcPr>
            <w:tcW w:w="32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FA555E">
            <w:pPr>
              <w:adjustRightInd w:val="0"/>
              <w:snapToGrid w:val="0"/>
              <w:spacing w:beforeLines="0" w:afterLines="0" w:line="240" w:lineRule="atLeast"/>
              <w:jc w:val="center"/>
              <w:rPr>
                <w:rFonts w:hint="default" w:ascii="Times New Roman" w:hAnsi="Times New Roman" w:eastAsia="宋体" w:cs="Times New Roman"/>
                <w:b/>
                <w:color w:val="auto"/>
                <w:sz w:val="18"/>
                <w:szCs w:val="18"/>
              </w:rPr>
            </w:pPr>
            <w:r>
              <w:rPr>
                <w:rFonts w:hint="default" w:ascii="宋体" w:hAnsi="Times New Roman" w:eastAsia="宋体" w:cs="Times New Roman"/>
                <w:b/>
                <w:color w:val="auto"/>
                <w:sz w:val="18"/>
                <w:szCs w:val="18"/>
              </w:rPr>
              <w:t>图例</w:t>
            </w:r>
          </w:p>
        </w:tc>
        <w:tc>
          <w:tcPr>
            <w:tcW w:w="46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2B1A78">
            <w:pPr>
              <w:adjustRightInd w:val="0"/>
              <w:snapToGrid w:val="0"/>
              <w:spacing w:beforeLines="0" w:afterLines="0" w:line="240" w:lineRule="atLeast"/>
              <w:jc w:val="center"/>
              <w:rPr>
                <w:rFonts w:hint="default" w:ascii="Times New Roman" w:hAnsi="Times New Roman" w:eastAsia="宋体" w:cs="Times New Roman"/>
                <w:b/>
                <w:color w:val="auto"/>
                <w:sz w:val="18"/>
                <w:szCs w:val="18"/>
              </w:rPr>
            </w:pPr>
            <w:r>
              <w:rPr>
                <w:rFonts w:hint="default" w:ascii="宋体" w:hAnsi="Times New Roman" w:eastAsia="宋体" w:cs="Times New Roman"/>
                <w:b/>
                <w:color w:val="auto"/>
                <w:sz w:val="18"/>
                <w:szCs w:val="18"/>
              </w:rPr>
              <w:t>危险区域范围</w:t>
            </w:r>
          </w:p>
        </w:tc>
      </w:tr>
      <w:tr w14:paraId="1F2C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6" w:hRule="atLeast"/>
          <w:tblHeader/>
          <w:jc w:val="center"/>
        </w:trPr>
        <w:tc>
          <w:tcPr>
            <w:tcW w:w="15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2542C7">
            <w:pPr>
              <w:adjustRightInd w:val="0"/>
              <w:snapToGrid w:val="0"/>
              <w:spacing w:beforeLines="0" w:afterLines="0" w:line="240" w:lineRule="atLeast"/>
              <w:jc w:val="center"/>
              <w:rPr>
                <w:rFonts w:hint="default" w:ascii="Times New Roman" w:hAnsi="Times New Roman" w:eastAsia="宋体" w:cs="Times New Roman"/>
                <w:b/>
                <w:color w:val="auto"/>
                <w:sz w:val="18"/>
                <w:szCs w:val="18"/>
              </w:rPr>
            </w:pPr>
            <w:r>
              <w:rPr>
                <w:rFonts w:hint="default" w:ascii="宋体" w:hAnsi="Times New Roman" w:eastAsia="宋体" w:cs="Times New Roman"/>
                <w:color w:val="auto"/>
                <w:sz w:val="18"/>
                <w:szCs w:val="18"/>
              </w:rPr>
              <w:t>汽油设施</w:t>
            </w:r>
          </w:p>
        </w:tc>
        <w:tc>
          <w:tcPr>
            <w:tcW w:w="32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FCE4FA">
            <w:pPr>
              <w:adjustRightInd w:val="0"/>
              <w:snapToGrid w:val="0"/>
              <w:spacing w:beforeLines="0" w:afterLines="0" w:line="240" w:lineRule="atLeas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w:t>
            </w:r>
          </w:p>
        </w:tc>
        <w:tc>
          <w:tcPr>
            <w:tcW w:w="46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4AC289">
            <w:pPr>
              <w:adjustRightInd w:val="0"/>
              <w:snapToGrid w:val="0"/>
              <w:spacing w:beforeLines="0" w:afterLines="0" w:line="240" w:lineRule="atLeast"/>
              <w:rPr>
                <w:rFonts w:hint="default" w:ascii="Times New Roman" w:hAnsi="Times New Roman" w:eastAsia="宋体" w:cs="Times New Roman"/>
                <w:b/>
                <w:color w:val="auto"/>
                <w:sz w:val="18"/>
                <w:szCs w:val="18"/>
              </w:rPr>
            </w:pPr>
            <w:r>
              <w:rPr>
                <w:rFonts w:hint="default" w:ascii="宋体" w:hAnsi="Times New Roman" w:eastAsia="宋体" w:cs="Times New Roman"/>
                <w:color w:val="auto"/>
                <w:sz w:val="18"/>
                <w:szCs w:val="18"/>
              </w:rPr>
              <w:t>汽油设施爆炸危险区域内地坪以下的坑或沟应划分为1区。</w:t>
            </w:r>
          </w:p>
        </w:tc>
      </w:tr>
      <w:tr w14:paraId="7931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2" w:hRule="atLeast"/>
          <w:tblHeader/>
          <w:jc w:val="center"/>
        </w:trPr>
        <w:tc>
          <w:tcPr>
            <w:tcW w:w="15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710A4C">
            <w:pPr>
              <w:adjustRightInd w:val="0"/>
              <w:snapToGrid w:val="0"/>
              <w:spacing w:beforeLines="0" w:afterLines="0" w:line="240" w:lineRule="atLeast"/>
              <w:jc w:val="center"/>
              <w:rPr>
                <w:rFonts w:hint="default" w:ascii="Times New Roman" w:hAnsi="Times New Roman" w:eastAsia="宋体" w:cs="Times New Roman"/>
                <w:color w:val="auto"/>
                <w:sz w:val="18"/>
                <w:szCs w:val="18"/>
              </w:rPr>
            </w:pPr>
            <w:r>
              <w:rPr>
                <w:rFonts w:hint="default" w:ascii="宋体" w:hAnsi="Times New Roman" w:eastAsia="宋体" w:cs="Times New Roman"/>
                <w:color w:val="auto"/>
                <w:spacing w:val="10"/>
                <w:sz w:val="18"/>
                <w:szCs w:val="18"/>
              </w:rPr>
              <w:t>埋地卧式汽油储罐爆炸危险区域划分</w:t>
            </w:r>
          </w:p>
        </w:tc>
        <w:tc>
          <w:tcPr>
            <w:tcW w:w="32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F03F0D">
            <w:pPr>
              <w:adjustRightInd w:val="0"/>
              <w:snapToGrid w:val="0"/>
              <w:spacing w:beforeLines="0" w:afterLines="0" w:line="240" w:lineRule="atLeast"/>
              <w:rPr>
                <w:rFonts w:hint="default" w:ascii="Times New Roman" w:hAnsi="Times New Roman" w:eastAsia="宋体" w:cs="Times New Roman"/>
                <w:color w:val="auto"/>
                <w:sz w:val="18"/>
                <w:szCs w:val="18"/>
              </w:rPr>
            </w:pPr>
          </w:p>
          <w:p w14:paraId="186BDACF">
            <w:pPr>
              <w:adjustRightInd w:val="0"/>
              <w:snapToGrid w:val="0"/>
              <w:spacing w:beforeLines="0" w:afterLines="0" w:line="24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pict>
                <v:shape id="Picture 66" o:spid="_x0000_s1029" o:spt="75" type="#_x0000_t75" style="position:absolute;left:0pt;margin-left:-2.05pt;margin-top:11.95pt;height:110.6pt;width:159.15pt;mso-wrap-distance-bottom:0pt;mso-wrap-distance-top:0pt;z-index:251662336;mso-width-relative:page;mso-height-relative:page;" o:ole="t" filled="f" o:preferrelative="t" stroked="f" coordsize="21600,21600">
                  <v:path/>
                  <v:fill on="f" focussize="0,0"/>
                  <v:stroke on="f"/>
                  <v:imagedata r:id="rId16" cropright="6089f" o:title=""/>
                  <o:lock v:ext="edit" aspectratio="t"/>
                  <w10:wrap type="topAndBottom"/>
                </v:shape>
                <o:OLEObject Type="Embed" ProgID="" ShapeID="Picture 66" DrawAspect="Content" ObjectID="_1468075725" r:id="rId15">
                  <o:LockedField>false</o:LockedField>
                </o:OLEObject>
              </w:pict>
            </w:r>
          </w:p>
          <w:p w14:paraId="6A7821DE">
            <w:pPr>
              <w:adjustRightInd w:val="0"/>
              <w:snapToGrid w:val="0"/>
              <w:spacing w:beforeLines="0" w:afterLines="0" w:line="240" w:lineRule="atLeast"/>
              <w:rPr>
                <w:rFonts w:hint="default" w:ascii="Times New Roman" w:hAnsi="Times New Roman" w:eastAsia="宋体" w:cs="Times New Roman"/>
                <w:color w:val="auto"/>
                <w:sz w:val="18"/>
                <w:szCs w:val="18"/>
              </w:rPr>
            </w:pPr>
          </w:p>
          <w:p w14:paraId="444D9349">
            <w:pPr>
              <w:adjustRightInd w:val="0"/>
              <w:snapToGrid w:val="0"/>
              <w:spacing w:beforeLines="0" w:afterLines="0" w:line="240" w:lineRule="atLeast"/>
              <w:rPr>
                <w:rFonts w:hint="default" w:ascii="Times New Roman" w:hAnsi="Times New Roman" w:eastAsia="宋体" w:cs="Times New Roman"/>
                <w:color w:val="auto"/>
                <w:sz w:val="18"/>
                <w:szCs w:val="18"/>
              </w:rPr>
            </w:pPr>
          </w:p>
        </w:tc>
        <w:tc>
          <w:tcPr>
            <w:tcW w:w="46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50DF77">
            <w:pPr>
              <w:adjustRightInd w:val="0"/>
              <w:snapToGrid w:val="0"/>
              <w:spacing w:beforeLines="0" w:afterLines="0" w:line="24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default" w:ascii="宋体" w:hAnsi="Times New Roman" w:eastAsia="宋体" w:cs="Times New Roman"/>
                <w:color w:val="auto"/>
                <w:sz w:val="18"/>
                <w:szCs w:val="18"/>
              </w:rPr>
              <w:t>、罐内部油品表面以上的空间应划分为0区。</w:t>
            </w:r>
          </w:p>
          <w:p w14:paraId="2C6D5FFC">
            <w:pPr>
              <w:adjustRightInd w:val="0"/>
              <w:snapToGrid w:val="0"/>
              <w:spacing w:beforeLines="0" w:afterLines="0" w:line="24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  2</w:t>
            </w:r>
            <w:r>
              <w:rPr>
                <w:rFonts w:hint="default" w:ascii="宋体" w:hAnsi="Times New Roman" w:eastAsia="宋体" w:cs="Times New Roman"/>
                <w:color w:val="auto"/>
                <w:sz w:val="18"/>
                <w:szCs w:val="18"/>
              </w:rPr>
              <w:t>、人孔（阀）井内部空间，以通气管管口为中心、半径为0.75m的球形空间和以密闭卸油口为中心、半径为0.5m的球形空间，应划分为1区。</w:t>
            </w:r>
          </w:p>
          <w:p w14:paraId="39C2E9AC">
            <w:pPr>
              <w:adjustRightInd w:val="0"/>
              <w:snapToGrid w:val="0"/>
              <w:spacing w:beforeLines="0" w:afterLines="0" w:line="24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  3</w:t>
            </w:r>
            <w:r>
              <w:rPr>
                <w:rFonts w:hint="default" w:ascii="宋体" w:hAnsi="Times New Roman" w:eastAsia="宋体" w:cs="Times New Roman"/>
                <w:color w:val="auto"/>
                <w:sz w:val="18"/>
                <w:szCs w:val="18"/>
              </w:rPr>
              <w:t>、距人孔（阀）井外边缘1.5m以内，自地面算起1m高的圆柱形空间，以通气管管口为中心、半径为2m的球形空间和以密闭卸油口为中心、半径为1.5m的球形并延至地面的空间，应划分为2区。</w:t>
            </w:r>
          </w:p>
          <w:p w14:paraId="53A6BFC8">
            <w:pPr>
              <w:spacing w:beforeLines="0" w:afterLines="0" w:line="240" w:lineRule="atLeas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0"/>
                <w:sz w:val="18"/>
                <w:szCs w:val="18"/>
              </w:rPr>
              <w:t xml:space="preserve">  4</w:t>
            </w:r>
            <w:r>
              <w:rPr>
                <w:rFonts w:hint="default" w:ascii="宋体" w:hAnsi="Times New Roman" w:eastAsia="宋体" w:cs="Times New Roman"/>
                <w:color w:val="auto"/>
                <w:spacing w:val="10"/>
                <w:sz w:val="18"/>
                <w:szCs w:val="18"/>
              </w:rPr>
              <w:t>、当地上密闭卸油口设在箱体内时，箱体内部的空间应划分为1区，箱体外部四周1m和箱体顶部以上1.5m范围内的空间应划分为2区；当密闭卸油口设在卸油坑内时，坑内的空间应划分为1区，坑口外1.5m范围内的空间应划分为2区。</w:t>
            </w:r>
          </w:p>
        </w:tc>
      </w:tr>
      <w:tr w14:paraId="7AB8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86" w:hRule="atLeast"/>
          <w:tblHeader/>
          <w:jc w:val="center"/>
        </w:trPr>
        <w:tc>
          <w:tcPr>
            <w:tcW w:w="15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1DFACC">
            <w:pPr>
              <w:adjustRightInd w:val="0"/>
              <w:snapToGrid w:val="0"/>
              <w:spacing w:beforeLines="0" w:afterLines="0" w:line="240" w:lineRule="atLeast"/>
              <w:jc w:val="center"/>
              <w:rPr>
                <w:rFonts w:hint="default" w:ascii="Times New Roman" w:hAnsi="Times New Roman" w:eastAsia="宋体" w:cs="Times New Roman"/>
                <w:color w:val="auto"/>
                <w:sz w:val="18"/>
                <w:szCs w:val="18"/>
              </w:rPr>
            </w:pPr>
            <w:r>
              <w:rPr>
                <w:rFonts w:hint="default" w:ascii="宋体" w:hAnsi="Times New Roman" w:eastAsia="宋体" w:cs="Times New Roman"/>
                <w:color w:val="auto"/>
                <w:spacing w:val="10"/>
                <w:sz w:val="18"/>
                <w:szCs w:val="18"/>
              </w:rPr>
              <w:t>汽油油罐车和密闭卸油口的爆炸危险区域划分</w:t>
            </w:r>
          </w:p>
        </w:tc>
        <w:tc>
          <w:tcPr>
            <w:tcW w:w="32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050A04">
            <w:pPr>
              <w:adjustRightInd w:val="0"/>
              <w:snapToGrid w:val="0"/>
              <w:spacing w:beforeLines="0" w:afterLines="0"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anchor distT="0" distB="0" distL="114300" distR="114300" simplePos="0" relativeHeight="251663360" behindDoc="0" locked="0" layoutInCell="1" allowOverlap="1">
                  <wp:simplePos x="0" y="0"/>
                  <wp:positionH relativeFrom="column">
                    <wp:posOffset>1270</wp:posOffset>
                  </wp:positionH>
                  <wp:positionV relativeFrom="paragraph">
                    <wp:posOffset>248920</wp:posOffset>
                  </wp:positionV>
                  <wp:extent cx="1891665" cy="1113790"/>
                  <wp:effectExtent l="0" t="0" r="635" b="3810"/>
                  <wp:wrapNone/>
                  <wp:docPr id="9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7"/>
                          <pic:cNvPicPr>
                            <a:picLocks noChangeAspect="1"/>
                          </pic:cNvPicPr>
                        </pic:nvPicPr>
                        <pic:blipFill>
                          <a:blip r:embed="rId17"/>
                          <a:srcRect t="5914" r="24478" b="25301"/>
                          <a:stretch>
                            <a:fillRect/>
                          </a:stretch>
                        </pic:blipFill>
                        <pic:spPr>
                          <a:xfrm>
                            <a:off x="0" y="0"/>
                            <a:ext cx="1891665" cy="1113790"/>
                          </a:xfrm>
                          <a:prstGeom prst="rect">
                            <a:avLst/>
                          </a:prstGeom>
                          <a:noFill/>
                          <a:ln>
                            <a:noFill/>
                          </a:ln>
                        </pic:spPr>
                      </pic:pic>
                    </a:graphicData>
                  </a:graphic>
                </wp:anchor>
              </w:drawing>
            </w:r>
          </w:p>
        </w:tc>
        <w:tc>
          <w:tcPr>
            <w:tcW w:w="46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74FE7">
            <w:pPr>
              <w:adjustRightInd w:val="0"/>
              <w:snapToGrid w:val="0"/>
              <w:spacing w:beforeLines="0" w:afterLines="0" w:line="240" w:lineRule="atLeast"/>
              <w:rPr>
                <w:rFonts w:hint="default" w:ascii="Times New Roman" w:hAnsi="Times New Roman" w:eastAsia="宋体" w:cs="Times New Roman"/>
                <w:color w:val="auto"/>
                <w:spacing w:val="10"/>
                <w:sz w:val="18"/>
                <w:szCs w:val="18"/>
              </w:rPr>
            </w:pPr>
            <w:r>
              <w:rPr>
                <w:rFonts w:hint="default" w:ascii="Times New Roman" w:hAnsi="Times New Roman" w:eastAsia="宋体" w:cs="Times New Roman"/>
                <w:color w:val="auto"/>
                <w:spacing w:val="10"/>
                <w:sz w:val="18"/>
                <w:szCs w:val="18"/>
              </w:rPr>
              <w:t>1</w:t>
            </w:r>
            <w:r>
              <w:rPr>
                <w:rFonts w:hint="default" w:ascii="宋体" w:hAnsi="Times New Roman" w:eastAsia="宋体" w:cs="Times New Roman"/>
                <w:color w:val="auto"/>
                <w:spacing w:val="10"/>
                <w:sz w:val="18"/>
                <w:szCs w:val="18"/>
              </w:rPr>
              <w:t>、油罐车内部的油品表面以上空间应划分为0区。</w:t>
            </w:r>
          </w:p>
          <w:p w14:paraId="7CAE8668">
            <w:pPr>
              <w:adjustRightInd w:val="0"/>
              <w:snapToGrid w:val="0"/>
              <w:spacing w:beforeLines="0" w:afterLines="0" w:line="240" w:lineRule="atLeast"/>
              <w:rPr>
                <w:rFonts w:hint="default" w:ascii="Times New Roman" w:hAnsi="Times New Roman" w:eastAsia="宋体" w:cs="Times New Roman"/>
                <w:color w:val="auto"/>
                <w:spacing w:val="10"/>
                <w:sz w:val="18"/>
                <w:szCs w:val="18"/>
              </w:rPr>
            </w:pPr>
            <w:r>
              <w:rPr>
                <w:rFonts w:hint="default" w:ascii="Times New Roman" w:hAnsi="Times New Roman" w:eastAsia="宋体" w:cs="Times New Roman"/>
                <w:color w:val="auto"/>
                <w:spacing w:val="10"/>
                <w:sz w:val="18"/>
                <w:szCs w:val="18"/>
              </w:rPr>
              <w:t>2</w:t>
            </w:r>
            <w:r>
              <w:rPr>
                <w:rFonts w:hint="default" w:ascii="宋体" w:hAnsi="Times New Roman" w:eastAsia="宋体" w:cs="Times New Roman"/>
                <w:color w:val="auto"/>
                <w:spacing w:val="10"/>
                <w:sz w:val="18"/>
                <w:szCs w:val="18"/>
              </w:rPr>
              <w:t>、以罐车通气口为中心、半径为1.5m的球形空间和以罐车密闭卸油口为中心、半径为0.5m的球形空间，应划分为1区。</w:t>
            </w:r>
          </w:p>
          <w:p w14:paraId="13D6983D">
            <w:pPr>
              <w:adjustRightInd w:val="0"/>
              <w:snapToGrid w:val="0"/>
              <w:spacing w:beforeLines="0" w:afterLines="0" w:line="240" w:lineRule="atLeast"/>
              <w:rPr>
                <w:rFonts w:hint="default" w:ascii="Times New Roman" w:hAnsi="Times New Roman" w:eastAsia="宋体" w:cs="Times New Roman"/>
                <w:color w:val="auto"/>
                <w:spacing w:val="20"/>
                <w:sz w:val="18"/>
                <w:szCs w:val="18"/>
              </w:rPr>
            </w:pPr>
            <w:r>
              <w:rPr>
                <w:rFonts w:hint="default" w:ascii="Times New Roman" w:hAnsi="Times New Roman" w:eastAsia="宋体" w:cs="Times New Roman"/>
                <w:color w:val="auto"/>
                <w:spacing w:val="10"/>
                <w:sz w:val="18"/>
                <w:szCs w:val="18"/>
              </w:rPr>
              <w:t>3</w:t>
            </w:r>
            <w:r>
              <w:rPr>
                <w:rFonts w:hint="default" w:ascii="宋体" w:hAnsi="Times New Roman" w:eastAsia="宋体" w:cs="Times New Roman"/>
                <w:color w:val="auto"/>
                <w:spacing w:val="10"/>
                <w:sz w:val="18"/>
                <w:szCs w:val="18"/>
              </w:rPr>
              <w:t>、以罐车通气口为中心、半径为3m的球形并延至地面的空间和以罐车密闭卸油口为中心、半径为1.5m的球形并延至地面的空间，应划分为2区。</w:t>
            </w:r>
          </w:p>
        </w:tc>
      </w:tr>
      <w:tr w14:paraId="5394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90" w:hRule="atLeast"/>
          <w:tblHeader/>
          <w:jc w:val="center"/>
        </w:trPr>
        <w:tc>
          <w:tcPr>
            <w:tcW w:w="15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45443A">
            <w:pPr>
              <w:adjustRightInd w:val="0"/>
              <w:snapToGrid w:val="0"/>
              <w:spacing w:beforeLines="0" w:afterLines="0" w:line="240" w:lineRule="atLeast"/>
              <w:jc w:val="center"/>
              <w:rPr>
                <w:rFonts w:hint="default" w:ascii="Times New Roman" w:hAnsi="Times New Roman" w:eastAsia="宋体" w:cs="Times New Roman"/>
                <w:color w:val="auto"/>
                <w:sz w:val="18"/>
                <w:szCs w:val="18"/>
              </w:rPr>
            </w:pPr>
            <w:r>
              <w:rPr>
                <w:rFonts w:hint="default" w:ascii="宋体" w:hAnsi="Times New Roman" w:eastAsia="宋体" w:cs="Times New Roman"/>
                <w:color w:val="auto"/>
                <w:spacing w:val="10"/>
                <w:sz w:val="18"/>
                <w:szCs w:val="18"/>
              </w:rPr>
              <w:t>汽油加油机爆炸危险区域划分</w:t>
            </w:r>
          </w:p>
        </w:tc>
        <w:tc>
          <w:tcPr>
            <w:tcW w:w="32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05F036">
            <w:pPr>
              <w:adjustRightInd w:val="0"/>
              <w:snapToGrid w:val="0"/>
              <w:spacing w:beforeLines="0" w:afterLines="0"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anchor distT="0" distB="0" distL="114300" distR="114300" simplePos="0" relativeHeight="251664384" behindDoc="0" locked="0" layoutInCell="1" allowOverlap="1">
                  <wp:simplePos x="0" y="0"/>
                  <wp:positionH relativeFrom="column">
                    <wp:posOffset>-31750</wp:posOffset>
                  </wp:positionH>
                  <wp:positionV relativeFrom="paragraph">
                    <wp:posOffset>74295</wp:posOffset>
                  </wp:positionV>
                  <wp:extent cx="2040255" cy="1317625"/>
                  <wp:effectExtent l="0" t="0" r="4445" b="3175"/>
                  <wp:wrapTopAndBottom/>
                  <wp:docPr id="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8"/>
                          <pic:cNvPicPr>
                            <a:picLocks noChangeAspect="1"/>
                          </pic:cNvPicPr>
                        </pic:nvPicPr>
                        <pic:blipFill>
                          <a:blip r:embed="rId18"/>
                          <a:srcRect r="8226"/>
                          <a:stretch>
                            <a:fillRect/>
                          </a:stretch>
                        </pic:blipFill>
                        <pic:spPr>
                          <a:xfrm>
                            <a:off x="0" y="0"/>
                            <a:ext cx="2040255" cy="1317625"/>
                          </a:xfrm>
                          <a:prstGeom prst="rect">
                            <a:avLst/>
                          </a:prstGeom>
                          <a:noFill/>
                          <a:ln>
                            <a:noFill/>
                          </a:ln>
                        </pic:spPr>
                      </pic:pic>
                    </a:graphicData>
                  </a:graphic>
                </wp:anchor>
              </w:drawing>
            </w:r>
          </w:p>
        </w:tc>
        <w:tc>
          <w:tcPr>
            <w:tcW w:w="46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74553F">
            <w:pPr>
              <w:adjustRightInd w:val="0"/>
              <w:snapToGrid w:val="0"/>
              <w:spacing w:beforeLines="0" w:afterLines="0" w:line="240" w:lineRule="atLeast"/>
              <w:rPr>
                <w:rFonts w:hint="default" w:ascii="Times New Roman" w:hAnsi="Times New Roman" w:eastAsia="宋体" w:cs="Times New Roman"/>
                <w:color w:val="auto"/>
                <w:spacing w:val="10"/>
                <w:sz w:val="18"/>
                <w:szCs w:val="18"/>
              </w:rPr>
            </w:pPr>
            <w:r>
              <w:rPr>
                <w:rFonts w:hint="default" w:ascii="Times New Roman" w:hAnsi="Times New Roman" w:eastAsia="宋体" w:cs="Times New Roman"/>
                <w:color w:val="auto"/>
                <w:spacing w:val="10"/>
                <w:sz w:val="18"/>
                <w:szCs w:val="18"/>
              </w:rPr>
              <w:t>1</w:t>
            </w:r>
            <w:r>
              <w:rPr>
                <w:rFonts w:hint="default" w:ascii="宋体" w:hAnsi="Times New Roman" w:eastAsia="宋体" w:cs="Times New Roman"/>
                <w:color w:val="auto"/>
                <w:spacing w:val="10"/>
                <w:sz w:val="18"/>
                <w:szCs w:val="18"/>
              </w:rPr>
              <w:t>、加油机下箱体内部空间应划分为1区。</w:t>
            </w:r>
          </w:p>
          <w:p w14:paraId="178F2B97">
            <w:pPr>
              <w:adjustRightInd w:val="0"/>
              <w:snapToGrid w:val="0"/>
              <w:spacing w:beforeLines="0" w:afterLines="0" w:line="240" w:lineRule="atLeast"/>
              <w:rPr>
                <w:rFonts w:hint="default" w:ascii="Times New Roman" w:hAnsi="Times New Roman" w:eastAsia="宋体" w:cs="Times New Roman"/>
                <w:color w:val="auto"/>
                <w:spacing w:val="20"/>
                <w:sz w:val="18"/>
                <w:szCs w:val="18"/>
              </w:rPr>
            </w:pPr>
            <w:r>
              <w:rPr>
                <w:rFonts w:hint="default" w:ascii="Times New Roman" w:hAnsi="Times New Roman" w:eastAsia="宋体" w:cs="Times New Roman"/>
                <w:color w:val="auto"/>
                <w:spacing w:val="10"/>
                <w:sz w:val="18"/>
                <w:szCs w:val="18"/>
              </w:rPr>
              <w:t>2</w:t>
            </w:r>
            <w:r>
              <w:rPr>
                <w:rFonts w:hint="default" w:ascii="宋体" w:hAnsi="Times New Roman" w:eastAsia="宋体" w:cs="Times New Roman"/>
                <w:color w:val="auto"/>
                <w:spacing w:val="10"/>
                <w:sz w:val="18"/>
                <w:szCs w:val="18"/>
              </w:rPr>
              <w:t>、以加油机中心线为中心线、以半径为3m的地面区域为底面和以加油机箱体顶部以上0.15m、半径为1.5m的平面为顶面的圆台形空间，应划分为2区。</w:t>
            </w:r>
          </w:p>
        </w:tc>
      </w:tr>
    </w:tbl>
    <w:p w14:paraId="752068F1">
      <w:pPr>
        <w:pStyle w:val="3"/>
        <w:keepNext/>
        <w:keepLines/>
        <w:spacing w:before="156" w:after="156" w:line="416" w:lineRule="auto"/>
        <w:rPr>
          <w:rFonts w:hint="default" w:ascii="Times New Roman" w:hAnsi="Times New Roman" w:eastAsia="宋体" w:cs="Times New Roman"/>
          <w:color w:val="auto"/>
          <w:sz w:val="28"/>
          <w:szCs w:val="28"/>
        </w:rPr>
      </w:pPr>
      <w:bookmarkStart w:id="193" w:name="_Toc5861"/>
      <w:bookmarkStart w:id="194" w:name="_Toc14031"/>
      <w:r>
        <w:rPr>
          <w:rFonts w:hint="default" w:ascii="Times New Roman" w:hAnsi="Times New Roman" w:eastAsia="宋体" w:cs="Times New Roman"/>
          <w:color w:val="auto"/>
          <w:sz w:val="28"/>
          <w:szCs w:val="28"/>
        </w:rPr>
        <w:t>3.</w:t>
      </w:r>
      <w:r>
        <w:rPr>
          <w:rFonts w:hint="eastAsia" w:ascii="Times New Roman" w:hAnsi="Times New Roman" w:eastAsia="宋体" w:cs="Times New Roman"/>
          <w:color w:val="auto"/>
          <w:sz w:val="28"/>
          <w:szCs w:val="28"/>
          <w:lang w:val="en-US" w:eastAsia="zh-CN"/>
        </w:rPr>
        <w:t>10</w:t>
      </w:r>
      <w:r>
        <w:rPr>
          <w:rFonts w:hint="default" w:ascii="宋体" w:hAnsi="Times New Roman" w:eastAsia="宋体" w:cs="Times New Roman"/>
          <w:color w:val="auto"/>
          <w:sz w:val="28"/>
          <w:szCs w:val="28"/>
        </w:rPr>
        <w:t>事故案例</w:t>
      </w:r>
      <w:bookmarkEnd w:id="192"/>
      <w:bookmarkEnd w:id="193"/>
      <w:bookmarkEnd w:id="194"/>
    </w:p>
    <w:p w14:paraId="1E578209">
      <w:pPr>
        <w:wordWrap w:val="0"/>
        <w:spacing w:beforeLines="0" w:afterLines="0" w:line="360" w:lineRule="auto"/>
        <w:ind w:firstLine="560" w:firstLineChars="200"/>
        <w:textAlignment w:val="center"/>
        <w:rPr>
          <w:rFonts w:hint="default"/>
          <w:color w:val="auto"/>
          <w:sz w:val="28"/>
          <w:szCs w:val="24"/>
        </w:rPr>
      </w:pPr>
      <w:r>
        <w:rPr>
          <w:rFonts w:hint="default" w:ascii="宋体" w:eastAsia="宋体"/>
          <w:color w:val="auto"/>
          <w:sz w:val="28"/>
          <w:szCs w:val="24"/>
        </w:rPr>
        <w:t>案例1：山西吕梁临县东关加油站“8·3”触电事故</w:t>
      </w:r>
    </w:p>
    <w:p w14:paraId="2EF85871">
      <w:pPr>
        <w:wordWrap w:val="0"/>
        <w:spacing w:beforeLines="0" w:afterLines="0" w:line="600" w:lineRule="exact"/>
        <w:ind w:firstLine="560" w:firstLineChars="200"/>
        <w:textAlignment w:val="center"/>
        <w:rPr>
          <w:rFonts w:hint="default"/>
          <w:color w:val="auto"/>
          <w:sz w:val="28"/>
          <w:szCs w:val="24"/>
        </w:rPr>
      </w:pPr>
      <w:r>
        <w:rPr>
          <w:rFonts w:hint="default" w:ascii="宋体" w:eastAsia="宋体"/>
          <w:color w:val="auto"/>
          <w:sz w:val="28"/>
          <w:szCs w:val="24"/>
        </w:rPr>
        <w:t>事故经过：2023年8月3日11时47分35秒，位于山西省吕梁市临县临泉镇东关街2号的中国石化销售股份有限公司山西吕梁临县东关加油站营业室内发生一起触电事故，造成1人死亡，直接经济损失895030元。</w:t>
      </w:r>
    </w:p>
    <w:p w14:paraId="58C5BD00">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事故原因：</w:t>
      </w:r>
    </w:p>
    <w:p w14:paraId="0E53799F">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直接原因：8月3日崔某荣在东关加油站剪断7月28日改接的电缆线，进行电缆穿管敷设工作时，未有效断电导致其触电身亡。</w:t>
      </w:r>
    </w:p>
    <w:p w14:paraId="04C35674">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间接原因：1．崔某荣在处理裸露线芯接头前未进行验电，作业安全确认不到位。</w:t>
      </w:r>
    </w:p>
    <w:p w14:paraId="5C7B1782">
      <w:pPr>
        <w:wordWrap w:val="0"/>
        <w:spacing w:beforeLines="0" w:afterLines="0" w:line="600" w:lineRule="exact"/>
        <w:ind w:firstLine="536" w:firstLineChars="200"/>
        <w:textAlignment w:val="center"/>
        <w:rPr>
          <w:rFonts w:hint="default"/>
          <w:color w:val="auto"/>
          <w:spacing w:val="-6"/>
          <w:sz w:val="28"/>
          <w:szCs w:val="24"/>
        </w:rPr>
      </w:pPr>
      <w:r>
        <w:rPr>
          <w:rFonts w:hint="default"/>
          <w:color w:val="auto"/>
          <w:spacing w:val="-6"/>
          <w:sz w:val="28"/>
          <w:szCs w:val="24"/>
        </w:rPr>
        <w:t>2</w:t>
      </w:r>
      <w:r>
        <w:rPr>
          <w:rFonts w:hint="default" w:ascii="宋体" w:eastAsia="宋体"/>
          <w:color w:val="auto"/>
          <w:spacing w:val="-6"/>
          <w:sz w:val="28"/>
          <w:szCs w:val="24"/>
        </w:rPr>
        <w:t>．崔某荣进行电气线路检修作业时，未按电工作业规范穿着工作服、绝缘鞋等个人防护用品，导致未能有效防护误操作带来的安全风险。</w:t>
      </w:r>
    </w:p>
    <w:p w14:paraId="3D9AE63D">
      <w:pPr>
        <w:wordWrap w:val="0"/>
        <w:spacing w:beforeLines="0" w:afterLines="0" w:line="600" w:lineRule="exact"/>
        <w:ind w:firstLine="536" w:firstLineChars="200"/>
        <w:textAlignment w:val="center"/>
        <w:rPr>
          <w:rFonts w:hint="default"/>
          <w:color w:val="auto"/>
          <w:spacing w:val="-6"/>
          <w:sz w:val="28"/>
          <w:szCs w:val="24"/>
        </w:rPr>
      </w:pPr>
      <w:r>
        <w:rPr>
          <w:rFonts w:hint="default"/>
          <w:color w:val="auto"/>
          <w:spacing w:val="-6"/>
          <w:sz w:val="28"/>
          <w:szCs w:val="24"/>
        </w:rPr>
        <w:t>3</w:t>
      </w:r>
      <w:r>
        <w:rPr>
          <w:rFonts w:hint="default" w:ascii="宋体" w:eastAsia="宋体"/>
          <w:color w:val="auto"/>
          <w:spacing w:val="-6"/>
          <w:sz w:val="28"/>
          <w:szCs w:val="24"/>
        </w:rPr>
        <w:t>．崔某荣未通过安全培训取得应急管理部门颁发的特种作业操作证，作业资质不符合特种作业有关安全管理规定。</w:t>
      </w:r>
    </w:p>
    <w:p w14:paraId="6532AEC0">
      <w:pPr>
        <w:wordWrap w:val="0"/>
        <w:spacing w:beforeLines="0" w:afterLines="0" w:line="600" w:lineRule="exact"/>
        <w:ind w:firstLine="536" w:firstLineChars="200"/>
        <w:textAlignment w:val="center"/>
        <w:rPr>
          <w:rFonts w:hint="default"/>
          <w:color w:val="auto"/>
          <w:spacing w:val="-6"/>
          <w:sz w:val="28"/>
          <w:szCs w:val="24"/>
        </w:rPr>
      </w:pPr>
      <w:r>
        <w:rPr>
          <w:rFonts w:hint="default"/>
          <w:color w:val="auto"/>
          <w:spacing w:val="-6"/>
          <w:sz w:val="28"/>
          <w:szCs w:val="24"/>
        </w:rPr>
        <w:t>4</w:t>
      </w:r>
      <w:r>
        <w:rPr>
          <w:rFonts w:hint="default" w:ascii="宋体" w:eastAsia="宋体"/>
          <w:color w:val="auto"/>
          <w:spacing w:val="-6"/>
          <w:sz w:val="28"/>
          <w:szCs w:val="24"/>
        </w:rPr>
        <w:t>．东关加油站执行临时用电作业管理等安全管理制度和安全操作规程等不严格，违规作业。</w:t>
      </w:r>
    </w:p>
    <w:p w14:paraId="7A144A3F">
      <w:pPr>
        <w:wordWrap w:val="0"/>
        <w:spacing w:beforeLines="0" w:afterLines="0" w:line="600" w:lineRule="exact"/>
        <w:ind w:firstLine="536" w:firstLineChars="200"/>
        <w:textAlignment w:val="center"/>
        <w:rPr>
          <w:rFonts w:hint="default"/>
          <w:color w:val="auto"/>
          <w:spacing w:val="-6"/>
          <w:sz w:val="28"/>
          <w:szCs w:val="24"/>
        </w:rPr>
      </w:pPr>
      <w:r>
        <w:rPr>
          <w:rFonts w:hint="default"/>
          <w:color w:val="auto"/>
          <w:spacing w:val="-6"/>
          <w:sz w:val="28"/>
          <w:szCs w:val="24"/>
        </w:rPr>
        <w:t>5</w:t>
      </w:r>
      <w:r>
        <w:rPr>
          <w:rFonts w:hint="default" w:ascii="宋体" w:eastAsia="宋体"/>
          <w:color w:val="auto"/>
          <w:spacing w:val="-6"/>
          <w:sz w:val="28"/>
          <w:szCs w:val="24"/>
        </w:rPr>
        <w:t>．中石化吕梁分公司及其下级临县分公司对其所属加油站落实公司安全管理制度、全员安全生产责任制、岗位责任制和执行操作规程不严的情况失察失管。</w:t>
      </w:r>
    </w:p>
    <w:p w14:paraId="7C99C5E9">
      <w:pPr>
        <w:wordWrap w:val="0"/>
        <w:spacing w:beforeLines="0" w:afterLines="0" w:line="600" w:lineRule="exact"/>
        <w:ind w:firstLine="536" w:firstLineChars="200"/>
        <w:textAlignment w:val="center"/>
        <w:rPr>
          <w:rFonts w:hint="default"/>
          <w:color w:val="auto"/>
          <w:spacing w:val="-6"/>
          <w:sz w:val="28"/>
          <w:szCs w:val="24"/>
        </w:rPr>
      </w:pPr>
      <w:r>
        <w:rPr>
          <w:rFonts w:hint="default"/>
          <w:color w:val="auto"/>
          <w:spacing w:val="-6"/>
          <w:sz w:val="28"/>
          <w:szCs w:val="24"/>
        </w:rPr>
        <w:t>6</w:t>
      </w:r>
      <w:r>
        <w:rPr>
          <w:rFonts w:hint="default" w:ascii="宋体" w:eastAsia="宋体"/>
          <w:color w:val="auto"/>
          <w:spacing w:val="-6"/>
          <w:sz w:val="28"/>
          <w:szCs w:val="24"/>
        </w:rPr>
        <w:t>．临县应急管理局、临县工业和信息化局（商务局）、临泉镇政府履职安全监管有差距，对该加油站落实安全管理主体责任、执行有关安全管理制度和操作规程不到位未能及时发现及纠正。</w:t>
      </w:r>
    </w:p>
    <w:p w14:paraId="0115942A">
      <w:pPr>
        <w:wordWrap w:val="0"/>
        <w:spacing w:beforeLines="0" w:afterLines="0" w:line="600" w:lineRule="exact"/>
        <w:ind w:firstLine="536" w:firstLineChars="200"/>
        <w:textAlignment w:val="center"/>
        <w:rPr>
          <w:rFonts w:hint="default"/>
          <w:color w:val="auto"/>
          <w:spacing w:val="-6"/>
          <w:sz w:val="28"/>
          <w:szCs w:val="24"/>
        </w:rPr>
      </w:pPr>
      <w:r>
        <w:rPr>
          <w:rFonts w:hint="default"/>
          <w:color w:val="auto"/>
          <w:spacing w:val="-6"/>
          <w:sz w:val="28"/>
          <w:szCs w:val="24"/>
        </w:rPr>
        <w:t>7</w:t>
      </w:r>
      <w:r>
        <w:rPr>
          <w:rFonts w:hint="default" w:ascii="宋体" w:eastAsia="宋体"/>
          <w:color w:val="auto"/>
          <w:spacing w:val="-6"/>
          <w:sz w:val="28"/>
          <w:szCs w:val="24"/>
        </w:rPr>
        <w:t>．发生触电事故之后，现场人员对触电应急救援措施不熟悉，临县人民医院未建立120急救服务中心未能及时抢救，也是造成人员伤亡的原因之一。</w:t>
      </w:r>
    </w:p>
    <w:p w14:paraId="15A2208E">
      <w:pPr>
        <w:wordWrap w:val="0"/>
        <w:spacing w:beforeLines="0" w:afterLines="0" w:line="600" w:lineRule="exact"/>
        <w:ind w:firstLine="560" w:firstLineChars="200"/>
        <w:textAlignment w:val="center"/>
        <w:rPr>
          <w:rFonts w:hint="default" w:ascii="Times New Roman" w:hAnsi="Times New Roman" w:eastAsia="宋体"/>
          <w:color w:val="auto"/>
          <w:sz w:val="28"/>
          <w:szCs w:val="24"/>
        </w:rPr>
      </w:pPr>
      <w:r>
        <w:rPr>
          <w:rFonts w:hint="default" w:ascii="宋体" w:eastAsia="宋体"/>
          <w:color w:val="auto"/>
          <w:sz w:val="28"/>
          <w:szCs w:val="24"/>
        </w:rPr>
        <w:t>事故防范措施：加油站应定期对电气设备进行检查和维护，确保设备的绝缘性能良好；安装漏电保护装置，防止漏电事故的发生；加强员工的安全培训，提高其安全意识和操作技能。</w:t>
      </w:r>
    </w:p>
    <w:p w14:paraId="1E6D578E">
      <w:pPr>
        <w:wordWrap w:val="0"/>
        <w:spacing w:beforeLines="0" w:afterLines="0" w:line="600" w:lineRule="exact"/>
        <w:ind w:firstLine="562" w:firstLineChars="200"/>
        <w:textAlignment w:val="center"/>
        <w:rPr>
          <w:rFonts w:hint="default" w:ascii="Times New Roman" w:hAnsi="Times New Roman" w:eastAsia="宋体" w:cs="Times New Roman"/>
          <w:color w:val="auto"/>
          <w:sz w:val="28"/>
          <w:szCs w:val="28"/>
        </w:rPr>
      </w:pPr>
      <w:r>
        <w:rPr>
          <w:rFonts w:hint="default" w:ascii="宋体" w:hAnsi="Times New Roman" w:eastAsia="宋体" w:cs="Times New Roman"/>
          <w:b/>
          <w:color w:val="auto"/>
          <w:sz w:val="28"/>
          <w:szCs w:val="28"/>
        </w:rPr>
        <w:t>案例2：</w:t>
      </w:r>
      <w:r>
        <w:rPr>
          <w:rFonts w:hint="default" w:ascii="Times New Roman" w:hAnsi="Times New Roman" w:eastAsia="宋体" w:cs="Times New Roman"/>
          <w:color w:val="auto"/>
          <w:sz w:val="28"/>
          <w:szCs w:val="28"/>
        </w:rPr>
        <w:t>1</w:t>
      </w:r>
      <w:r>
        <w:rPr>
          <w:rFonts w:hint="default" w:ascii="宋体" w:hAnsi="Times New Roman" w:eastAsia="宋体" w:cs="Times New Roman"/>
          <w:color w:val="auto"/>
          <w:sz w:val="28"/>
          <w:szCs w:val="28"/>
        </w:rPr>
        <w:t>・12 河北廊坊加油站爆炸事故</w:t>
      </w:r>
    </w:p>
    <w:p w14:paraId="3B3AB99C">
      <w:pPr>
        <w:wordWrap w:val="0"/>
        <w:spacing w:beforeLines="0" w:afterLines="0" w:line="600" w:lineRule="exact"/>
        <w:ind w:firstLine="560" w:firstLineChars="200"/>
        <w:textAlignment w:val="center"/>
        <w:rPr>
          <w:rFonts w:hint="default"/>
          <w:color w:val="auto"/>
          <w:sz w:val="28"/>
          <w:szCs w:val="24"/>
        </w:rPr>
      </w:pPr>
      <w:r>
        <w:rPr>
          <w:rFonts w:hint="default" w:ascii="宋体" w:hAnsi="Times New Roman" w:eastAsia="宋体" w:cs="Times New Roman"/>
          <w:color w:val="auto"/>
          <w:sz w:val="28"/>
          <w:szCs w:val="28"/>
        </w:rPr>
        <w:t>事故经过：2011年1月12日16时45分许，河北省廊坊市和平路一中石化加油站发生起火爆炸事故。17时5分，记者赶到现场时看到，该加油站上空浓烟滚滚，近10辆消防车陆续赶到进行灭火。距离事故一公里外警方设卡戒严，附近居民及过</w:t>
      </w:r>
      <w:r>
        <w:rPr>
          <w:rFonts w:hint="default" w:ascii="宋体" w:eastAsia="宋体"/>
          <w:color w:val="auto"/>
          <w:sz w:val="28"/>
          <w:szCs w:val="24"/>
        </w:rPr>
        <w:t>往行人被疏散。目击者周大爷称，他家住该加油站一路之隔的锦绣名园小区，目睹了加油站起火全过程。“大约下午4点45分，看到一辆油罐车准备卸油时，尾部起火，然后听到两声巨大爆炸声。”17时30分，记者在警戒线外看到，现场火势基本熄灭。加油站顶棚被大火烧黑，加油机有损毁，但大火并未引燃油罐车及加油站油库。</w:t>
      </w:r>
    </w:p>
    <w:p w14:paraId="77AD3293">
      <w:pPr>
        <w:wordWrap w:val="0"/>
        <w:spacing w:beforeLines="0" w:afterLines="0" w:line="600" w:lineRule="exact"/>
        <w:ind w:firstLine="560" w:firstLineChars="200"/>
        <w:textAlignment w:val="center"/>
        <w:rPr>
          <w:rFonts w:hint="default"/>
          <w:color w:val="auto"/>
          <w:sz w:val="28"/>
          <w:szCs w:val="24"/>
        </w:rPr>
      </w:pPr>
      <w:r>
        <w:rPr>
          <w:rFonts w:hint="default" w:ascii="宋体" w:eastAsia="宋体"/>
          <w:color w:val="auto"/>
          <w:sz w:val="28"/>
          <w:szCs w:val="24"/>
        </w:rPr>
        <w:t>中石化河北廊坊分公司副经理梁永华称，事故发生时，一辆为加油站输油的油罐车注油完毕后，由于静电火花引起注油车尾部着火，火势蔓延造成加油站一部加油机烧毁及加油站顶棚设施损毁，未殃及地下油库也未造成人员伤亡。该加油站地处市区繁华地段，近邻该加油站南北就有两家大型宾馆，周边均为住宅区。</w:t>
      </w:r>
    </w:p>
    <w:p w14:paraId="0A11161D">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事故原因：油罐车卸油后，静电火花引发。</w:t>
      </w:r>
    </w:p>
    <w:p w14:paraId="69A32C7C">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事故防范措施：</w:t>
      </w:r>
    </w:p>
    <w:p w14:paraId="05ADFAA5">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w:t>
      </w:r>
      <w:r>
        <w:rPr>
          <w:rFonts w:hint="default"/>
          <w:color w:val="auto"/>
          <w:spacing w:val="-6"/>
          <w:sz w:val="28"/>
          <w:szCs w:val="24"/>
        </w:rPr>
        <w:t>1</w:t>
      </w:r>
      <w:r>
        <w:rPr>
          <w:rFonts w:hint="default" w:ascii="宋体" w:eastAsia="宋体"/>
          <w:color w:val="auto"/>
          <w:spacing w:val="-6"/>
          <w:sz w:val="28"/>
          <w:szCs w:val="24"/>
        </w:rPr>
        <w:t>）强化静电防护：卸油前确保油罐车与加油站接地装置连接可靠，对卸油设备静电跨接。</w:t>
      </w:r>
    </w:p>
    <w:p w14:paraId="73D1A86A">
      <w:pPr>
        <w:wordWrap w:val="0"/>
        <w:spacing w:beforeLines="0" w:afterLines="0" w:line="600" w:lineRule="exact"/>
        <w:ind w:firstLine="536" w:firstLineChars="200"/>
        <w:textAlignment w:val="center"/>
        <w:rPr>
          <w:rFonts w:hint="default"/>
          <w:color w:val="auto"/>
          <w:spacing w:val="-6"/>
          <w:sz w:val="28"/>
          <w:szCs w:val="24"/>
        </w:rPr>
      </w:pPr>
      <w:r>
        <w:rPr>
          <w:rFonts w:hint="default" w:ascii="宋体" w:eastAsia="宋体"/>
          <w:color w:val="auto"/>
          <w:spacing w:val="-6"/>
          <w:sz w:val="28"/>
          <w:szCs w:val="24"/>
        </w:rPr>
        <w:t>（</w:t>
      </w:r>
      <w:r>
        <w:rPr>
          <w:rFonts w:hint="default"/>
          <w:color w:val="auto"/>
          <w:spacing w:val="-6"/>
          <w:sz w:val="28"/>
          <w:szCs w:val="24"/>
        </w:rPr>
        <w:t>2</w:t>
      </w:r>
      <w:r>
        <w:rPr>
          <w:rFonts w:hint="default" w:ascii="宋体" w:eastAsia="宋体"/>
          <w:color w:val="auto"/>
          <w:spacing w:val="-6"/>
          <w:sz w:val="28"/>
          <w:szCs w:val="24"/>
        </w:rPr>
        <w:t>）规范作业流程：制定详细操作规程，加强员工培训，作业时专人监督，控制流速，严禁违规操作。</w:t>
      </w:r>
    </w:p>
    <w:p w14:paraId="6A80CD80">
      <w:pPr>
        <w:wordWrap w:val="0"/>
        <w:spacing w:beforeLines="0" w:afterLines="0" w:line="360" w:lineRule="auto"/>
        <w:ind w:firstLine="536" w:firstLineChars="200"/>
        <w:textAlignment w:val="center"/>
        <w:rPr>
          <w:rFonts w:hint="default"/>
          <w:color w:val="auto"/>
          <w:spacing w:val="-6"/>
          <w:sz w:val="28"/>
          <w:szCs w:val="24"/>
        </w:rPr>
      </w:pPr>
      <w:r>
        <w:rPr>
          <w:rFonts w:hint="default" w:ascii="宋体" w:eastAsia="宋体"/>
          <w:color w:val="auto"/>
          <w:spacing w:val="-6"/>
          <w:sz w:val="28"/>
          <w:szCs w:val="24"/>
        </w:rPr>
        <w:t>（</w:t>
      </w:r>
      <w:r>
        <w:rPr>
          <w:rFonts w:hint="default"/>
          <w:color w:val="auto"/>
          <w:spacing w:val="-6"/>
          <w:sz w:val="28"/>
          <w:szCs w:val="24"/>
        </w:rPr>
        <w:t>3</w:t>
      </w:r>
      <w:r>
        <w:rPr>
          <w:rFonts w:hint="default" w:ascii="宋体" w:eastAsia="宋体"/>
          <w:color w:val="auto"/>
          <w:spacing w:val="-6"/>
          <w:sz w:val="28"/>
          <w:szCs w:val="24"/>
        </w:rPr>
        <w:t>）完善安全管理：建立安全检查机制，加强人员管理，制定应急预案并定期演练。</w:t>
      </w:r>
    </w:p>
    <w:p w14:paraId="07248EE5">
      <w:pPr>
        <w:rPr>
          <w:color w:val="000000"/>
          <w:sz w:val="28"/>
          <w:szCs w:val="28"/>
        </w:rPr>
      </w:pPr>
      <w:r>
        <w:rPr>
          <w:color w:val="000000"/>
          <w:sz w:val="28"/>
          <w:szCs w:val="28"/>
        </w:rPr>
        <w:br w:type="page"/>
      </w:r>
    </w:p>
    <w:p w14:paraId="201034E9">
      <w:pPr>
        <w:wordWrap w:val="0"/>
        <w:adjustRightInd w:val="0"/>
        <w:snapToGrid w:val="0"/>
        <w:spacing w:line="600" w:lineRule="exact"/>
        <w:jc w:val="left"/>
        <w:textAlignment w:val="center"/>
        <w:outlineLvl w:val="0"/>
        <w:rPr>
          <w:b/>
          <w:color w:val="000000"/>
          <w:sz w:val="28"/>
          <w:szCs w:val="28"/>
        </w:rPr>
      </w:pPr>
      <w:bookmarkStart w:id="195" w:name="_Toc13104"/>
      <w:bookmarkStart w:id="196" w:name="_Toc30419"/>
      <w:bookmarkStart w:id="197" w:name="_Toc7894"/>
      <w:bookmarkStart w:id="198" w:name="_Toc15775"/>
      <w:bookmarkStart w:id="199" w:name="_Toc6363"/>
      <w:bookmarkStart w:id="200" w:name="_Toc120957327"/>
      <w:r>
        <w:rPr>
          <w:b/>
          <w:color w:val="000000"/>
          <w:sz w:val="28"/>
          <w:szCs w:val="28"/>
        </w:rPr>
        <w:t>4评价单元的确定及评价方法选择</w:t>
      </w:r>
      <w:bookmarkEnd w:id="195"/>
      <w:bookmarkEnd w:id="196"/>
      <w:bookmarkEnd w:id="197"/>
      <w:bookmarkEnd w:id="198"/>
      <w:bookmarkEnd w:id="199"/>
      <w:bookmarkEnd w:id="200"/>
    </w:p>
    <w:p w14:paraId="7558C465">
      <w:pPr>
        <w:pStyle w:val="3"/>
        <w:keepNext w:val="0"/>
        <w:keepLines w:val="0"/>
        <w:wordWrap w:val="0"/>
        <w:adjustRightInd w:val="0"/>
        <w:snapToGrid w:val="0"/>
        <w:spacing w:before="0" w:after="0" w:line="600" w:lineRule="exact"/>
        <w:jc w:val="left"/>
        <w:textAlignment w:val="center"/>
        <w:rPr>
          <w:rFonts w:ascii="Times New Roman" w:hAnsi="Times New Roman" w:eastAsia="宋体"/>
          <w:color w:val="000000"/>
          <w:sz w:val="28"/>
          <w:szCs w:val="28"/>
        </w:rPr>
      </w:pPr>
      <w:bookmarkStart w:id="201" w:name="_Toc10507"/>
      <w:bookmarkStart w:id="202" w:name="_Toc120957328"/>
      <w:bookmarkStart w:id="203" w:name="_Toc1932"/>
      <w:bookmarkStart w:id="204" w:name="_Toc35241869"/>
      <w:bookmarkStart w:id="205" w:name="_Toc500924241"/>
      <w:bookmarkStart w:id="206" w:name="_Toc12079"/>
      <w:bookmarkStart w:id="207" w:name="_Toc17661"/>
      <w:r>
        <w:rPr>
          <w:rFonts w:ascii="Times New Roman" w:hAnsi="Times New Roman" w:eastAsia="宋体"/>
          <w:color w:val="000000"/>
          <w:sz w:val="28"/>
          <w:szCs w:val="28"/>
        </w:rPr>
        <w:t>4.1评价单元的确定</w:t>
      </w:r>
      <w:bookmarkEnd w:id="201"/>
      <w:bookmarkEnd w:id="202"/>
      <w:bookmarkEnd w:id="203"/>
      <w:bookmarkEnd w:id="204"/>
      <w:bookmarkEnd w:id="205"/>
      <w:bookmarkEnd w:id="206"/>
      <w:bookmarkEnd w:id="207"/>
    </w:p>
    <w:p w14:paraId="590CCA3B">
      <w:pPr>
        <w:wordWrap w:val="0"/>
        <w:adjustRightInd w:val="0"/>
        <w:snapToGrid w:val="0"/>
        <w:spacing w:line="600" w:lineRule="exact"/>
        <w:textAlignment w:val="center"/>
        <w:outlineLvl w:val="2"/>
        <w:rPr>
          <w:b/>
          <w:bCs/>
          <w:color w:val="000000"/>
          <w:sz w:val="28"/>
          <w:szCs w:val="28"/>
        </w:rPr>
      </w:pPr>
      <w:bookmarkStart w:id="208" w:name="_Toc120957329"/>
      <w:bookmarkStart w:id="209" w:name="_Toc10641"/>
      <w:bookmarkStart w:id="210" w:name="_Toc2137"/>
      <w:bookmarkStart w:id="211" w:name="_Toc21909"/>
      <w:bookmarkStart w:id="212" w:name="_Toc5822"/>
      <w:r>
        <w:rPr>
          <w:b/>
          <w:bCs/>
          <w:color w:val="000000"/>
          <w:sz w:val="28"/>
          <w:szCs w:val="28"/>
        </w:rPr>
        <w:t>4.1.1评价单元划分原则</w:t>
      </w:r>
      <w:bookmarkEnd w:id="208"/>
      <w:bookmarkEnd w:id="209"/>
      <w:bookmarkEnd w:id="210"/>
      <w:bookmarkEnd w:id="211"/>
      <w:bookmarkEnd w:id="212"/>
    </w:p>
    <w:p w14:paraId="59853B7C">
      <w:pPr>
        <w:wordWrap w:val="0"/>
        <w:adjustRightInd w:val="0"/>
        <w:snapToGrid w:val="0"/>
        <w:spacing w:line="600" w:lineRule="exact"/>
        <w:ind w:firstLine="560" w:firstLineChars="200"/>
        <w:jc w:val="left"/>
        <w:textAlignment w:val="center"/>
        <w:rPr>
          <w:color w:val="000000"/>
          <w:sz w:val="28"/>
          <w:szCs w:val="28"/>
        </w:rPr>
      </w:pPr>
      <w:r>
        <w:rPr>
          <w:color w:val="000000"/>
          <w:sz w:val="28"/>
          <w:szCs w:val="28"/>
        </w:rPr>
        <w:t>具体按以下原则进行单元划分：</w:t>
      </w:r>
    </w:p>
    <w:p w14:paraId="48FA361F">
      <w:pPr>
        <w:wordWrap w:val="0"/>
        <w:adjustRightInd w:val="0"/>
        <w:snapToGrid w:val="0"/>
        <w:spacing w:line="600" w:lineRule="exact"/>
        <w:ind w:firstLine="560" w:firstLineChars="200"/>
        <w:jc w:val="left"/>
        <w:textAlignment w:val="center"/>
        <w:rPr>
          <w:color w:val="000000"/>
          <w:sz w:val="28"/>
          <w:szCs w:val="28"/>
        </w:rPr>
      </w:pPr>
      <w:r>
        <w:rPr>
          <w:rFonts w:hint="eastAsia" w:ascii="Times New Roman" w:eastAsia="宋体"/>
          <w:color w:val="000000"/>
          <w:sz w:val="28"/>
          <w:szCs w:val="28"/>
          <w:lang w:val="en-US" w:eastAsia="zh-CN"/>
        </w:rPr>
        <w:t>1、</w:t>
      </w:r>
      <w:r>
        <w:rPr>
          <w:color w:val="000000"/>
          <w:sz w:val="28"/>
          <w:szCs w:val="28"/>
        </w:rPr>
        <w:t>以危险、有害因素类别为主划分评价单元；</w:t>
      </w:r>
    </w:p>
    <w:p w14:paraId="3C887175">
      <w:pPr>
        <w:wordWrap w:val="0"/>
        <w:adjustRightInd w:val="0"/>
        <w:snapToGrid w:val="0"/>
        <w:spacing w:line="600" w:lineRule="exact"/>
        <w:ind w:firstLine="560" w:firstLineChars="200"/>
        <w:jc w:val="left"/>
        <w:textAlignment w:val="center"/>
        <w:rPr>
          <w:color w:val="000000"/>
          <w:sz w:val="28"/>
          <w:szCs w:val="28"/>
        </w:rPr>
      </w:pPr>
      <w:r>
        <w:rPr>
          <w:rFonts w:hint="eastAsia" w:ascii="Times New Roman" w:eastAsia="宋体"/>
          <w:color w:val="000000"/>
          <w:sz w:val="28"/>
          <w:szCs w:val="28"/>
          <w:lang w:val="en-US" w:eastAsia="zh-CN"/>
        </w:rPr>
        <w:t>2、</w:t>
      </w:r>
      <w:r>
        <w:rPr>
          <w:color w:val="000000"/>
          <w:sz w:val="28"/>
          <w:szCs w:val="28"/>
        </w:rPr>
        <w:t>以装置、设施和工艺流程的特征划分评价单元；</w:t>
      </w:r>
    </w:p>
    <w:p w14:paraId="199D0602">
      <w:pPr>
        <w:wordWrap w:val="0"/>
        <w:adjustRightInd w:val="0"/>
        <w:snapToGrid w:val="0"/>
        <w:spacing w:line="600" w:lineRule="exact"/>
        <w:ind w:firstLine="560" w:firstLineChars="200"/>
        <w:jc w:val="left"/>
        <w:textAlignment w:val="center"/>
        <w:rPr>
          <w:color w:val="000000"/>
          <w:sz w:val="28"/>
          <w:szCs w:val="28"/>
        </w:rPr>
      </w:pPr>
      <w:r>
        <w:rPr>
          <w:rFonts w:hint="eastAsia" w:ascii="Times New Roman" w:eastAsia="宋体"/>
          <w:color w:val="000000"/>
          <w:sz w:val="28"/>
          <w:szCs w:val="28"/>
          <w:lang w:val="en-US" w:eastAsia="zh-CN"/>
        </w:rPr>
        <w:t>3、</w:t>
      </w:r>
      <w:r>
        <w:rPr>
          <w:color w:val="000000"/>
          <w:sz w:val="28"/>
          <w:szCs w:val="28"/>
        </w:rPr>
        <w:t>将安全管理、外部周边环境单独划分评价单元</w:t>
      </w:r>
      <w:r>
        <w:rPr>
          <w:color w:val="000000"/>
          <w:sz w:val="28"/>
          <w:szCs w:val="28"/>
          <w:lang w:val="zh-CN"/>
        </w:rPr>
        <w:t>。</w:t>
      </w:r>
    </w:p>
    <w:p w14:paraId="29216003">
      <w:pPr>
        <w:wordWrap w:val="0"/>
        <w:adjustRightInd w:val="0"/>
        <w:snapToGrid w:val="0"/>
        <w:spacing w:line="600" w:lineRule="exact"/>
        <w:textAlignment w:val="center"/>
        <w:outlineLvl w:val="2"/>
        <w:rPr>
          <w:b/>
          <w:bCs/>
          <w:color w:val="000000"/>
          <w:sz w:val="28"/>
          <w:szCs w:val="28"/>
        </w:rPr>
      </w:pPr>
      <w:bookmarkStart w:id="213" w:name="_Toc23973"/>
      <w:bookmarkStart w:id="214" w:name="_Toc161"/>
      <w:bookmarkStart w:id="215" w:name="_Toc16056"/>
      <w:bookmarkStart w:id="216" w:name="_Toc120957330"/>
      <w:bookmarkStart w:id="217" w:name="_Toc15975"/>
      <w:r>
        <w:rPr>
          <w:b/>
          <w:bCs/>
          <w:color w:val="000000"/>
          <w:sz w:val="28"/>
          <w:szCs w:val="28"/>
        </w:rPr>
        <w:t>4.1.2确定评价单元</w:t>
      </w:r>
      <w:bookmarkEnd w:id="213"/>
      <w:bookmarkEnd w:id="214"/>
      <w:bookmarkEnd w:id="215"/>
      <w:bookmarkEnd w:id="216"/>
      <w:bookmarkEnd w:id="217"/>
    </w:p>
    <w:p w14:paraId="614CF2DA">
      <w:pPr>
        <w:wordWrap w:val="0"/>
        <w:adjustRightInd w:val="0"/>
        <w:snapToGrid w:val="0"/>
        <w:spacing w:line="600" w:lineRule="exact"/>
        <w:ind w:firstLine="560" w:firstLineChars="200"/>
        <w:jc w:val="left"/>
        <w:textAlignment w:val="center"/>
        <w:rPr>
          <w:color w:val="000000"/>
          <w:sz w:val="28"/>
          <w:szCs w:val="28"/>
        </w:rPr>
      </w:pPr>
      <w:r>
        <w:rPr>
          <w:color w:val="000000"/>
          <w:sz w:val="28"/>
          <w:szCs w:val="28"/>
        </w:rPr>
        <w:t>根据评价单元划分的原则，结合本项目装置自身的工艺特点，本报告以装置功能为主划分评价单元，总体上划分为以下4个单元，见表4</w:t>
      </w:r>
      <w:r>
        <w:rPr>
          <w:rFonts w:hint="eastAsia"/>
          <w:color w:val="000000"/>
          <w:sz w:val="28"/>
          <w:szCs w:val="28"/>
        </w:rPr>
        <w:t>.1</w:t>
      </w:r>
      <w:r>
        <w:rPr>
          <w:color w:val="000000"/>
          <w:sz w:val="28"/>
          <w:szCs w:val="28"/>
        </w:rPr>
        <w:t>-1。评价中再根据实际需要进一步细化成下一级评价单元。</w:t>
      </w:r>
    </w:p>
    <w:p w14:paraId="440B9C14">
      <w:pPr>
        <w:spacing w:line="600" w:lineRule="exact"/>
        <w:jc w:val="center"/>
        <w:rPr>
          <w:color w:val="000000"/>
          <w:sz w:val="21"/>
          <w:szCs w:val="21"/>
        </w:rPr>
      </w:pPr>
      <w:r>
        <w:rPr>
          <w:color w:val="000000"/>
          <w:sz w:val="21"/>
          <w:szCs w:val="21"/>
        </w:rPr>
        <w:t>表4</w:t>
      </w:r>
      <w:r>
        <w:rPr>
          <w:rFonts w:hint="eastAsia"/>
          <w:color w:val="000000"/>
          <w:sz w:val="21"/>
          <w:szCs w:val="21"/>
        </w:rPr>
        <w:t>.1</w:t>
      </w:r>
      <w:r>
        <w:rPr>
          <w:color w:val="000000"/>
          <w:sz w:val="21"/>
          <w:szCs w:val="21"/>
        </w:rPr>
        <w:t>-1评价单元划分一览表</w:t>
      </w:r>
    </w:p>
    <w:tbl>
      <w:tblPr>
        <w:tblStyle w:val="20"/>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375"/>
        <w:gridCol w:w="4245"/>
        <w:gridCol w:w="2576"/>
      </w:tblGrid>
      <w:tr w14:paraId="157F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noWrap w:val="0"/>
            <w:vAlign w:val="center"/>
          </w:tcPr>
          <w:p w14:paraId="6F2B0CEB">
            <w:pPr>
              <w:spacing w:line="240" w:lineRule="exact"/>
              <w:jc w:val="center"/>
              <w:rPr>
                <w:rFonts w:hint="default" w:ascii="Times New Roman" w:hAnsi="Times New Roman" w:cs="Times New Roman"/>
                <w:color w:val="auto"/>
                <w:sz w:val="21"/>
                <w:szCs w:val="21"/>
              </w:rPr>
            </w:pPr>
            <w:bookmarkStart w:id="218" w:name="_Toc19999"/>
            <w:bookmarkStart w:id="219" w:name="_Toc343692260"/>
            <w:bookmarkStart w:id="220" w:name="_Toc11246138"/>
            <w:bookmarkStart w:id="221" w:name="_Toc15410"/>
            <w:bookmarkStart w:id="222" w:name="_Toc120957331"/>
            <w:bookmarkStart w:id="223" w:name="_Toc18082"/>
            <w:r>
              <w:rPr>
                <w:rFonts w:hint="default" w:ascii="Times New Roman" w:hAnsi="Times New Roman" w:cs="Times New Roman"/>
                <w:color w:val="auto"/>
                <w:sz w:val="21"/>
                <w:szCs w:val="21"/>
              </w:rPr>
              <w:t>序号</w:t>
            </w:r>
          </w:p>
        </w:tc>
        <w:tc>
          <w:tcPr>
            <w:tcW w:w="2375" w:type="dxa"/>
            <w:noWrap w:val="0"/>
            <w:vAlign w:val="center"/>
          </w:tcPr>
          <w:p w14:paraId="694869F0">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评价单元</w:t>
            </w:r>
          </w:p>
        </w:tc>
        <w:tc>
          <w:tcPr>
            <w:tcW w:w="4245" w:type="dxa"/>
            <w:noWrap w:val="0"/>
            <w:vAlign w:val="center"/>
          </w:tcPr>
          <w:p w14:paraId="47845F35">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评价的主要对象</w:t>
            </w:r>
          </w:p>
        </w:tc>
        <w:tc>
          <w:tcPr>
            <w:tcW w:w="2576" w:type="dxa"/>
            <w:noWrap w:val="0"/>
            <w:vAlign w:val="center"/>
          </w:tcPr>
          <w:p w14:paraId="0D5FA30D">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评价方法</w:t>
            </w:r>
          </w:p>
        </w:tc>
      </w:tr>
      <w:tr w14:paraId="371D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vMerge w:val="restart"/>
            <w:tcBorders>
              <w:bottom w:val="single" w:color="auto" w:sz="4" w:space="0"/>
            </w:tcBorders>
            <w:noWrap w:val="0"/>
            <w:vAlign w:val="center"/>
          </w:tcPr>
          <w:p w14:paraId="6FA065CA">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1</w:t>
            </w:r>
          </w:p>
        </w:tc>
        <w:tc>
          <w:tcPr>
            <w:tcW w:w="2375" w:type="dxa"/>
            <w:vMerge w:val="restart"/>
            <w:tcBorders>
              <w:bottom w:val="single" w:color="auto" w:sz="4" w:space="0"/>
            </w:tcBorders>
            <w:noWrap w:val="0"/>
            <w:vAlign w:val="center"/>
          </w:tcPr>
          <w:p w14:paraId="555D8011">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安全条件</w:t>
            </w:r>
          </w:p>
        </w:tc>
        <w:tc>
          <w:tcPr>
            <w:tcW w:w="4245" w:type="dxa"/>
            <w:tcBorders>
              <w:bottom w:val="single" w:color="auto" w:sz="4" w:space="0"/>
            </w:tcBorders>
            <w:noWrap w:val="0"/>
            <w:vAlign w:val="center"/>
          </w:tcPr>
          <w:p w14:paraId="5D2C8872">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资质审查</w:t>
            </w:r>
          </w:p>
        </w:tc>
        <w:tc>
          <w:tcPr>
            <w:tcW w:w="2576" w:type="dxa"/>
            <w:vMerge w:val="restart"/>
            <w:noWrap w:val="0"/>
            <w:vAlign w:val="center"/>
          </w:tcPr>
          <w:p w14:paraId="04D38CC2">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w:t>
            </w:r>
          </w:p>
        </w:tc>
      </w:tr>
      <w:tr w14:paraId="5193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vMerge w:val="continue"/>
            <w:tcBorders>
              <w:bottom w:val="single" w:color="auto" w:sz="4" w:space="0"/>
            </w:tcBorders>
            <w:noWrap w:val="0"/>
            <w:vAlign w:val="center"/>
          </w:tcPr>
          <w:p w14:paraId="41CD6394">
            <w:pPr>
              <w:pStyle w:val="29"/>
              <w:ind w:firstLine="400" w:firstLineChars="0"/>
              <w:jc w:val="center"/>
              <w:rPr>
                <w:rFonts w:hint="default" w:ascii="Times New Roman" w:hAnsi="Times New Roman" w:cs="Times New Roman"/>
                <w:color w:val="auto"/>
                <w:sz w:val="21"/>
                <w:szCs w:val="21"/>
              </w:rPr>
            </w:pPr>
          </w:p>
        </w:tc>
        <w:tc>
          <w:tcPr>
            <w:tcW w:w="2375" w:type="dxa"/>
            <w:vMerge w:val="continue"/>
            <w:tcBorders>
              <w:bottom w:val="single" w:color="auto" w:sz="4" w:space="0"/>
            </w:tcBorders>
            <w:noWrap w:val="0"/>
            <w:vAlign w:val="center"/>
          </w:tcPr>
          <w:p w14:paraId="558AB68D">
            <w:pPr>
              <w:pStyle w:val="29"/>
              <w:ind w:firstLine="400" w:firstLineChars="0"/>
              <w:jc w:val="center"/>
              <w:rPr>
                <w:rFonts w:hint="default" w:ascii="Times New Roman" w:hAnsi="Times New Roman" w:cs="Times New Roman"/>
                <w:color w:val="auto"/>
                <w:sz w:val="21"/>
                <w:szCs w:val="21"/>
              </w:rPr>
            </w:pPr>
          </w:p>
        </w:tc>
        <w:tc>
          <w:tcPr>
            <w:tcW w:w="4245" w:type="dxa"/>
            <w:tcBorders>
              <w:bottom w:val="single" w:color="auto" w:sz="4" w:space="0"/>
            </w:tcBorders>
            <w:noWrap w:val="0"/>
            <w:vAlign w:val="center"/>
          </w:tcPr>
          <w:p w14:paraId="6C1A33F6">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安全管理制度、组织</w:t>
            </w:r>
          </w:p>
        </w:tc>
        <w:tc>
          <w:tcPr>
            <w:tcW w:w="2576" w:type="dxa"/>
            <w:vMerge w:val="continue"/>
            <w:noWrap w:val="0"/>
            <w:vAlign w:val="center"/>
          </w:tcPr>
          <w:p w14:paraId="3B04589E">
            <w:pPr>
              <w:spacing w:line="240" w:lineRule="exact"/>
              <w:jc w:val="center"/>
              <w:rPr>
                <w:rFonts w:hint="default" w:ascii="Times New Roman" w:hAnsi="Times New Roman" w:cs="Times New Roman"/>
                <w:color w:val="auto"/>
                <w:sz w:val="21"/>
                <w:szCs w:val="21"/>
              </w:rPr>
            </w:pPr>
          </w:p>
        </w:tc>
      </w:tr>
      <w:tr w14:paraId="7723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vMerge w:val="continue"/>
            <w:tcBorders>
              <w:bottom w:val="single" w:color="auto" w:sz="4" w:space="0"/>
            </w:tcBorders>
            <w:noWrap w:val="0"/>
            <w:vAlign w:val="center"/>
          </w:tcPr>
          <w:p w14:paraId="77FA47CE">
            <w:pPr>
              <w:pStyle w:val="29"/>
              <w:ind w:firstLine="400" w:firstLineChars="0"/>
              <w:jc w:val="center"/>
              <w:rPr>
                <w:rFonts w:hint="default" w:ascii="Times New Roman" w:hAnsi="Times New Roman" w:cs="Times New Roman"/>
                <w:color w:val="auto"/>
                <w:sz w:val="21"/>
                <w:szCs w:val="21"/>
              </w:rPr>
            </w:pPr>
          </w:p>
        </w:tc>
        <w:tc>
          <w:tcPr>
            <w:tcW w:w="2375" w:type="dxa"/>
            <w:vMerge w:val="continue"/>
            <w:tcBorders>
              <w:bottom w:val="single" w:color="auto" w:sz="4" w:space="0"/>
            </w:tcBorders>
            <w:noWrap w:val="0"/>
            <w:vAlign w:val="center"/>
          </w:tcPr>
          <w:p w14:paraId="72F23EA5">
            <w:pPr>
              <w:pStyle w:val="29"/>
              <w:ind w:firstLine="400" w:firstLineChars="0"/>
              <w:jc w:val="center"/>
              <w:rPr>
                <w:rFonts w:hint="default" w:ascii="Times New Roman" w:hAnsi="Times New Roman" w:cs="Times New Roman"/>
                <w:color w:val="auto"/>
                <w:sz w:val="21"/>
                <w:szCs w:val="21"/>
              </w:rPr>
            </w:pPr>
          </w:p>
        </w:tc>
        <w:tc>
          <w:tcPr>
            <w:tcW w:w="4245" w:type="dxa"/>
            <w:tcBorders>
              <w:bottom w:val="single" w:color="auto" w:sz="4" w:space="0"/>
            </w:tcBorders>
            <w:noWrap w:val="0"/>
            <w:vAlign w:val="center"/>
          </w:tcPr>
          <w:p w14:paraId="204D6AB7">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从业人员状况</w:t>
            </w:r>
            <w:r>
              <w:rPr>
                <w:rFonts w:hint="eastAsia" w:ascii="Times New Roman" w:hAnsi="Times New Roman" w:eastAsia="宋体" w:cs="Times New Roman"/>
                <w:color w:val="auto"/>
                <w:sz w:val="21"/>
                <w:szCs w:val="21"/>
                <w:lang w:eastAsia="zh-CN"/>
              </w:rPr>
              <w:t>、基本设施</w:t>
            </w:r>
          </w:p>
        </w:tc>
        <w:tc>
          <w:tcPr>
            <w:tcW w:w="2576" w:type="dxa"/>
            <w:vMerge w:val="continue"/>
            <w:tcBorders>
              <w:bottom w:val="single" w:color="auto" w:sz="4" w:space="0"/>
            </w:tcBorders>
            <w:noWrap w:val="0"/>
            <w:vAlign w:val="center"/>
          </w:tcPr>
          <w:p w14:paraId="3876D6E4">
            <w:pPr>
              <w:spacing w:line="240" w:lineRule="exact"/>
              <w:jc w:val="center"/>
              <w:rPr>
                <w:rFonts w:hint="default" w:ascii="Times New Roman" w:hAnsi="Times New Roman" w:cs="Times New Roman"/>
                <w:color w:val="auto"/>
                <w:sz w:val="21"/>
                <w:szCs w:val="21"/>
              </w:rPr>
            </w:pPr>
          </w:p>
        </w:tc>
      </w:tr>
      <w:tr w14:paraId="2E1F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vMerge w:val="restart"/>
            <w:noWrap w:val="0"/>
            <w:vAlign w:val="center"/>
          </w:tcPr>
          <w:p w14:paraId="07EF5CFF">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2</w:t>
            </w:r>
          </w:p>
        </w:tc>
        <w:tc>
          <w:tcPr>
            <w:tcW w:w="2375" w:type="dxa"/>
            <w:vMerge w:val="restart"/>
            <w:noWrap w:val="0"/>
            <w:vAlign w:val="center"/>
          </w:tcPr>
          <w:p w14:paraId="26C888E8">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站址和总平面布置及建（构）筑物</w:t>
            </w:r>
          </w:p>
        </w:tc>
        <w:tc>
          <w:tcPr>
            <w:tcW w:w="4245" w:type="dxa"/>
            <w:noWrap w:val="0"/>
            <w:vAlign w:val="center"/>
          </w:tcPr>
          <w:p w14:paraId="7DE8BC88">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周边安全距离</w:t>
            </w:r>
          </w:p>
        </w:tc>
        <w:tc>
          <w:tcPr>
            <w:tcW w:w="2576" w:type="dxa"/>
            <w:noWrap w:val="0"/>
            <w:vAlign w:val="center"/>
          </w:tcPr>
          <w:p w14:paraId="304B9986">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安全检查表</w:t>
            </w:r>
          </w:p>
        </w:tc>
      </w:tr>
      <w:tr w14:paraId="5170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vMerge w:val="continue"/>
            <w:noWrap w:val="0"/>
            <w:vAlign w:val="center"/>
          </w:tcPr>
          <w:p w14:paraId="65CEC77A">
            <w:pPr>
              <w:pStyle w:val="29"/>
              <w:jc w:val="center"/>
              <w:rPr>
                <w:rFonts w:hint="default" w:ascii="Times New Roman" w:hAnsi="Times New Roman" w:cs="Times New Roman"/>
                <w:color w:val="auto"/>
                <w:sz w:val="21"/>
                <w:szCs w:val="21"/>
              </w:rPr>
            </w:pPr>
          </w:p>
        </w:tc>
        <w:tc>
          <w:tcPr>
            <w:tcW w:w="2375" w:type="dxa"/>
            <w:vMerge w:val="continue"/>
            <w:noWrap w:val="0"/>
            <w:vAlign w:val="center"/>
          </w:tcPr>
          <w:p w14:paraId="5E3503A0">
            <w:pPr>
              <w:pStyle w:val="29"/>
              <w:jc w:val="center"/>
              <w:rPr>
                <w:rFonts w:hint="default" w:ascii="Times New Roman" w:hAnsi="Times New Roman" w:cs="Times New Roman"/>
                <w:color w:val="auto"/>
                <w:sz w:val="21"/>
                <w:szCs w:val="21"/>
              </w:rPr>
            </w:pPr>
          </w:p>
        </w:tc>
        <w:tc>
          <w:tcPr>
            <w:tcW w:w="4245" w:type="dxa"/>
            <w:noWrap w:val="0"/>
            <w:vAlign w:val="center"/>
          </w:tcPr>
          <w:p w14:paraId="3688203B">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平面布置安全距离</w:t>
            </w:r>
          </w:p>
        </w:tc>
        <w:tc>
          <w:tcPr>
            <w:tcW w:w="2576" w:type="dxa"/>
            <w:noWrap w:val="0"/>
            <w:vAlign w:val="center"/>
          </w:tcPr>
          <w:p w14:paraId="1C094F2A">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安全检查表</w:t>
            </w:r>
          </w:p>
        </w:tc>
      </w:tr>
      <w:tr w14:paraId="3099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vMerge w:val="continue"/>
            <w:noWrap w:val="0"/>
            <w:vAlign w:val="center"/>
          </w:tcPr>
          <w:p w14:paraId="24BC89C2">
            <w:pPr>
              <w:pStyle w:val="29"/>
              <w:jc w:val="center"/>
              <w:rPr>
                <w:rFonts w:hint="default" w:ascii="Times New Roman" w:hAnsi="Times New Roman" w:cs="Times New Roman"/>
                <w:color w:val="auto"/>
                <w:sz w:val="21"/>
                <w:szCs w:val="21"/>
              </w:rPr>
            </w:pPr>
          </w:p>
        </w:tc>
        <w:tc>
          <w:tcPr>
            <w:tcW w:w="2375" w:type="dxa"/>
            <w:vMerge w:val="continue"/>
            <w:noWrap w:val="0"/>
            <w:vAlign w:val="center"/>
          </w:tcPr>
          <w:p w14:paraId="28F2DA38">
            <w:pPr>
              <w:pStyle w:val="29"/>
              <w:jc w:val="center"/>
              <w:rPr>
                <w:rFonts w:hint="default" w:ascii="Times New Roman" w:hAnsi="Times New Roman" w:cs="Times New Roman"/>
                <w:color w:val="auto"/>
                <w:sz w:val="21"/>
                <w:szCs w:val="21"/>
              </w:rPr>
            </w:pPr>
          </w:p>
        </w:tc>
        <w:tc>
          <w:tcPr>
            <w:tcW w:w="4245" w:type="dxa"/>
            <w:noWrap w:val="0"/>
            <w:vAlign w:val="center"/>
          </w:tcPr>
          <w:p w14:paraId="3122E67B">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建（构）筑物</w:t>
            </w:r>
          </w:p>
        </w:tc>
        <w:tc>
          <w:tcPr>
            <w:tcW w:w="2576" w:type="dxa"/>
            <w:noWrap w:val="0"/>
            <w:vAlign w:val="center"/>
          </w:tcPr>
          <w:p w14:paraId="665164F8">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安全检查表</w:t>
            </w:r>
          </w:p>
        </w:tc>
      </w:tr>
      <w:tr w14:paraId="70F6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756" w:type="dxa"/>
            <w:noWrap w:val="0"/>
            <w:vAlign w:val="center"/>
          </w:tcPr>
          <w:p w14:paraId="06978F7D">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3</w:t>
            </w:r>
          </w:p>
        </w:tc>
        <w:tc>
          <w:tcPr>
            <w:tcW w:w="2375" w:type="dxa"/>
            <w:noWrap w:val="0"/>
            <w:vAlign w:val="center"/>
          </w:tcPr>
          <w:p w14:paraId="29543F68">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工艺及设备设施</w:t>
            </w:r>
          </w:p>
        </w:tc>
        <w:tc>
          <w:tcPr>
            <w:tcW w:w="4245" w:type="dxa"/>
            <w:noWrap w:val="0"/>
            <w:vAlign w:val="center"/>
          </w:tcPr>
          <w:p w14:paraId="48010A34">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加油区设备设施</w:t>
            </w:r>
          </w:p>
        </w:tc>
        <w:tc>
          <w:tcPr>
            <w:tcW w:w="2576" w:type="dxa"/>
            <w:tcBorders>
              <w:bottom w:val="single" w:color="auto" w:sz="4" w:space="0"/>
            </w:tcBorders>
            <w:noWrap w:val="0"/>
            <w:vAlign w:val="center"/>
          </w:tcPr>
          <w:p w14:paraId="7C35B161">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安全检查表</w:t>
            </w:r>
          </w:p>
          <w:p w14:paraId="1B605FBE">
            <w:pPr>
              <w:spacing w:line="240" w:lineRule="exact"/>
              <w:jc w:val="center"/>
              <w:rPr>
                <w:rFonts w:hint="default" w:ascii="Times New Roman" w:hAnsi="Times New Roman" w:eastAsia="宋体" w:cs="Times New Roman"/>
                <w:color w:val="auto"/>
                <w:sz w:val="21"/>
                <w:szCs w:val="21"/>
              </w:rPr>
            </w:pPr>
          </w:p>
        </w:tc>
      </w:tr>
      <w:tr w14:paraId="58E4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6" w:type="dxa"/>
            <w:tcBorders>
              <w:bottom w:val="single" w:color="auto" w:sz="4" w:space="0"/>
            </w:tcBorders>
            <w:noWrap w:val="0"/>
            <w:vAlign w:val="center"/>
          </w:tcPr>
          <w:p w14:paraId="4DC81D27">
            <w:pPr>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375" w:type="dxa"/>
            <w:tcBorders>
              <w:bottom w:val="single" w:color="auto" w:sz="4" w:space="0"/>
            </w:tcBorders>
            <w:noWrap w:val="0"/>
            <w:vAlign w:val="center"/>
          </w:tcPr>
          <w:p w14:paraId="40C4A299">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rPr>
              <w:t>消防安全设施</w:t>
            </w:r>
          </w:p>
        </w:tc>
        <w:tc>
          <w:tcPr>
            <w:tcW w:w="4245" w:type="dxa"/>
            <w:tcBorders>
              <w:bottom w:val="single" w:color="auto" w:sz="4" w:space="0"/>
            </w:tcBorders>
            <w:noWrap w:val="0"/>
            <w:vAlign w:val="center"/>
          </w:tcPr>
          <w:p w14:paraId="04F9CCC8">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消防设施和紧急切断系统</w:t>
            </w:r>
          </w:p>
        </w:tc>
        <w:tc>
          <w:tcPr>
            <w:tcW w:w="2576" w:type="dxa"/>
            <w:tcBorders>
              <w:bottom w:val="single" w:color="auto" w:sz="4" w:space="0"/>
            </w:tcBorders>
            <w:noWrap w:val="0"/>
            <w:vAlign w:val="center"/>
          </w:tcPr>
          <w:p w14:paraId="5D343763">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w:t>
            </w:r>
          </w:p>
        </w:tc>
      </w:tr>
      <w:tr w14:paraId="68AF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56" w:type="dxa"/>
            <w:noWrap w:val="0"/>
            <w:vAlign w:val="center"/>
          </w:tcPr>
          <w:p w14:paraId="1718BF66">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w:t>
            </w:r>
          </w:p>
        </w:tc>
        <w:tc>
          <w:tcPr>
            <w:tcW w:w="2375" w:type="dxa"/>
            <w:noWrap w:val="0"/>
            <w:vAlign w:val="center"/>
          </w:tcPr>
          <w:p w14:paraId="6F059755">
            <w:pPr>
              <w:pStyle w:val="29"/>
              <w:jc w:val="center"/>
              <w:rPr>
                <w:rFonts w:hint="default" w:ascii="Times New Roman" w:hAnsi="Times New Roman" w:cs="Times New Roman"/>
                <w:color w:val="auto"/>
                <w:sz w:val="21"/>
                <w:szCs w:val="21"/>
              </w:rPr>
            </w:pPr>
            <w:r>
              <w:rPr>
                <w:rFonts w:hint="eastAsia" w:ascii="Times New Roman" w:hAnsi="Times New Roman" w:eastAsia="宋体"/>
                <w:color w:val="000000"/>
                <w:szCs w:val="21"/>
                <w:highlight w:val="none"/>
                <w:lang w:eastAsia="zh-CN"/>
              </w:rPr>
              <w:t>公用工程及</w:t>
            </w:r>
            <w:r>
              <w:rPr>
                <w:rFonts w:hint="eastAsia" w:ascii="Times New Roman" w:hAnsi="Times New Roman" w:eastAsia="宋体"/>
                <w:color w:val="000000"/>
                <w:szCs w:val="21"/>
                <w:highlight w:val="none"/>
              </w:rPr>
              <w:t>辅助单元</w:t>
            </w:r>
          </w:p>
        </w:tc>
        <w:tc>
          <w:tcPr>
            <w:tcW w:w="4245" w:type="dxa"/>
            <w:noWrap w:val="0"/>
            <w:vAlign w:val="center"/>
          </w:tcPr>
          <w:p w14:paraId="2FB6FB17">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000000"/>
                <w:kern w:val="2"/>
                <w:sz w:val="21"/>
                <w:szCs w:val="21"/>
                <w:highlight w:val="none"/>
                <w:lang w:val="en-US" w:eastAsia="zh-CN" w:bidi="ar-SA"/>
              </w:rPr>
              <w:t>电气系统、给排水设施、防雷防静电设施</w:t>
            </w:r>
          </w:p>
        </w:tc>
        <w:tc>
          <w:tcPr>
            <w:tcW w:w="2576" w:type="dxa"/>
            <w:noWrap w:val="0"/>
            <w:vAlign w:val="center"/>
          </w:tcPr>
          <w:p w14:paraId="00637F53">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w:t>
            </w:r>
          </w:p>
        </w:tc>
      </w:tr>
      <w:tr w14:paraId="329C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56" w:type="dxa"/>
            <w:noWrap w:val="0"/>
            <w:vAlign w:val="center"/>
          </w:tcPr>
          <w:p w14:paraId="25CB7A9B">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2375" w:type="dxa"/>
            <w:noWrap w:val="0"/>
            <w:vAlign w:val="center"/>
          </w:tcPr>
          <w:p w14:paraId="0A2133F0">
            <w:pPr>
              <w:pStyle w:val="29"/>
              <w:jc w:val="center"/>
              <w:rPr>
                <w:rFonts w:hint="eastAsia" w:ascii="Times New Roman" w:hAnsi="Times New Roman" w:eastAsia="宋体"/>
                <w:color w:val="000000"/>
                <w:szCs w:val="21"/>
                <w:highlight w:val="none"/>
                <w:lang w:eastAsia="zh-CN"/>
              </w:rPr>
            </w:pPr>
            <w:r>
              <w:rPr>
                <w:rFonts w:hint="eastAsia" w:ascii="Times New Roman" w:hAnsi="Times New Roman" w:eastAsia="宋体"/>
                <w:color w:val="000000"/>
                <w:szCs w:val="21"/>
                <w:highlight w:val="none"/>
              </w:rPr>
              <w:t>作业单元</w:t>
            </w:r>
          </w:p>
        </w:tc>
        <w:tc>
          <w:tcPr>
            <w:tcW w:w="4245" w:type="dxa"/>
            <w:noWrap w:val="0"/>
            <w:vAlign w:val="center"/>
          </w:tcPr>
          <w:p w14:paraId="16D23832">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危险性分析</w:t>
            </w:r>
          </w:p>
        </w:tc>
        <w:tc>
          <w:tcPr>
            <w:tcW w:w="2576" w:type="dxa"/>
            <w:noWrap w:val="0"/>
            <w:vAlign w:val="center"/>
          </w:tcPr>
          <w:p w14:paraId="4742609B">
            <w:pPr>
              <w:spacing w:line="24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危险度评价</w:t>
            </w:r>
          </w:p>
        </w:tc>
      </w:tr>
      <w:tr w14:paraId="5956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56" w:type="dxa"/>
            <w:noWrap w:val="0"/>
            <w:vAlign w:val="center"/>
          </w:tcPr>
          <w:p w14:paraId="45EA3661">
            <w:pPr>
              <w:spacing w:line="24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2375" w:type="dxa"/>
            <w:noWrap w:val="0"/>
            <w:vAlign w:val="center"/>
          </w:tcPr>
          <w:p w14:paraId="3BA9DA18">
            <w:pPr>
              <w:pStyle w:val="29"/>
              <w:jc w:val="center"/>
              <w:rPr>
                <w:rFonts w:hint="eastAsia" w:ascii="Times New Roman" w:hAnsi="Times New Roman" w:eastAsia="宋体"/>
                <w:color w:val="000000"/>
                <w:szCs w:val="21"/>
                <w:highlight w:val="none"/>
                <w:lang w:eastAsia="zh-CN"/>
              </w:rPr>
            </w:pPr>
            <w:r>
              <w:rPr>
                <w:rFonts w:hint="eastAsia" w:ascii="Times New Roman" w:hAnsi="Times New Roman" w:eastAsia="宋体"/>
                <w:color w:val="000000"/>
                <w:szCs w:val="21"/>
                <w:highlight w:val="none"/>
                <w:lang w:eastAsia="zh-CN"/>
              </w:rPr>
              <w:t>综合管理单元</w:t>
            </w:r>
          </w:p>
        </w:tc>
        <w:tc>
          <w:tcPr>
            <w:tcW w:w="4245" w:type="dxa"/>
            <w:noWrap w:val="0"/>
            <w:vAlign w:val="center"/>
          </w:tcPr>
          <w:p w14:paraId="12DA715E">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综合性检查</w:t>
            </w:r>
          </w:p>
        </w:tc>
        <w:tc>
          <w:tcPr>
            <w:tcW w:w="2576" w:type="dxa"/>
            <w:noWrap w:val="0"/>
            <w:vAlign w:val="center"/>
          </w:tcPr>
          <w:p w14:paraId="351DAB18">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安全检查表</w:t>
            </w:r>
          </w:p>
        </w:tc>
      </w:tr>
    </w:tbl>
    <w:p w14:paraId="7A17C1D9">
      <w:pPr>
        <w:pStyle w:val="3"/>
        <w:keepNext w:val="0"/>
        <w:keepLines w:val="0"/>
        <w:pageBreakBefore w:val="0"/>
        <w:widowControl w:val="0"/>
        <w:kinsoku/>
        <w:wordWrap w:val="0"/>
        <w:overflowPunct/>
        <w:topLinePunct w:val="0"/>
        <w:autoSpaceDE/>
        <w:autoSpaceDN/>
        <w:bidi w:val="0"/>
        <w:adjustRightInd w:val="0"/>
        <w:snapToGrid w:val="0"/>
        <w:spacing w:before="0" w:after="0" w:line="580" w:lineRule="exact"/>
        <w:jc w:val="left"/>
        <w:textAlignment w:val="center"/>
        <w:rPr>
          <w:rFonts w:hint="eastAsia" w:ascii="宋体" w:hAnsi="宋体" w:eastAsia="宋体" w:cs="宋体"/>
          <w:color w:val="000000"/>
          <w:sz w:val="28"/>
          <w:szCs w:val="28"/>
        </w:rPr>
      </w:pPr>
      <w:bookmarkStart w:id="224" w:name="_Toc16564"/>
      <w:r>
        <w:rPr>
          <w:rFonts w:hint="eastAsia" w:ascii="宋体" w:hAnsi="宋体" w:eastAsia="宋体" w:cs="宋体"/>
          <w:color w:val="000000"/>
          <w:sz w:val="28"/>
          <w:szCs w:val="28"/>
        </w:rPr>
        <w:t>4.2评价方法简介</w:t>
      </w:r>
      <w:bookmarkEnd w:id="218"/>
      <w:bookmarkEnd w:id="219"/>
      <w:bookmarkEnd w:id="220"/>
      <w:bookmarkEnd w:id="221"/>
      <w:bookmarkEnd w:id="222"/>
      <w:bookmarkEnd w:id="223"/>
      <w:bookmarkEnd w:id="224"/>
    </w:p>
    <w:p w14:paraId="3308A4DF">
      <w:pPr>
        <w:pStyle w:val="4"/>
        <w:spacing w:before="0" w:beforeLines="0" w:after="0" w:afterLines="0" w:line="600" w:lineRule="exact"/>
        <w:rPr>
          <w:rFonts w:hint="default" w:ascii="Times New Roman" w:hAnsi="Times New Roman" w:eastAsia="宋体" w:cs="Times New Roman"/>
          <w:color w:val="auto"/>
          <w:sz w:val="28"/>
          <w:szCs w:val="28"/>
        </w:rPr>
      </w:pPr>
      <w:bookmarkStart w:id="225" w:name="_Toc10484"/>
      <w:bookmarkStart w:id="226" w:name="_Toc27444"/>
      <w:r>
        <w:rPr>
          <w:rFonts w:hint="default" w:ascii="Times New Roman" w:hAnsi="Times New Roman" w:eastAsia="宋体" w:cs="Times New Roman"/>
          <w:color w:val="auto"/>
          <w:sz w:val="28"/>
          <w:szCs w:val="28"/>
        </w:rPr>
        <w:t>4.2.1</w:t>
      </w:r>
      <w:r>
        <w:rPr>
          <w:rFonts w:hint="eastAsia" w:ascii="Times New Roman" w:hAnsi="Times New Roman" w:eastAsia="宋体" w:cs="Times New Roman"/>
          <w:color w:val="auto"/>
          <w:sz w:val="28"/>
          <w:szCs w:val="28"/>
        </w:rPr>
        <w:t>安全检查表分析法</w:t>
      </w:r>
      <w:bookmarkEnd w:id="225"/>
      <w:bookmarkEnd w:id="226"/>
    </w:p>
    <w:p w14:paraId="3EC3A561">
      <w:pPr>
        <w:spacing w:beforeLines="0" w:afterLines="0" w:line="600" w:lineRule="exact"/>
        <w:ind w:firstLine="560"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安全检查表分析（Safety Checklist Analysis）简称为SCLA，是将一系列分析该加油站列出检查表进行检查、分析，以确定系统的状态，这些项目可包括设备、设施、工艺、操作、管理等各个方面。安全检查表分析法既可以用于简单的快速分析，也可以用于深层次的细致地分析，是识别已知危险的较为有效的分析方法之一。</w:t>
      </w:r>
    </w:p>
    <w:p w14:paraId="2A01E433">
      <w:pPr>
        <w:pStyle w:val="4"/>
        <w:spacing w:before="156" w:after="156" w:line="560" w:lineRule="exact"/>
        <w:rPr>
          <w:rFonts w:hint="default" w:ascii="Times New Roman" w:hAnsi="Times New Roman" w:eastAsia="宋体" w:cs="Times New Roman"/>
          <w:color w:val="auto"/>
          <w:sz w:val="28"/>
          <w:szCs w:val="28"/>
        </w:rPr>
      </w:pPr>
      <w:bookmarkStart w:id="227" w:name="_Toc20919"/>
      <w:bookmarkStart w:id="228" w:name="_Toc18953"/>
      <w:r>
        <w:rPr>
          <w:rFonts w:hint="default" w:ascii="Times New Roman" w:hAnsi="Times New Roman" w:eastAsia="宋体" w:cs="Times New Roman"/>
          <w:color w:val="auto"/>
          <w:sz w:val="28"/>
          <w:szCs w:val="28"/>
        </w:rPr>
        <w:t>4.2.</w:t>
      </w:r>
      <w:r>
        <w:rPr>
          <w:rFonts w:hint="eastAsia" w:ascii="Times New Roman" w:hAnsi="Times New Roman" w:eastAsia="宋体" w:cs="Times New Roman"/>
          <w:color w:val="auto"/>
          <w:sz w:val="28"/>
          <w:szCs w:val="28"/>
        </w:rPr>
        <w:t>2危险度评价</w:t>
      </w:r>
      <w:bookmarkEnd w:id="227"/>
      <w:bookmarkEnd w:id="228"/>
    </w:p>
    <w:p w14:paraId="6C218662">
      <w:pPr>
        <w:spacing w:beforeLines="0" w:afterLines="0" w:line="560" w:lineRule="exact"/>
        <w:ind w:firstLine="560" w:firstLineChars="200"/>
        <w:rPr>
          <w:rFonts w:hint="default" w:ascii="Times New Roman" w:hAnsi="Times New Roman" w:eastAsia="宋体" w:cs="Times New Roman"/>
          <w:color w:val="auto"/>
          <w:sz w:val="28"/>
          <w:szCs w:val="24"/>
        </w:rPr>
      </w:pPr>
      <w:r>
        <w:rPr>
          <w:rFonts w:hint="eastAsia" w:ascii="Times New Roman" w:hAnsi="Times New Roman" w:eastAsia="宋体" w:cs="Times New Roman"/>
          <w:color w:val="auto"/>
          <w:sz w:val="28"/>
          <w:szCs w:val="24"/>
        </w:rPr>
        <w:t>危险度评价法是根据日本劳动省“六阶段法”的定量评价表，结合我国有关标准和规程编制 “危险度评价取值表”，在表中单元危险度由物质、容量、温度、压力和操作5个项目共同确定。其危险度分别按A=10分，B=5分，C=2分，D=0分赋值计分，由累计分值确定单元危险度。危险度评价取值表，见表4.2-1。</w:t>
      </w:r>
    </w:p>
    <w:p w14:paraId="0039FA42">
      <w:pPr>
        <w:pStyle w:val="43"/>
        <w:spacing w:before="156" w:line="560" w:lineRule="exact"/>
        <w:rPr>
          <w:rFonts w:hint="default" w:ascii="Times New Roman" w:hAnsi="Times New Roman" w:cs="Times New Roman"/>
          <w:color w:val="auto"/>
          <w:sz w:val="24"/>
          <w:szCs w:val="20"/>
        </w:rPr>
      </w:pPr>
      <w:r>
        <w:rPr>
          <w:rFonts w:hint="eastAsia" w:ascii="Times New Roman" w:hAnsi="Times New Roman" w:cs="Times New Roman"/>
          <w:color w:val="auto"/>
          <w:sz w:val="24"/>
          <w:szCs w:val="20"/>
        </w:rPr>
        <w:t>表4.2-1</w:t>
      </w:r>
      <w:r>
        <w:rPr>
          <w:rFonts w:hint="default" w:ascii="Times New Roman" w:hAnsi="Times New Roman" w:cs="Times New Roman"/>
          <w:color w:val="auto"/>
          <w:sz w:val="24"/>
          <w:szCs w:val="20"/>
        </w:rPr>
        <w:t xml:space="preserve"> </w:t>
      </w:r>
      <w:r>
        <w:rPr>
          <w:rFonts w:hint="eastAsia" w:ascii="Times New Roman" w:hAnsi="Times New Roman" w:cs="Times New Roman"/>
          <w:color w:val="auto"/>
          <w:sz w:val="24"/>
          <w:szCs w:val="20"/>
        </w:rPr>
        <w:t>危险度评价取值表</w:t>
      </w:r>
    </w:p>
    <w:tbl>
      <w:tblPr>
        <w:tblStyle w:val="20"/>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982"/>
        <w:gridCol w:w="2336"/>
        <w:gridCol w:w="2225"/>
        <w:gridCol w:w="1555"/>
      </w:tblGrid>
      <w:tr w14:paraId="47B5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02" w:type="dxa"/>
            <w:tcBorders>
              <w:top w:val="single" w:color="auto" w:sz="4" w:space="0"/>
              <w:left w:val="single" w:color="auto" w:sz="4" w:space="0"/>
              <w:bottom w:val="single" w:color="auto" w:sz="4" w:space="0"/>
              <w:right w:val="single" w:color="auto" w:sz="4" w:space="0"/>
              <w:tl2br w:val="nil"/>
              <w:tr2bl w:val="nil"/>
            </w:tcBorders>
            <w:noWrap w:val="0"/>
            <w:vAlign w:val="top"/>
          </w:tcPr>
          <w:p w14:paraId="6ED17443">
            <w:pPr>
              <w:spacing w:beforeLines="0" w:afterLines="0"/>
              <w:ind w:firstLine="211" w:firstLineChars="100"/>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分值</w:t>
            </w:r>
          </w:p>
          <w:p w14:paraId="380D03F1">
            <w:pPr>
              <w:spacing w:beforeLines="0" w:afterLines="0"/>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项目</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939AA2">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rPr>
              <w:t>（10分）</w:t>
            </w:r>
          </w:p>
        </w:tc>
        <w:tc>
          <w:tcPr>
            <w:tcW w:w="23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D7F1A3">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w:t>
            </w:r>
            <w:r>
              <w:rPr>
                <w:rFonts w:hint="eastAsia" w:ascii="Times New Roman" w:hAnsi="Times New Roman" w:eastAsia="宋体" w:cs="Times New Roman"/>
                <w:color w:val="auto"/>
                <w:sz w:val="21"/>
                <w:szCs w:val="21"/>
              </w:rPr>
              <w:t>（5分）</w:t>
            </w:r>
          </w:p>
        </w:tc>
        <w:tc>
          <w:tcPr>
            <w:tcW w:w="22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9BA5ED">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eastAsia" w:ascii="Times New Roman" w:hAnsi="Times New Roman" w:eastAsia="宋体" w:cs="Times New Roman"/>
                <w:color w:val="auto"/>
                <w:sz w:val="21"/>
                <w:szCs w:val="21"/>
              </w:rPr>
              <w:t>（2分）</w:t>
            </w:r>
          </w:p>
        </w:tc>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08DE11">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r>
              <w:rPr>
                <w:rFonts w:hint="eastAsia" w:ascii="Times New Roman" w:hAnsi="Times New Roman" w:eastAsia="宋体" w:cs="Times New Roman"/>
                <w:color w:val="auto"/>
                <w:sz w:val="21"/>
                <w:szCs w:val="21"/>
              </w:rPr>
              <w:t>（0分）</w:t>
            </w:r>
          </w:p>
        </w:tc>
      </w:tr>
      <w:tr w14:paraId="2474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8F81F2">
            <w:pPr>
              <w:spacing w:beforeLines="0" w:afterLine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物质</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7C698D">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甲类可燃气体；</w:t>
            </w:r>
          </w:p>
          <w:p w14:paraId="184806A9">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甲</w:t>
            </w:r>
            <w:r>
              <w:rPr>
                <w:rFonts w:hint="default" w:ascii="Times New Roman" w:hAnsi="Times New Roman" w:eastAsia="宋体" w:cs="Times New Roman"/>
                <w:color w:val="auto"/>
                <w:sz w:val="21"/>
                <w:szCs w:val="21"/>
                <w:vertAlign w:val="subscript"/>
              </w:rPr>
              <w:t>A</w:t>
            </w:r>
            <w:r>
              <w:rPr>
                <w:rFonts w:hint="eastAsia" w:ascii="Times New Roman" w:hAnsi="Times New Roman" w:eastAsia="宋体" w:cs="Times New Roman"/>
                <w:color w:val="auto"/>
                <w:sz w:val="21"/>
                <w:szCs w:val="21"/>
              </w:rPr>
              <w:t>类物质及液态烃类；</w:t>
            </w:r>
          </w:p>
          <w:p w14:paraId="4F9BFFDF">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甲类固体；</w:t>
            </w:r>
          </w:p>
          <w:p w14:paraId="62427582">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极度有害介质</w:t>
            </w:r>
          </w:p>
        </w:tc>
        <w:tc>
          <w:tcPr>
            <w:tcW w:w="23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79E3B2">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乙类气体；</w:t>
            </w:r>
          </w:p>
          <w:p w14:paraId="15578135">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甲</w:t>
            </w:r>
            <w:r>
              <w:rPr>
                <w:rFonts w:hint="default" w:ascii="Times New Roman" w:hAnsi="Times New Roman" w:eastAsia="宋体" w:cs="Times New Roman"/>
                <w:color w:val="auto"/>
                <w:sz w:val="21"/>
                <w:szCs w:val="21"/>
                <w:vertAlign w:val="subscript"/>
              </w:rPr>
              <w:t>B</w:t>
            </w:r>
            <w:r>
              <w:rPr>
                <w:rFonts w:hint="eastAsia" w:ascii="Times New Roman" w:hAnsi="Times New Roman" w:eastAsia="宋体" w:cs="Times New Roman"/>
                <w:color w:val="auto"/>
                <w:sz w:val="21"/>
                <w:szCs w:val="21"/>
              </w:rPr>
              <w:t>、乙</w:t>
            </w:r>
            <w:r>
              <w:rPr>
                <w:rFonts w:hint="default" w:ascii="Times New Roman" w:hAnsi="Times New Roman" w:eastAsia="宋体" w:cs="Times New Roman"/>
                <w:color w:val="auto"/>
                <w:sz w:val="21"/>
                <w:szCs w:val="21"/>
                <w:vertAlign w:val="subscript"/>
              </w:rPr>
              <w:t>A</w:t>
            </w:r>
            <w:r>
              <w:rPr>
                <w:rFonts w:hint="eastAsia" w:ascii="Times New Roman" w:hAnsi="Times New Roman" w:eastAsia="宋体" w:cs="Times New Roman"/>
                <w:color w:val="auto"/>
                <w:sz w:val="21"/>
                <w:szCs w:val="21"/>
              </w:rPr>
              <w:t>类可燃液体；</w:t>
            </w:r>
          </w:p>
          <w:p w14:paraId="38C3A70A">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乙类固体；</w:t>
            </w:r>
          </w:p>
          <w:p w14:paraId="71B9D6F9">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高度有害介质</w:t>
            </w:r>
          </w:p>
        </w:tc>
        <w:tc>
          <w:tcPr>
            <w:tcW w:w="22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F10E64">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乙</w:t>
            </w:r>
            <w:r>
              <w:rPr>
                <w:rFonts w:hint="default" w:ascii="Times New Roman" w:hAnsi="Times New Roman" w:eastAsia="宋体" w:cs="Times New Roman"/>
                <w:color w:val="auto"/>
                <w:sz w:val="21"/>
                <w:szCs w:val="21"/>
                <w:vertAlign w:val="subscript"/>
              </w:rPr>
              <w:t>B</w:t>
            </w:r>
            <w:r>
              <w:rPr>
                <w:rFonts w:hint="eastAsia" w:ascii="Times New Roman" w:hAnsi="Times New Roman" w:eastAsia="宋体" w:cs="Times New Roman"/>
                <w:color w:val="auto"/>
                <w:sz w:val="21"/>
                <w:szCs w:val="21"/>
              </w:rPr>
              <w:t>、丙</w:t>
            </w:r>
            <w:r>
              <w:rPr>
                <w:rFonts w:hint="default" w:ascii="Times New Roman" w:hAnsi="Times New Roman" w:eastAsia="宋体" w:cs="Times New Roman"/>
                <w:color w:val="auto"/>
                <w:sz w:val="21"/>
                <w:szCs w:val="21"/>
                <w:vertAlign w:val="subscript"/>
              </w:rPr>
              <w:t>A</w:t>
            </w:r>
            <w:r>
              <w:rPr>
                <w:rFonts w:hint="eastAsia" w:ascii="Times New Roman" w:hAnsi="Times New Roman" w:eastAsia="宋体" w:cs="Times New Roman"/>
                <w:color w:val="auto"/>
                <w:sz w:val="21"/>
                <w:szCs w:val="21"/>
              </w:rPr>
              <w:t>、丙</w:t>
            </w:r>
            <w:r>
              <w:rPr>
                <w:rFonts w:hint="default" w:ascii="Times New Roman" w:hAnsi="Times New Roman" w:eastAsia="宋体" w:cs="Times New Roman"/>
                <w:color w:val="auto"/>
                <w:sz w:val="21"/>
                <w:szCs w:val="21"/>
                <w:vertAlign w:val="subscript"/>
              </w:rPr>
              <w:t>B</w:t>
            </w:r>
            <w:r>
              <w:rPr>
                <w:rFonts w:hint="eastAsia" w:ascii="Times New Roman" w:hAnsi="Times New Roman" w:eastAsia="宋体" w:cs="Times New Roman"/>
                <w:color w:val="auto"/>
                <w:sz w:val="21"/>
                <w:szCs w:val="21"/>
              </w:rPr>
              <w:t>类可燃液体；</w:t>
            </w:r>
          </w:p>
          <w:p w14:paraId="14337E12">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丙类固体；</w:t>
            </w:r>
          </w:p>
          <w:p w14:paraId="404B36CF">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中、轻度有害介质</w:t>
            </w:r>
          </w:p>
        </w:tc>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BF2942">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不属A、B、C项之物质</w:t>
            </w:r>
          </w:p>
        </w:tc>
      </w:tr>
      <w:tr w14:paraId="1073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A46653">
            <w:pPr>
              <w:spacing w:beforeLines="0" w:afterLine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容量</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7EC268">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气体1000m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以上</w:t>
            </w:r>
          </w:p>
          <w:p w14:paraId="02F07C37">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液体100m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以上</w:t>
            </w:r>
          </w:p>
        </w:tc>
        <w:tc>
          <w:tcPr>
            <w:tcW w:w="23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6FFE00">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气体500~1000 m</w:t>
            </w:r>
            <w:r>
              <w:rPr>
                <w:rFonts w:hint="default" w:ascii="Times New Roman" w:hAnsi="Times New Roman" w:eastAsia="宋体" w:cs="Times New Roman"/>
                <w:color w:val="auto"/>
                <w:sz w:val="21"/>
                <w:szCs w:val="21"/>
                <w:vertAlign w:val="superscript"/>
              </w:rPr>
              <w:t>3</w:t>
            </w:r>
          </w:p>
          <w:p w14:paraId="780E6E81">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液体50~100 m</w:t>
            </w:r>
            <w:r>
              <w:rPr>
                <w:rFonts w:hint="default" w:ascii="Times New Roman" w:hAnsi="Times New Roman" w:eastAsia="宋体" w:cs="Times New Roman"/>
                <w:color w:val="auto"/>
                <w:sz w:val="21"/>
                <w:szCs w:val="21"/>
                <w:vertAlign w:val="superscript"/>
              </w:rPr>
              <w:t>3</w:t>
            </w:r>
          </w:p>
        </w:tc>
        <w:tc>
          <w:tcPr>
            <w:tcW w:w="22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69BCCE">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气体100~500 m</w:t>
            </w:r>
            <w:r>
              <w:rPr>
                <w:rFonts w:hint="default" w:ascii="Times New Roman" w:hAnsi="Times New Roman" w:eastAsia="宋体" w:cs="Times New Roman"/>
                <w:color w:val="auto"/>
                <w:sz w:val="21"/>
                <w:szCs w:val="21"/>
                <w:vertAlign w:val="superscript"/>
              </w:rPr>
              <w:t>3</w:t>
            </w:r>
          </w:p>
          <w:p w14:paraId="42178B01">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液体10~50 m</w:t>
            </w:r>
            <w:r>
              <w:rPr>
                <w:rFonts w:hint="default" w:ascii="Times New Roman" w:hAnsi="Times New Roman" w:eastAsia="宋体" w:cs="Times New Roman"/>
                <w:color w:val="auto"/>
                <w:sz w:val="21"/>
                <w:szCs w:val="21"/>
                <w:vertAlign w:val="superscript"/>
              </w:rPr>
              <w:t>3</w:t>
            </w:r>
          </w:p>
        </w:tc>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70ED7">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气体＜100 m</w:t>
            </w:r>
            <w:r>
              <w:rPr>
                <w:rFonts w:hint="default" w:ascii="Times New Roman" w:hAnsi="Times New Roman" w:eastAsia="宋体" w:cs="Times New Roman"/>
                <w:color w:val="auto"/>
                <w:sz w:val="21"/>
                <w:szCs w:val="21"/>
                <w:vertAlign w:val="superscript"/>
              </w:rPr>
              <w:t>3</w:t>
            </w:r>
          </w:p>
          <w:p w14:paraId="56689747">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液体＜10 m</w:t>
            </w:r>
            <w:r>
              <w:rPr>
                <w:rFonts w:hint="default" w:ascii="Times New Roman" w:hAnsi="Times New Roman" w:eastAsia="宋体" w:cs="Times New Roman"/>
                <w:color w:val="auto"/>
                <w:sz w:val="21"/>
                <w:szCs w:val="21"/>
                <w:vertAlign w:val="superscript"/>
              </w:rPr>
              <w:t>3</w:t>
            </w:r>
          </w:p>
        </w:tc>
      </w:tr>
      <w:tr w14:paraId="352C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4A61E7">
            <w:pPr>
              <w:spacing w:beforeLines="0" w:afterLine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温度</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B1C27A">
            <w:pPr>
              <w:spacing w:beforeLines="0" w:afterLines="0"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r>
              <w:rPr>
                <w:rFonts w:hint="eastAsia" w:ascii="Times New Roman" w:hAnsi="Times New Roman" w:eastAsia="宋体" w:cs="Times New Roman"/>
                <w:color w:val="auto"/>
                <w:sz w:val="21"/>
                <w:szCs w:val="21"/>
              </w:rPr>
              <w:t>以上使用，其操作温度在燃点以上</w:t>
            </w:r>
          </w:p>
        </w:tc>
        <w:tc>
          <w:tcPr>
            <w:tcW w:w="23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B68FE8">
            <w:pPr>
              <w:spacing w:beforeLines="0" w:afterLines="0" w:line="240" w:lineRule="exact"/>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1000℃</w:t>
            </w:r>
            <w:r>
              <w:rPr>
                <w:rFonts w:hint="eastAsia" w:ascii="Times New Roman" w:hAnsi="Times New Roman" w:eastAsia="宋体" w:cs="Times New Roman"/>
                <w:color w:val="auto"/>
                <w:spacing w:val="-8"/>
                <w:sz w:val="21"/>
                <w:szCs w:val="21"/>
              </w:rPr>
              <w:t>以上使用，但操作温度在燃点以下；</w:t>
            </w:r>
          </w:p>
          <w:p w14:paraId="7A76D624">
            <w:pPr>
              <w:spacing w:beforeLines="0" w:afterLines="0" w:line="240" w:lineRule="exact"/>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8"/>
                <w:sz w:val="21"/>
                <w:szCs w:val="21"/>
              </w:rPr>
              <w:t>在250~1000℃使用，其操作温度在燃点以上</w:t>
            </w:r>
          </w:p>
        </w:tc>
        <w:tc>
          <w:tcPr>
            <w:tcW w:w="22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1DB3FA">
            <w:pPr>
              <w:spacing w:beforeLines="0" w:afterLines="0" w:line="240" w:lineRule="exact"/>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8"/>
                <w:sz w:val="21"/>
                <w:szCs w:val="21"/>
              </w:rPr>
              <w:t>在250~1000℃使用，但操作温度在燃点以下；</w:t>
            </w:r>
          </w:p>
          <w:p w14:paraId="027C5A1D">
            <w:pPr>
              <w:spacing w:beforeLines="0" w:afterLines="0" w:line="240" w:lineRule="exact"/>
              <w:rPr>
                <w:rFonts w:hint="default" w:ascii="Times New Roman" w:hAnsi="Times New Roman" w:eastAsia="宋体" w:cs="Times New Roman"/>
                <w:color w:val="auto"/>
                <w:spacing w:val="-8"/>
                <w:sz w:val="21"/>
                <w:szCs w:val="21"/>
              </w:rPr>
            </w:pPr>
            <w:r>
              <w:rPr>
                <w:rFonts w:hint="eastAsia" w:ascii="Times New Roman" w:hAnsi="Times New Roman" w:eastAsia="宋体" w:cs="Times New Roman"/>
                <w:color w:val="auto"/>
                <w:spacing w:val="-8"/>
                <w:sz w:val="21"/>
                <w:szCs w:val="21"/>
              </w:rPr>
              <w:t>在低于在250℃使用，其操作温度在燃点以上</w:t>
            </w:r>
          </w:p>
        </w:tc>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552D06">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在低于在250℃使用，其操作温度在燃点以下</w:t>
            </w:r>
          </w:p>
        </w:tc>
      </w:tr>
      <w:tr w14:paraId="31B7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0ED9BB">
            <w:pPr>
              <w:spacing w:beforeLines="0" w:afterLine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压力</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BDA115">
            <w:pPr>
              <w:spacing w:beforeLines="0" w:afterLines="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100MPa</w:t>
            </w:r>
          </w:p>
        </w:tc>
        <w:tc>
          <w:tcPr>
            <w:tcW w:w="23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D0DAD2">
            <w:pPr>
              <w:spacing w:beforeLines="0" w:afterLines="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20~100 MPa</w:t>
            </w:r>
          </w:p>
        </w:tc>
        <w:tc>
          <w:tcPr>
            <w:tcW w:w="22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E7AB8A">
            <w:pPr>
              <w:spacing w:beforeLines="0" w:afterLines="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 MPa</w:t>
            </w:r>
          </w:p>
        </w:tc>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068EE5">
            <w:pPr>
              <w:spacing w:beforeLines="0" w:afterLines="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 M</w:t>
            </w:r>
            <w:r>
              <w:rPr>
                <w:rFonts w:hint="eastAsia"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rPr>
              <w:t>以下</w:t>
            </w:r>
          </w:p>
        </w:tc>
      </w:tr>
      <w:tr w14:paraId="0158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BBE0CE">
            <w:pPr>
              <w:spacing w:beforeLines="0" w:afterLines="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操作</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F79411">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临界放热和特别剧烈的反应操作</w:t>
            </w:r>
          </w:p>
          <w:p w14:paraId="1EF5C859">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在爆炸极限范围内或其附近操作</w:t>
            </w:r>
          </w:p>
        </w:tc>
        <w:tc>
          <w:tcPr>
            <w:tcW w:w="23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A6BFFC">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中等放热反应；</w:t>
            </w:r>
          </w:p>
          <w:p w14:paraId="69A0A44A">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16"/>
                <w:sz w:val="21"/>
                <w:szCs w:val="21"/>
              </w:rPr>
              <w:t>系统进入空气或不纯物质，可能发生危险的操作</w:t>
            </w:r>
            <w:r>
              <w:rPr>
                <w:rFonts w:hint="eastAsia" w:ascii="Times New Roman" w:hAnsi="Times New Roman" w:eastAsia="宋体" w:cs="Times New Roman"/>
                <w:color w:val="auto"/>
                <w:sz w:val="21"/>
                <w:szCs w:val="21"/>
              </w:rPr>
              <w:t>；</w:t>
            </w:r>
          </w:p>
          <w:p w14:paraId="3DA2007E">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使用粉状或雾状物质，有可能发生粉尘爆炸的操作</w:t>
            </w:r>
          </w:p>
          <w:p w14:paraId="2C5AEECB">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单批式操作</w:t>
            </w:r>
          </w:p>
        </w:tc>
        <w:tc>
          <w:tcPr>
            <w:tcW w:w="22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8F8E93">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轻微放热反应；</w:t>
            </w:r>
          </w:p>
          <w:p w14:paraId="1E503C04">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在精制过程中伴有化学反应；</w:t>
            </w:r>
          </w:p>
          <w:p w14:paraId="63538837">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单批式操作，但开始使用机械进行程序操作；</w:t>
            </w:r>
          </w:p>
          <w:p w14:paraId="2D13420C">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有一定危险的操作</w:t>
            </w:r>
          </w:p>
        </w:tc>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9451F0">
            <w:pPr>
              <w:spacing w:beforeLines="0" w:afterLines="0" w:line="240" w:lineRule="exac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无危险的操作</w:t>
            </w:r>
          </w:p>
        </w:tc>
      </w:tr>
    </w:tbl>
    <w:p w14:paraId="13810459">
      <w:pPr>
        <w:spacing w:beforeLines="0" w:afterLines="0" w:line="560" w:lineRule="exact"/>
        <w:ind w:firstLine="560" w:firstLineChars="200"/>
        <w:rPr>
          <w:rFonts w:hint="default" w:ascii="Times New Roman" w:hAnsi="Times New Roman" w:eastAsia="宋体" w:cs="Times New Roman"/>
          <w:b/>
          <w:color w:val="auto"/>
          <w:sz w:val="24"/>
          <w:szCs w:val="24"/>
        </w:rPr>
      </w:pPr>
      <w:r>
        <w:rPr>
          <w:rFonts w:hint="eastAsia" w:ascii="Times New Roman" w:hAnsi="Times New Roman" w:eastAsia="宋体" w:cs="Times New Roman"/>
          <w:color w:val="auto"/>
          <w:sz w:val="28"/>
          <w:szCs w:val="24"/>
        </w:rPr>
        <w:t>危险度分级见表4.2-2。</w:t>
      </w:r>
    </w:p>
    <w:p w14:paraId="671987A9">
      <w:pPr>
        <w:pStyle w:val="43"/>
        <w:adjustRightInd/>
        <w:snapToGrid/>
        <w:spacing w:before="156" w:line="560" w:lineRule="exact"/>
        <w:rPr>
          <w:rFonts w:hint="default" w:ascii="Times New Roman" w:hAnsi="Times New Roman" w:cs="Times New Roman"/>
          <w:color w:val="auto"/>
          <w:sz w:val="24"/>
          <w:szCs w:val="20"/>
        </w:rPr>
      </w:pPr>
      <w:r>
        <w:rPr>
          <w:rFonts w:hint="eastAsia" w:ascii="Times New Roman" w:hAnsi="Times New Roman" w:cs="Times New Roman"/>
          <w:color w:val="auto"/>
          <w:sz w:val="24"/>
          <w:szCs w:val="20"/>
        </w:rPr>
        <w:t>表4.2-2</w:t>
      </w:r>
      <w:r>
        <w:rPr>
          <w:rFonts w:hint="default" w:ascii="Times New Roman" w:hAnsi="Times New Roman" w:cs="Times New Roman"/>
          <w:color w:val="auto"/>
          <w:sz w:val="24"/>
          <w:szCs w:val="20"/>
        </w:rPr>
        <w:t xml:space="preserve"> </w:t>
      </w:r>
      <w:r>
        <w:rPr>
          <w:rFonts w:hint="eastAsia" w:ascii="Times New Roman" w:hAnsi="Times New Roman" w:cs="Times New Roman"/>
          <w:color w:val="auto"/>
          <w:sz w:val="24"/>
          <w:szCs w:val="20"/>
        </w:rPr>
        <w:t>危险度分级表</w:t>
      </w:r>
    </w:p>
    <w:tbl>
      <w:tblPr>
        <w:tblStyle w:val="20"/>
        <w:tblW w:w="0" w:type="auto"/>
        <w:tblInd w:w="-6"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26"/>
        <w:gridCol w:w="2327"/>
        <w:gridCol w:w="2327"/>
        <w:gridCol w:w="2038"/>
      </w:tblGrid>
      <w:tr w14:paraId="1740438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2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2954B8">
            <w:pPr>
              <w:spacing w:beforeLines="0" w:afterLines="0" w:line="260" w:lineRule="exact"/>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总分值</w:t>
            </w:r>
          </w:p>
        </w:tc>
        <w:tc>
          <w:tcPr>
            <w:tcW w:w="2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7A362D">
            <w:pPr>
              <w:spacing w:beforeLines="0" w:afterLines="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r>
              <w:rPr>
                <w:rFonts w:hint="eastAsia" w:ascii="Times New Roman" w:hAnsi="Times New Roman" w:eastAsia="宋体" w:cs="Times New Roman"/>
                <w:color w:val="auto"/>
                <w:sz w:val="21"/>
                <w:szCs w:val="21"/>
              </w:rPr>
              <w:t>分</w:t>
            </w:r>
          </w:p>
        </w:tc>
        <w:tc>
          <w:tcPr>
            <w:tcW w:w="2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410EEB">
            <w:pPr>
              <w:spacing w:beforeLines="0" w:afterLines="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15</w:t>
            </w:r>
            <w:r>
              <w:rPr>
                <w:rFonts w:hint="eastAsia" w:ascii="Times New Roman" w:hAnsi="Times New Roman" w:eastAsia="宋体" w:cs="Times New Roman"/>
                <w:color w:val="auto"/>
                <w:sz w:val="21"/>
                <w:szCs w:val="21"/>
              </w:rPr>
              <w:t>分</w:t>
            </w:r>
          </w:p>
        </w:tc>
        <w:tc>
          <w:tcPr>
            <w:tcW w:w="20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87B888">
            <w:pPr>
              <w:spacing w:beforeLines="0" w:afterLines="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rPr>
              <w:t>分</w:t>
            </w:r>
          </w:p>
        </w:tc>
      </w:tr>
      <w:tr w14:paraId="569256D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2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11F11F">
            <w:pPr>
              <w:spacing w:beforeLines="0" w:afterLines="0" w:line="260" w:lineRule="exact"/>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等级</w:t>
            </w:r>
          </w:p>
        </w:tc>
        <w:tc>
          <w:tcPr>
            <w:tcW w:w="2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EF44B3">
            <w:pPr>
              <w:spacing w:beforeLines="0" w:afterLines="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c>
          <w:tcPr>
            <w:tcW w:w="2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D72F86">
            <w:pPr>
              <w:spacing w:beforeLines="0" w:afterLines="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20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9B7716">
            <w:pPr>
              <w:spacing w:beforeLines="0" w:afterLines="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r>
      <w:tr w14:paraId="54936E9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2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1735EC">
            <w:pPr>
              <w:spacing w:beforeLines="0" w:afterLines="0" w:line="260" w:lineRule="exact"/>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危险程度</w:t>
            </w:r>
          </w:p>
        </w:tc>
        <w:tc>
          <w:tcPr>
            <w:tcW w:w="2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8E124A">
            <w:pPr>
              <w:spacing w:beforeLines="0" w:afterLines="0" w:line="2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高度危险</w:t>
            </w:r>
          </w:p>
        </w:tc>
        <w:tc>
          <w:tcPr>
            <w:tcW w:w="23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C6B2CE">
            <w:pPr>
              <w:spacing w:beforeLines="0" w:afterLines="0" w:line="2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中度危险</w:t>
            </w:r>
          </w:p>
        </w:tc>
        <w:tc>
          <w:tcPr>
            <w:tcW w:w="20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8F7C0E">
            <w:pPr>
              <w:spacing w:beforeLines="0" w:afterLines="0" w:line="2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低度危险</w:t>
            </w:r>
          </w:p>
        </w:tc>
      </w:tr>
    </w:tbl>
    <w:p w14:paraId="63C95EA9">
      <w:r>
        <w:br w:type="page"/>
      </w:r>
    </w:p>
    <w:p w14:paraId="3425B5B8">
      <w:pPr>
        <w:wordWrap w:val="0"/>
        <w:adjustRightInd w:val="0"/>
        <w:snapToGrid w:val="0"/>
        <w:spacing w:line="600" w:lineRule="exact"/>
        <w:textAlignment w:val="center"/>
        <w:outlineLvl w:val="0"/>
        <w:rPr>
          <w:b/>
          <w:color w:val="000000"/>
          <w:sz w:val="28"/>
          <w:szCs w:val="28"/>
        </w:rPr>
      </w:pPr>
      <w:bookmarkStart w:id="229" w:name="_Toc17049"/>
      <w:bookmarkStart w:id="230" w:name="_Toc120957335"/>
      <w:bookmarkStart w:id="231" w:name="_Toc502"/>
      <w:bookmarkStart w:id="232" w:name="_Toc6126"/>
      <w:bookmarkStart w:id="233" w:name="_Toc25263"/>
      <w:bookmarkStart w:id="234" w:name="_Toc25111"/>
      <w:bookmarkStart w:id="235" w:name="_Toc19931"/>
      <w:r>
        <w:rPr>
          <w:b/>
          <w:color w:val="000000"/>
          <w:sz w:val="28"/>
          <w:szCs w:val="28"/>
        </w:rPr>
        <w:t>5综合安全评价</w:t>
      </w:r>
      <w:bookmarkEnd w:id="229"/>
      <w:bookmarkEnd w:id="230"/>
      <w:bookmarkEnd w:id="231"/>
      <w:bookmarkEnd w:id="232"/>
      <w:bookmarkEnd w:id="233"/>
      <w:bookmarkEnd w:id="234"/>
      <w:bookmarkEnd w:id="235"/>
    </w:p>
    <w:p w14:paraId="67F41FF5">
      <w:pPr>
        <w:pStyle w:val="3"/>
        <w:spacing w:before="156" w:after="156" w:line="560" w:lineRule="exact"/>
        <w:rPr>
          <w:rFonts w:hint="eastAsia" w:ascii="Times New Roman" w:hAnsi="Times New Roman" w:eastAsia="Times New Roman" w:cs="Times New Roman"/>
          <w:color w:val="auto"/>
          <w:sz w:val="28"/>
          <w:szCs w:val="28"/>
        </w:rPr>
      </w:pPr>
      <w:bookmarkStart w:id="236" w:name="_Toc17259"/>
      <w:bookmarkStart w:id="237" w:name="_Toc30164"/>
      <w:bookmarkStart w:id="238" w:name="_Toc24980"/>
      <w:bookmarkStart w:id="239" w:name="_Toc16294"/>
      <w:r>
        <w:rPr>
          <w:rFonts w:hint="eastAsia" w:ascii="Times New Roman" w:hAnsi="Times New Roman" w:eastAsia="Times New Roman" w:cs="Times New Roman"/>
          <w:color w:val="auto"/>
          <w:sz w:val="28"/>
          <w:szCs w:val="28"/>
        </w:rPr>
        <w:t xml:space="preserve">5.1 </w:t>
      </w:r>
      <w:r>
        <w:rPr>
          <w:rFonts w:hint="eastAsia" w:ascii="Times New Roman" w:hAnsi="Times New Roman" w:eastAsia="宋体"/>
          <w:color w:val="000000"/>
          <w:sz w:val="28"/>
          <w:szCs w:val="24"/>
        </w:rPr>
        <w:t>安全条件单元</w:t>
      </w:r>
      <w:bookmarkEnd w:id="236"/>
      <w:bookmarkEnd w:id="237"/>
    </w:p>
    <w:p w14:paraId="48103240">
      <w:pPr>
        <w:pStyle w:val="4"/>
        <w:spacing w:before="156" w:after="156" w:line="560" w:lineRule="exact"/>
        <w:rPr>
          <w:rFonts w:hint="eastAsia" w:ascii="Times New Roman" w:hAnsi="Times New Roman" w:eastAsia="Times New Roman" w:cs="Times New Roman"/>
          <w:color w:val="auto"/>
          <w:sz w:val="28"/>
          <w:szCs w:val="28"/>
        </w:rPr>
      </w:pPr>
      <w:bookmarkStart w:id="240" w:name="_Toc14841"/>
      <w:bookmarkStart w:id="241" w:name="_Toc4294"/>
      <w:r>
        <w:rPr>
          <w:rFonts w:hint="eastAsia" w:ascii="Times New Roman" w:hAnsi="Times New Roman" w:eastAsia="Times New Roman" w:cs="Times New Roman"/>
          <w:color w:val="auto"/>
          <w:sz w:val="28"/>
          <w:szCs w:val="28"/>
        </w:rPr>
        <w:t>5.1.1</w:t>
      </w:r>
      <w:r>
        <w:rPr>
          <w:rFonts w:hint="eastAsia" w:ascii="Times New Roman" w:hAnsi="Times New Roman" w:eastAsia="宋体" w:cs="Times New Roman"/>
          <w:color w:val="auto"/>
          <w:sz w:val="28"/>
          <w:szCs w:val="28"/>
        </w:rPr>
        <w:t>资质符合性评价</w:t>
      </w:r>
      <w:bookmarkEnd w:id="240"/>
      <w:bookmarkEnd w:id="241"/>
    </w:p>
    <w:p w14:paraId="42FB5B33">
      <w:pPr>
        <w:pStyle w:val="43"/>
        <w:spacing w:before="156"/>
        <w:rPr>
          <w:rFonts w:hint="eastAsia" w:ascii="Times New Roman" w:hAnsi="Times New Roman" w:eastAsia="Times New Roman" w:cs="Times New Roman"/>
          <w:color w:val="auto"/>
          <w:sz w:val="24"/>
          <w:szCs w:val="20"/>
        </w:rPr>
      </w:pPr>
      <w:r>
        <w:rPr>
          <w:rFonts w:hint="eastAsia" w:ascii="Times New Roman" w:hAnsi="Times New Roman" w:cs="Times New Roman"/>
          <w:color w:val="auto"/>
          <w:sz w:val="24"/>
          <w:szCs w:val="20"/>
        </w:rPr>
        <w:t>表5.1-1  资质符合性评价表</w:t>
      </w:r>
    </w:p>
    <w:tbl>
      <w:tblPr>
        <w:tblStyle w:val="20"/>
        <w:tblW w:w="9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04"/>
        <w:gridCol w:w="5178"/>
        <w:gridCol w:w="2246"/>
        <w:gridCol w:w="1250"/>
      </w:tblGrid>
      <w:tr w14:paraId="55F9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2" w:hRule="atLeast"/>
          <w:jc w:val="center"/>
        </w:trPr>
        <w:tc>
          <w:tcPr>
            <w:tcW w:w="704" w:type="dxa"/>
            <w:tcBorders>
              <w:top w:val="single" w:color="auto" w:sz="8" w:space="0"/>
              <w:left w:val="single" w:color="auto" w:sz="8" w:space="0"/>
              <w:bottom w:val="single" w:color="000000" w:sz="4" w:space="0"/>
              <w:right w:val="single" w:color="000000" w:sz="4" w:space="0"/>
              <w:tl2br w:val="nil"/>
              <w:tr2bl w:val="nil"/>
            </w:tcBorders>
            <w:noWrap w:val="0"/>
            <w:vAlign w:val="center"/>
          </w:tcPr>
          <w:p w14:paraId="297EF75F">
            <w:pPr>
              <w:autoSpaceDE w:val="0"/>
              <w:autoSpaceDN w:val="0"/>
              <w:spacing w:beforeLines="0" w:afterLines="0" w:line="40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序号</w:t>
            </w:r>
          </w:p>
        </w:tc>
        <w:tc>
          <w:tcPr>
            <w:tcW w:w="5178" w:type="dxa"/>
            <w:tcBorders>
              <w:top w:val="single" w:color="auto" w:sz="8" w:space="0"/>
              <w:left w:val="single" w:color="000000" w:sz="4" w:space="0"/>
              <w:bottom w:val="single" w:color="000000" w:sz="4" w:space="0"/>
              <w:right w:val="single" w:color="000000" w:sz="4" w:space="0"/>
              <w:tl2br w:val="nil"/>
              <w:tr2bl w:val="nil"/>
            </w:tcBorders>
            <w:noWrap w:val="0"/>
            <w:vAlign w:val="center"/>
          </w:tcPr>
          <w:p w14:paraId="25507800">
            <w:pPr>
              <w:autoSpaceDE w:val="0"/>
              <w:autoSpaceDN w:val="0"/>
              <w:spacing w:beforeLines="0" w:afterLines="0" w:line="40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检查内容</w:t>
            </w:r>
          </w:p>
        </w:tc>
        <w:tc>
          <w:tcPr>
            <w:tcW w:w="2246" w:type="dxa"/>
            <w:tcBorders>
              <w:top w:val="single" w:color="auto" w:sz="8" w:space="0"/>
              <w:left w:val="single" w:color="000000" w:sz="4" w:space="0"/>
              <w:bottom w:val="single" w:color="000000" w:sz="4" w:space="0"/>
              <w:right w:val="single" w:color="000000" w:sz="4" w:space="0"/>
              <w:tl2br w:val="nil"/>
              <w:tr2bl w:val="nil"/>
            </w:tcBorders>
            <w:noWrap w:val="0"/>
            <w:vAlign w:val="center"/>
          </w:tcPr>
          <w:p w14:paraId="55395CE8">
            <w:pPr>
              <w:spacing w:beforeLines="0" w:afterLines="0" w:line="40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检查记录</w:t>
            </w:r>
          </w:p>
        </w:tc>
        <w:tc>
          <w:tcPr>
            <w:tcW w:w="1250" w:type="dxa"/>
            <w:tcBorders>
              <w:top w:val="single" w:color="auto" w:sz="8" w:space="0"/>
              <w:left w:val="single" w:color="000000" w:sz="4" w:space="0"/>
              <w:bottom w:val="single" w:color="000000" w:sz="4" w:space="0"/>
              <w:right w:val="single" w:color="auto" w:sz="8" w:space="0"/>
              <w:tl2br w:val="nil"/>
              <w:tr2bl w:val="nil"/>
            </w:tcBorders>
            <w:noWrap w:val="0"/>
            <w:vAlign w:val="center"/>
          </w:tcPr>
          <w:p w14:paraId="1133E663">
            <w:pPr>
              <w:spacing w:beforeLines="0" w:afterLines="0" w:line="40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评价结论</w:t>
            </w:r>
          </w:p>
        </w:tc>
      </w:tr>
      <w:tr w14:paraId="00AFA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2" w:hRule="atLeast"/>
          <w:jc w:val="center"/>
        </w:trPr>
        <w:tc>
          <w:tcPr>
            <w:tcW w:w="70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314192E6">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1</w:t>
            </w:r>
          </w:p>
        </w:tc>
        <w:tc>
          <w:tcPr>
            <w:tcW w:w="51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FA3DA">
            <w:pPr>
              <w:autoSpaceDE w:val="0"/>
              <w:autoSpaceDN w:val="0"/>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加油站成品油零售经营批准证书</w:t>
            </w:r>
          </w:p>
        </w:tc>
        <w:tc>
          <w:tcPr>
            <w:tcW w:w="22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278F3">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1250"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2CA00724">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符合要求</w:t>
            </w:r>
          </w:p>
        </w:tc>
      </w:tr>
      <w:tr w14:paraId="18F27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2" w:hRule="atLeast"/>
          <w:jc w:val="center"/>
        </w:trPr>
        <w:tc>
          <w:tcPr>
            <w:tcW w:w="70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65B58387">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2</w:t>
            </w:r>
          </w:p>
        </w:tc>
        <w:tc>
          <w:tcPr>
            <w:tcW w:w="51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9DCCF5">
            <w:pPr>
              <w:autoSpaceDE w:val="0"/>
              <w:autoSpaceDN w:val="0"/>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加油站营业执照</w:t>
            </w:r>
          </w:p>
        </w:tc>
        <w:tc>
          <w:tcPr>
            <w:tcW w:w="22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A2D90">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1250"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6584BCAF">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符合要求</w:t>
            </w:r>
          </w:p>
        </w:tc>
      </w:tr>
      <w:tr w14:paraId="28B45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2" w:hRule="atLeast"/>
          <w:jc w:val="center"/>
        </w:trPr>
        <w:tc>
          <w:tcPr>
            <w:tcW w:w="70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08745425">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3</w:t>
            </w:r>
          </w:p>
        </w:tc>
        <w:tc>
          <w:tcPr>
            <w:tcW w:w="51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CA8D8E">
            <w:pPr>
              <w:autoSpaceDE w:val="0"/>
              <w:autoSpaceDN w:val="0"/>
              <w:spacing w:beforeLines="0" w:afterLines="0" w:line="40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加油站消防验收意见书</w:t>
            </w:r>
          </w:p>
        </w:tc>
        <w:tc>
          <w:tcPr>
            <w:tcW w:w="22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90F4F">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1250"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126DBB5B">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符合要求</w:t>
            </w:r>
          </w:p>
        </w:tc>
      </w:tr>
      <w:tr w14:paraId="4E6B1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2" w:hRule="atLeast"/>
          <w:jc w:val="center"/>
        </w:trPr>
        <w:tc>
          <w:tcPr>
            <w:tcW w:w="70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169397AE">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4</w:t>
            </w:r>
          </w:p>
        </w:tc>
        <w:tc>
          <w:tcPr>
            <w:tcW w:w="517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A7E07">
            <w:pPr>
              <w:autoSpaceDE w:val="0"/>
              <w:autoSpaceDN w:val="0"/>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加油站防雷防静电检测报告</w:t>
            </w:r>
          </w:p>
        </w:tc>
        <w:tc>
          <w:tcPr>
            <w:tcW w:w="224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E13C4">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1250"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57F9207A">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符合要求</w:t>
            </w:r>
          </w:p>
        </w:tc>
      </w:tr>
      <w:tr w14:paraId="6AC52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69" w:hRule="atLeast"/>
          <w:jc w:val="center"/>
        </w:trPr>
        <w:tc>
          <w:tcPr>
            <w:tcW w:w="704" w:type="dxa"/>
            <w:tcBorders>
              <w:top w:val="single" w:color="000000" w:sz="4" w:space="0"/>
              <w:left w:val="single" w:color="auto" w:sz="8" w:space="0"/>
              <w:bottom w:val="single" w:color="auto" w:sz="8" w:space="0"/>
              <w:right w:val="single" w:color="000000" w:sz="4" w:space="0"/>
              <w:tl2br w:val="nil"/>
              <w:tr2bl w:val="nil"/>
            </w:tcBorders>
            <w:noWrap w:val="0"/>
            <w:vAlign w:val="center"/>
          </w:tcPr>
          <w:p w14:paraId="0B5DA91B">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5</w:t>
            </w:r>
          </w:p>
        </w:tc>
        <w:tc>
          <w:tcPr>
            <w:tcW w:w="5178" w:type="dxa"/>
            <w:tcBorders>
              <w:top w:val="single" w:color="000000" w:sz="4" w:space="0"/>
              <w:left w:val="single" w:color="000000" w:sz="4" w:space="0"/>
              <w:bottom w:val="single" w:color="auto" w:sz="8" w:space="0"/>
              <w:right w:val="single" w:color="000000" w:sz="4" w:space="0"/>
              <w:tl2br w:val="nil"/>
              <w:tr2bl w:val="nil"/>
            </w:tcBorders>
            <w:noWrap w:val="0"/>
            <w:vAlign w:val="center"/>
          </w:tcPr>
          <w:p w14:paraId="35F4E139">
            <w:pPr>
              <w:autoSpaceDE w:val="0"/>
              <w:autoSpaceDN w:val="0"/>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sz w:val="21"/>
                <w:szCs w:val="21"/>
              </w:rPr>
              <w:t>《危险化学品经营许可证》</w:t>
            </w:r>
          </w:p>
        </w:tc>
        <w:tc>
          <w:tcPr>
            <w:tcW w:w="2246" w:type="dxa"/>
            <w:tcBorders>
              <w:top w:val="single" w:color="000000" w:sz="4" w:space="0"/>
              <w:left w:val="single" w:color="000000" w:sz="4" w:space="0"/>
              <w:bottom w:val="single" w:color="auto" w:sz="8" w:space="0"/>
              <w:right w:val="single" w:color="000000" w:sz="4" w:space="0"/>
              <w:tl2br w:val="nil"/>
              <w:tr2bl w:val="nil"/>
            </w:tcBorders>
            <w:noWrap w:val="0"/>
            <w:vAlign w:val="center"/>
          </w:tcPr>
          <w:p w14:paraId="5AF06880">
            <w:pPr>
              <w:spacing w:beforeLines="0" w:afterLines="0" w:line="40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1250" w:type="dxa"/>
            <w:tcBorders>
              <w:top w:val="single" w:color="000000" w:sz="4" w:space="0"/>
              <w:left w:val="single" w:color="000000" w:sz="4" w:space="0"/>
              <w:bottom w:val="single" w:color="auto" w:sz="8" w:space="0"/>
              <w:right w:val="single" w:color="auto" w:sz="8" w:space="0"/>
              <w:tl2br w:val="nil"/>
              <w:tr2bl w:val="nil"/>
            </w:tcBorders>
            <w:noWrap w:val="0"/>
            <w:vAlign w:val="center"/>
          </w:tcPr>
          <w:p w14:paraId="3F0A2C22">
            <w:pPr>
              <w:spacing w:beforeLines="0" w:afterLines="0" w:line="40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符合要求</w:t>
            </w:r>
          </w:p>
        </w:tc>
      </w:tr>
    </w:tbl>
    <w:p w14:paraId="0A10683C">
      <w:pPr>
        <w:pStyle w:val="4"/>
        <w:spacing w:before="156" w:after="156"/>
        <w:rPr>
          <w:rFonts w:hint="eastAsia" w:ascii="Times New Roman" w:hAnsi="Times New Roman" w:eastAsia="Times New Roman" w:cs="Times New Roman"/>
          <w:color w:val="auto"/>
          <w:sz w:val="28"/>
          <w:szCs w:val="28"/>
        </w:rPr>
      </w:pPr>
      <w:bookmarkStart w:id="242" w:name="_Toc30286"/>
      <w:bookmarkStart w:id="243" w:name="_Toc6812"/>
      <w:r>
        <w:rPr>
          <w:rFonts w:hint="eastAsia" w:ascii="Times New Roman" w:hAnsi="Times New Roman" w:eastAsia="Times New Roman" w:cs="Times New Roman"/>
          <w:color w:val="auto"/>
          <w:sz w:val="28"/>
          <w:szCs w:val="28"/>
        </w:rPr>
        <w:t>5.1.2</w:t>
      </w:r>
      <w:r>
        <w:rPr>
          <w:rFonts w:hint="eastAsia" w:ascii="Times New Roman" w:hAnsi="Times New Roman" w:eastAsia="宋体" w:cs="Times New Roman"/>
          <w:color w:val="auto"/>
          <w:sz w:val="28"/>
          <w:szCs w:val="28"/>
        </w:rPr>
        <w:t>安全管理符合性评价</w:t>
      </w:r>
      <w:bookmarkEnd w:id="242"/>
      <w:bookmarkEnd w:id="243"/>
    </w:p>
    <w:p w14:paraId="22F35C90">
      <w:pPr>
        <w:pStyle w:val="43"/>
        <w:spacing w:before="156"/>
        <w:rPr>
          <w:rFonts w:hint="eastAsia" w:ascii="Times New Roman" w:hAnsi="Times New Roman" w:eastAsia="Times New Roman" w:cs="Times New Roman"/>
          <w:color w:val="auto"/>
          <w:sz w:val="24"/>
          <w:szCs w:val="20"/>
        </w:rPr>
      </w:pPr>
      <w:r>
        <w:rPr>
          <w:rFonts w:hint="eastAsia" w:ascii="Times New Roman" w:hAnsi="Times New Roman" w:cs="Times New Roman"/>
          <w:color w:val="auto"/>
          <w:sz w:val="24"/>
          <w:szCs w:val="20"/>
        </w:rPr>
        <w:t>表5.1-2安全管理符合性评价表</w:t>
      </w:r>
    </w:p>
    <w:tbl>
      <w:tblPr>
        <w:tblStyle w:val="20"/>
        <w:tblW w:w="94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14"/>
        <w:gridCol w:w="5255"/>
        <w:gridCol w:w="2494"/>
        <w:gridCol w:w="985"/>
        <w:gridCol w:w="10"/>
      </w:tblGrid>
      <w:tr w14:paraId="298AD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360" w:hRule="atLeast"/>
          <w:jc w:val="center"/>
        </w:trPr>
        <w:tc>
          <w:tcPr>
            <w:tcW w:w="714" w:type="dxa"/>
            <w:tcBorders>
              <w:top w:val="single" w:color="auto" w:sz="8" w:space="0"/>
              <w:left w:val="single" w:color="auto" w:sz="8" w:space="0"/>
              <w:bottom w:val="single" w:color="000000" w:sz="4" w:space="0"/>
              <w:right w:val="single" w:color="000000" w:sz="4" w:space="0"/>
              <w:tl2br w:val="nil"/>
              <w:tr2bl w:val="nil"/>
            </w:tcBorders>
            <w:noWrap w:val="0"/>
            <w:vAlign w:val="center"/>
          </w:tcPr>
          <w:p w14:paraId="16DC2503">
            <w:pPr>
              <w:autoSpaceDE w:val="0"/>
              <w:autoSpaceDN w:val="0"/>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序号</w:t>
            </w:r>
          </w:p>
        </w:tc>
        <w:tc>
          <w:tcPr>
            <w:tcW w:w="5255" w:type="dxa"/>
            <w:tcBorders>
              <w:top w:val="single" w:color="auto" w:sz="8" w:space="0"/>
              <w:left w:val="single" w:color="000000" w:sz="4" w:space="0"/>
              <w:bottom w:val="single" w:color="000000" w:sz="4" w:space="0"/>
              <w:right w:val="single" w:color="000000" w:sz="4" w:space="0"/>
              <w:tl2br w:val="nil"/>
              <w:tr2bl w:val="nil"/>
            </w:tcBorders>
            <w:noWrap w:val="0"/>
            <w:vAlign w:val="center"/>
          </w:tcPr>
          <w:p w14:paraId="49A90251">
            <w:pPr>
              <w:autoSpaceDE w:val="0"/>
              <w:autoSpaceDN w:val="0"/>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检查内容</w:t>
            </w:r>
          </w:p>
        </w:tc>
        <w:tc>
          <w:tcPr>
            <w:tcW w:w="2494" w:type="dxa"/>
            <w:tcBorders>
              <w:top w:val="single" w:color="auto" w:sz="8" w:space="0"/>
              <w:left w:val="single" w:color="000000" w:sz="4" w:space="0"/>
              <w:bottom w:val="single" w:color="000000" w:sz="4" w:space="0"/>
              <w:right w:val="single" w:color="000000" w:sz="4" w:space="0"/>
              <w:tl2br w:val="nil"/>
              <w:tr2bl w:val="nil"/>
            </w:tcBorders>
            <w:noWrap w:val="0"/>
            <w:vAlign w:val="center"/>
          </w:tcPr>
          <w:p w14:paraId="226F83D9">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检查记录</w:t>
            </w:r>
          </w:p>
        </w:tc>
        <w:tc>
          <w:tcPr>
            <w:tcW w:w="985" w:type="dxa"/>
            <w:tcBorders>
              <w:top w:val="single" w:color="auto" w:sz="8" w:space="0"/>
              <w:left w:val="single" w:color="000000" w:sz="4" w:space="0"/>
              <w:bottom w:val="single" w:color="000000" w:sz="4" w:space="0"/>
              <w:right w:val="single" w:color="auto" w:sz="8" w:space="0"/>
              <w:tl2br w:val="nil"/>
              <w:tr2bl w:val="nil"/>
            </w:tcBorders>
            <w:noWrap w:val="0"/>
            <w:vAlign w:val="center"/>
          </w:tcPr>
          <w:p w14:paraId="63DE6786">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评价结论</w:t>
            </w:r>
          </w:p>
        </w:tc>
      </w:tr>
      <w:tr w14:paraId="5625A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302" w:hRule="atLeast"/>
          <w:jc w:val="center"/>
        </w:trPr>
        <w:tc>
          <w:tcPr>
            <w:tcW w:w="9448" w:type="dxa"/>
            <w:gridSpan w:val="4"/>
            <w:tcBorders>
              <w:top w:val="single" w:color="000000" w:sz="4" w:space="0"/>
              <w:left w:val="single" w:color="auto" w:sz="8" w:space="0"/>
              <w:bottom w:val="single" w:color="000000" w:sz="4" w:space="0"/>
              <w:right w:val="single" w:color="auto" w:sz="8" w:space="0"/>
              <w:tl2br w:val="nil"/>
              <w:tr2bl w:val="nil"/>
            </w:tcBorders>
            <w:noWrap w:val="0"/>
            <w:vAlign w:val="center"/>
          </w:tcPr>
          <w:p w14:paraId="1A6012DF">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一、岗位责任制、安全管理制度、操作规程、应急预案</w:t>
            </w:r>
          </w:p>
        </w:tc>
      </w:tr>
      <w:tr w14:paraId="65CA3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258" w:hRule="atLeast"/>
          <w:jc w:val="center"/>
        </w:trPr>
        <w:tc>
          <w:tcPr>
            <w:tcW w:w="714" w:type="dxa"/>
            <w:vMerge w:val="restart"/>
            <w:tcBorders>
              <w:top w:val="single" w:color="000000" w:sz="4" w:space="0"/>
              <w:left w:val="single" w:color="auto" w:sz="8" w:space="0"/>
              <w:bottom w:val="single" w:color="000000" w:sz="4" w:space="0"/>
              <w:right w:val="single" w:color="000000" w:sz="4" w:space="0"/>
              <w:tl2br w:val="nil"/>
              <w:tr2bl w:val="nil"/>
            </w:tcBorders>
            <w:noWrap w:val="0"/>
            <w:vAlign w:val="center"/>
          </w:tcPr>
          <w:p w14:paraId="19EEBEFA">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1</w:t>
            </w:r>
          </w:p>
        </w:tc>
        <w:tc>
          <w:tcPr>
            <w:tcW w:w="8734" w:type="dxa"/>
            <w:gridSpan w:val="3"/>
            <w:tcBorders>
              <w:top w:val="single" w:color="000000" w:sz="4" w:space="0"/>
              <w:left w:val="single" w:color="000000" w:sz="4" w:space="0"/>
              <w:bottom w:val="single" w:color="000000" w:sz="4" w:space="0"/>
              <w:right w:val="single" w:color="auto" w:sz="8" w:space="0"/>
              <w:tl2br w:val="nil"/>
              <w:tr2bl w:val="nil"/>
            </w:tcBorders>
            <w:noWrap w:val="0"/>
            <w:vAlign w:val="center"/>
          </w:tcPr>
          <w:p w14:paraId="7F7FFC6F">
            <w:pPr>
              <w:spacing w:beforeLines="0" w:afterLines="0" w:line="240" w:lineRule="exact"/>
              <w:ind w:firstLine="2730" w:firstLineChars="1300"/>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（一）各级各类人员的安全管理责任制</w:t>
            </w:r>
          </w:p>
        </w:tc>
      </w:tr>
      <w:tr w14:paraId="2273B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258"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6210F5B8">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8D031">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1</w:t>
            </w:r>
            <w:r>
              <w:rPr>
                <w:rFonts w:hint="eastAsia" w:ascii="Times New Roman" w:hAnsi="Times New Roman" w:eastAsia="宋体" w:cs="Times New Roman"/>
                <w:color w:val="auto"/>
                <w:kern w:val="0"/>
                <w:sz w:val="21"/>
                <w:szCs w:val="21"/>
              </w:rPr>
              <w:t>、加油站站长安全职责</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CF1CD">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25EC171A">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1ED72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310"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7699EFD0">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979E7">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2</w:t>
            </w:r>
            <w:r>
              <w:rPr>
                <w:rFonts w:hint="eastAsia" w:ascii="Times New Roman" w:hAnsi="Times New Roman" w:eastAsia="宋体" w:cs="Times New Roman"/>
                <w:color w:val="auto"/>
                <w:kern w:val="0"/>
                <w:sz w:val="21"/>
                <w:szCs w:val="21"/>
              </w:rPr>
              <w:t>、加油员安全职责</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F0C501">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377ABDB9">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4D47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310"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1FA586AA">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734B3">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3</w:t>
            </w:r>
            <w:r>
              <w:rPr>
                <w:rFonts w:hint="eastAsia" w:ascii="Times New Roman" w:hAnsi="Times New Roman" w:eastAsia="宋体" w:cs="Times New Roman"/>
                <w:color w:val="auto"/>
                <w:kern w:val="0"/>
                <w:sz w:val="21"/>
                <w:szCs w:val="21"/>
              </w:rPr>
              <w:t xml:space="preserve">、计量、质量员安全职责    </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7BBA70">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5A7DF9C2">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03E98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299"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2B2D0C98">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83625">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4</w:t>
            </w:r>
            <w:r>
              <w:rPr>
                <w:rFonts w:hint="eastAsia" w:ascii="Times New Roman" w:hAnsi="Times New Roman" w:eastAsia="宋体" w:cs="Times New Roman"/>
                <w:color w:val="auto"/>
                <w:kern w:val="0"/>
                <w:sz w:val="21"/>
                <w:szCs w:val="21"/>
              </w:rPr>
              <w:t>、安全员安全职责</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052B4">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139075AE">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5B2A2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324" w:hRule="atLeast"/>
          <w:jc w:val="center"/>
        </w:trPr>
        <w:tc>
          <w:tcPr>
            <w:tcW w:w="714" w:type="dxa"/>
            <w:vMerge w:val="restart"/>
            <w:tcBorders>
              <w:top w:val="single" w:color="000000" w:sz="4" w:space="0"/>
              <w:left w:val="single" w:color="auto" w:sz="8" w:space="0"/>
              <w:bottom w:val="single" w:color="000000" w:sz="4" w:space="0"/>
              <w:right w:val="single" w:color="000000" w:sz="4" w:space="0"/>
              <w:tl2br w:val="nil"/>
              <w:tr2bl w:val="nil"/>
            </w:tcBorders>
            <w:noWrap w:val="0"/>
            <w:vAlign w:val="center"/>
          </w:tcPr>
          <w:p w14:paraId="13D6CBD9">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2</w:t>
            </w:r>
          </w:p>
        </w:tc>
        <w:tc>
          <w:tcPr>
            <w:tcW w:w="8734" w:type="dxa"/>
            <w:gridSpan w:val="3"/>
            <w:tcBorders>
              <w:top w:val="single" w:color="000000" w:sz="4" w:space="0"/>
              <w:left w:val="single" w:color="000000" w:sz="4" w:space="0"/>
              <w:bottom w:val="single" w:color="000000" w:sz="4" w:space="0"/>
              <w:right w:val="single" w:color="auto" w:sz="8" w:space="0"/>
              <w:tl2br w:val="nil"/>
              <w:tr2bl w:val="nil"/>
            </w:tcBorders>
            <w:noWrap w:val="0"/>
            <w:vAlign w:val="center"/>
          </w:tcPr>
          <w:p w14:paraId="4AFEDCF9">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（二）安全管理制度</w:t>
            </w:r>
          </w:p>
        </w:tc>
      </w:tr>
      <w:tr w14:paraId="60E81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506"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704D214D">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9BA90B">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sz w:val="21"/>
                <w:szCs w:val="21"/>
              </w:rPr>
              <w:t>1</w:t>
            </w:r>
            <w:r>
              <w:rPr>
                <w:rFonts w:hint="eastAsia" w:ascii="Times New Roman" w:hAnsi="Times New Roman" w:eastAsia="宋体" w:cs="Times New Roman"/>
                <w:color w:val="auto"/>
                <w:sz w:val="21"/>
                <w:szCs w:val="21"/>
              </w:rPr>
              <w:t>、教育培训、防火、动火、用火、检修、废弃物处理等制度</w:t>
            </w:r>
            <w:r>
              <w:rPr>
                <w:rFonts w:hint="eastAsia" w:ascii="Times New Roman" w:hAnsi="Times New Roman" w:eastAsia="宋体" w:cs="Times New Roman"/>
                <w:color w:val="auto"/>
                <w:kern w:val="0"/>
                <w:sz w:val="21"/>
                <w:szCs w:val="21"/>
              </w:rPr>
              <w:t>。</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331CC">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25E3634C">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7805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324"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276F8A49">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60994E">
            <w:pPr>
              <w:autoSpaceDE w:val="0"/>
              <w:autoSpaceDN w:val="0"/>
              <w:spacing w:beforeLines="0" w:afterLines="0" w:line="240" w:lineRule="exact"/>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kern w:val="0"/>
                <w:sz w:val="21"/>
                <w:szCs w:val="21"/>
              </w:rPr>
              <w:t>2</w:t>
            </w:r>
            <w:r>
              <w:rPr>
                <w:rFonts w:hint="eastAsia" w:ascii="Times New Roman" w:hAnsi="Times New Roman" w:eastAsia="宋体" w:cs="Times New Roman"/>
                <w:color w:val="auto"/>
                <w:kern w:val="0"/>
                <w:sz w:val="21"/>
                <w:szCs w:val="21"/>
              </w:rPr>
              <w:t>、巡回检查、夜间和节假日值班制度</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33525">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1C55C2DD">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10E2B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258" w:hRule="atLeast"/>
          <w:jc w:val="center"/>
        </w:trPr>
        <w:tc>
          <w:tcPr>
            <w:tcW w:w="714" w:type="dxa"/>
            <w:vMerge w:val="restart"/>
            <w:tcBorders>
              <w:top w:val="single" w:color="000000" w:sz="4" w:space="0"/>
              <w:left w:val="single" w:color="auto" w:sz="8" w:space="0"/>
              <w:bottom w:val="single" w:color="000000" w:sz="4" w:space="0"/>
              <w:right w:val="single" w:color="000000" w:sz="4" w:space="0"/>
              <w:tl2br w:val="nil"/>
              <w:tr2bl w:val="nil"/>
            </w:tcBorders>
            <w:noWrap w:val="0"/>
            <w:vAlign w:val="center"/>
          </w:tcPr>
          <w:p w14:paraId="0C05DC91">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3</w:t>
            </w:r>
          </w:p>
        </w:tc>
        <w:tc>
          <w:tcPr>
            <w:tcW w:w="8734" w:type="dxa"/>
            <w:gridSpan w:val="3"/>
            <w:tcBorders>
              <w:top w:val="single" w:color="000000" w:sz="4" w:space="0"/>
              <w:left w:val="single" w:color="000000" w:sz="4" w:space="0"/>
              <w:bottom w:val="single" w:color="000000" w:sz="4" w:space="0"/>
              <w:right w:val="single" w:color="auto" w:sz="8" w:space="0"/>
              <w:tl2br w:val="nil"/>
              <w:tr2bl w:val="nil"/>
            </w:tcBorders>
            <w:noWrap w:val="0"/>
            <w:vAlign w:val="center"/>
          </w:tcPr>
          <w:p w14:paraId="47A35F61">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（三）操作规程</w:t>
            </w:r>
          </w:p>
        </w:tc>
      </w:tr>
      <w:tr w14:paraId="005B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258"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7BC9A33E">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8734" w:type="dxa"/>
            <w:gridSpan w:val="3"/>
            <w:tcBorders>
              <w:top w:val="single" w:color="000000" w:sz="4" w:space="0"/>
              <w:left w:val="single" w:color="000000" w:sz="4" w:space="0"/>
              <w:bottom w:val="single" w:color="000000" w:sz="4" w:space="0"/>
              <w:right w:val="single" w:color="auto" w:sz="8" w:space="0"/>
              <w:tl2br w:val="nil"/>
              <w:tr2bl w:val="nil"/>
            </w:tcBorders>
            <w:noWrap w:val="0"/>
            <w:vAlign w:val="center"/>
          </w:tcPr>
          <w:p w14:paraId="39E4A102">
            <w:pPr>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（一）卸油操作规程：</w:t>
            </w:r>
          </w:p>
        </w:tc>
      </w:tr>
      <w:tr w14:paraId="7C58E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1029"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35234048">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8FF38">
            <w:pPr>
              <w:pStyle w:val="7"/>
              <w:spacing w:before="235" w:line="253" w:lineRule="auto"/>
              <w:ind w:right="91"/>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加油站人员应在确认油罐车无油品滴漏后，方可引导油罐车进入卸油作业区，油罐车在站内车速不应大于5km/h。</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B4E37B">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按要求引导油罐车，车速低于</w:t>
            </w:r>
            <w:r>
              <w:rPr>
                <w:rFonts w:hint="eastAsia" w:ascii="Times New Roman" w:hAnsi="Times New Roman" w:eastAsia="Times New Roman" w:cs="Times New Roman"/>
                <w:color w:val="auto"/>
                <w:kern w:val="0"/>
                <w:sz w:val="21"/>
                <w:szCs w:val="21"/>
              </w:rPr>
              <w:t>5km/h</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33502794">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5B962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1049"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2DF5E09E">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820D6">
            <w:pPr>
              <w:pStyle w:val="7"/>
              <w:spacing w:before="79" w:line="258" w:lineRule="auto"/>
              <w:ind w:right="91"/>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油罐车停于卸油停车位，熄火并拉上手刹，车轮处宜放置与最大允许总质量和车轮尺寸相匹配的轮挡，车钥匙宜放置指定位置管控。</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6F050">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按相关操作规程作业</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7B86836F">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5558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cantSplit/>
          <w:trHeight w:val="655"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7F16CF4B">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C195D">
            <w:pPr>
              <w:pStyle w:val="7"/>
              <w:spacing w:before="62" w:line="222"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卸油人员应将防静电跨接线连接到油罐车专用接地端，并确认接触良好。</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D1B1E">
            <w:pPr>
              <w:spacing w:beforeLines="0" w:afterLines="0" w:line="24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按要求接地</w:t>
            </w:r>
          </w:p>
        </w:tc>
        <w:tc>
          <w:tcPr>
            <w:tcW w:w="985" w:type="dxa"/>
            <w:tcBorders>
              <w:top w:val="single" w:color="000000" w:sz="4" w:space="0"/>
              <w:left w:val="single" w:color="000000" w:sz="4" w:space="0"/>
              <w:bottom w:val="single" w:color="000000" w:sz="4" w:space="0"/>
              <w:right w:val="single" w:color="auto" w:sz="8" w:space="0"/>
              <w:tl2br w:val="nil"/>
              <w:tr2bl w:val="nil"/>
            </w:tcBorders>
            <w:noWrap w:val="0"/>
            <w:vAlign w:val="center"/>
          </w:tcPr>
          <w:p w14:paraId="7C39DDFA">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2385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96"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00703B94">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1EB447">
            <w:pPr>
              <w:pStyle w:val="7"/>
              <w:spacing w:before="71" w:line="220"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卸油作业现场应设置隔离警示标识</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301939">
            <w:pPr>
              <w:spacing w:beforeLines="0" w:afterLines="0" w:line="24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按要求设置隔离警示标识</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784E2DE5">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14C9B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506"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1370110C">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6E942">
            <w:pPr>
              <w:pStyle w:val="7"/>
              <w:spacing w:before="71" w:line="222"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手提式灭火器宜摆放在距卸油口2 m～3m处 。</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7C0FB">
            <w:pPr>
              <w:spacing w:beforeLines="0" w:afterLines="0" w:line="240" w:lineRule="exact"/>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未配备灭火器</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33423BFE">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27CE1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55"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084FDE88">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1EBDC">
            <w:pPr>
              <w:pStyle w:val="7"/>
              <w:spacing w:before="68" w:line="219"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应在油罐车静置进行静电释放5min后，方可进行计量、取样和卸油等相关作业。</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C0625">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按相关操作规程作业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10C9CE60">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7D452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029"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6FFCD717">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2C9A8E">
            <w:pPr>
              <w:pStyle w:val="7"/>
              <w:spacing w:before="84" w:line="253" w:lineRule="auto"/>
              <w:ind w:right="91"/>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检查确认油罐计量孔密闭良好，汽油罐通气管上阀门应处于关闭状态，安装呼吸阀的通气管上阀门应处于开启状态。</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0C7123">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7B3F70DF">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06117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89"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5F6421FE">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DAA93E">
            <w:pPr>
              <w:pStyle w:val="7"/>
              <w:spacing w:before="72" w:line="253"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卸油前，应计量油罐的存油量，确认有足够的剩余容量，并核对罐车单据与油罐中油品的名称、 牌号是否一致。</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B78302">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40CDA9E0">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0C368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434"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4A0836F2">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B2153">
            <w:pPr>
              <w:pStyle w:val="7"/>
              <w:spacing w:before="70" w:line="265"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对油罐车进行人工取样时，人员应戴安全帽，应选用铝或铜等不发火花、不易积聚静电的器具； 油样可通过卸油口回罐，不应从计量孔倒入。若人员在油罐车罐顶上取样，还应采取防坠落措施，并有人监护。</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973F8A">
            <w:pPr>
              <w:spacing w:beforeLines="0" w:afterLines="0" w:line="24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按要求佩戴工具</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5218476D">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463E5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55"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6BA90AD6">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542B6">
            <w:pPr>
              <w:pStyle w:val="7"/>
              <w:spacing w:before="68" w:line="219"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卸油人员应按工艺流程将卸油软管和汽油油气回收软管与油罐车和埋地油罐紧密连接，保持卸油软管自然弯曲</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9177A">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6495D6D2">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760EA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400"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509B4832">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B8901B">
            <w:pPr>
              <w:pStyle w:val="7"/>
              <w:spacing w:before="72" w:line="259" w:lineRule="auto"/>
              <w:ind w:right="92" w:firstLine="2"/>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经双方检查确认具备开阀卸油条件后，将卸油口对应油罐进油阀门打开(卸汽油时先打开气路阀门),再缓慢开启油罐车卸油阀门。通过采取调节阀门开度等措施控制卸油流速不大于4.5m/s。</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CFD90">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按相关要求作业，流速小于</w:t>
            </w:r>
            <w:r>
              <w:rPr>
                <w:rFonts w:hint="eastAsia" w:ascii="Times New Roman" w:hAnsi="Times New Roman" w:eastAsia="Times New Roman" w:cs="Times New Roman"/>
                <w:color w:val="auto"/>
                <w:kern w:val="0"/>
                <w:sz w:val="21"/>
                <w:szCs w:val="21"/>
              </w:rPr>
              <w:t>4.5m/s</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667EFE47">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654E7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702"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7B049CD4">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3706F">
            <w:pPr>
              <w:pStyle w:val="7"/>
              <w:spacing w:before="68" w:line="258"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卸油作业过程中应有专人监护，油罐车驾驶员和押运员不应同时离开作业现场。无人监护时，应停止作业。</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10F24B">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按要求监护作业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5F867BAD">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03EB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061"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44411386">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96477F">
            <w:pPr>
              <w:pStyle w:val="7"/>
              <w:spacing w:before="61" w:line="261" w:lineRule="auto"/>
              <w:ind w:firstLine="2"/>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卸油作业过程中，不应开启计量孔，不应修理、擦洗油罐车，不应鸣笛；使用器具时要轻拿轻放；与该罐连接且无防水杂措施的加油机应停止加油作业。</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4DFBA">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5309E95F">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5A2B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977"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2F7D8201">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979E39">
            <w:pPr>
              <w:pStyle w:val="7"/>
              <w:spacing w:before="68" w:line="219" w:lineRule="auto"/>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卸油时若发生油料溅溢或其他影响卸油安全情况时，应立即停止作业并及时处理。若发生事故，应立即停止作业，并按应急预案进行应急处置。</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9C0A1">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38739F9F">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7C2EA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489"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5AF404FC">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234947">
            <w:pPr>
              <w:pStyle w:val="7"/>
              <w:spacing w:before="73" w:line="219" w:lineRule="auto"/>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 xml:space="preserve"> </w:t>
            </w:r>
            <w:r>
              <w:rPr>
                <w:rFonts w:hint="eastAsia" w:ascii="Times New Roman" w:hAnsi="Times New Roman" w:cs="Times New Roman"/>
                <w:color w:val="auto"/>
                <w:sz w:val="21"/>
                <w:szCs w:val="21"/>
              </w:rPr>
              <w:t>卸至软管内无油后，应做好以下工作：</w:t>
            </w:r>
          </w:p>
          <w:p w14:paraId="3A899564">
            <w:pPr>
              <w:pStyle w:val="7"/>
              <w:spacing w:before="50" w:line="212" w:lineRule="auto"/>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 xml:space="preserve">a) </w:t>
            </w:r>
            <w:r>
              <w:rPr>
                <w:rFonts w:hint="eastAsia" w:ascii="Times New Roman" w:hAnsi="Times New Roman" w:cs="Times New Roman"/>
                <w:color w:val="auto"/>
                <w:sz w:val="21"/>
                <w:szCs w:val="21"/>
              </w:rPr>
              <w:t>关闭软管两端阀门；</w:t>
            </w:r>
          </w:p>
          <w:p w14:paraId="3E7D2111">
            <w:pPr>
              <w:pStyle w:val="7"/>
              <w:spacing w:line="212" w:lineRule="auto"/>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b)</w:t>
            </w:r>
            <w:r>
              <w:rPr>
                <w:rFonts w:hint="eastAsia" w:ascii="Times New Roman" w:hAnsi="Times New Roman" w:cs="Times New Roman"/>
                <w:color w:val="auto"/>
                <w:sz w:val="21"/>
                <w:szCs w:val="21"/>
              </w:rPr>
              <w:t>拆除软管，将卸油接口的密封盖盖紧并加锁；</w:t>
            </w:r>
          </w:p>
          <w:p w14:paraId="14466D54">
            <w:pPr>
              <w:pStyle w:val="7"/>
              <w:spacing w:before="70" w:line="212" w:lineRule="auto"/>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 xml:space="preserve">c) </w:t>
            </w:r>
            <w:r>
              <w:rPr>
                <w:rFonts w:hint="eastAsia" w:ascii="Times New Roman" w:hAnsi="Times New Roman" w:cs="Times New Roman"/>
                <w:color w:val="auto"/>
                <w:sz w:val="21"/>
                <w:szCs w:val="21"/>
              </w:rPr>
              <w:t>收回卸油软管和防静电跨接线，收存软管时不应抛摔，以防接头变形。</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31316">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50146DA0">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0563D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242"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44F48BC1">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2B5AFF">
            <w:pPr>
              <w:pStyle w:val="7"/>
              <w:spacing w:before="83" w:line="306" w:lineRule="auto"/>
              <w:ind w:right="71" w:firstLine="2"/>
              <w:rPr>
                <w:rFonts w:hint="eastAsia"/>
                <w:spacing w:val="5"/>
                <w:sz w:val="20"/>
                <w:szCs w:val="24"/>
              </w:rPr>
            </w:pPr>
            <w:r>
              <w:rPr>
                <w:rFonts w:hint="eastAsia" w:ascii="Times New Roman" w:hAnsi="Times New Roman" w:cs="Times New Roman"/>
                <w:color w:val="auto"/>
                <w:sz w:val="21"/>
                <w:szCs w:val="21"/>
              </w:rPr>
              <w:t>卸油结束后，卸油员应全面检查并确认状态正常，方可引导油罐车启动车辆、离站，并清理卸油现场，将应急器材放回原位。</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26FB5">
            <w:pPr>
              <w:spacing w:beforeLines="0" w:afterLines="0" w:line="24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按相关要求作业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12938D70">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5009F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27"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6F635A8F">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8744" w:type="dxa"/>
            <w:gridSpan w:val="4"/>
            <w:tcBorders>
              <w:top w:val="single" w:color="000000" w:sz="4" w:space="0"/>
              <w:left w:val="single" w:color="000000" w:sz="4" w:space="0"/>
              <w:bottom w:val="single" w:color="000000" w:sz="4" w:space="0"/>
              <w:right w:val="single" w:color="auto" w:sz="8" w:space="0"/>
              <w:tl2br w:val="nil"/>
              <w:tr2bl w:val="nil"/>
            </w:tcBorders>
            <w:noWrap w:val="0"/>
            <w:vAlign w:val="center"/>
          </w:tcPr>
          <w:p w14:paraId="62B84CB9">
            <w:pPr>
              <w:spacing w:beforeLines="0" w:afterLines="0" w:line="240" w:lineRule="exact"/>
              <w:jc w:val="lef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（二）加油操作规程</w:t>
            </w:r>
          </w:p>
        </w:tc>
      </w:tr>
      <w:tr w14:paraId="32BCF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831"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top"/>
          </w:tcPr>
          <w:p w14:paraId="2D163985">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4C7C5">
            <w:pPr>
              <w:pStyle w:val="7"/>
              <w:spacing w:before="83" w:line="306" w:lineRule="auto"/>
              <w:ind w:right="71" w:firstLine="2"/>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车辆驶入非自助加油站时，加油员宜主动引导车辆进入加油位置。</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25AEE">
            <w:pPr>
              <w:spacing w:beforeLines="0" w:afterLines="0" w:line="24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加油员引导车辆进入加油位置</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77B464A6">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3AF87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002"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7E845F45">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250DEB">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加油作业前，加油员应确认车辆停稳、熄火；摩托车驾驶人和乘坐人员应离开座位，并将车辆熄 火、放置平稳；加油员与客户确认油品的名称和牌号等信息；应提示客户在靠近油箱口前先释放人体静电。</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2CAED4">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按相关操作规程作业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4979A46B">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2DB4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368"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18B72F34">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5F35C">
            <w:pPr>
              <w:pStyle w:val="7"/>
              <w:spacing w:before="83" w:line="306" w:lineRule="auto"/>
              <w:ind w:right="71" w:firstLine="2"/>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加油枪应为自封式加油枪，汽油加油流量不应大于50 L/min。</w:t>
            </w:r>
          </w:p>
          <w:p w14:paraId="4BB8462B">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E0A088">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自封式加油枪，汽油枪加油流量不大于50</w:t>
            </w:r>
            <w:r>
              <w:rPr>
                <w:rFonts w:hint="eastAsia" w:ascii="Times New Roman" w:hAnsi="Times New Roman" w:eastAsia="Times New Roman" w:cs="Times New Roman"/>
                <w:color w:val="auto"/>
                <w:kern w:val="0"/>
                <w:sz w:val="21"/>
                <w:szCs w:val="21"/>
              </w:rPr>
              <w:t>L/min</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1B0BE6F9">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1AE9F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831"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5017634F">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767F0">
            <w:pPr>
              <w:pStyle w:val="7"/>
              <w:spacing w:before="83" w:line="306" w:lineRule="auto"/>
              <w:ind w:right="71" w:firstLine="2"/>
              <w:rPr>
                <w:rFonts w:hint="eastAsia" w:ascii="Times New Roman" w:hAnsi="Times New Roman" w:eastAsia="Times New Roman" w:cs="Times New Roman"/>
                <w:color w:val="auto"/>
                <w:sz w:val="21"/>
                <w:szCs w:val="21"/>
              </w:rPr>
            </w:pPr>
            <w:r>
              <w:rPr>
                <w:rFonts w:hint="eastAsia" w:ascii="Times New Roman" w:hAnsi="Times New Roman" w:cs="Times New Roman"/>
                <w:color w:val="auto"/>
                <w:sz w:val="21"/>
                <w:szCs w:val="21"/>
              </w:rPr>
              <w:t>加油时应避免油料溅出，若发生油料滴漏、溢洒或影响加油作业安全的情况，应立即停止加油， 并及时处理。</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4CB25">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按相关操作规程作业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27AC48FC">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37035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74"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41506D82">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73F76">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加完油后，应立即将加油枪复位于加油机</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99A05E">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按相关操作规程作业</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067EC430">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430C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77" w:hRule="atLeast"/>
          <w:jc w:val="center"/>
        </w:trPr>
        <w:tc>
          <w:tcPr>
            <w:tcW w:w="714" w:type="dxa"/>
            <w:vMerge w:val="restart"/>
            <w:tcBorders>
              <w:top w:val="single" w:color="000000" w:sz="4" w:space="0"/>
              <w:left w:val="single" w:color="auto" w:sz="8" w:space="0"/>
              <w:bottom w:val="single" w:color="000000" w:sz="4" w:space="0"/>
              <w:right w:val="single" w:color="000000" w:sz="4" w:space="0"/>
              <w:tl2br w:val="nil"/>
              <w:tr2bl w:val="nil"/>
            </w:tcBorders>
            <w:noWrap w:val="0"/>
            <w:vAlign w:val="center"/>
          </w:tcPr>
          <w:p w14:paraId="409EAD23">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4</w:t>
            </w:r>
          </w:p>
        </w:tc>
        <w:tc>
          <w:tcPr>
            <w:tcW w:w="8744" w:type="dxa"/>
            <w:gridSpan w:val="4"/>
            <w:tcBorders>
              <w:top w:val="single" w:color="000000" w:sz="4" w:space="0"/>
              <w:left w:val="single" w:color="000000" w:sz="4" w:space="0"/>
              <w:bottom w:val="single" w:color="000000" w:sz="4" w:space="0"/>
              <w:right w:val="single" w:color="auto" w:sz="8" w:space="0"/>
              <w:tl2br w:val="nil"/>
              <w:tr2bl w:val="nil"/>
            </w:tcBorders>
            <w:noWrap w:val="0"/>
            <w:vAlign w:val="center"/>
          </w:tcPr>
          <w:p w14:paraId="2DC50033">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（四）事故应急救援预案</w:t>
            </w:r>
          </w:p>
        </w:tc>
      </w:tr>
      <w:tr w14:paraId="5F095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73"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4DA15135">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56852">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编制事故应急救援预案。</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821DC1">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19218127">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kern w:val="0"/>
                <w:sz w:val="21"/>
                <w:szCs w:val="21"/>
              </w:rPr>
              <w:t>合格</w:t>
            </w:r>
          </w:p>
        </w:tc>
      </w:tr>
      <w:tr w14:paraId="0F4CC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58" w:hRule="atLeast"/>
          <w:jc w:val="center"/>
        </w:trPr>
        <w:tc>
          <w:tcPr>
            <w:tcW w:w="714" w:type="dxa"/>
            <w:vMerge w:val="continue"/>
            <w:tcBorders>
              <w:top w:val="single" w:color="000000" w:sz="4" w:space="0"/>
              <w:left w:val="single" w:color="auto" w:sz="8" w:space="0"/>
              <w:bottom w:val="single" w:color="000000" w:sz="4" w:space="0"/>
              <w:right w:val="single" w:color="000000" w:sz="4" w:space="0"/>
              <w:tl2br w:val="nil"/>
              <w:tr2bl w:val="nil"/>
            </w:tcBorders>
            <w:noWrap w:val="0"/>
            <w:vAlign w:val="center"/>
          </w:tcPr>
          <w:p w14:paraId="70886E0D">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77E76">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有演练记录。</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4B257">
            <w:pPr>
              <w:spacing w:beforeLines="0" w:afterLines="0" w:line="240" w:lineRule="exact"/>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无</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3E1FEE5E">
            <w:pPr>
              <w:spacing w:beforeLines="0" w:afterLines="0" w:line="240" w:lineRule="exact"/>
              <w:jc w:val="center"/>
              <w:rPr>
                <w:rFonts w:hint="eastAsia" w:ascii="Times New Roman" w:hAnsi="Times New Roman" w:eastAsia="Times New Roman" w:cs="Times New Roman"/>
                <w:color w:val="auto"/>
                <w:sz w:val="21"/>
                <w:szCs w:val="21"/>
              </w:rPr>
            </w:pPr>
            <w:r>
              <w:rPr>
                <w:rFonts w:hint="eastAsia" w:cs="Times New Roman"/>
                <w:color w:val="auto"/>
                <w:kern w:val="0"/>
                <w:sz w:val="21"/>
                <w:szCs w:val="21"/>
                <w:lang w:val="en-US" w:eastAsia="zh-CN"/>
              </w:rPr>
              <w:t>不</w:t>
            </w:r>
            <w:r>
              <w:rPr>
                <w:rFonts w:hint="eastAsia" w:ascii="Times New Roman" w:hAnsi="Times New Roman" w:eastAsia="宋体" w:cs="Times New Roman"/>
                <w:color w:val="auto"/>
                <w:kern w:val="0"/>
                <w:sz w:val="21"/>
                <w:szCs w:val="21"/>
              </w:rPr>
              <w:t>合格</w:t>
            </w:r>
          </w:p>
        </w:tc>
      </w:tr>
      <w:tr w14:paraId="38CEC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87" w:hRule="atLeast"/>
          <w:jc w:val="center"/>
        </w:trPr>
        <w:tc>
          <w:tcPr>
            <w:tcW w:w="9458" w:type="dxa"/>
            <w:gridSpan w:val="5"/>
            <w:tcBorders>
              <w:top w:val="single" w:color="000000" w:sz="4" w:space="0"/>
              <w:left w:val="single" w:color="auto" w:sz="8" w:space="0"/>
              <w:bottom w:val="single" w:color="000000" w:sz="4" w:space="0"/>
              <w:right w:val="single" w:color="auto" w:sz="8" w:space="0"/>
              <w:tl2br w:val="nil"/>
              <w:tr2bl w:val="nil"/>
            </w:tcBorders>
            <w:noWrap w:val="0"/>
            <w:vAlign w:val="center"/>
          </w:tcPr>
          <w:p w14:paraId="2631774F">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二、安全管理组织</w:t>
            </w:r>
          </w:p>
        </w:tc>
      </w:tr>
      <w:tr w14:paraId="46B7C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62" w:hRule="atLeast"/>
          <w:jc w:val="center"/>
        </w:trPr>
        <w:tc>
          <w:tcPr>
            <w:tcW w:w="71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77E307DA">
            <w:pPr>
              <w:autoSpaceDE w:val="0"/>
              <w:autoSpaceDN w:val="0"/>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序号</w:t>
            </w: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9F324">
            <w:pPr>
              <w:autoSpaceDE w:val="0"/>
              <w:autoSpaceDN w:val="0"/>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检查内容</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D6997">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检查记录</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5CD47546">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结论</w:t>
            </w:r>
          </w:p>
        </w:tc>
      </w:tr>
      <w:tr w14:paraId="26027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98" w:hRule="atLeast"/>
          <w:jc w:val="center"/>
        </w:trPr>
        <w:tc>
          <w:tcPr>
            <w:tcW w:w="71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5B242BC4">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1</w:t>
            </w: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2B912">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有安全管理领导小组，有专职或兼职安全人员。</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26A021">
            <w:pPr>
              <w:spacing w:beforeLines="0" w:afterLines="0" w:line="2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rPr>
              <w:t>有</w:t>
            </w:r>
            <w:r>
              <w:rPr>
                <w:rFonts w:hint="eastAsia" w:ascii="Times New Roman" w:hAnsi="Times New Roman" w:eastAsia="宋体" w:cs="Times New Roman"/>
                <w:color w:val="auto"/>
                <w:kern w:val="0"/>
                <w:sz w:val="21"/>
                <w:szCs w:val="21"/>
                <w:lang w:val="en-US" w:eastAsia="zh-CN"/>
              </w:rPr>
              <w:t>专职安全员</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7BFF80F4">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7445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35" w:hRule="atLeast"/>
          <w:jc w:val="center"/>
        </w:trPr>
        <w:tc>
          <w:tcPr>
            <w:tcW w:w="9458" w:type="dxa"/>
            <w:gridSpan w:val="5"/>
            <w:tcBorders>
              <w:top w:val="single" w:color="000000" w:sz="4" w:space="0"/>
              <w:left w:val="single" w:color="auto" w:sz="8" w:space="0"/>
              <w:bottom w:val="single" w:color="000000" w:sz="4" w:space="0"/>
              <w:right w:val="single" w:color="auto" w:sz="8" w:space="0"/>
              <w:tl2br w:val="nil"/>
              <w:tr2bl w:val="nil"/>
            </w:tcBorders>
            <w:noWrap w:val="0"/>
            <w:vAlign w:val="center"/>
          </w:tcPr>
          <w:p w14:paraId="6D6D8E93">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三、从业人员状况</w:t>
            </w:r>
          </w:p>
        </w:tc>
      </w:tr>
      <w:tr w14:paraId="1B1D7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83" w:hRule="atLeast"/>
          <w:jc w:val="center"/>
        </w:trPr>
        <w:tc>
          <w:tcPr>
            <w:tcW w:w="71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6B39CE97">
            <w:pPr>
              <w:autoSpaceDE w:val="0"/>
              <w:autoSpaceDN w:val="0"/>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序号</w:t>
            </w: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64E4F">
            <w:pPr>
              <w:autoSpaceDE w:val="0"/>
              <w:autoSpaceDN w:val="0"/>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检查内容</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920138">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检查记录</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112FBADB">
            <w:pPr>
              <w:spacing w:beforeLines="0" w:afterLines="0" w:line="240" w:lineRule="exact"/>
              <w:jc w:val="center"/>
              <w:rPr>
                <w:rFonts w:hint="eastAsia" w:ascii="Times New Roman" w:hAnsi="Times New Roman" w:eastAsia="Times New Roman" w:cs="Times New Roman"/>
                <w:b/>
                <w:color w:val="auto"/>
                <w:kern w:val="0"/>
                <w:sz w:val="21"/>
                <w:szCs w:val="21"/>
              </w:rPr>
            </w:pPr>
            <w:r>
              <w:rPr>
                <w:rFonts w:hint="eastAsia" w:ascii="Times New Roman" w:hAnsi="Times New Roman" w:eastAsia="宋体" w:cs="Times New Roman"/>
                <w:b/>
                <w:color w:val="auto"/>
                <w:kern w:val="0"/>
                <w:sz w:val="21"/>
                <w:szCs w:val="21"/>
              </w:rPr>
              <w:t>结论</w:t>
            </w:r>
          </w:p>
        </w:tc>
      </w:tr>
      <w:tr w14:paraId="4C450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96" w:hRule="atLeast"/>
          <w:jc w:val="center"/>
        </w:trPr>
        <w:tc>
          <w:tcPr>
            <w:tcW w:w="71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60919B61">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1</w:t>
            </w: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01A38">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单位主要负责人经安全生产监督管理部门和消防部门培训合格，取得上岗资格。</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C76E2">
            <w:pPr>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主要负责人取得危化品安全管理资格证。</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0E2F4501">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sz w:val="21"/>
                <w:szCs w:val="21"/>
              </w:rPr>
              <w:t>合格</w:t>
            </w:r>
          </w:p>
        </w:tc>
      </w:tr>
      <w:tr w14:paraId="26D3F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521" w:hRule="atLeast"/>
          <w:jc w:val="center"/>
        </w:trPr>
        <w:tc>
          <w:tcPr>
            <w:tcW w:w="714" w:type="dxa"/>
            <w:tcBorders>
              <w:top w:val="single" w:color="000000" w:sz="4" w:space="0"/>
              <w:left w:val="single" w:color="auto" w:sz="8" w:space="0"/>
              <w:bottom w:val="single" w:color="000000" w:sz="4" w:space="0"/>
              <w:right w:val="single" w:color="000000" w:sz="4" w:space="0"/>
              <w:tl2br w:val="nil"/>
              <w:tr2bl w:val="nil"/>
            </w:tcBorders>
            <w:noWrap w:val="0"/>
            <w:vAlign w:val="center"/>
          </w:tcPr>
          <w:p w14:paraId="40AFB0CB">
            <w:pPr>
              <w:autoSpaceDE w:val="0"/>
              <w:autoSpaceDN w:val="0"/>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Times New Roman" w:cs="Times New Roman"/>
                <w:color w:val="auto"/>
                <w:kern w:val="0"/>
                <w:sz w:val="21"/>
                <w:szCs w:val="21"/>
              </w:rPr>
              <w:t>2</w:t>
            </w:r>
          </w:p>
        </w:tc>
        <w:tc>
          <w:tcPr>
            <w:tcW w:w="52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B26A7">
            <w:pPr>
              <w:autoSpaceDE w:val="0"/>
              <w:autoSpaceDN w:val="0"/>
              <w:spacing w:beforeLines="0" w:afterLines="0" w:line="240" w:lineRule="exact"/>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从业人员经本单位专业培训合格，掌握相应的专业技术知识，具备相应的安全生产知识和能力。有培训记录。</w:t>
            </w:r>
          </w:p>
        </w:tc>
        <w:tc>
          <w:tcPr>
            <w:tcW w:w="249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F2E832">
            <w:pPr>
              <w:spacing w:beforeLines="0" w:afterLines="0" w:line="240" w:lineRule="exact"/>
              <w:jc w:val="center"/>
              <w:rPr>
                <w:rFonts w:hint="eastAsia" w:ascii="Times New Roman" w:hAnsi="Times New Roman" w:eastAsia="Times New Roman" w:cs="Times New Roman"/>
                <w:color w:val="auto"/>
                <w:kern w:val="0"/>
                <w:sz w:val="21"/>
                <w:szCs w:val="21"/>
              </w:rPr>
            </w:pPr>
            <w:r>
              <w:rPr>
                <w:rFonts w:hint="eastAsia" w:ascii="Times New Roman" w:hAnsi="Times New Roman" w:eastAsia="宋体" w:cs="Times New Roman"/>
                <w:color w:val="auto"/>
                <w:kern w:val="0"/>
                <w:sz w:val="21"/>
                <w:szCs w:val="21"/>
              </w:rPr>
              <w:t>本单位培训</w:t>
            </w:r>
          </w:p>
        </w:tc>
        <w:tc>
          <w:tcPr>
            <w:tcW w:w="995" w:type="dxa"/>
            <w:gridSpan w:val="2"/>
            <w:tcBorders>
              <w:top w:val="single" w:color="000000" w:sz="4" w:space="0"/>
              <w:left w:val="single" w:color="000000" w:sz="4" w:space="0"/>
              <w:bottom w:val="single" w:color="000000" w:sz="4" w:space="0"/>
              <w:right w:val="single" w:color="auto" w:sz="8" w:space="0"/>
              <w:tl2br w:val="nil"/>
              <w:tr2bl w:val="nil"/>
            </w:tcBorders>
            <w:noWrap w:val="0"/>
            <w:vAlign w:val="center"/>
          </w:tcPr>
          <w:p w14:paraId="0CDBD34F">
            <w:pPr>
              <w:spacing w:beforeLines="0" w:afterLines="0" w:line="240" w:lineRule="exact"/>
              <w:jc w:val="center"/>
              <w:rPr>
                <w:rFonts w:hint="eastAsia" w:ascii="Times New Roman" w:hAnsi="Times New Roman" w:eastAsia="Times New Roman" w:cs="Times New Roman"/>
                <w:color w:val="auto"/>
                <w:sz w:val="21"/>
                <w:szCs w:val="21"/>
              </w:rPr>
            </w:pPr>
            <w:r>
              <w:rPr>
                <w:rFonts w:hint="eastAsia" w:ascii="Times New Roman" w:hAnsi="Times New Roman" w:eastAsia="宋体" w:cs="Times New Roman"/>
                <w:color w:val="auto"/>
                <w:sz w:val="21"/>
                <w:szCs w:val="21"/>
              </w:rPr>
              <w:t>合格</w:t>
            </w:r>
          </w:p>
        </w:tc>
      </w:tr>
    </w:tbl>
    <w:p w14:paraId="5ADDD3C6">
      <w:pPr>
        <w:spacing w:beforeLines="0" w:afterLines="0" w:line="560" w:lineRule="exact"/>
        <w:ind w:firstLine="600"/>
        <w:rPr>
          <w:rFonts w:hint="eastAsia" w:ascii="Times New Roman" w:hAnsi="Times New Roman" w:eastAsia="宋体" w:cs="Times New Roman"/>
          <w:color w:val="auto"/>
          <w:sz w:val="28"/>
          <w:szCs w:val="24"/>
        </w:rPr>
      </w:pPr>
      <w:r>
        <w:rPr>
          <w:rFonts w:hint="eastAsia" w:ascii="Times New Roman" w:hAnsi="Times New Roman" w:eastAsia="宋体" w:cs="Times New Roman"/>
          <w:color w:val="auto"/>
          <w:sz w:val="28"/>
          <w:szCs w:val="24"/>
        </w:rPr>
        <w:t>评价小结：制定了人员的安全经营责任制。制定了各类安全管理制度和消防管理制度；安全管理符合在正常运行过程中的安全经营的要求；按规定使用劳动保护用品；按要求编写了应急预案并向应急管理部门进行备案登记。</w:t>
      </w:r>
    </w:p>
    <w:bookmarkEnd w:id="238"/>
    <w:bookmarkEnd w:id="239"/>
    <w:p w14:paraId="18E6155C">
      <w:pPr>
        <w:pStyle w:val="3"/>
        <w:spacing w:before="156" w:after="156" w:line="560" w:lineRule="exact"/>
        <w:rPr>
          <w:rFonts w:hint="eastAsia" w:ascii="Times New Roman" w:hAnsi="Times New Roman" w:eastAsia="Times New Roman" w:cs="Times New Roman"/>
          <w:color w:val="auto"/>
          <w:sz w:val="28"/>
          <w:szCs w:val="28"/>
        </w:rPr>
      </w:pPr>
      <w:bookmarkStart w:id="244" w:name="_Toc5530"/>
      <w:bookmarkStart w:id="245" w:name="_Toc29432"/>
      <w:bookmarkStart w:id="246" w:name="_Toc2886"/>
      <w:bookmarkStart w:id="247" w:name="_Toc120957340"/>
      <w:r>
        <w:rPr>
          <w:rFonts w:hint="default" w:ascii="宋体" w:hAnsi="Times New Roman" w:eastAsia="宋体"/>
          <w:color w:val="000000"/>
          <w:sz w:val="28"/>
          <w:szCs w:val="24"/>
        </w:rPr>
        <w:t>5.2站址和总平面布置及建（构）筑物单元</w:t>
      </w:r>
      <w:bookmarkEnd w:id="244"/>
      <w:bookmarkEnd w:id="245"/>
    </w:p>
    <w:p w14:paraId="21554836">
      <w:pPr>
        <w:wordWrap w:val="0"/>
        <w:adjustRightInd w:val="0"/>
        <w:snapToGrid w:val="0"/>
        <w:spacing w:line="600" w:lineRule="exact"/>
        <w:textAlignment w:val="center"/>
        <w:outlineLvl w:val="3"/>
        <w:rPr>
          <w:b/>
          <w:bCs/>
          <w:color w:val="000000"/>
          <w:sz w:val="28"/>
          <w:szCs w:val="28"/>
        </w:rPr>
      </w:pPr>
      <w:r>
        <w:rPr>
          <w:b/>
          <w:bCs/>
          <w:color w:val="000000"/>
          <w:sz w:val="28"/>
          <w:szCs w:val="28"/>
        </w:rPr>
        <w:t>5.</w:t>
      </w:r>
      <w:r>
        <w:rPr>
          <w:rFonts w:hint="eastAsia"/>
          <w:b/>
          <w:bCs/>
          <w:color w:val="000000"/>
          <w:sz w:val="28"/>
          <w:szCs w:val="28"/>
          <w:lang w:val="en-US" w:eastAsia="zh-CN"/>
        </w:rPr>
        <w:t>2</w:t>
      </w:r>
      <w:r>
        <w:rPr>
          <w:b/>
          <w:bCs/>
          <w:color w:val="000000"/>
          <w:sz w:val="28"/>
          <w:szCs w:val="28"/>
        </w:rPr>
        <w:t>.1加油站要求符合性评价</w:t>
      </w:r>
      <w:bookmarkEnd w:id="246"/>
      <w:bookmarkEnd w:id="247"/>
    </w:p>
    <w:p w14:paraId="5D0FC8C5">
      <w:pPr>
        <w:tabs>
          <w:tab w:val="left" w:pos="6970"/>
        </w:tabs>
        <w:spacing w:line="580" w:lineRule="exact"/>
        <w:ind w:right="-14" w:rightChars="-5" w:firstLine="546" w:firstLineChars="195"/>
        <w:rPr>
          <w:color w:val="000000"/>
          <w:sz w:val="28"/>
          <w:szCs w:val="28"/>
        </w:rPr>
      </w:pPr>
      <w:r>
        <w:rPr>
          <w:color w:val="000000"/>
          <w:sz w:val="28"/>
          <w:szCs w:val="28"/>
        </w:rPr>
        <w:t>对照《汽车加油加气加氢技术标准》（GB50156-2021）的有关规定，对加油站基本要求进行符合性评价，见表5</w:t>
      </w:r>
      <w:r>
        <w:rPr>
          <w:rFonts w:hint="eastAsia"/>
          <w:color w:val="000000"/>
          <w:sz w:val="28"/>
          <w:szCs w:val="28"/>
        </w:rPr>
        <w:t>.</w:t>
      </w:r>
      <w:r>
        <w:rPr>
          <w:rFonts w:hint="eastAsia"/>
          <w:color w:val="000000"/>
          <w:sz w:val="28"/>
          <w:szCs w:val="28"/>
          <w:lang w:val="en-US" w:eastAsia="zh-CN"/>
        </w:rPr>
        <w:t>2-1</w:t>
      </w:r>
      <w:r>
        <w:rPr>
          <w:color w:val="000000"/>
          <w:sz w:val="28"/>
          <w:szCs w:val="28"/>
        </w:rPr>
        <w:t>。</w:t>
      </w:r>
    </w:p>
    <w:p w14:paraId="717D9E1D">
      <w:pPr>
        <w:spacing w:line="600" w:lineRule="exact"/>
        <w:jc w:val="center"/>
        <w:rPr>
          <w:color w:val="000000"/>
          <w:sz w:val="24"/>
          <w:szCs w:val="24"/>
        </w:rPr>
      </w:pPr>
      <w:r>
        <w:rPr>
          <w:color w:val="000000"/>
          <w:sz w:val="24"/>
          <w:szCs w:val="24"/>
        </w:rPr>
        <w:t>表5</w:t>
      </w:r>
      <w:r>
        <w:rPr>
          <w:rFonts w:hint="eastAsia"/>
          <w:color w:val="000000"/>
          <w:sz w:val="24"/>
          <w:szCs w:val="24"/>
        </w:rPr>
        <w:t>.</w:t>
      </w:r>
      <w:r>
        <w:rPr>
          <w:rFonts w:hint="eastAsia"/>
          <w:color w:val="000000"/>
          <w:sz w:val="24"/>
          <w:szCs w:val="24"/>
          <w:lang w:val="en-US" w:eastAsia="zh-CN"/>
        </w:rPr>
        <w:t>2</w:t>
      </w:r>
      <w:r>
        <w:rPr>
          <w:color w:val="000000"/>
          <w:sz w:val="24"/>
          <w:szCs w:val="24"/>
        </w:rPr>
        <w:t>-</w:t>
      </w:r>
      <w:r>
        <w:rPr>
          <w:rFonts w:hint="eastAsia"/>
          <w:color w:val="000000"/>
          <w:sz w:val="24"/>
          <w:szCs w:val="24"/>
          <w:lang w:val="en-US" w:eastAsia="zh-CN"/>
        </w:rPr>
        <w:t>1</w:t>
      </w:r>
      <w:r>
        <w:rPr>
          <w:color w:val="000000"/>
          <w:sz w:val="24"/>
          <w:szCs w:val="24"/>
        </w:rPr>
        <w:t xml:space="preserve"> </w:t>
      </w:r>
      <w:r>
        <w:rPr>
          <w:bCs/>
          <w:color w:val="000000"/>
          <w:sz w:val="24"/>
          <w:szCs w:val="24"/>
        </w:rPr>
        <w:t>加油站</w:t>
      </w:r>
      <w:r>
        <w:rPr>
          <w:color w:val="000000"/>
          <w:sz w:val="24"/>
          <w:szCs w:val="24"/>
        </w:rPr>
        <w:t>要求符合性评价表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924"/>
        <w:gridCol w:w="612"/>
        <w:gridCol w:w="906"/>
        <w:gridCol w:w="1642"/>
        <w:gridCol w:w="740"/>
        <w:gridCol w:w="2199"/>
        <w:gridCol w:w="939"/>
      </w:tblGrid>
      <w:tr w14:paraId="2222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14:paraId="4774771D">
            <w:pPr>
              <w:spacing w:line="320" w:lineRule="exact"/>
              <w:jc w:val="center"/>
              <w:rPr>
                <w:bCs/>
                <w:color w:val="000000"/>
                <w:sz w:val="21"/>
                <w:szCs w:val="21"/>
              </w:rPr>
            </w:pPr>
            <w:r>
              <w:rPr>
                <w:rFonts w:hAnsi="宋体"/>
                <w:color w:val="000000"/>
                <w:sz w:val="21"/>
                <w:szCs w:val="21"/>
              </w:rPr>
              <w:t>序号</w:t>
            </w:r>
          </w:p>
        </w:tc>
        <w:tc>
          <w:tcPr>
            <w:tcW w:w="2396" w:type="pct"/>
            <w:gridSpan w:val="4"/>
            <w:noWrap w:val="0"/>
            <w:vAlign w:val="center"/>
          </w:tcPr>
          <w:p w14:paraId="7BBD926D">
            <w:pPr>
              <w:spacing w:line="320" w:lineRule="exact"/>
              <w:jc w:val="center"/>
              <w:rPr>
                <w:bCs/>
                <w:color w:val="000000"/>
                <w:sz w:val="21"/>
                <w:szCs w:val="21"/>
              </w:rPr>
            </w:pPr>
            <w:r>
              <w:rPr>
                <w:rFonts w:hAnsi="宋体"/>
                <w:color w:val="000000"/>
                <w:sz w:val="21"/>
                <w:szCs w:val="21"/>
              </w:rPr>
              <w:t>检查内容</w:t>
            </w:r>
          </w:p>
        </w:tc>
        <w:tc>
          <w:tcPr>
            <w:tcW w:w="434" w:type="pct"/>
            <w:noWrap w:val="0"/>
            <w:vAlign w:val="center"/>
          </w:tcPr>
          <w:p w14:paraId="73C8E80F">
            <w:pPr>
              <w:spacing w:line="320" w:lineRule="exact"/>
              <w:jc w:val="center"/>
              <w:rPr>
                <w:bCs/>
                <w:color w:val="000000"/>
                <w:sz w:val="21"/>
                <w:szCs w:val="21"/>
              </w:rPr>
            </w:pPr>
            <w:r>
              <w:rPr>
                <w:rFonts w:hAnsi="宋体"/>
                <w:color w:val="000000"/>
                <w:sz w:val="21"/>
                <w:szCs w:val="21"/>
              </w:rPr>
              <w:t>标准条款</w:t>
            </w:r>
          </w:p>
        </w:tc>
        <w:tc>
          <w:tcPr>
            <w:tcW w:w="1290" w:type="pct"/>
            <w:noWrap w:val="0"/>
            <w:vAlign w:val="center"/>
          </w:tcPr>
          <w:p w14:paraId="338C7CF1">
            <w:pPr>
              <w:spacing w:line="320" w:lineRule="exact"/>
              <w:jc w:val="center"/>
              <w:rPr>
                <w:bCs/>
                <w:color w:val="000000"/>
                <w:sz w:val="21"/>
                <w:szCs w:val="21"/>
              </w:rPr>
            </w:pPr>
            <w:r>
              <w:rPr>
                <w:rFonts w:hAnsi="宋体"/>
                <w:bCs/>
                <w:color w:val="000000"/>
                <w:kern w:val="0"/>
                <w:sz w:val="21"/>
                <w:szCs w:val="21"/>
              </w:rPr>
              <w:t>检查记录</w:t>
            </w:r>
          </w:p>
        </w:tc>
        <w:tc>
          <w:tcPr>
            <w:tcW w:w="550" w:type="pct"/>
            <w:noWrap w:val="0"/>
            <w:vAlign w:val="center"/>
          </w:tcPr>
          <w:p w14:paraId="757BD547">
            <w:pPr>
              <w:spacing w:line="320" w:lineRule="exact"/>
              <w:jc w:val="center"/>
              <w:rPr>
                <w:bCs/>
                <w:color w:val="000000"/>
                <w:sz w:val="21"/>
                <w:szCs w:val="21"/>
              </w:rPr>
            </w:pPr>
            <w:r>
              <w:rPr>
                <w:rFonts w:hAnsi="宋体"/>
                <w:color w:val="000000"/>
                <w:sz w:val="21"/>
                <w:szCs w:val="21"/>
              </w:rPr>
              <w:t>评价结论</w:t>
            </w:r>
          </w:p>
        </w:tc>
      </w:tr>
      <w:tr w14:paraId="36D3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14:paraId="50393996">
            <w:pPr>
              <w:spacing w:line="320" w:lineRule="exact"/>
              <w:jc w:val="center"/>
              <w:rPr>
                <w:bCs/>
                <w:color w:val="000000"/>
                <w:sz w:val="21"/>
                <w:szCs w:val="21"/>
              </w:rPr>
            </w:pPr>
            <w:r>
              <w:rPr>
                <w:bCs/>
                <w:color w:val="000000"/>
                <w:sz w:val="21"/>
                <w:szCs w:val="21"/>
              </w:rPr>
              <w:t>1</w:t>
            </w:r>
          </w:p>
        </w:tc>
        <w:tc>
          <w:tcPr>
            <w:tcW w:w="2396" w:type="pct"/>
            <w:gridSpan w:val="4"/>
            <w:noWrap w:val="0"/>
            <w:vAlign w:val="center"/>
          </w:tcPr>
          <w:p w14:paraId="4C7BF09F">
            <w:pPr>
              <w:autoSpaceDE w:val="0"/>
              <w:autoSpaceDN w:val="0"/>
              <w:adjustRightInd w:val="0"/>
              <w:spacing w:line="320" w:lineRule="exact"/>
              <w:jc w:val="left"/>
              <w:rPr>
                <w:color w:val="000000"/>
                <w:kern w:val="0"/>
                <w:sz w:val="21"/>
                <w:szCs w:val="21"/>
              </w:rPr>
            </w:pPr>
            <w:r>
              <w:rPr>
                <w:rFonts w:hint="eastAsia" w:hAnsi="宋体"/>
                <w:color w:val="000000"/>
                <w:kern w:val="0"/>
                <w:sz w:val="21"/>
                <w:szCs w:val="21"/>
              </w:rPr>
              <w:t>向汽车加油加气加氢站供应汽油、柴油、LPG</w:t>
            </w:r>
            <w:r>
              <w:rPr>
                <w:rFonts w:hint="eastAsia" w:ascii="宋体" w:hAnsi="宋体" w:eastAsia="宋体" w:cs="宋体"/>
                <w:color w:val="000000"/>
                <w:kern w:val="0"/>
                <w:sz w:val="21"/>
                <w:szCs w:val="21"/>
              </w:rPr>
              <w:t>、</w:t>
            </w:r>
            <w:r>
              <w:rPr>
                <w:rFonts w:hint="eastAsia" w:hAnsi="宋体"/>
                <w:color w:val="000000"/>
                <w:kern w:val="0"/>
                <w:sz w:val="21"/>
                <w:szCs w:val="21"/>
              </w:rPr>
              <w:t>LNG</w:t>
            </w:r>
            <w:r>
              <w:rPr>
                <w:rFonts w:hint="eastAsia" w:ascii="宋体" w:hAnsi="宋体" w:eastAsia="宋体" w:cs="宋体"/>
                <w:color w:val="000000"/>
                <w:kern w:val="0"/>
                <w:sz w:val="21"/>
                <w:szCs w:val="21"/>
              </w:rPr>
              <w:t>、液氢，可采取罐车或罐式集装箱运输或管道输送的方式，供应</w:t>
            </w:r>
            <w:r>
              <w:rPr>
                <w:rFonts w:hint="eastAsia" w:hAnsi="宋体"/>
                <w:color w:val="000000"/>
                <w:kern w:val="0"/>
                <w:sz w:val="21"/>
                <w:szCs w:val="21"/>
              </w:rPr>
              <w:t>CNG</w:t>
            </w:r>
            <w:r>
              <w:rPr>
                <w:rFonts w:hint="eastAsia" w:ascii="宋体" w:hAnsi="宋体" w:eastAsia="宋体" w:cs="宋体"/>
                <w:color w:val="000000"/>
                <w:kern w:val="0"/>
                <w:sz w:val="21"/>
                <w:szCs w:val="21"/>
              </w:rPr>
              <w:t>、氢气可采取长管拖车、管束式集装箱运输或管道输送的方式</w:t>
            </w:r>
            <w:r>
              <w:rPr>
                <w:rFonts w:hint="eastAsia" w:hAnsi="宋体"/>
                <w:color w:val="000000"/>
                <w:kern w:val="0"/>
                <w:sz w:val="21"/>
                <w:szCs w:val="21"/>
              </w:rPr>
              <w:t>。</w:t>
            </w:r>
          </w:p>
        </w:tc>
        <w:tc>
          <w:tcPr>
            <w:tcW w:w="434" w:type="pct"/>
            <w:noWrap w:val="0"/>
            <w:vAlign w:val="center"/>
          </w:tcPr>
          <w:p w14:paraId="14E3C2EE">
            <w:pPr>
              <w:spacing w:line="320" w:lineRule="exact"/>
              <w:jc w:val="center"/>
              <w:rPr>
                <w:color w:val="000000"/>
                <w:sz w:val="21"/>
                <w:szCs w:val="21"/>
              </w:rPr>
            </w:pPr>
            <w:r>
              <w:rPr>
                <w:color w:val="000000"/>
                <w:sz w:val="21"/>
                <w:szCs w:val="21"/>
              </w:rPr>
              <w:t>3.0.1</w:t>
            </w:r>
          </w:p>
        </w:tc>
        <w:tc>
          <w:tcPr>
            <w:tcW w:w="1290" w:type="pct"/>
            <w:noWrap w:val="0"/>
            <w:vAlign w:val="center"/>
          </w:tcPr>
          <w:p w14:paraId="1C5F777B">
            <w:pPr>
              <w:spacing w:line="320" w:lineRule="exact"/>
              <w:jc w:val="center"/>
              <w:rPr>
                <w:bCs/>
                <w:color w:val="000000"/>
                <w:sz w:val="21"/>
                <w:szCs w:val="21"/>
              </w:rPr>
            </w:pPr>
            <w:r>
              <w:rPr>
                <w:rFonts w:hAnsi="宋体"/>
                <w:color w:val="000000"/>
                <w:kern w:val="0"/>
                <w:sz w:val="21"/>
                <w:szCs w:val="21"/>
              </w:rPr>
              <w:t>采取罐车运输</w:t>
            </w:r>
          </w:p>
        </w:tc>
        <w:tc>
          <w:tcPr>
            <w:tcW w:w="550" w:type="pct"/>
            <w:noWrap w:val="0"/>
            <w:vAlign w:val="center"/>
          </w:tcPr>
          <w:p w14:paraId="076B43E1">
            <w:pPr>
              <w:spacing w:line="320" w:lineRule="exact"/>
              <w:jc w:val="center"/>
              <w:rPr>
                <w:bCs/>
                <w:color w:val="000000"/>
                <w:sz w:val="21"/>
                <w:szCs w:val="21"/>
              </w:rPr>
            </w:pPr>
            <w:r>
              <w:rPr>
                <w:rFonts w:hAnsi="宋体"/>
                <w:bCs/>
                <w:color w:val="000000"/>
                <w:sz w:val="21"/>
                <w:szCs w:val="21"/>
              </w:rPr>
              <w:t>符合要求</w:t>
            </w:r>
          </w:p>
        </w:tc>
      </w:tr>
      <w:tr w14:paraId="534E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14:paraId="20442C58">
            <w:pPr>
              <w:spacing w:line="320" w:lineRule="exact"/>
              <w:jc w:val="center"/>
              <w:rPr>
                <w:bCs/>
                <w:color w:val="000000"/>
                <w:sz w:val="21"/>
                <w:szCs w:val="21"/>
              </w:rPr>
            </w:pPr>
            <w:r>
              <w:rPr>
                <w:bCs/>
                <w:color w:val="000000"/>
                <w:sz w:val="21"/>
                <w:szCs w:val="21"/>
              </w:rPr>
              <w:t>2</w:t>
            </w:r>
          </w:p>
        </w:tc>
        <w:tc>
          <w:tcPr>
            <w:tcW w:w="2396" w:type="pct"/>
            <w:gridSpan w:val="4"/>
            <w:noWrap w:val="0"/>
            <w:vAlign w:val="center"/>
          </w:tcPr>
          <w:p w14:paraId="6ED7C1F6">
            <w:pPr>
              <w:autoSpaceDE w:val="0"/>
              <w:autoSpaceDN w:val="0"/>
              <w:adjustRightInd w:val="0"/>
              <w:spacing w:line="320" w:lineRule="exact"/>
              <w:jc w:val="left"/>
              <w:rPr>
                <w:color w:val="000000"/>
                <w:kern w:val="0"/>
                <w:sz w:val="21"/>
                <w:szCs w:val="21"/>
              </w:rPr>
            </w:pPr>
            <w:r>
              <w:rPr>
                <w:rFonts w:hint="eastAsia" w:hAnsi="宋体"/>
                <w:color w:val="000000"/>
                <w:kern w:val="0"/>
                <w:sz w:val="21"/>
                <w:szCs w:val="21"/>
              </w:rPr>
              <w:t>汽车加油加气加氢站的规模应根据资源条件、市场需求、周边环境等因素统筹确定。加油站、加气站、加氢站可按本标准第3.0.12</w:t>
            </w:r>
            <w:r>
              <w:rPr>
                <w:rFonts w:hint="eastAsia" w:ascii="宋体" w:hAnsi="宋体" w:eastAsia="宋体" w:cs="宋体"/>
                <w:color w:val="000000"/>
                <w:kern w:val="0"/>
                <w:sz w:val="21"/>
                <w:szCs w:val="21"/>
              </w:rPr>
              <w:t>条～第</w:t>
            </w:r>
            <w:r>
              <w:rPr>
                <w:rFonts w:hint="eastAsia" w:hAnsi="宋体"/>
                <w:color w:val="000000"/>
                <w:kern w:val="0"/>
                <w:sz w:val="21"/>
                <w:szCs w:val="21"/>
              </w:rPr>
              <w:t>3.0.23</w:t>
            </w:r>
            <w:r>
              <w:rPr>
                <w:rFonts w:hint="eastAsia" w:ascii="宋体" w:hAnsi="宋体" w:eastAsia="宋体" w:cs="宋体"/>
                <w:color w:val="000000"/>
                <w:kern w:val="0"/>
                <w:sz w:val="21"/>
                <w:szCs w:val="21"/>
              </w:rPr>
              <w:t>条的规定联合建</w:t>
            </w:r>
            <w:r>
              <w:rPr>
                <w:rFonts w:hint="eastAsia" w:hAnsi="宋体"/>
                <w:color w:val="000000"/>
                <w:kern w:val="0"/>
                <w:sz w:val="21"/>
                <w:szCs w:val="21"/>
              </w:rPr>
              <w:t>站</w:t>
            </w:r>
            <w:r>
              <w:rPr>
                <w:rFonts w:hAnsi="宋体"/>
                <w:color w:val="000000"/>
                <w:kern w:val="0"/>
                <w:sz w:val="21"/>
                <w:szCs w:val="21"/>
              </w:rPr>
              <w:t>。</w:t>
            </w:r>
          </w:p>
        </w:tc>
        <w:tc>
          <w:tcPr>
            <w:tcW w:w="434" w:type="pct"/>
            <w:noWrap w:val="0"/>
            <w:vAlign w:val="center"/>
          </w:tcPr>
          <w:p w14:paraId="6C41D7A1">
            <w:pPr>
              <w:spacing w:line="320" w:lineRule="exact"/>
              <w:jc w:val="center"/>
              <w:rPr>
                <w:color w:val="000000"/>
                <w:sz w:val="21"/>
                <w:szCs w:val="21"/>
              </w:rPr>
            </w:pPr>
            <w:r>
              <w:rPr>
                <w:color w:val="000000"/>
                <w:sz w:val="21"/>
                <w:szCs w:val="21"/>
              </w:rPr>
              <w:t>3.0.2</w:t>
            </w:r>
          </w:p>
        </w:tc>
        <w:tc>
          <w:tcPr>
            <w:tcW w:w="1290" w:type="pct"/>
            <w:noWrap w:val="0"/>
            <w:vAlign w:val="center"/>
          </w:tcPr>
          <w:p w14:paraId="3EF60B4C">
            <w:pPr>
              <w:spacing w:line="320" w:lineRule="exact"/>
              <w:jc w:val="center"/>
              <w:rPr>
                <w:bCs/>
                <w:color w:val="000000"/>
                <w:sz w:val="21"/>
                <w:szCs w:val="21"/>
              </w:rPr>
            </w:pPr>
            <w:r>
              <w:rPr>
                <w:rFonts w:hAnsi="宋体"/>
                <w:bCs/>
                <w:color w:val="000000"/>
                <w:sz w:val="21"/>
                <w:szCs w:val="21"/>
              </w:rPr>
              <w:t>独立加油站</w:t>
            </w:r>
          </w:p>
        </w:tc>
        <w:tc>
          <w:tcPr>
            <w:tcW w:w="550" w:type="pct"/>
            <w:noWrap w:val="0"/>
            <w:vAlign w:val="center"/>
          </w:tcPr>
          <w:p w14:paraId="2E0877E9">
            <w:pPr>
              <w:spacing w:line="320" w:lineRule="exact"/>
              <w:jc w:val="center"/>
              <w:rPr>
                <w:bCs/>
                <w:color w:val="000000"/>
                <w:sz w:val="21"/>
                <w:szCs w:val="21"/>
              </w:rPr>
            </w:pPr>
            <w:r>
              <w:rPr>
                <w:rFonts w:hAnsi="宋体"/>
                <w:bCs/>
                <w:color w:val="000000"/>
                <w:sz w:val="21"/>
                <w:szCs w:val="21"/>
              </w:rPr>
              <w:t>符合要求</w:t>
            </w:r>
          </w:p>
        </w:tc>
      </w:tr>
      <w:tr w14:paraId="104F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14:paraId="345FDD1A">
            <w:pPr>
              <w:spacing w:line="320" w:lineRule="exact"/>
              <w:jc w:val="center"/>
              <w:rPr>
                <w:bCs/>
                <w:color w:val="000000"/>
                <w:sz w:val="21"/>
                <w:szCs w:val="21"/>
              </w:rPr>
            </w:pPr>
            <w:r>
              <w:rPr>
                <w:bCs/>
                <w:color w:val="000000"/>
                <w:sz w:val="21"/>
                <w:szCs w:val="21"/>
              </w:rPr>
              <w:t>3</w:t>
            </w:r>
          </w:p>
        </w:tc>
        <w:tc>
          <w:tcPr>
            <w:tcW w:w="2396" w:type="pct"/>
            <w:gridSpan w:val="4"/>
            <w:noWrap w:val="0"/>
            <w:vAlign w:val="center"/>
          </w:tcPr>
          <w:p w14:paraId="22A96913">
            <w:pPr>
              <w:autoSpaceDE w:val="0"/>
              <w:autoSpaceDN w:val="0"/>
              <w:adjustRightInd w:val="0"/>
              <w:spacing w:line="320" w:lineRule="exact"/>
              <w:jc w:val="left"/>
              <w:rPr>
                <w:color w:val="000000"/>
                <w:kern w:val="0"/>
                <w:sz w:val="21"/>
                <w:szCs w:val="21"/>
              </w:rPr>
            </w:pPr>
            <w:r>
              <w:rPr>
                <w:rFonts w:hint="eastAsia" w:hAnsi="宋体"/>
                <w:color w:val="000000"/>
                <w:kern w:val="0"/>
                <w:sz w:val="21"/>
                <w:szCs w:val="21"/>
              </w:rPr>
              <w:t>汽车加油加气加氢站可按国家有关规定设置经营非油品业务的设施</w:t>
            </w:r>
            <w:r>
              <w:rPr>
                <w:rFonts w:hAnsi="宋体"/>
                <w:color w:val="000000"/>
                <w:kern w:val="0"/>
                <w:sz w:val="21"/>
                <w:szCs w:val="21"/>
              </w:rPr>
              <w:t>。</w:t>
            </w:r>
          </w:p>
        </w:tc>
        <w:tc>
          <w:tcPr>
            <w:tcW w:w="434" w:type="pct"/>
            <w:noWrap w:val="0"/>
            <w:vAlign w:val="center"/>
          </w:tcPr>
          <w:p w14:paraId="4CB3214D">
            <w:pPr>
              <w:spacing w:line="320" w:lineRule="exact"/>
              <w:jc w:val="center"/>
              <w:rPr>
                <w:color w:val="000000"/>
                <w:sz w:val="21"/>
                <w:szCs w:val="21"/>
              </w:rPr>
            </w:pPr>
            <w:r>
              <w:rPr>
                <w:color w:val="000000"/>
                <w:sz w:val="21"/>
                <w:szCs w:val="21"/>
              </w:rPr>
              <w:t>3.0.8</w:t>
            </w:r>
          </w:p>
        </w:tc>
        <w:tc>
          <w:tcPr>
            <w:tcW w:w="1290" w:type="pct"/>
            <w:noWrap w:val="0"/>
            <w:vAlign w:val="center"/>
          </w:tcPr>
          <w:p w14:paraId="4F17CD8C">
            <w:pPr>
              <w:spacing w:line="320" w:lineRule="exact"/>
              <w:jc w:val="center"/>
              <w:rPr>
                <w:bCs/>
                <w:color w:val="000000"/>
                <w:sz w:val="21"/>
                <w:szCs w:val="21"/>
              </w:rPr>
            </w:pPr>
            <w:r>
              <w:rPr>
                <w:rFonts w:hAnsi="宋体"/>
                <w:color w:val="000000"/>
                <w:kern w:val="0"/>
                <w:sz w:val="21"/>
                <w:szCs w:val="21"/>
              </w:rPr>
              <w:t>经营国家</w:t>
            </w:r>
            <w:r>
              <w:rPr>
                <w:rFonts w:hint="eastAsia" w:hAnsi="宋体"/>
                <w:color w:val="000000"/>
                <w:kern w:val="0"/>
                <w:sz w:val="21"/>
                <w:szCs w:val="21"/>
                <w:lang w:eastAsia="zh-CN"/>
              </w:rPr>
              <w:t>行政许可</w:t>
            </w:r>
            <w:r>
              <w:rPr>
                <w:rFonts w:hAnsi="宋体"/>
                <w:color w:val="000000"/>
                <w:kern w:val="0"/>
                <w:sz w:val="21"/>
                <w:szCs w:val="21"/>
              </w:rPr>
              <w:t>的非油品业务。</w:t>
            </w:r>
          </w:p>
        </w:tc>
        <w:tc>
          <w:tcPr>
            <w:tcW w:w="550" w:type="pct"/>
            <w:noWrap w:val="0"/>
            <w:vAlign w:val="center"/>
          </w:tcPr>
          <w:p w14:paraId="3BD598C5">
            <w:pPr>
              <w:spacing w:line="320" w:lineRule="exact"/>
              <w:jc w:val="center"/>
              <w:rPr>
                <w:bCs/>
                <w:color w:val="000000"/>
                <w:sz w:val="21"/>
                <w:szCs w:val="21"/>
              </w:rPr>
            </w:pPr>
            <w:r>
              <w:rPr>
                <w:rFonts w:hAnsi="宋体"/>
                <w:bCs/>
                <w:color w:val="000000"/>
                <w:sz w:val="21"/>
                <w:szCs w:val="21"/>
              </w:rPr>
              <w:t>符合要求</w:t>
            </w:r>
          </w:p>
        </w:tc>
      </w:tr>
      <w:tr w14:paraId="61B2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14:paraId="7C26880B">
            <w:pPr>
              <w:spacing w:line="320" w:lineRule="exact"/>
              <w:jc w:val="center"/>
              <w:rPr>
                <w:bCs/>
                <w:color w:val="000000"/>
                <w:sz w:val="21"/>
                <w:szCs w:val="21"/>
              </w:rPr>
            </w:pPr>
            <w:r>
              <w:rPr>
                <w:bCs/>
                <w:color w:val="000000"/>
                <w:sz w:val="21"/>
                <w:szCs w:val="21"/>
              </w:rPr>
              <w:t>4</w:t>
            </w:r>
          </w:p>
        </w:tc>
        <w:tc>
          <w:tcPr>
            <w:tcW w:w="542" w:type="pct"/>
            <w:noWrap w:val="0"/>
            <w:vAlign w:val="center"/>
          </w:tcPr>
          <w:p w14:paraId="6D3ADA10">
            <w:pPr>
              <w:autoSpaceDE w:val="0"/>
              <w:autoSpaceDN w:val="0"/>
              <w:adjustRightInd w:val="0"/>
              <w:spacing w:line="320" w:lineRule="exact"/>
              <w:jc w:val="left"/>
              <w:rPr>
                <w:color w:val="000000"/>
                <w:kern w:val="0"/>
                <w:sz w:val="21"/>
                <w:szCs w:val="21"/>
              </w:rPr>
            </w:pPr>
            <w:r>
              <w:rPr>
                <w:rFonts w:hAnsi="宋体"/>
                <w:color w:val="000000"/>
                <w:kern w:val="0"/>
                <w:sz w:val="21"/>
                <w:szCs w:val="21"/>
              </w:rPr>
              <w:t>加油站的等级划分</w:t>
            </w:r>
          </w:p>
        </w:tc>
        <w:tc>
          <w:tcPr>
            <w:tcW w:w="359" w:type="pct"/>
            <w:noWrap w:val="0"/>
            <w:vAlign w:val="center"/>
          </w:tcPr>
          <w:p w14:paraId="2E035A22">
            <w:pPr>
              <w:autoSpaceDE w:val="0"/>
              <w:autoSpaceDN w:val="0"/>
              <w:adjustRightInd w:val="0"/>
              <w:spacing w:line="320" w:lineRule="exact"/>
              <w:jc w:val="center"/>
              <w:rPr>
                <w:color w:val="000000"/>
                <w:kern w:val="0"/>
                <w:sz w:val="21"/>
                <w:szCs w:val="21"/>
              </w:rPr>
            </w:pPr>
            <w:r>
              <w:rPr>
                <w:rFonts w:hAnsi="宋体"/>
                <w:color w:val="000000"/>
                <w:kern w:val="0"/>
                <w:sz w:val="21"/>
                <w:szCs w:val="21"/>
              </w:rPr>
              <w:t>级别</w:t>
            </w:r>
          </w:p>
        </w:tc>
        <w:tc>
          <w:tcPr>
            <w:tcW w:w="531" w:type="pct"/>
            <w:noWrap w:val="0"/>
            <w:vAlign w:val="center"/>
          </w:tcPr>
          <w:p w14:paraId="264E0D84">
            <w:pPr>
              <w:autoSpaceDE w:val="0"/>
              <w:autoSpaceDN w:val="0"/>
              <w:adjustRightInd w:val="0"/>
              <w:spacing w:line="320" w:lineRule="exact"/>
              <w:jc w:val="center"/>
              <w:rPr>
                <w:color w:val="000000"/>
                <w:kern w:val="0"/>
                <w:sz w:val="21"/>
                <w:szCs w:val="21"/>
              </w:rPr>
            </w:pPr>
            <w:r>
              <w:rPr>
                <w:rFonts w:hAnsi="宋体"/>
                <w:color w:val="000000"/>
                <w:kern w:val="0"/>
                <w:sz w:val="21"/>
                <w:szCs w:val="21"/>
              </w:rPr>
              <w:t>总容积</w:t>
            </w:r>
          </w:p>
        </w:tc>
        <w:tc>
          <w:tcPr>
            <w:tcW w:w="963" w:type="pct"/>
            <w:noWrap w:val="0"/>
            <w:vAlign w:val="center"/>
          </w:tcPr>
          <w:p w14:paraId="4E51570F">
            <w:pPr>
              <w:autoSpaceDE w:val="0"/>
              <w:autoSpaceDN w:val="0"/>
              <w:adjustRightInd w:val="0"/>
              <w:spacing w:line="320" w:lineRule="exact"/>
              <w:jc w:val="center"/>
              <w:rPr>
                <w:color w:val="000000"/>
                <w:kern w:val="0"/>
                <w:sz w:val="21"/>
                <w:szCs w:val="21"/>
              </w:rPr>
            </w:pPr>
            <w:r>
              <w:rPr>
                <w:rFonts w:hAnsi="宋体"/>
                <w:color w:val="000000"/>
                <w:kern w:val="0"/>
                <w:sz w:val="21"/>
                <w:szCs w:val="21"/>
              </w:rPr>
              <w:t>单罐容积</w:t>
            </w:r>
          </w:p>
        </w:tc>
        <w:tc>
          <w:tcPr>
            <w:tcW w:w="434" w:type="pct"/>
            <w:noWrap w:val="0"/>
            <w:vAlign w:val="center"/>
          </w:tcPr>
          <w:p w14:paraId="3F59BBF6">
            <w:pPr>
              <w:spacing w:line="320" w:lineRule="exact"/>
              <w:jc w:val="center"/>
              <w:rPr>
                <w:color w:val="000000"/>
                <w:sz w:val="21"/>
                <w:szCs w:val="21"/>
              </w:rPr>
            </w:pPr>
            <w:r>
              <w:rPr>
                <w:color w:val="000000"/>
                <w:sz w:val="21"/>
                <w:szCs w:val="21"/>
              </w:rPr>
              <w:t>3.0.9</w:t>
            </w:r>
          </w:p>
        </w:tc>
        <w:tc>
          <w:tcPr>
            <w:tcW w:w="1290" w:type="pct"/>
            <w:noWrap w:val="0"/>
            <w:vAlign w:val="center"/>
          </w:tcPr>
          <w:p w14:paraId="1A35F1A7">
            <w:pPr>
              <w:spacing w:line="320" w:lineRule="exact"/>
              <w:rPr>
                <w:color w:val="000000"/>
                <w:kern w:val="0"/>
                <w:sz w:val="21"/>
                <w:szCs w:val="21"/>
                <w:vertAlign w:val="superscript"/>
              </w:rPr>
            </w:pPr>
            <w:r>
              <w:rPr>
                <w:rFonts w:hAnsi="宋体"/>
                <w:color w:val="000000"/>
                <w:kern w:val="0"/>
                <w:sz w:val="21"/>
                <w:szCs w:val="21"/>
              </w:rPr>
              <w:t>该站总容积：</w:t>
            </w:r>
            <w:r>
              <w:rPr>
                <w:rFonts w:hint="eastAsia" w:hAnsi="宋体"/>
                <w:color w:val="000000"/>
                <w:kern w:val="0"/>
                <w:sz w:val="21"/>
                <w:szCs w:val="21"/>
                <w:lang w:val="en-US" w:eastAsia="zh-CN"/>
              </w:rPr>
              <w:t>140</w:t>
            </w:r>
            <w:r>
              <w:rPr>
                <w:color w:val="000000"/>
                <w:kern w:val="0"/>
                <w:sz w:val="21"/>
                <w:szCs w:val="21"/>
              </w:rPr>
              <w:t>m</w:t>
            </w:r>
            <w:r>
              <w:rPr>
                <w:color w:val="000000"/>
                <w:kern w:val="0"/>
                <w:sz w:val="21"/>
                <w:szCs w:val="21"/>
                <w:vertAlign w:val="superscript"/>
              </w:rPr>
              <w:t>3</w:t>
            </w:r>
          </w:p>
          <w:p w14:paraId="617578F9">
            <w:pPr>
              <w:spacing w:line="320" w:lineRule="exact"/>
              <w:rPr>
                <w:color w:val="000000"/>
                <w:kern w:val="0"/>
                <w:sz w:val="21"/>
                <w:szCs w:val="21"/>
                <w:vertAlign w:val="superscript"/>
              </w:rPr>
            </w:pPr>
            <w:r>
              <w:rPr>
                <w:rFonts w:hAnsi="宋体"/>
                <w:color w:val="000000"/>
                <w:kern w:val="0"/>
                <w:sz w:val="21"/>
                <w:szCs w:val="21"/>
              </w:rPr>
              <w:t>该站折算总容积：</w:t>
            </w:r>
            <w:r>
              <w:rPr>
                <w:rFonts w:hint="eastAsia" w:hAnsi="宋体"/>
                <w:color w:val="000000"/>
                <w:kern w:val="0"/>
                <w:sz w:val="21"/>
                <w:szCs w:val="21"/>
                <w:lang w:val="en-US" w:eastAsia="zh-CN"/>
              </w:rPr>
              <w:t>100</w:t>
            </w:r>
            <w:r>
              <w:rPr>
                <w:color w:val="000000"/>
                <w:kern w:val="0"/>
                <w:sz w:val="21"/>
                <w:szCs w:val="21"/>
              </w:rPr>
              <w:t>m</w:t>
            </w:r>
            <w:r>
              <w:rPr>
                <w:color w:val="000000"/>
                <w:kern w:val="0"/>
                <w:sz w:val="21"/>
                <w:szCs w:val="21"/>
                <w:vertAlign w:val="superscript"/>
              </w:rPr>
              <w:t>3</w:t>
            </w:r>
          </w:p>
          <w:p w14:paraId="2208AF7B">
            <w:pPr>
              <w:spacing w:line="320" w:lineRule="exact"/>
              <w:rPr>
                <w:color w:val="000000"/>
                <w:kern w:val="0"/>
                <w:sz w:val="21"/>
                <w:szCs w:val="21"/>
              </w:rPr>
            </w:pPr>
            <w:r>
              <w:rPr>
                <w:rFonts w:hAnsi="宋体"/>
                <w:color w:val="000000"/>
                <w:kern w:val="0"/>
                <w:sz w:val="21"/>
                <w:szCs w:val="21"/>
              </w:rPr>
              <w:t>单罐容积：汽油罐</w:t>
            </w:r>
            <w:r>
              <w:rPr>
                <w:rFonts w:hint="eastAsia" w:hAnsi="宋体"/>
                <w:color w:val="000000"/>
                <w:kern w:val="0"/>
                <w:sz w:val="21"/>
                <w:szCs w:val="21"/>
                <w:lang w:val="en-US" w:eastAsia="zh-CN"/>
              </w:rPr>
              <w:t>30</w:t>
            </w:r>
            <w:r>
              <w:rPr>
                <w:color w:val="000000"/>
                <w:kern w:val="0"/>
                <w:sz w:val="21"/>
                <w:szCs w:val="21"/>
              </w:rPr>
              <w:t>m</w:t>
            </w:r>
            <w:r>
              <w:rPr>
                <w:color w:val="000000"/>
                <w:kern w:val="0"/>
                <w:sz w:val="21"/>
                <w:szCs w:val="21"/>
                <w:vertAlign w:val="superscript"/>
              </w:rPr>
              <w:t>3</w:t>
            </w:r>
          </w:p>
          <w:p w14:paraId="4548FC22">
            <w:pPr>
              <w:spacing w:line="320" w:lineRule="exact"/>
              <w:rPr>
                <w:color w:val="000000"/>
                <w:kern w:val="0"/>
                <w:sz w:val="21"/>
                <w:szCs w:val="21"/>
                <w:vertAlign w:val="superscript"/>
              </w:rPr>
            </w:pPr>
            <w:r>
              <w:rPr>
                <w:rFonts w:hAnsi="宋体"/>
                <w:color w:val="000000"/>
                <w:kern w:val="0"/>
                <w:sz w:val="21"/>
                <w:szCs w:val="21"/>
              </w:rPr>
              <w:t>柴油罐</w:t>
            </w:r>
            <w:r>
              <w:rPr>
                <w:rFonts w:hint="eastAsia" w:hAnsi="宋体"/>
                <w:color w:val="000000"/>
                <w:kern w:val="0"/>
                <w:sz w:val="21"/>
                <w:szCs w:val="21"/>
                <w:lang w:val="en-US" w:eastAsia="zh-CN"/>
              </w:rPr>
              <w:t>40</w:t>
            </w:r>
            <w:r>
              <w:rPr>
                <w:color w:val="000000"/>
                <w:kern w:val="0"/>
                <w:sz w:val="21"/>
                <w:szCs w:val="21"/>
              </w:rPr>
              <w:t>m</w:t>
            </w:r>
            <w:r>
              <w:rPr>
                <w:color w:val="000000"/>
                <w:kern w:val="0"/>
                <w:sz w:val="21"/>
                <w:szCs w:val="21"/>
                <w:vertAlign w:val="superscript"/>
              </w:rPr>
              <w:t>3</w:t>
            </w:r>
          </w:p>
          <w:p w14:paraId="51EA174E">
            <w:pPr>
              <w:spacing w:line="320" w:lineRule="exact"/>
              <w:rPr>
                <w:color w:val="000000"/>
                <w:kern w:val="0"/>
                <w:sz w:val="21"/>
                <w:szCs w:val="21"/>
              </w:rPr>
            </w:pPr>
            <w:r>
              <w:rPr>
                <w:rFonts w:hAnsi="宋体"/>
                <w:color w:val="000000"/>
                <w:kern w:val="0"/>
                <w:sz w:val="21"/>
                <w:szCs w:val="21"/>
              </w:rPr>
              <w:t>加油站的等级：</w:t>
            </w:r>
            <w:r>
              <w:rPr>
                <w:rFonts w:hint="eastAsia" w:hAnsi="宋体"/>
                <w:color w:val="000000"/>
                <w:kern w:val="0"/>
                <w:sz w:val="21"/>
                <w:szCs w:val="21"/>
                <w:lang w:val="en-US" w:eastAsia="zh-CN"/>
              </w:rPr>
              <w:t>二</w:t>
            </w:r>
            <w:r>
              <w:rPr>
                <w:rFonts w:hAnsi="宋体"/>
                <w:color w:val="000000"/>
                <w:kern w:val="0"/>
                <w:sz w:val="21"/>
                <w:szCs w:val="21"/>
              </w:rPr>
              <w:t>级</w:t>
            </w:r>
          </w:p>
        </w:tc>
        <w:tc>
          <w:tcPr>
            <w:tcW w:w="550" w:type="pct"/>
            <w:noWrap w:val="0"/>
            <w:vAlign w:val="center"/>
          </w:tcPr>
          <w:p w14:paraId="629B0B38">
            <w:pPr>
              <w:spacing w:line="320" w:lineRule="exact"/>
              <w:jc w:val="center"/>
              <w:rPr>
                <w:bCs/>
                <w:color w:val="000000"/>
                <w:sz w:val="21"/>
                <w:szCs w:val="21"/>
              </w:rPr>
            </w:pPr>
            <w:r>
              <w:rPr>
                <w:rFonts w:hAnsi="宋体"/>
                <w:bCs/>
                <w:color w:val="000000"/>
                <w:sz w:val="21"/>
                <w:szCs w:val="21"/>
              </w:rPr>
              <w:t>符合要求</w:t>
            </w:r>
          </w:p>
        </w:tc>
      </w:tr>
    </w:tbl>
    <w:p w14:paraId="13CAD161">
      <w:pPr>
        <w:wordWrap w:val="0"/>
        <w:adjustRightInd w:val="0"/>
        <w:snapToGrid w:val="0"/>
        <w:spacing w:line="600" w:lineRule="exact"/>
        <w:textAlignment w:val="center"/>
        <w:outlineLvl w:val="3"/>
        <w:rPr>
          <w:b/>
          <w:bCs/>
          <w:color w:val="000000"/>
          <w:sz w:val="28"/>
          <w:szCs w:val="28"/>
        </w:rPr>
      </w:pPr>
      <w:bookmarkStart w:id="248" w:name="_Toc30576"/>
      <w:bookmarkStart w:id="249" w:name="_Toc120957341"/>
      <w:r>
        <w:rPr>
          <w:b/>
          <w:bCs/>
          <w:color w:val="000000"/>
          <w:sz w:val="28"/>
          <w:szCs w:val="28"/>
        </w:rPr>
        <w:t>5.</w:t>
      </w:r>
      <w:r>
        <w:rPr>
          <w:rFonts w:hint="eastAsia"/>
          <w:b/>
          <w:bCs/>
          <w:color w:val="000000"/>
          <w:sz w:val="28"/>
          <w:szCs w:val="28"/>
          <w:lang w:val="en-US" w:eastAsia="zh-CN"/>
        </w:rPr>
        <w:t>2</w:t>
      </w:r>
      <w:r>
        <w:rPr>
          <w:b/>
          <w:bCs/>
          <w:color w:val="000000"/>
          <w:sz w:val="28"/>
          <w:szCs w:val="28"/>
        </w:rPr>
        <w:t>.2加油站站址选择符合性评价</w:t>
      </w:r>
      <w:bookmarkEnd w:id="248"/>
      <w:bookmarkEnd w:id="249"/>
    </w:p>
    <w:p w14:paraId="31F51FC0">
      <w:pPr>
        <w:tabs>
          <w:tab w:val="left" w:pos="6970"/>
        </w:tabs>
        <w:spacing w:line="580" w:lineRule="exact"/>
        <w:ind w:right="-190" w:rightChars="-68" w:firstLine="560" w:firstLineChars="200"/>
        <w:rPr>
          <w:color w:val="000000"/>
          <w:sz w:val="28"/>
          <w:szCs w:val="28"/>
        </w:rPr>
      </w:pPr>
      <w:r>
        <w:rPr>
          <w:color w:val="000000"/>
          <w:sz w:val="28"/>
          <w:szCs w:val="28"/>
        </w:rPr>
        <w:t>对照《汽车加油加气加氢技术标准》（GB50156</w:t>
      </w:r>
      <w:r>
        <w:rPr>
          <w:rFonts w:hint="eastAsia"/>
          <w:color w:val="000000"/>
          <w:sz w:val="28"/>
          <w:szCs w:val="28"/>
        </w:rPr>
        <w:t>-2021</w:t>
      </w:r>
      <w:r>
        <w:rPr>
          <w:color w:val="000000"/>
          <w:sz w:val="28"/>
          <w:szCs w:val="28"/>
        </w:rPr>
        <w:t>）的有关规定，对加油站</w:t>
      </w:r>
      <w:r>
        <w:rPr>
          <w:bCs/>
          <w:color w:val="000000"/>
          <w:sz w:val="28"/>
        </w:rPr>
        <w:t>站址选择</w:t>
      </w:r>
      <w:r>
        <w:rPr>
          <w:color w:val="000000"/>
          <w:sz w:val="28"/>
          <w:szCs w:val="28"/>
        </w:rPr>
        <w:t>进行符合性评价，见表5</w:t>
      </w:r>
      <w:r>
        <w:rPr>
          <w:rFonts w:hint="eastAsia"/>
          <w:color w:val="000000"/>
          <w:sz w:val="28"/>
          <w:szCs w:val="28"/>
        </w:rPr>
        <w:t>.</w:t>
      </w:r>
      <w:r>
        <w:rPr>
          <w:rFonts w:hint="eastAsia"/>
          <w:color w:val="000000"/>
          <w:sz w:val="28"/>
          <w:szCs w:val="28"/>
          <w:lang w:val="en-US" w:eastAsia="zh-CN"/>
        </w:rPr>
        <w:t>2-2</w:t>
      </w:r>
      <w:r>
        <w:rPr>
          <w:color w:val="000000"/>
          <w:sz w:val="28"/>
          <w:szCs w:val="28"/>
        </w:rPr>
        <w:t>。</w:t>
      </w:r>
    </w:p>
    <w:p w14:paraId="62F9B53B">
      <w:pPr>
        <w:spacing w:line="600" w:lineRule="exact"/>
        <w:jc w:val="center"/>
        <w:rPr>
          <w:color w:val="000000"/>
          <w:sz w:val="24"/>
          <w:szCs w:val="24"/>
        </w:rPr>
      </w:pPr>
      <w:r>
        <w:rPr>
          <w:color w:val="000000"/>
          <w:sz w:val="24"/>
          <w:szCs w:val="24"/>
        </w:rPr>
        <w:t>表5</w:t>
      </w:r>
      <w:r>
        <w:rPr>
          <w:rFonts w:hint="eastAsia"/>
          <w:color w:val="000000"/>
          <w:sz w:val="24"/>
          <w:szCs w:val="24"/>
        </w:rPr>
        <w:t>.</w:t>
      </w:r>
      <w:r>
        <w:rPr>
          <w:rFonts w:hint="eastAsia"/>
          <w:color w:val="000000"/>
          <w:sz w:val="24"/>
          <w:szCs w:val="24"/>
          <w:lang w:val="en-US" w:eastAsia="zh-CN"/>
        </w:rPr>
        <w:t>2</w:t>
      </w:r>
      <w:r>
        <w:rPr>
          <w:color w:val="000000"/>
          <w:sz w:val="24"/>
          <w:szCs w:val="24"/>
        </w:rPr>
        <w:t>-</w:t>
      </w:r>
      <w:r>
        <w:rPr>
          <w:rFonts w:hint="eastAsia"/>
          <w:color w:val="000000"/>
          <w:sz w:val="24"/>
          <w:szCs w:val="24"/>
          <w:lang w:val="en-US" w:eastAsia="zh-CN"/>
        </w:rPr>
        <w:t>2</w:t>
      </w:r>
      <w:r>
        <w:rPr>
          <w:bCs/>
          <w:color w:val="000000"/>
          <w:sz w:val="24"/>
          <w:szCs w:val="24"/>
        </w:rPr>
        <w:t>加油站站址选择</w:t>
      </w:r>
      <w:r>
        <w:rPr>
          <w:color w:val="000000"/>
          <w:sz w:val="24"/>
          <w:szCs w:val="24"/>
        </w:rPr>
        <w:t>符合性评价表</w:t>
      </w:r>
    </w:p>
    <w:tbl>
      <w:tblPr>
        <w:tblStyle w:val="20"/>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311"/>
        <w:gridCol w:w="1107"/>
        <w:gridCol w:w="2113"/>
        <w:gridCol w:w="1134"/>
      </w:tblGrid>
      <w:tr w14:paraId="7A41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19031136">
            <w:pPr>
              <w:spacing w:line="320" w:lineRule="exact"/>
              <w:jc w:val="center"/>
              <w:rPr>
                <w:bCs/>
                <w:color w:val="000000"/>
                <w:sz w:val="21"/>
                <w:szCs w:val="21"/>
              </w:rPr>
            </w:pPr>
            <w:r>
              <w:rPr>
                <w:color w:val="000000"/>
                <w:sz w:val="21"/>
                <w:szCs w:val="21"/>
              </w:rPr>
              <w:t>序号</w:t>
            </w:r>
          </w:p>
        </w:tc>
        <w:tc>
          <w:tcPr>
            <w:tcW w:w="4311" w:type="dxa"/>
            <w:noWrap w:val="0"/>
            <w:vAlign w:val="center"/>
          </w:tcPr>
          <w:p w14:paraId="22B71AD7">
            <w:pPr>
              <w:spacing w:line="320" w:lineRule="exact"/>
              <w:jc w:val="center"/>
              <w:rPr>
                <w:bCs/>
                <w:color w:val="000000"/>
                <w:sz w:val="21"/>
                <w:szCs w:val="21"/>
              </w:rPr>
            </w:pPr>
            <w:r>
              <w:rPr>
                <w:color w:val="000000"/>
                <w:sz w:val="21"/>
                <w:szCs w:val="21"/>
              </w:rPr>
              <w:t>检查内容</w:t>
            </w:r>
          </w:p>
        </w:tc>
        <w:tc>
          <w:tcPr>
            <w:tcW w:w="1107" w:type="dxa"/>
            <w:noWrap w:val="0"/>
            <w:vAlign w:val="center"/>
          </w:tcPr>
          <w:p w14:paraId="76D658EE">
            <w:pPr>
              <w:spacing w:line="320" w:lineRule="exact"/>
              <w:jc w:val="center"/>
              <w:rPr>
                <w:bCs/>
                <w:color w:val="000000"/>
                <w:sz w:val="21"/>
                <w:szCs w:val="21"/>
              </w:rPr>
            </w:pPr>
            <w:r>
              <w:rPr>
                <w:color w:val="000000"/>
                <w:sz w:val="21"/>
                <w:szCs w:val="21"/>
              </w:rPr>
              <w:t>标准条款</w:t>
            </w:r>
          </w:p>
        </w:tc>
        <w:tc>
          <w:tcPr>
            <w:tcW w:w="2113" w:type="dxa"/>
            <w:noWrap w:val="0"/>
            <w:vAlign w:val="center"/>
          </w:tcPr>
          <w:p w14:paraId="284DBDD3">
            <w:pPr>
              <w:spacing w:line="320" w:lineRule="exact"/>
              <w:jc w:val="center"/>
              <w:rPr>
                <w:bCs/>
                <w:color w:val="000000"/>
                <w:sz w:val="21"/>
                <w:szCs w:val="21"/>
              </w:rPr>
            </w:pPr>
            <w:r>
              <w:rPr>
                <w:bCs/>
                <w:color w:val="000000"/>
                <w:kern w:val="0"/>
                <w:sz w:val="21"/>
                <w:szCs w:val="21"/>
              </w:rPr>
              <w:t>检查记录</w:t>
            </w:r>
          </w:p>
        </w:tc>
        <w:tc>
          <w:tcPr>
            <w:tcW w:w="1134" w:type="dxa"/>
            <w:noWrap w:val="0"/>
            <w:vAlign w:val="center"/>
          </w:tcPr>
          <w:p w14:paraId="1AF04092">
            <w:pPr>
              <w:spacing w:line="320" w:lineRule="exact"/>
              <w:jc w:val="center"/>
              <w:rPr>
                <w:bCs/>
                <w:color w:val="000000"/>
                <w:sz w:val="21"/>
                <w:szCs w:val="21"/>
              </w:rPr>
            </w:pPr>
            <w:r>
              <w:rPr>
                <w:color w:val="000000"/>
                <w:sz w:val="21"/>
                <w:szCs w:val="21"/>
              </w:rPr>
              <w:t>评价结论</w:t>
            </w:r>
          </w:p>
        </w:tc>
      </w:tr>
      <w:tr w14:paraId="78E5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6DD381D2">
            <w:pPr>
              <w:autoSpaceDE w:val="0"/>
              <w:autoSpaceDN w:val="0"/>
              <w:spacing w:line="320" w:lineRule="exact"/>
              <w:jc w:val="center"/>
              <w:rPr>
                <w:color w:val="000000"/>
                <w:kern w:val="0"/>
                <w:sz w:val="21"/>
                <w:szCs w:val="21"/>
              </w:rPr>
            </w:pPr>
            <w:r>
              <w:rPr>
                <w:color w:val="000000"/>
                <w:kern w:val="0"/>
                <w:sz w:val="21"/>
                <w:szCs w:val="21"/>
              </w:rPr>
              <w:t>1</w:t>
            </w:r>
          </w:p>
        </w:tc>
        <w:tc>
          <w:tcPr>
            <w:tcW w:w="4311" w:type="dxa"/>
            <w:noWrap w:val="0"/>
            <w:vAlign w:val="top"/>
          </w:tcPr>
          <w:p w14:paraId="7FCC18BD">
            <w:pPr>
              <w:autoSpaceDE w:val="0"/>
              <w:autoSpaceDN w:val="0"/>
              <w:adjustRightInd w:val="0"/>
              <w:spacing w:line="320" w:lineRule="exact"/>
              <w:jc w:val="left"/>
              <w:rPr>
                <w:color w:val="000000"/>
                <w:kern w:val="0"/>
                <w:sz w:val="21"/>
                <w:szCs w:val="21"/>
              </w:rPr>
            </w:pPr>
            <w:r>
              <w:rPr>
                <w:rFonts w:hint="eastAsia" w:ascii="宋体" w:hAnsi="宋体" w:eastAsia="宋体" w:cs="宋体"/>
                <w:color w:val="000000"/>
                <w:kern w:val="0"/>
                <w:sz w:val="21"/>
                <w:szCs w:val="21"/>
              </w:rPr>
              <w:t>汽车加油加气加氢站的站址选择应符合有关规划、环境保护和防火安全的要求，并应选在交通便利、用户使用方便的地点</w:t>
            </w:r>
            <w:r>
              <w:rPr>
                <w:color w:val="000000"/>
                <w:kern w:val="0"/>
                <w:sz w:val="21"/>
                <w:szCs w:val="21"/>
              </w:rPr>
              <w:t>。</w:t>
            </w:r>
          </w:p>
        </w:tc>
        <w:tc>
          <w:tcPr>
            <w:tcW w:w="1107" w:type="dxa"/>
            <w:noWrap w:val="0"/>
            <w:vAlign w:val="center"/>
          </w:tcPr>
          <w:p w14:paraId="5F852918">
            <w:pPr>
              <w:spacing w:line="320" w:lineRule="exact"/>
              <w:jc w:val="center"/>
              <w:rPr>
                <w:color w:val="000000"/>
                <w:sz w:val="21"/>
                <w:szCs w:val="21"/>
              </w:rPr>
            </w:pPr>
            <w:r>
              <w:rPr>
                <w:color w:val="000000"/>
                <w:sz w:val="21"/>
                <w:szCs w:val="21"/>
              </w:rPr>
              <w:t>4.0.1</w:t>
            </w:r>
          </w:p>
        </w:tc>
        <w:tc>
          <w:tcPr>
            <w:tcW w:w="2113" w:type="dxa"/>
            <w:noWrap w:val="0"/>
            <w:vAlign w:val="center"/>
          </w:tcPr>
          <w:p w14:paraId="6F3E2276">
            <w:pPr>
              <w:spacing w:line="320" w:lineRule="exact"/>
              <w:jc w:val="center"/>
              <w:rPr>
                <w:bCs/>
                <w:color w:val="000000"/>
                <w:sz w:val="21"/>
                <w:szCs w:val="21"/>
              </w:rPr>
            </w:pPr>
            <w:r>
              <w:rPr>
                <w:color w:val="000000"/>
                <w:kern w:val="0"/>
                <w:sz w:val="21"/>
                <w:szCs w:val="21"/>
              </w:rPr>
              <w:t>符合城乡规划、环境保护和防火安全的要求，设在交通便利的地方。</w:t>
            </w:r>
          </w:p>
        </w:tc>
        <w:tc>
          <w:tcPr>
            <w:tcW w:w="1134" w:type="dxa"/>
            <w:noWrap w:val="0"/>
            <w:vAlign w:val="center"/>
          </w:tcPr>
          <w:p w14:paraId="5304E7B6">
            <w:pPr>
              <w:spacing w:line="320" w:lineRule="exact"/>
              <w:jc w:val="center"/>
              <w:rPr>
                <w:bCs/>
                <w:color w:val="000000"/>
                <w:sz w:val="21"/>
                <w:szCs w:val="21"/>
              </w:rPr>
            </w:pPr>
            <w:r>
              <w:rPr>
                <w:bCs/>
                <w:color w:val="000000"/>
                <w:sz w:val="21"/>
                <w:szCs w:val="21"/>
              </w:rPr>
              <w:t>符合要求</w:t>
            </w:r>
          </w:p>
        </w:tc>
      </w:tr>
      <w:tr w14:paraId="02ED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4882CABE">
            <w:pPr>
              <w:autoSpaceDE w:val="0"/>
              <w:autoSpaceDN w:val="0"/>
              <w:spacing w:line="320" w:lineRule="exact"/>
              <w:jc w:val="center"/>
              <w:rPr>
                <w:color w:val="000000"/>
                <w:kern w:val="0"/>
                <w:sz w:val="21"/>
                <w:szCs w:val="21"/>
              </w:rPr>
            </w:pPr>
            <w:r>
              <w:rPr>
                <w:color w:val="000000"/>
                <w:kern w:val="0"/>
                <w:sz w:val="21"/>
                <w:szCs w:val="21"/>
              </w:rPr>
              <w:t>2</w:t>
            </w:r>
          </w:p>
        </w:tc>
        <w:tc>
          <w:tcPr>
            <w:tcW w:w="4311" w:type="dxa"/>
            <w:noWrap w:val="0"/>
            <w:vAlign w:val="center"/>
          </w:tcPr>
          <w:p w14:paraId="17E7CB41">
            <w:pPr>
              <w:autoSpaceDE w:val="0"/>
              <w:autoSpaceDN w:val="0"/>
              <w:adjustRightInd w:val="0"/>
              <w:spacing w:line="320" w:lineRule="exact"/>
              <w:jc w:val="left"/>
              <w:rPr>
                <w:color w:val="000000"/>
                <w:kern w:val="0"/>
                <w:sz w:val="21"/>
                <w:szCs w:val="21"/>
              </w:rPr>
            </w:pPr>
            <w:r>
              <w:rPr>
                <w:rFonts w:hint="eastAsia" w:ascii="宋体" w:hAnsi="宋体" w:eastAsia="宋体" w:cs="宋体"/>
                <w:color w:val="000000"/>
                <w:kern w:val="0"/>
                <w:sz w:val="21"/>
                <w:szCs w:val="21"/>
              </w:rPr>
              <w:t>在城市中心区不应建一级汽车加油加气加氢站、</w:t>
            </w:r>
            <w:r>
              <w:rPr>
                <w:color w:val="000000"/>
                <w:kern w:val="0"/>
                <w:sz w:val="21"/>
                <w:szCs w:val="21"/>
              </w:rPr>
              <w:t>CNG</w:t>
            </w:r>
            <w:r>
              <w:rPr>
                <w:rFonts w:hint="eastAsia" w:ascii="宋体" w:hAnsi="宋体" w:eastAsia="宋体" w:cs="宋体"/>
                <w:color w:val="000000"/>
                <w:kern w:val="0"/>
                <w:sz w:val="21"/>
                <w:szCs w:val="21"/>
              </w:rPr>
              <w:t>加气母站</w:t>
            </w:r>
            <w:r>
              <w:rPr>
                <w:color w:val="000000"/>
                <w:kern w:val="0"/>
                <w:sz w:val="21"/>
                <w:szCs w:val="21"/>
              </w:rPr>
              <w:t>。</w:t>
            </w:r>
          </w:p>
        </w:tc>
        <w:tc>
          <w:tcPr>
            <w:tcW w:w="1107" w:type="dxa"/>
            <w:noWrap w:val="0"/>
            <w:vAlign w:val="center"/>
          </w:tcPr>
          <w:p w14:paraId="0ED35B03">
            <w:pPr>
              <w:spacing w:line="320" w:lineRule="exact"/>
              <w:jc w:val="center"/>
              <w:rPr>
                <w:color w:val="000000"/>
                <w:sz w:val="21"/>
                <w:szCs w:val="21"/>
              </w:rPr>
            </w:pPr>
            <w:r>
              <w:rPr>
                <w:color w:val="000000"/>
                <w:sz w:val="21"/>
                <w:szCs w:val="21"/>
              </w:rPr>
              <w:t>4.0.2</w:t>
            </w:r>
          </w:p>
        </w:tc>
        <w:tc>
          <w:tcPr>
            <w:tcW w:w="2113" w:type="dxa"/>
            <w:noWrap w:val="0"/>
            <w:vAlign w:val="center"/>
          </w:tcPr>
          <w:p w14:paraId="18CDB97A">
            <w:pPr>
              <w:spacing w:line="320" w:lineRule="exact"/>
              <w:jc w:val="center"/>
              <w:rPr>
                <w:bCs/>
                <w:color w:val="000000"/>
                <w:sz w:val="21"/>
                <w:szCs w:val="21"/>
              </w:rPr>
            </w:pPr>
            <w:r>
              <w:rPr>
                <w:rFonts w:hint="eastAsia" w:ascii="Times New Roman" w:eastAsia="宋体"/>
                <w:bCs/>
                <w:color w:val="000000"/>
                <w:sz w:val="21"/>
                <w:szCs w:val="21"/>
                <w:lang w:val="en-US" w:eastAsia="zh-CN"/>
              </w:rPr>
              <w:t>二</w:t>
            </w:r>
            <w:r>
              <w:rPr>
                <w:bCs/>
                <w:color w:val="000000"/>
                <w:sz w:val="21"/>
                <w:szCs w:val="21"/>
              </w:rPr>
              <w:t>级站</w:t>
            </w:r>
          </w:p>
        </w:tc>
        <w:tc>
          <w:tcPr>
            <w:tcW w:w="1134" w:type="dxa"/>
            <w:noWrap w:val="0"/>
            <w:vAlign w:val="center"/>
          </w:tcPr>
          <w:p w14:paraId="1D9F366F">
            <w:pPr>
              <w:spacing w:line="320" w:lineRule="exact"/>
              <w:jc w:val="center"/>
              <w:rPr>
                <w:bCs/>
                <w:color w:val="000000"/>
                <w:sz w:val="21"/>
                <w:szCs w:val="21"/>
              </w:rPr>
            </w:pPr>
            <w:r>
              <w:rPr>
                <w:bCs/>
                <w:color w:val="000000"/>
                <w:sz w:val="21"/>
                <w:szCs w:val="21"/>
              </w:rPr>
              <w:t>符合要求</w:t>
            </w:r>
          </w:p>
        </w:tc>
      </w:tr>
      <w:tr w14:paraId="3A69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00072ACC">
            <w:pPr>
              <w:autoSpaceDE w:val="0"/>
              <w:autoSpaceDN w:val="0"/>
              <w:spacing w:line="320" w:lineRule="exact"/>
              <w:jc w:val="center"/>
              <w:rPr>
                <w:color w:val="000000"/>
                <w:kern w:val="0"/>
                <w:sz w:val="21"/>
                <w:szCs w:val="21"/>
              </w:rPr>
            </w:pPr>
            <w:r>
              <w:rPr>
                <w:color w:val="000000"/>
                <w:kern w:val="0"/>
                <w:sz w:val="21"/>
                <w:szCs w:val="21"/>
              </w:rPr>
              <w:t>3</w:t>
            </w:r>
          </w:p>
        </w:tc>
        <w:tc>
          <w:tcPr>
            <w:tcW w:w="4311" w:type="dxa"/>
            <w:noWrap w:val="0"/>
            <w:vAlign w:val="center"/>
          </w:tcPr>
          <w:p w14:paraId="50885BC6">
            <w:pPr>
              <w:autoSpaceDE w:val="0"/>
              <w:autoSpaceDN w:val="0"/>
              <w:adjustRightInd w:val="0"/>
              <w:spacing w:line="320" w:lineRule="exact"/>
              <w:rPr>
                <w:rFonts w:eastAsia="宋体"/>
                <w:color w:val="000000"/>
                <w:kern w:val="0"/>
                <w:sz w:val="21"/>
                <w:szCs w:val="21"/>
              </w:rPr>
            </w:pPr>
            <w:r>
              <w:rPr>
                <w:rFonts w:hint="eastAsia" w:ascii="宋体" w:hAnsi="宋体" w:eastAsia="宋体" w:cs="宋体"/>
                <w:color w:val="000000"/>
                <w:kern w:val="0"/>
                <w:sz w:val="21"/>
                <w:szCs w:val="21"/>
              </w:rPr>
              <w:t>城市建成区内的汽车加油加气加氢站宜靠近城市道路，但不宜选在城市干道的交叉路口附近</w:t>
            </w:r>
            <w:r>
              <w:rPr>
                <w:rFonts w:hint="eastAsia" w:eastAsia="宋体"/>
                <w:color w:val="000000"/>
                <w:kern w:val="0"/>
                <w:sz w:val="21"/>
                <w:szCs w:val="21"/>
              </w:rPr>
              <w:t>。</w:t>
            </w:r>
          </w:p>
        </w:tc>
        <w:tc>
          <w:tcPr>
            <w:tcW w:w="1107" w:type="dxa"/>
            <w:noWrap w:val="0"/>
            <w:vAlign w:val="center"/>
          </w:tcPr>
          <w:p w14:paraId="3B06E868">
            <w:pPr>
              <w:spacing w:line="320" w:lineRule="exact"/>
              <w:jc w:val="center"/>
              <w:rPr>
                <w:color w:val="000000"/>
                <w:sz w:val="21"/>
                <w:szCs w:val="21"/>
              </w:rPr>
            </w:pPr>
            <w:r>
              <w:rPr>
                <w:color w:val="000000"/>
                <w:sz w:val="21"/>
                <w:szCs w:val="21"/>
              </w:rPr>
              <w:t>4.0.3</w:t>
            </w:r>
          </w:p>
        </w:tc>
        <w:tc>
          <w:tcPr>
            <w:tcW w:w="2113" w:type="dxa"/>
            <w:noWrap w:val="0"/>
            <w:vAlign w:val="center"/>
          </w:tcPr>
          <w:p w14:paraId="21691F96">
            <w:pPr>
              <w:spacing w:line="320" w:lineRule="exact"/>
              <w:jc w:val="center"/>
              <w:rPr>
                <w:bCs/>
                <w:color w:val="000000"/>
                <w:sz w:val="21"/>
                <w:szCs w:val="21"/>
              </w:rPr>
            </w:pPr>
            <w:r>
              <w:rPr>
                <w:rFonts w:hint="eastAsia"/>
                <w:color w:val="000000"/>
                <w:kern w:val="0"/>
                <w:sz w:val="21"/>
                <w:szCs w:val="21"/>
              </w:rPr>
              <w:t>未</w:t>
            </w:r>
            <w:r>
              <w:rPr>
                <w:color w:val="000000"/>
                <w:kern w:val="0"/>
                <w:sz w:val="21"/>
                <w:szCs w:val="21"/>
              </w:rPr>
              <w:t>靠近城市道路，未在城市干道的交叉路口附近</w:t>
            </w:r>
          </w:p>
        </w:tc>
        <w:tc>
          <w:tcPr>
            <w:tcW w:w="1134" w:type="dxa"/>
            <w:noWrap w:val="0"/>
            <w:vAlign w:val="center"/>
          </w:tcPr>
          <w:p w14:paraId="288B0C21">
            <w:pPr>
              <w:spacing w:line="320" w:lineRule="exact"/>
              <w:jc w:val="center"/>
              <w:rPr>
                <w:bCs/>
                <w:color w:val="000000"/>
                <w:sz w:val="21"/>
                <w:szCs w:val="21"/>
              </w:rPr>
            </w:pPr>
            <w:r>
              <w:rPr>
                <w:bCs/>
                <w:color w:val="000000"/>
                <w:sz w:val="21"/>
                <w:szCs w:val="21"/>
              </w:rPr>
              <w:t>符合要求</w:t>
            </w:r>
          </w:p>
        </w:tc>
      </w:tr>
      <w:tr w14:paraId="0C88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55D29761">
            <w:pPr>
              <w:autoSpaceDE w:val="0"/>
              <w:autoSpaceDN w:val="0"/>
              <w:spacing w:line="320" w:lineRule="exact"/>
              <w:jc w:val="center"/>
              <w:rPr>
                <w:color w:val="000000"/>
                <w:kern w:val="0"/>
                <w:sz w:val="21"/>
                <w:szCs w:val="21"/>
              </w:rPr>
            </w:pPr>
            <w:r>
              <w:rPr>
                <w:color w:val="000000"/>
                <w:kern w:val="0"/>
                <w:sz w:val="21"/>
                <w:szCs w:val="21"/>
              </w:rPr>
              <w:t>4</w:t>
            </w:r>
          </w:p>
        </w:tc>
        <w:tc>
          <w:tcPr>
            <w:tcW w:w="4311" w:type="dxa"/>
            <w:noWrap w:val="0"/>
            <w:vAlign w:val="center"/>
          </w:tcPr>
          <w:p w14:paraId="7FADCA3F">
            <w:pPr>
              <w:autoSpaceDE w:val="0"/>
              <w:autoSpaceDN w:val="0"/>
              <w:adjustRightInd w:val="0"/>
              <w:spacing w:line="320" w:lineRule="exact"/>
              <w:rPr>
                <w:rFonts w:hint="eastAsia" w:ascii="宋体" w:hAnsi="宋体" w:cs="宋体"/>
                <w:color w:val="000000"/>
                <w:kern w:val="0"/>
                <w:sz w:val="21"/>
                <w:szCs w:val="21"/>
              </w:rPr>
            </w:pPr>
            <w:r>
              <w:rPr>
                <w:rFonts w:hint="eastAsia" w:ascii="宋体" w:hAnsi="宋体" w:cs="宋体"/>
                <w:color w:val="000000"/>
                <w:kern w:val="0"/>
                <w:sz w:val="21"/>
                <w:szCs w:val="21"/>
              </w:rPr>
              <w:t>架空电力线路不应跨越汽车加油加气加氢站的作业区。架空通信线路不应跨越加气站、加氢合建站中加氢设施的作业区。</w:t>
            </w:r>
          </w:p>
        </w:tc>
        <w:tc>
          <w:tcPr>
            <w:tcW w:w="1107" w:type="dxa"/>
            <w:noWrap w:val="0"/>
            <w:vAlign w:val="center"/>
          </w:tcPr>
          <w:p w14:paraId="7B86D66D">
            <w:pPr>
              <w:spacing w:line="320" w:lineRule="exact"/>
              <w:jc w:val="center"/>
              <w:rPr>
                <w:rFonts w:hint="eastAsia" w:eastAsia="宋体"/>
                <w:color w:val="000000"/>
                <w:sz w:val="21"/>
                <w:szCs w:val="21"/>
              </w:rPr>
            </w:pPr>
            <w:r>
              <w:rPr>
                <w:rFonts w:hint="eastAsia" w:eastAsia="宋体"/>
                <w:color w:val="000000"/>
                <w:sz w:val="21"/>
                <w:szCs w:val="21"/>
              </w:rPr>
              <w:t>4.0.12</w:t>
            </w:r>
          </w:p>
        </w:tc>
        <w:tc>
          <w:tcPr>
            <w:tcW w:w="2113" w:type="dxa"/>
            <w:noWrap w:val="0"/>
            <w:vAlign w:val="center"/>
          </w:tcPr>
          <w:p w14:paraId="21135B8B">
            <w:pPr>
              <w:spacing w:line="320" w:lineRule="exact"/>
              <w:jc w:val="center"/>
              <w:rPr>
                <w:bCs/>
                <w:color w:val="000000"/>
                <w:sz w:val="21"/>
                <w:szCs w:val="21"/>
              </w:rPr>
            </w:pPr>
            <w:r>
              <w:rPr>
                <w:rFonts w:hint="eastAsia" w:ascii="宋体" w:hAnsi="宋体" w:eastAsia="宋体" w:cs="宋体"/>
                <w:color w:val="000000"/>
                <w:kern w:val="0"/>
                <w:sz w:val="21"/>
                <w:szCs w:val="21"/>
              </w:rPr>
              <w:t>无架空电力线路跨越加油站的加油作业区</w:t>
            </w:r>
          </w:p>
        </w:tc>
        <w:tc>
          <w:tcPr>
            <w:tcW w:w="1134" w:type="dxa"/>
            <w:noWrap w:val="0"/>
            <w:vAlign w:val="center"/>
          </w:tcPr>
          <w:p w14:paraId="7042DCC9">
            <w:pPr>
              <w:spacing w:line="320" w:lineRule="exact"/>
              <w:jc w:val="center"/>
              <w:rPr>
                <w:bCs/>
                <w:color w:val="000000"/>
                <w:sz w:val="21"/>
                <w:szCs w:val="21"/>
              </w:rPr>
            </w:pPr>
            <w:r>
              <w:rPr>
                <w:rFonts w:hint="eastAsia" w:ascii="宋体" w:hAnsi="宋体" w:eastAsia="宋体" w:cs="宋体"/>
                <w:bCs/>
                <w:color w:val="000000"/>
                <w:sz w:val="21"/>
                <w:szCs w:val="21"/>
              </w:rPr>
              <w:t>符合要求</w:t>
            </w:r>
          </w:p>
        </w:tc>
      </w:tr>
      <w:tr w14:paraId="02B4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560EB10A">
            <w:pPr>
              <w:autoSpaceDE w:val="0"/>
              <w:autoSpaceDN w:val="0"/>
              <w:spacing w:line="320" w:lineRule="exact"/>
              <w:jc w:val="center"/>
              <w:rPr>
                <w:color w:val="000000"/>
                <w:kern w:val="0"/>
                <w:sz w:val="21"/>
                <w:szCs w:val="21"/>
              </w:rPr>
            </w:pPr>
            <w:r>
              <w:rPr>
                <w:color w:val="000000"/>
                <w:kern w:val="0"/>
                <w:sz w:val="21"/>
                <w:szCs w:val="21"/>
              </w:rPr>
              <w:t>5</w:t>
            </w:r>
          </w:p>
        </w:tc>
        <w:tc>
          <w:tcPr>
            <w:tcW w:w="4311" w:type="dxa"/>
            <w:noWrap w:val="0"/>
            <w:vAlign w:val="center"/>
          </w:tcPr>
          <w:p w14:paraId="541B4346">
            <w:pPr>
              <w:autoSpaceDE w:val="0"/>
              <w:autoSpaceDN w:val="0"/>
              <w:adjustRightInd w:val="0"/>
              <w:spacing w:line="320" w:lineRule="exact"/>
              <w:rPr>
                <w:color w:val="000000"/>
                <w:kern w:val="0"/>
                <w:sz w:val="21"/>
                <w:szCs w:val="21"/>
              </w:rPr>
            </w:pPr>
            <w:r>
              <w:rPr>
                <w:rFonts w:hint="eastAsia" w:ascii="宋体" w:hAnsi="宋体" w:eastAsia="宋体" w:cs="宋体"/>
                <w:color w:val="000000"/>
                <w:kern w:val="0"/>
                <w:sz w:val="21"/>
                <w:szCs w:val="21"/>
              </w:rPr>
              <w:t>与汽车加油加气加氢站无关的可燃介质管道不应穿越汽车加油加气加氢站用地范围。</w:t>
            </w:r>
          </w:p>
        </w:tc>
        <w:tc>
          <w:tcPr>
            <w:tcW w:w="1107" w:type="dxa"/>
            <w:noWrap w:val="0"/>
            <w:vAlign w:val="center"/>
          </w:tcPr>
          <w:p w14:paraId="79EA776C">
            <w:pPr>
              <w:spacing w:line="320" w:lineRule="exact"/>
              <w:jc w:val="center"/>
              <w:rPr>
                <w:color w:val="000000"/>
                <w:sz w:val="21"/>
                <w:szCs w:val="21"/>
              </w:rPr>
            </w:pPr>
            <w:r>
              <w:rPr>
                <w:color w:val="000000"/>
                <w:sz w:val="21"/>
                <w:szCs w:val="21"/>
              </w:rPr>
              <w:t>4.0.13</w:t>
            </w:r>
          </w:p>
        </w:tc>
        <w:tc>
          <w:tcPr>
            <w:tcW w:w="2113" w:type="dxa"/>
            <w:noWrap w:val="0"/>
            <w:vAlign w:val="center"/>
          </w:tcPr>
          <w:p w14:paraId="1916698B">
            <w:pPr>
              <w:spacing w:line="320" w:lineRule="exact"/>
              <w:jc w:val="center"/>
              <w:rPr>
                <w:rFonts w:hint="eastAsia" w:eastAsia="宋体"/>
                <w:bCs/>
                <w:color w:val="000000"/>
                <w:sz w:val="21"/>
                <w:szCs w:val="21"/>
              </w:rPr>
            </w:pPr>
            <w:r>
              <w:rPr>
                <w:rFonts w:hint="eastAsia" w:eastAsia="宋体"/>
                <w:bCs/>
                <w:color w:val="000000"/>
                <w:sz w:val="21"/>
                <w:szCs w:val="21"/>
              </w:rPr>
              <w:t>无可燃</w:t>
            </w:r>
            <w:r>
              <w:rPr>
                <w:rFonts w:hint="eastAsia" w:ascii="Times New Roman" w:eastAsia="宋体"/>
                <w:bCs/>
                <w:color w:val="000000"/>
                <w:sz w:val="21"/>
                <w:szCs w:val="21"/>
                <w:lang w:val="en-US" w:eastAsia="zh-CN"/>
              </w:rPr>
              <w:t>介质</w:t>
            </w:r>
            <w:r>
              <w:rPr>
                <w:rFonts w:hint="eastAsia" w:eastAsia="宋体"/>
                <w:bCs/>
                <w:color w:val="000000"/>
                <w:sz w:val="21"/>
                <w:szCs w:val="21"/>
              </w:rPr>
              <w:t>管道穿越加油站用地范围。</w:t>
            </w:r>
          </w:p>
        </w:tc>
        <w:tc>
          <w:tcPr>
            <w:tcW w:w="1134" w:type="dxa"/>
            <w:noWrap w:val="0"/>
            <w:vAlign w:val="center"/>
          </w:tcPr>
          <w:p w14:paraId="65F17D14">
            <w:pPr>
              <w:spacing w:line="320" w:lineRule="exact"/>
              <w:jc w:val="center"/>
              <w:rPr>
                <w:rFonts w:hint="eastAsia" w:eastAsia="宋体"/>
                <w:bCs/>
                <w:color w:val="000000"/>
                <w:sz w:val="21"/>
                <w:szCs w:val="21"/>
              </w:rPr>
            </w:pPr>
            <w:r>
              <w:rPr>
                <w:rFonts w:hint="eastAsia" w:eastAsia="宋体"/>
                <w:bCs/>
                <w:color w:val="000000"/>
                <w:sz w:val="21"/>
                <w:szCs w:val="21"/>
              </w:rPr>
              <w:t>符合要求</w:t>
            </w:r>
          </w:p>
        </w:tc>
      </w:tr>
      <w:tr w14:paraId="1951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center"/>
          </w:tcPr>
          <w:p w14:paraId="085C792F">
            <w:pPr>
              <w:autoSpaceDE w:val="0"/>
              <w:autoSpaceDN w:val="0"/>
              <w:spacing w:line="320" w:lineRule="exact"/>
              <w:jc w:val="center"/>
              <w:rPr>
                <w:color w:val="000000"/>
                <w:kern w:val="0"/>
                <w:sz w:val="21"/>
                <w:szCs w:val="21"/>
              </w:rPr>
            </w:pPr>
            <w:r>
              <w:rPr>
                <w:color w:val="000000"/>
                <w:kern w:val="0"/>
                <w:sz w:val="21"/>
                <w:szCs w:val="21"/>
              </w:rPr>
              <w:t>6</w:t>
            </w:r>
          </w:p>
        </w:tc>
        <w:tc>
          <w:tcPr>
            <w:tcW w:w="4311" w:type="dxa"/>
            <w:noWrap w:val="0"/>
            <w:vAlign w:val="center"/>
          </w:tcPr>
          <w:p w14:paraId="40B331D4">
            <w:pPr>
              <w:autoSpaceDE w:val="0"/>
              <w:autoSpaceDN w:val="0"/>
              <w:adjustRightInd w:val="0"/>
              <w:spacing w:line="320" w:lineRule="exact"/>
              <w:rPr>
                <w:color w:val="000000"/>
                <w:kern w:val="0"/>
                <w:sz w:val="21"/>
                <w:szCs w:val="21"/>
              </w:rPr>
            </w:pPr>
            <w:r>
              <w:rPr>
                <w:rFonts w:hint="eastAsia" w:hAnsi="宋体"/>
                <w:bCs/>
                <w:color w:val="000000"/>
                <w:kern w:val="0"/>
                <w:sz w:val="21"/>
                <w:szCs w:val="21"/>
              </w:rPr>
              <w:t>加油站、各类合建站中的汽油、柴油工艺设备与站外建(</w:t>
            </w:r>
            <w:r>
              <w:rPr>
                <w:rFonts w:hint="eastAsia" w:ascii="宋体" w:hAnsi="宋体" w:eastAsia="宋体" w:cs="宋体"/>
                <w:bCs/>
                <w:color w:val="000000"/>
                <w:kern w:val="0"/>
                <w:sz w:val="21"/>
                <w:szCs w:val="21"/>
              </w:rPr>
              <w:t>构</w:t>
            </w:r>
            <w:r>
              <w:rPr>
                <w:rFonts w:hint="eastAsia" w:hAnsi="宋体"/>
                <w:bCs/>
                <w:color w:val="000000"/>
                <w:kern w:val="0"/>
                <w:sz w:val="21"/>
                <w:szCs w:val="21"/>
              </w:rPr>
              <w:t>)</w:t>
            </w:r>
            <w:r>
              <w:rPr>
                <w:rFonts w:hint="eastAsia" w:ascii="宋体" w:hAnsi="宋体" w:eastAsia="宋体" w:cs="宋体"/>
                <w:bCs/>
                <w:color w:val="000000"/>
                <w:kern w:val="0"/>
                <w:sz w:val="21"/>
                <w:szCs w:val="21"/>
              </w:rPr>
              <w:t>筑物的安全间距，不应小于表</w:t>
            </w:r>
            <w:r>
              <w:rPr>
                <w:rFonts w:hint="eastAsia" w:hAnsi="宋体"/>
                <w:bCs/>
                <w:color w:val="000000"/>
                <w:kern w:val="0"/>
                <w:sz w:val="21"/>
                <w:szCs w:val="21"/>
              </w:rPr>
              <w:t>4.0.4</w:t>
            </w:r>
            <w:r>
              <w:rPr>
                <w:rFonts w:hint="eastAsia" w:ascii="宋体" w:hAnsi="宋体" w:eastAsia="宋体" w:cs="宋体"/>
                <w:bCs/>
                <w:color w:val="000000"/>
                <w:kern w:val="0"/>
                <w:sz w:val="21"/>
                <w:szCs w:val="21"/>
              </w:rPr>
              <w:t>的规</w:t>
            </w:r>
            <w:r>
              <w:rPr>
                <w:rFonts w:hint="eastAsia" w:hAnsi="宋体"/>
                <w:bCs/>
                <w:color w:val="000000"/>
                <w:kern w:val="0"/>
                <w:sz w:val="21"/>
                <w:szCs w:val="21"/>
              </w:rPr>
              <w:t>定</w:t>
            </w:r>
            <w:r>
              <w:rPr>
                <w:rFonts w:hAnsi="宋体"/>
                <w:color w:val="000000"/>
                <w:kern w:val="0"/>
                <w:sz w:val="21"/>
                <w:szCs w:val="21"/>
              </w:rPr>
              <w:t>。</w:t>
            </w:r>
          </w:p>
        </w:tc>
        <w:tc>
          <w:tcPr>
            <w:tcW w:w="1107" w:type="dxa"/>
            <w:noWrap w:val="0"/>
            <w:vAlign w:val="center"/>
          </w:tcPr>
          <w:p w14:paraId="114E3100">
            <w:pPr>
              <w:spacing w:line="320" w:lineRule="exact"/>
              <w:jc w:val="center"/>
              <w:rPr>
                <w:color w:val="000000"/>
                <w:sz w:val="21"/>
                <w:szCs w:val="21"/>
              </w:rPr>
            </w:pPr>
            <w:r>
              <w:rPr>
                <w:color w:val="000000"/>
                <w:sz w:val="21"/>
                <w:szCs w:val="21"/>
              </w:rPr>
              <w:t>4.0.4</w:t>
            </w:r>
          </w:p>
        </w:tc>
        <w:tc>
          <w:tcPr>
            <w:tcW w:w="3247" w:type="dxa"/>
            <w:gridSpan w:val="2"/>
            <w:noWrap w:val="0"/>
            <w:vAlign w:val="center"/>
          </w:tcPr>
          <w:p w14:paraId="33DD23BF">
            <w:pPr>
              <w:spacing w:line="320" w:lineRule="exact"/>
              <w:jc w:val="center"/>
              <w:rPr>
                <w:rFonts w:hint="eastAsia" w:eastAsia="宋体"/>
                <w:bCs/>
                <w:color w:val="000000"/>
                <w:sz w:val="21"/>
                <w:szCs w:val="21"/>
              </w:rPr>
            </w:pPr>
            <w:r>
              <w:rPr>
                <w:rFonts w:hAnsi="宋体"/>
                <w:bCs/>
                <w:color w:val="000000"/>
                <w:sz w:val="21"/>
                <w:szCs w:val="21"/>
              </w:rPr>
              <w:t>详见</w:t>
            </w:r>
            <w:r>
              <w:rPr>
                <w:rFonts w:hint="eastAsia" w:hAnsi="宋体"/>
                <w:bCs/>
                <w:color w:val="000000"/>
                <w:sz w:val="21"/>
                <w:szCs w:val="21"/>
                <w:lang w:val="en-US" w:eastAsia="zh-CN"/>
              </w:rPr>
              <w:t>上标准</w:t>
            </w:r>
            <w:r>
              <w:rPr>
                <w:rFonts w:hAnsi="宋体"/>
                <w:color w:val="000000"/>
                <w:kern w:val="0"/>
                <w:sz w:val="21"/>
                <w:szCs w:val="21"/>
              </w:rPr>
              <w:t>表</w:t>
            </w:r>
            <w:r>
              <w:rPr>
                <w:color w:val="000000"/>
                <w:kern w:val="0"/>
                <w:sz w:val="21"/>
                <w:szCs w:val="21"/>
              </w:rPr>
              <w:t>5</w:t>
            </w:r>
            <w:r>
              <w:rPr>
                <w:rFonts w:hint="eastAsia"/>
                <w:color w:val="000000"/>
                <w:kern w:val="0"/>
                <w:sz w:val="21"/>
                <w:szCs w:val="21"/>
              </w:rPr>
              <w:t>.1</w:t>
            </w:r>
            <w:r>
              <w:rPr>
                <w:color w:val="000000"/>
                <w:kern w:val="0"/>
                <w:sz w:val="21"/>
                <w:szCs w:val="21"/>
              </w:rPr>
              <w:t>-5~</w:t>
            </w:r>
            <w:r>
              <w:rPr>
                <w:rFonts w:hint="eastAsia" w:eastAsia="宋体"/>
                <w:color w:val="000000"/>
                <w:kern w:val="0"/>
                <w:sz w:val="21"/>
                <w:szCs w:val="21"/>
              </w:rPr>
              <w:t>6。</w:t>
            </w:r>
          </w:p>
        </w:tc>
      </w:tr>
    </w:tbl>
    <w:p w14:paraId="377C5641">
      <w:pPr>
        <w:spacing w:line="600" w:lineRule="exact"/>
        <w:jc w:val="center"/>
        <w:rPr>
          <w:color w:val="000000"/>
          <w:sz w:val="21"/>
          <w:szCs w:val="21"/>
        </w:rPr>
      </w:pPr>
      <w:r>
        <w:rPr>
          <w:rFonts w:hint="eastAsia"/>
          <w:color w:val="000000"/>
          <w:sz w:val="24"/>
          <w:szCs w:val="24"/>
        </w:rPr>
        <w:t>表5.</w:t>
      </w:r>
      <w:r>
        <w:rPr>
          <w:rFonts w:hint="eastAsia"/>
          <w:color w:val="000000"/>
          <w:sz w:val="24"/>
          <w:szCs w:val="24"/>
          <w:lang w:val="en-US" w:eastAsia="zh-CN"/>
        </w:rPr>
        <w:t>2</w:t>
      </w:r>
      <w:r>
        <w:rPr>
          <w:rFonts w:hint="eastAsia"/>
          <w:color w:val="000000"/>
          <w:sz w:val="24"/>
          <w:szCs w:val="24"/>
        </w:rPr>
        <w:t>-</w:t>
      </w:r>
      <w:r>
        <w:rPr>
          <w:rFonts w:hint="eastAsia"/>
          <w:color w:val="000000"/>
          <w:sz w:val="24"/>
          <w:szCs w:val="24"/>
          <w:lang w:val="en-US" w:eastAsia="zh-CN"/>
        </w:rPr>
        <w:t>3</w:t>
      </w:r>
      <w:r>
        <w:rPr>
          <w:rFonts w:hint="eastAsia"/>
          <w:bCs/>
          <w:color w:val="000000"/>
          <w:sz w:val="24"/>
          <w:szCs w:val="24"/>
        </w:rPr>
        <w:t>汽油设备</w:t>
      </w:r>
      <w:r>
        <w:rPr>
          <w:rFonts w:hint="eastAsia"/>
          <w:color w:val="000000"/>
          <w:sz w:val="24"/>
          <w:szCs w:val="24"/>
        </w:rPr>
        <w:t>与站外建</w:t>
      </w:r>
      <w:r>
        <w:rPr>
          <w:rFonts w:hint="eastAsia"/>
          <w:bCs/>
          <w:color w:val="000000"/>
          <w:sz w:val="24"/>
          <w:szCs w:val="24"/>
        </w:rPr>
        <w:t>（构）</w:t>
      </w:r>
      <w:r>
        <w:rPr>
          <w:rFonts w:hint="eastAsia"/>
          <w:color w:val="000000"/>
          <w:sz w:val="24"/>
          <w:szCs w:val="24"/>
        </w:rPr>
        <w:t>筑物的安全间距</w:t>
      </w:r>
      <w:r>
        <w:rPr>
          <w:color w:val="000000"/>
          <w:sz w:val="24"/>
          <w:szCs w:val="24"/>
        </w:rPr>
        <w:t>评价表</w:t>
      </w:r>
    </w:p>
    <w:tbl>
      <w:tblPr>
        <w:tblStyle w:val="20"/>
        <w:tblW w:w="54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335"/>
        <w:gridCol w:w="2735"/>
        <w:gridCol w:w="2643"/>
        <w:gridCol w:w="1147"/>
        <w:gridCol w:w="1164"/>
      </w:tblGrid>
      <w:tr w14:paraId="4BD8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restart"/>
            <w:noWrap w:val="0"/>
            <w:vAlign w:val="center"/>
          </w:tcPr>
          <w:p w14:paraId="42690239">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站外建（构）筑物</w:t>
            </w:r>
          </w:p>
        </w:tc>
        <w:tc>
          <w:tcPr>
            <w:tcW w:w="1419" w:type="pct"/>
            <w:noWrap w:val="0"/>
            <w:vAlign w:val="center"/>
          </w:tcPr>
          <w:p w14:paraId="4335C8ED">
            <w:pPr>
              <w:spacing w:line="320" w:lineRule="exact"/>
              <w:jc w:val="center"/>
              <w:rPr>
                <w:rFonts w:ascii="Times New Roman" w:hAnsi="Times New Roman" w:eastAsia="宋体" w:cs="Times New Roman"/>
                <w:b/>
                <w:color w:val="000000"/>
                <w:sz w:val="21"/>
                <w:szCs w:val="21"/>
              </w:rPr>
            </w:pPr>
            <w:r>
              <w:rPr>
                <w:rFonts w:hint="eastAsia" w:ascii="宋体" w:hAnsi="宋体" w:eastAsia="宋体" w:cs="宋体"/>
                <w:b/>
                <w:color w:val="000000"/>
                <w:sz w:val="21"/>
                <w:szCs w:val="21"/>
              </w:rPr>
              <w:t>汽油（埋地油罐）</w:t>
            </w:r>
          </w:p>
        </w:tc>
        <w:tc>
          <w:tcPr>
            <w:tcW w:w="616" w:type="pct"/>
            <w:vMerge w:val="restart"/>
            <w:noWrap w:val="0"/>
            <w:vAlign w:val="center"/>
          </w:tcPr>
          <w:p w14:paraId="6D8639DA">
            <w:pPr>
              <w:widowControl/>
              <w:spacing w:line="320" w:lineRule="exact"/>
              <w:ind w:left="-128" w:leftChars="-50" w:hanging="12" w:hangingChars="6"/>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检查情况</w:t>
            </w:r>
          </w:p>
        </w:tc>
        <w:tc>
          <w:tcPr>
            <w:tcW w:w="625" w:type="pct"/>
            <w:vMerge w:val="restart"/>
            <w:noWrap w:val="0"/>
            <w:vAlign w:val="center"/>
          </w:tcPr>
          <w:p w14:paraId="134D073E">
            <w:pPr>
              <w:widowControl/>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结论</w:t>
            </w:r>
          </w:p>
        </w:tc>
      </w:tr>
      <w:tr w14:paraId="77F7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continue"/>
            <w:noWrap w:val="0"/>
            <w:vAlign w:val="center"/>
          </w:tcPr>
          <w:p w14:paraId="42AAC323">
            <w:pPr>
              <w:spacing w:line="320" w:lineRule="exact"/>
              <w:jc w:val="center"/>
              <w:rPr>
                <w:rFonts w:ascii="Times New Roman" w:hAnsi="Times New Roman" w:eastAsia="宋体" w:cs="Times New Roman"/>
                <w:color w:val="000000"/>
                <w:sz w:val="21"/>
                <w:szCs w:val="21"/>
              </w:rPr>
            </w:pPr>
          </w:p>
        </w:tc>
        <w:tc>
          <w:tcPr>
            <w:tcW w:w="1419" w:type="pct"/>
            <w:noWrap w:val="0"/>
            <w:vAlign w:val="center"/>
          </w:tcPr>
          <w:p w14:paraId="4CBAC22C">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二级站</w:t>
            </w:r>
          </w:p>
        </w:tc>
        <w:tc>
          <w:tcPr>
            <w:tcW w:w="616" w:type="pct"/>
            <w:vMerge w:val="continue"/>
            <w:noWrap w:val="0"/>
            <w:vAlign w:val="center"/>
          </w:tcPr>
          <w:p w14:paraId="3DC316B2">
            <w:pPr>
              <w:widowControl/>
              <w:spacing w:line="320" w:lineRule="exact"/>
              <w:jc w:val="center"/>
              <w:rPr>
                <w:rFonts w:ascii="Times New Roman" w:hAnsi="Times New Roman" w:eastAsia="宋体" w:cs="Times New Roman"/>
                <w:color w:val="000000"/>
                <w:sz w:val="21"/>
                <w:szCs w:val="21"/>
              </w:rPr>
            </w:pPr>
          </w:p>
        </w:tc>
        <w:tc>
          <w:tcPr>
            <w:tcW w:w="625" w:type="pct"/>
            <w:vMerge w:val="continue"/>
            <w:noWrap w:val="0"/>
            <w:vAlign w:val="center"/>
          </w:tcPr>
          <w:p w14:paraId="359D3038">
            <w:pPr>
              <w:widowControl/>
              <w:spacing w:line="320" w:lineRule="exact"/>
              <w:jc w:val="center"/>
              <w:rPr>
                <w:rFonts w:ascii="Times New Roman" w:hAnsi="Times New Roman" w:eastAsia="宋体" w:cs="Times New Roman"/>
                <w:color w:val="000000"/>
                <w:sz w:val="21"/>
                <w:szCs w:val="21"/>
              </w:rPr>
            </w:pPr>
          </w:p>
        </w:tc>
      </w:tr>
      <w:tr w14:paraId="694B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continue"/>
            <w:noWrap w:val="0"/>
            <w:vAlign w:val="center"/>
          </w:tcPr>
          <w:p w14:paraId="2A1BEB11">
            <w:pPr>
              <w:spacing w:line="320" w:lineRule="exact"/>
              <w:jc w:val="center"/>
              <w:rPr>
                <w:rFonts w:ascii="Times New Roman" w:hAnsi="Times New Roman" w:eastAsia="宋体" w:cs="Times New Roman"/>
                <w:color w:val="000000"/>
                <w:sz w:val="21"/>
                <w:szCs w:val="21"/>
              </w:rPr>
            </w:pPr>
          </w:p>
        </w:tc>
        <w:tc>
          <w:tcPr>
            <w:tcW w:w="1419" w:type="pct"/>
            <w:noWrap w:val="0"/>
            <w:vAlign w:val="center"/>
          </w:tcPr>
          <w:p w14:paraId="1DEE65C3">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有卸油和加油油气回收系统</w:t>
            </w:r>
            <w:r>
              <w:rPr>
                <w:rFonts w:ascii="Times New Roman" w:hAnsi="Times New Roman" w:eastAsia="宋体" w:cs="Times New Roman"/>
                <w:color w:val="000000"/>
                <w:sz w:val="21"/>
                <w:szCs w:val="21"/>
              </w:rPr>
              <w:t>■</w:t>
            </w:r>
          </w:p>
        </w:tc>
        <w:tc>
          <w:tcPr>
            <w:tcW w:w="616" w:type="pct"/>
            <w:vMerge w:val="continue"/>
            <w:noWrap w:val="0"/>
            <w:vAlign w:val="center"/>
          </w:tcPr>
          <w:p w14:paraId="17C3B737">
            <w:pPr>
              <w:widowControl/>
              <w:spacing w:line="320" w:lineRule="exact"/>
              <w:jc w:val="center"/>
              <w:rPr>
                <w:rFonts w:ascii="Times New Roman" w:hAnsi="Times New Roman" w:eastAsia="宋体" w:cs="Times New Roman"/>
                <w:color w:val="000000"/>
                <w:sz w:val="21"/>
                <w:szCs w:val="21"/>
              </w:rPr>
            </w:pPr>
          </w:p>
        </w:tc>
        <w:tc>
          <w:tcPr>
            <w:tcW w:w="625" w:type="pct"/>
            <w:vMerge w:val="continue"/>
            <w:noWrap w:val="0"/>
            <w:vAlign w:val="center"/>
          </w:tcPr>
          <w:p w14:paraId="010AA0D0">
            <w:pPr>
              <w:widowControl/>
              <w:spacing w:line="320" w:lineRule="exact"/>
              <w:jc w:val="center"/>
              <w:rPr>
                <w:rFonts w:ascii="Times New Roman" w:hAnsi="Times New Roman" w:eastAsia="宋体" w:cs="Times New Roman"/>
                <w:color w:val="000000"/>
                <w:sz w:val="21"/>
                <w:szCs w:val="21"/>
              </w:rPr>
            </w:pPr>
          </w:p>
        </w:tc>
      </w:tr>
      <w:tr w14:paraId="1F4A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338" w:type="pct"/>
            <w:gridSpan w:val="3"/>
            <w:noWrap w:val="0"/>
            <w:vAlign w:val="center"/>
          </w:tcPr>
          <w:p w14:paraId="45762769">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重要公共建筑物</w:t>
            </w:r>
          </w:p>
        </w:tc>
        <w:tc>
          <w:tcPr>
            <w:tcW w:w="1419" w:type="pct"/>
            <w:noWrap w:val="0"/>
            <w:vAlign w:val="center"/>
          </w:tcPr>
          <w:p w14:paraId="37C4DF1A">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616" w:type="pct"/>
            <w:noWrap w:val="0"/>
            <w:vAlign w:val="center"/>
          </w:tcPr>
          <w:p w14:paraId="66464094">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40ACC19E">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0E5B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4B4829C5">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明火地点或散发火花地点</w:t>
            </w:r>
          </w:p>
        </w:tc>
        <w:tc>
          <w:tcPr>
            <w:tcW w:w="1419" w:type="pct"/>
            <w:noWrap w:val="0"/>
            <w:vAlign w:val="center"/>
          </w:tcPr>
          <w:p w14:paraId="390FAEE3">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17.5</w:t>
            </w:r>
          </w:p>
        </w:tc>
        <w:tc>
          <w:tcPr>
            <w:tcW w:w="616" w:type="pct"/>
            <w:noWrap w:val="0"/>
            <w:vAlign w:val="center"/>
          </w:tcPr>
          <w:p w14:paraId="1AD197E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148F3DBF">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D1B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noWrap w:val="0"/>
            <w:vAlign w:val="center"/>
          </w:tcPr>
          <w:p w14:paraId="4E28317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民用建筑物保护类别</w:t>
            </w:r>
          </w:p>
        </w:tc>
        <w:tc>
          <w:tcPr>
            <w:tcW w:w="1649" w:type="pct"/>
            <w:gridSpan w:val="2"/>
            <w:noWrap w:val="0"/>
            <w:vAlign w:val="center"/>
          </w:tcPr>
          <w:p w14:paraId="6966C4BA">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一类保护物</w:t>
            </w:r>
          </w:p>
        </w:tc>
        <w:tc>
          <w:tcPr>
            <w:tcW w:w="1419" w:type="pct"/>
            <w:noWrap w:val="0"/>
            <w:vAlign w:val="center"/>
          </w:tcPr>
          <w:p w14:paraId="7C3806FD">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616" w:type="pct"/>
            <w:noWrap w:val="0"/>
            <w:vAlign w:val="center"/>
          </w:tcPr>
          <w:p w14:paraId="4C2C534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6D8D4416">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3C0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noWrap w:val="0"/>
            <w:vAlign w:val="center"/>
          </w:tcPr>
          <w:p w14:paraId="448CDD67">
            <w:pPr>
              <w:spacing w:line="320" w:lineRule="exact"/>
              <w:jc w:val="center"/>
              <w:rPr>
                <w:rFonts w:ascii="Times New Roman" w:hAnsi="Times New Roman" w:eastAsia="宋体" w:cs="Times New Roman"/>
                <w:color w:val="000000"/>
                <w:sz w:val="21"/>
                <w:szCs w:val="21"/>
              </w:rPr>
            </w:pPr>
          </w:p>
        </w:tc>
        <w:tc>
          <w:tcPr>
            <w:tcW w:w="1649" w:type="pct"/>
            <w:gridSpan w:val="2"/>
            <w:noWrap w:val="0"/>
            <w:vAlign w:val="center"/>
          </w:tcPr>
          <w:p w14:paraId="255B9BD8">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二类保护物</w:t>
            </w:r>
          </w:p>
        </w:tc>
        <w:tc>
          <w:tcPr>
            <w:tcW w:w="1419" w:type="pct"/>
            <w:noWrap w:val="0"/>
            <w:vAlign w:val="center"/>
          </w:tcPr>
          <w:p w14:paraId="53BA83CC">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616" w:type="pct"/>
            <w:noWrap w:val="0"/>
            <w:vAlign w:val="center"/>
          </w:tcPr>
          <w:p w14:paraId="412ED8D5">
            <w:pPr>
              <w:widowControl/>
              <w:spacing w:line="320" w:lineRule="exact"/>
              <w:jc w:val="center"/>
              <w:rPr>
                <w:rFonts w:hint="eastAsia" w:ascii="Times New Roman" w:hAnsi="Times New Roman" w:eastAsia="宋体" w:cs="Times New Roman"/>
                <w:b/>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404AB885">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6119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noWrap w:val="0"/>
            <w:vAlign w:val="center"/>
          </w:tcPr>
          <w:p w14:paraId="400BA81A">
            <w:pPr>
              <w:spacing w:line="320" w:lineRule="exact"/>
              <w:jc w:val="center"/>
              <w:rPr>
                <w:rFonts w:ascii="Times New Roman" w:hAnsi="Times New Roman" w:eastAsia="宋体" w:cs="Times New Roman"/>
                <w:color w:val="000000"/>
                <w:sz w:val="21"/>
                <w:szCs w:val="21"/>
              </w:rPr>
            </w:pPr>
          </w:p>
        </w:tc>
        <w:tc>
          <w:tcPr>
            <w:tcW w:w="1649" w:type="pct"/>
            <w:gridSpan w:val="2"/>
            <w:noWrap w:val="0"/>
            <w:vAlign w:val="center"/>
          </w:tcPr>
          <w:p w14:paraId="11AE8BA4">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三类保护物</w:t>
            </w:r>
          </w:p>
        </w:tc>
        <w:tc>
          <w:tcPr>
            <w:tcW w:w="1419" w:type="pct"/>
            <w:noWrap w:val="0"/>
            <w:vAlign w:val="center"/>
          </w:tcPr>
          <w:p w14:paraId="4783DB4C">
            <w:pPr>
              <w:spacing w:line="32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8.5</w:t>
            </w:r>
          </w:p>
        </w:tc>
        <w:tc>
          <w:tcPr>
            <w:tcW w:w="616" w:type="pct"/>
            <w:noWrap w:val="0"/>
            <w:vAlign w:val="center"/>
          </w:tcPr>
          <w:p w14:paraId="09EF4ED9">
            <w:pPr>
              <w:widowControl/>
              <w:spacing w:line="320" w:lineRule="exact"/>
              <w:jc w:val="center"/>
              <w:rPr>
                <w:rFonts w:hint="default" w:ascii="Times New Roman" w:hAnsi="Times New Roman" w:eastAsia="宋体" w:cs="Times New Roman"/>
                <w:b/>
                <w:color w:val="000000"/>
                <w:sz w:val="21"/>
                <w:szCs w:val="21"/>
                <w:lang w:val="en-US" w:eastAsia="zh-CN"/>
              </w:rPr>
            </w:pPr>
            <w:r>
              <w:rPr>
                <w:rFonts w:hint="eastAsia" w:cs="Times New Roman"/>
                <w:b/>
                <w:color w:val="000000"/>
                <w:sz w:val="21"/>
                <w:szCs w:val="21"/>
                <w:lang w:val="en-US" w:eastAsia="zh-CN"/>
              </w:rPr>
              <w:t>\</w:t>
            </w:r>
          </w:p>
        </w:tc>
        <w:tc>
          <w:tcPr>
            <w:tcW w:w="625" w:type="pct"/>
            <w:noWrap w:val="0"/>
            <w:vAlign w:val="center"/>
          </w:tcPr>
          <w:p w14:paraId="34795AA6">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p>
        </w:tc>
      </w:tr>
      <w:tr w14:paraId="7F11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4DCB0151">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甲、乙类物品生产厂房、库房和甲、乙类液体储罐</w:t>
            </w:r>
          </w:p>
        </w:tc>
        <w:tc>
          <w:tcPr>
            <w:tcW w:w="1419" w:type="pct"/>
            <w:noWrap w:val="0"/>
            <w:vAlign w:val="center"/>
          </w:tcPr>
          <w:p w14:paraId="25F847AD">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15.5</w:t>
            </w:r>
          </w:p>
        </w:tc>
        <w:tc>
          <w:tcPr>
            <w:tcW w:w="616" w:type="pct"/>
            <w:noWrap w:val="0"/>
            <w:vAlign w:val="center"/>
          </w:tcPr>
          <w:p w14:paraId="25ACDEC6">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476F55E5">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0F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338" w:type="pct"/>
            <w:gridSpan w:val="3"/>
            <w:noWrap w:val="0"/>
            <w:vAlign w:val="center"/>
          </w:tcPr>
          <w:p w14:paraId="193AFB62">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丙、丁、戊类物品生产厂房、库房和丙类液体储罐以及单罐容积不大于</w:t>
            </w:r>
            <w:r>
              <w:rPr>
                <w:rFonts w:ascii="Times New Roman" w:hAnsi="Times New Roman" w:eastAsia="宋体" w:cs="Times New Roman"/>
                <w:color w:val="000000"/>
                <w:sz w:val="21"/>
                <w:szCs w:val="21"/>
              </w:rPr>
              <w:t>50m</w:t>
            </w:r>
            <w:r>
              <w:rPr>
                <w:rFonts w:ascii="Times New Roman" w:hAnsi="Times New Roman" w:eastAsia="宋体" w:cs="Times New Roman"/>
                <w:color w:val="000000"/>
                <w:sz w:val="21"/>
                <w:szCs w:val="21"/>
                <w:vertAlign w:val="superscript"/>
              </w:rPr>
              <w:t>3</w:t>
            </w:r>
            <w:r>
              <w:rPr>
                <w:rFonts w:hint="eastAsia" w:ascii="宋体" w:hAnsi="宋体" w:eastAsia="宋体" w:cs="宋体"/>
                <w:color w:val="000000"/>
                <w:sz w:val="21"/>
                <w:szCs w:val="21"/>
              </w:rPr>
              <w:t>的埋地甲、乙类液体储罐</w:t>
            </w:r>
          </w:p>
        </w:tc>
        <w:tc>
          <w:tcPr>
            <w:tcW w:w="1419" w:type="pct"/>
            <w:noWrap w:val="0"/>
            <w:vAlign w:val="center"/>
          </w:tcPr>
          <w:p w14:paraId="4CE0F638">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616" w:type="pct"/>
            <w:noWrap w:val="0"/>
            <w:vAlign w:val="center"/>
          </w:tcPr>
          <w:p w14:paraId="2FA681C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2DA92B64">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88F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2CD570BE">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室外变配电站</w:t>
            </w:r>
          </w:p>
        </w:tc>
        <w:tc>
          <w:tcPr>
            <w:tcW w:w="1419" w:type="pct"/>
            <w:noWrap w:val="0"/>
            <w:vAlign w:val="center"/>
          </w:tcPr>
          <w:p w14:paraId="009C7027">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15.5</w:t>
            </w:r>
          </w:p>
        </w:tc>
        <w:tc>
          <w:tcPr>
            <w:tcW w:w="616" w:type="pct"/>
            <w:noWrap w:val="0"/>
            <w:vAlign w:val="center"/>
          </w:tcPr>
          <w:p w14:paraId="347FD09C">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5DB8CD0E">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E07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3EE0AD53">
            <w:pPr>
              <w:spacing w:line="320" w:lineRule="exact"/>
              <w:jc w:val="center"/>
              <w:rPr>
                <w:rFonts w:hint="eastAsia" w:ascii="Times New Roman" w:hAnsi="Times New Roman" w:eastAsia="宋体" w:cs="Times New Roman"/>
                <w:color w:val="000000"/>
                <w:sz w:val="21"/>
                <w:szCs w:val="21"/>
              </w:rPr>
            </w:pPr>
            <w:r>
              <w:rPr>
                <w:rFonts w:hint="eastAsia" w:ascii="宋体" w:hAnsi="宋体" w:eastAsia="宋体" w:cs="宋体"/>
                <w:color w:val="000000"/>
                <w:sz w:val="21"/>
                <w:szCs w:val="21"/>
              </w:rPr>
              <w:t>铁路、地上城市轨道线路</w:t>
            </w:r>
          </w:p>
        </w:tc>
        <w:tc>
          <w:tcPr>
            <w:tcW w:w="1419" w:type="pct"/>
            <w:noWrap w:val="0"/>
            <w:vAlign w:val="center"/>
          </w:tcPr>
          <w:p w14:paraId="46A178FF">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15.5</w:t>
            </w:r>
          </w:p>
        </w:tc>
        <w:tc>
          <w:tcPr>
            <w:tcW w:w="616" w:type="pct"/>
            <w:noWrap w:val="0"/>
            <w:vAlign w:val="center"/>
          </w:tcPr>
          <w:p w14:paraId="38BE88E7">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79B1A3FE">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0386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00C65932">
            <w:pPr>
              <w:spacing w:line="320" w:lineRule="exact"/>
              <w:jc w:val="center"/>
              <w:rPr>
                <w:rFonts w:hint="eastAsia" w:ascii="Times New Roman" w:hAnsi="Times New Roman" w:eastAsia="宋体" w:cs="Times New Roman"/>
                <w:color w:val="000000"/>
                <w:sz w:val="21"/>
                <w:szCs w:val="21"/>
              </w:rPr>
            </w:pPr>
            <w:r>
              <w:rPr>
                <w:rFonts w:hint="eastAsia" w:ascii="宋体" w:hAnsi="宋体" w:eastAsia="宋体" w:cs="宋体"/>
                <w:color w:val="000000"/>
                <w:sz w:val="21"/>
                <w:szCs w:val="21"/>
              </w:rPr>
              <w:t>城市快速路、主干路和高速公路、一级公路、二级公路</w:t>
            </w:r>
          </w:p>
        </w:tc>
        <w:tc>
          <w:tcPr>
            <w:tcW w:w="1419" w:type="pct"/>
            <w:noWrap w:val="0"/>
            <w:vAlign w:val="center"/>
          </w:tcPr>
          <w:p w14:paraId="1BE2E771">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5.5</w:t>
            </w:r>
          </w:p>
        </w:tc>
        <w:tc>
          <w:tcPr>
            <w:tcW w:w="616" w:type="pct"/>
            <w:noWrap w:val="0"/>
            <w:vAlign w:val="center"/>
          </w:tcPr>
          <w:p w14:paraId="6D1C7843">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w:t>
            </w:r>
          </w:p>
        </w:tc>
        <w:tc>
          <w:tcPr>
            <w:tcW w:w="625" w:type="pct"/>
            <w:noWrap w:val="0"/>
            <w:vAlign w:val="center"/>
          </w:tcPr>
          <w:p w14:paraId="346AD36E">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p>
        </w:tc>
      </w:tr>
      <w:tr w14:paraId="63BA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032B113C">
            <w:pPr>
              <w:spacing w:line="320" w:lineRule="exact"/>
              <w:jc w:val="center"/>
              <w:rPr>
                <w:rFonts w:hint="eastAsia" w:ascii="Times New Roman" w:hAnsi="Times New Roman" w:eastAsia="宋体" w:cs="Times New Roman"/>
                <w:color w:val="000000"/>
                <w:sz w:val="21"/>
                <w:szCs w:val="21"/>
              </w:rPr>
            </w:pPr>
            <w:r>
              <w:rPr>
                <w:rFonts w:hint="eastAsia" w:ascii="宋体" w:hAnsi="宋体" w:eastAsia="宋体" w:cs="宋体"/>
                <w:color w:val="000000"/>
                <w:sz w:val="21"/>
                <w:szCs w:val="21"/>
              </w:rPr>
              <w:t>城市次干路、支路和三级公路、四级公路</w:t>
            </w:r>
          </w:p>
        </w:tc>
        <w:tc>
          <w:tcPr>
            <w:tcW w:w="1419" w:type="pct"/>
            <w:noWrap w:val="0"/>
            <w:vAlign w:val="center"/>
          </w:tcPr>
          <w:p w14:paraId="05A2BD50">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4D631CF2">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18.8</w:t>
            </w:r>
          </w:p>
        </w:tc>
        <w:tc>
          <w:tcPr>
            <w:tcW w:w="625" w:type="pct"/>
            <w:noWrap w:val="0"/>
            <w:vAlign w:val="center"/>
          </w:tcPr>
          <w:p w14:paraId="36A21532">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合格</w:t>
            </w:r>
          </w:p>
        </w:tc>
      </w:tr>
      <w:tr w14:paraId="5521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7B5A9FA0">
            <w:pPr>
              <w:spacing w:line="320" w:lineRule="exact"/>
              <w:jc w:val="center"/>
              <w:rPr>
                <w:rFonts w:hint="eastAsia" w:ascii="Times New Roman" w:hAnsi="Times New Roman" w:eastAsia="宋体" w:cs="Times New Roman"/>
                <w:color w:val="000000"/>
                <w:sz w:val="21"/>
                <w:szCs w:val="21"/>
              </w:rPr>
            </w:pPr>
            <w:r>
              <w:rPr>
                <w:rFonts w:hint="eastAsia" w:ascii="宋体" w:hAnsi="宋体" w:eastAsia="宋体" w:cs="宋体"/>
                <w:color w:val="000000"/>
                <w:sz w:val="21"/>
                <w:szCs w:val="21"/>
              </w:rPr>
              <w:t>架空通信线路</w:t>
            </w:r>
          </w:p>
        </w:tc>
        <w:tc>
          <w:tcPr>
            <w:tcW w:w="1419" w:type="pct"/>
            <w:noWrap w:val="0"/>
            <w:vAlign w:val="center"/>
          </w:tcPr>
          <w:p w14:paraId="2815F57F">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5682DA70">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625" w:type="pct"/>
            <w:noWrap w:val="0"/>
            <w:vAlign w:val="center"/>
          </w:tcPr>
          <w:p w14:paraId="0CAC9AE9">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r>
      <w:tr w14:paraId="59FF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89" w:type="pct"/>
            <w:vMerge w:val="restart"/>
            <w:noWrap w:val="0"/>
            <w:vAlign w:val="center"/>
          </w:tcPr>
          <w:p w14:paraId="5DDCFE17">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架空电力线路</w:t>
            </w:r>
          </w:p>
        </w:tc>
        <w:tc>
          <w:tcPr>
            <w:tcW w:w="1649" w:type="pct"/>
            <w:gridSpan w:val="2"/>
            <w:noWrap w:val="0"/>
            <w:vAlign w:val="center"/>
          </w:tcPr>
          <w:p w14:paraId="6AF017C8">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无绝缘层</w:t>
            </w:r>
          </w:p>
        </w:tc>
        <w:tc>
          <w:tcPr>
            <w:tcW w:w="1419" w:type="pct"/>
            <w:noWrap w:val="0"/>
            <w:vAlign w:val="center"/>
          </w:tcPr>
          <w:p w14:paraId="29165DA1">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hint="eastAsia" w:ascii="宋体" w:hAnsi="宋体" w:eastAsia="宋体" w:cs="宋体"/>
                <w:color w:val="000000"/>
                <w:sz w:val="21"/>
                <w:szCs w:val="21"/>
              </w:rPr>
              <w:t>倍杆（塔）高，且不应小于</w:t>
            </w:r>
            <w:r>
              <w:rPr>
                <w:rFonts w:ascii="Times New Roman" w:hAnsi="Times New Roman" w:eastAsia="宋体" w:cs="Times New Roman"/>
                <w:color w:val="000000"/>
                <w:sz w:val="21"/>
                <w:szCs w:val="21"/>
              </w:rPr>
              <w:t>6.5m</w:t>
            </w:r>
          </w:p>
        </w:tc>
        <w:tc>
          <w:tcPr>
            <w:tcW w:w="616" w:type="pct"/>
            <w:noWrap w:val="0"/>
            <w:vAlign w:val="center"/>
          </w:tcPr>
          <w:p w14:paraId="5316918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36C4C61D">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58E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9" w:type="pct"/>
            <w:vMerge w:val="continue"/>
            <w:noWrap w:val="0"/>
            <w:vAlign w:val="center"/>
          </w:tcPr>
          <w:p w14:paraId="6035B94D">
            <w:pPr>
              <w:spacing w:line="320" w:lineRule="exact"/>
              <w:jc w:val="center"/>
              <w:rPr>
                <w:rFonts w:ascii="Times New Roman" w:hAnsi="Times New Roman" w:eastAsia="宋体" w:cs="Times New Roman"/>
                <w:color w:val="000000"/>
                <w:sz w:val="21"/>
                <w:szCs w:val="21"/>
              </w:rPr>
            </w:pPr>
          </w:p>
        </w:tc>
        <w:tc>
          <w:tcPr>
            <w:tcW w:w="1649" w:type="pct"/>
            <w:gridSpan w:val="2"/>
            <w:noWrap w:val="0"/>
            <w:vAlign w:val="center"/>
          </w:tcPr>
          <w:p w14:paraId="18B479CA">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有绝缘层</w:t>
            </w:r>
          </w:p>
        </w:tc>
        <w:tc>
          <w:tcPr>
            <w:tcW w:w="1419" w:type="pct"/>
            <w:noWrap w:val="0"/>
            <w:vAlign w:val="center"/>
          </w:tcPr>
          <w:p w14:paraId="3AF8F8A5">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0.75</w:t>
            </w:r>
            <w:r>
              <w:rPr>
                <w:rFonts w:hint="eastAsia" w:ascii="宋体" w:hAnsi="宋体" w:eastAsia="宋体" w:cs="宋体"/>
                <w:color w:val="000000"/>
                <w:sz w:val="21"/>
                <w:szCs w:val="21"/>
              </w:rPr>
              <w:t>倍杆（塔）高，且不应小于</w:t>
            </w:r>
            <w:r>
              <w:rPr>
                <w:rFonts w:ascii="Times New Roman" w:hAnsi="Times New Roman" w:eastAsia="宋体" w:cs="Times New Roman"/>
                <w:color w:val="000000"/>
                <w:sz w:val="21"/>
                <w:szCs w:val="21"/>
              </w:rPr>
              <w:t>5m</w:t>
            </w:r>
          </w:p>
        </w:tc>
        <w:tc>
          <w:tcPr>
            <w:tcW w:w="616" w:type="pct"/>
            <w:noWrap w:val="0"/>
            <w:vAlign w:val="center"/>
          </w:tcPr>
          <w:p w14:paraId="55B46726">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34.5</w:t>
            </w:r>
          </w:p>
        </w:tc>
        <w:tc>
          <w:tcPr>
            <w:tcW w:w="625" w:type="pct"/>
            <w:noWrap w:val="0"/>
            <w:vAlign w:val="center"/>
          </w:tcPr>
          <w:p w14:paraId="10CDFD37">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合格</w:t>
            </w:r>
          </w:p>
        </w:tc>
      </w:tr>
      <w:tr w14:paraId="4F68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restart"/>
            <w:noWrap w:val="0"/>
            <w:vAlign w:val="center"/>
          </w:tcPr>
          <w:p w14:paraId="4D463FC2">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外建（构）筑物</w:t>
            </w:r>
          </w:p>
        </w:tc>
        <w:tc>
          <w:tcPr>
            <w:tcW w:w="1419" w:type="pct"/>
            <w:noWrap w:val="0"/>
            <w:vAlign w:val="center"/>
          </w:tcPr>
          <w:p w14:paraId="2393CC74">
            <w:pPr>
              <w:spacing w:line="320" w:lineRule="exact"/>
              <w:jc w:val="center"/>
              <w:rPr>
                <w:rFonts w:ascii="Times New Roman" w:hAnsi="Times New Roman" w:eastAsia="宋体" w:cs="Times New Roman"/>
                <w:b/>
                <w:color w:val="000000"/>
                <w:sz w:val="21"/>
                <w:szCs w:val="21"/>
              </w:rPr>
            </w:pPr>
            <w:r>
              <w:rPr>
                <w:rFonts w:hint="eastAsia" w:ascii="宋体" w:hAnsi="宋体" w:eastAsia="宋体" w:cs="宋体"/>
                <w:b/>
                <w:color w:val="000000"/>
                <w:sz w:val="21"/>
                <w:szCs w:val="21"/>
              </w:rPr>
              <w:t>汽油（通气管管口）</w:t>
            </w:r>
          </w:p>
        </w:tc>
        <w:tc>
          <w:tcPr>
            <w:tcW w:w="616" w:type="pct"/>
            <w:vMerge w:val="restart"/>
            <w:noWrap w:val="0"/>
            <w:vAlign w:val="center"/>
          </w:tcPr>
          <w:p w14:paraId="5D6BCF46">
            <w:pPr>
              <w:widowControl/>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检查情况</w:t>
            </w:r>
          </w:p>
        </w:tc>
        <w:tc>
          <w:tcPr>
            <w:tcW w:w="625" w:type="pct"/>
            <w:vMerge w:val="restart"/>
            <w:noWrap w:val="0"/>
            <w:vAlign w:val="center"/>
          </w:tcPr>
          <w:p w14:paraId="25686889">
            <w:pPr>
              <w:widowControl/>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结论</w:t>
            </w:r>
          </w:p>
        </w:tc>
      </w:tr>
      <w:tr w14:paraId="0C2B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continue"/>
            <w:noWrap w:val="0"/>
            <w:vAlign w:val="center"/>
          </w:tcPr>
          <w:p w14:paraId="4B050EDC">
            <w:pPr>
              <w:spacing w:line="320" w:lineRule="exact"/>
              <w:jc w:val="center"/>
              <w:rPr>
                <w:rFonts w:ascii="Times New Roman" w:hAnsi="Times New Roman" w:eastAsia="宋体" w:cs="Times New Roman"/>
                <w:color w:val="000000"/>
                <w:sz w:val="21"/>
                <w:szCs w:val="21"/>
              </w:rPr>
            </w:pPr>
          </w:p>
        </w:tc>
        <w:tc>
          <w:tcPr>
            <w:tcW w:w="1419" w:type="pct"/>
            <w:noWrap w:val="0"/>
            <w:vAlign w:val="center"/>
          </w:tcPr>
          <w:p w14:paraId="6284C882">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二级站</w:t>
            </w:r>
          </w:p>
        </w:tc>
        <w:tc>
          <w:tcPr>
            <w:tcW w:w="616" w:type="pct"/>
            <w:vMerge w:val="continue"/>
            <w:noWrap w:val="0"/>
            <w:vAlign w:val="center"/>
          </w:tcPr>
          <w:p w14:paraId="62038715">
            <w:pPr>
              <w:widowControl/>
              <w:spacing w:line="320" w:lineRule="exact"/>
              <w:jc w:val="center"/>
              <w:rPr>
                <w:rFonts w:ascii="Times New Roman" w:hAnsi="Times New Roman" w:eastAsia="宋体" w:cs="Times New Roman"/>
                <w:color w:val="000000"/>
                <w:sz w:val="21"/>
                <w:szCs w:val="21"/>
              </w:rPr>
            </w:pPr>
          </w:p>
        </w:tc>
        <w:tc>
          <w:tcPr>
            <w:tcW w:w="625" w:type="pct"/>
            <w:vMerge w:val="continue"/>
            <w:noWrap w:val="0"/>
            <w:vAlign w:val="center"/>
          </w:tcPr>
          <w:p w14:paraId="01FE0A19">
            <w:pPr>
              <w:widowControl/>
              <w:spacing w:line="320" w:lineRule="exact"/>
              <w:jc w:val="center"/>
              <w:rPr>
                <w:rFonts w:ascii="Times New Roman" w:hAnsi="Times New Roman" w:eastAsia="宋体" w:cs="Times New Roman"/>
                <w:color w:val="000000"/>
                <w:sz w:val="21"/>
                <w:szCs w:val="21"/>
              </w:rPr>
            </w:pPr>
          </w:p>
        </w:tc>
      </w:tr>
      <w:tr w14:paraId="0243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continue"/>
            <w:noWrap w:val="0"/>
            <w:vAlign w:val="center"/>
          </w:tcPr>
          <w:p w14:paraId="50F23CA4">
            <w:pPr>
              <w:spacing w:line="320" w:lineRule="exact"/>
              <w:jc w:val="center"/>
              <w:rPr>
                <w:rFonts w:ascii="Times New Roman" w:hAnsi="Times New Roman" w:eastAsia="宋体" w:cs="Times New Roman"/>
                <w:color w:val="000000"/>
                <w:sz w:val="21"/>
                <w:szCs w:val="21"/>
              </w:rPr>
            </w:pPr>
          </w:p>
        </w:tc>
        <w:tc>
          <w:tcPr>
            <w:tcW w:w="1419" w:type="pct"/>
            <w:noWrap w:val="0"/>
            <w:vAlign w:val="center"/>
          </w:tcPr>
          <w:p w14:paraId="0D411897">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有卸油和加油油气回收系统</w:t>
            </w:r>
            <w:r>
              <w:rPr>
                <w:rFonts w:ascii="Times New Roman" w:hAnsi="Times New Roman" w:eastAsia="宋体" w:cs="Times New Roman"/>
                <w:color w:val="000000"/>
                <w:sz w:val="21"/>
                <w:szCs w:val="21"/>
              </w:rPr>
              <w:t>■</w:t>
            </w:r>
          </w:p>
        </w:tc>
        <w:tc>
          <w:tcPr>
            <w:tcW w:w="616" w:type="pct"/>
            <w:vMerge w:val="continue"/>
            <w:noWrap w:val="0"/>
            <w:vAlign w:val="center"/>
          </w:tcPr>
          <w:p w14:paraId="7BB1880E">
            <w:pPr>
              <w:widowControl/>
              <w:spacing w:line="320" w:lineRule="exact"/>
              <w:jc w:val="center"/>
              <w:rPr>
                <w:rFonts w:ascii="Times New Roman" w:hAnsi="Times New Roman" w:eastAsia="宋体" w:cs="Times New Roman"/>
                <w:color w:val="000000"/>
                <w:sz w:val="21"/>
                <w:szCs w:val="21"/>
              </w:rPr>
            </w:pPr>
          </w:p>
        </w:tc>
        <w:tc>
          <w:tcPr>
            <w:tcW w:w="625" w:type="pct"/>
            <w:vMerge w:val="continue"/>
            <w:noWrap w:val="0"/>
            <w:vAlign w:val="center"/>
          </w:tcPr>
          <w:p w14:paraId="59359A5D">
            <w:pPr>
              <w:widowControl/>
              <w:spacing w:line="320" w:lineRule="exact"/>
              <w:jc w:val="center"/>
              <w:rPr>
                <w:rFonts w:ascii="Times New Roman" w:hAnsi="Times New Roman" w:eastAsia="宋体" w:cs="Times New Roman"/>
                <w:color w:val="000000"/>
                <w:sz w:val="21"/>
                <w:szCs w:val="21"/>
              </w:rPr>
            </w:pPr>
          </w:p>
        </w:tc>
      </w:tr>
      <w:tr w14:paraId="3471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CD78F67">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重要公共建筑物</w:t>
            </w:r>
          </w:p>
        </w:tc>
        <w:tc>
          <w:tcPr>
            <w:tcW w:w="1419" w:type="pct"/>
            <w:noWrap w:val="0"/>
            <w:vAlign w:val="center"/>
          </w:tcPr>
          <w:p w14:paraId="6A3F708A">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616" w:type="pct"/>
            <w:noWrap w:val="0"/>
            <w:vAlign w:val="center"/>
          </w:tcPr>
          <w:p w14:paraId="71D1D5F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5D4813EF">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21F4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7C7BA19">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明火地点或散发火花地点</w:t>
            </w:r>
          </w:p>
        </w:tc>
        <w:tc>
          <w:tcPr>
            <w:tcW w:w="1419" w:type="pct"/>
            <w:noWrap w:val="0"/>
            <w:vAlign w:val="center"/>
          </w:tcPr>
          <w:p w14:paraId="435367C9">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616" w:type="pct"/>
            <w:noWrap w:val="0"/>
            <w:vAlign w:val="center"/>
          </w:tcPr>
          <w:p w14:paraId="5DE5725A">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7E36442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65C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noWrap w:val="0"/>
            <w:vAlign w:val="center"/>
          </w:tcPr>
          <w:p w14:paraId="4893AA5C">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民用建筑物</w:t>
            </w:r>
          </w:p>
          <w:p w14:paraId="4F207C57">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保护类别</w:t>
            </w:r>
          </w:p>
        </w:tc>
        <w:tc>
          <w:tcPr>
            <w:tcW w:w="1649" w:type="pct"/>
            <w:gridSpan w:val="2"/>
            <w:noWrap w:val="0"/>
            <w:vAlign w:val="center"/>
          </w:tcPr>
          <w:p w14:paraId="1DE667EB">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一类保护物</w:t>
            </w:r>
          </w:p>
        </w:tc>
        <w:tc>
          <w:tcPr>
            <w:tcW w:w="1419" w:type="pct"/>
            <w:noWrap w:val="0"/>
            <w:vAlign w:val="center"/>
          </w:tcPr>
          <w:p w14:paraId="28459B36">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616" w:type="pct"/>
            <w:noWrap w:val="0"/>
            <w:vAlign w:val="center"/>
          </w:tcPr>
          <w:p w14:paraId="46CFADE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03CB729C">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793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noWrap w:val="0"/>
            <w:vAlign w:val="center"/>
          </w:tcPr>
          <w:p w14:paraId="3899CCD5">
            <w:pPr>
              <w:spacing w:line="320" w:lineRule="exact"/>
              <w:jc w:val="center"/>
              <w:rPr>
                <w:rFonts w:ascii="Times New Roman" w:hAnsi="Times New Roman" w:eastAsia="宋体" w:cs="Times New Roman"/>
                <w:color w:val="000000"/>
                <w:sz w:val="21"/>
                <w:szCs w:val="21"/>
              </w:rPr>
            </w:pPr>
          </w:p>
        </w:tc>
        <w:tc>
          <w:tcPr>
            <w:tcW w:w="1649" w:type="pct"/>
            <w:gridSpan w:val="2"/>
            <w:noWrap w:val="0"/>
            <w:vAlign w:val="center"/>
          </w:tcPr>
          <w:p w14:paraId="0243273F">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二类保护物</w:t>
            </w:r>
          </w:p>
        </w:tc>
        <w:tc>
          <w:tcPr>
            <w:tcW w:w="1419" w:type="pct"/>
            <w:noWrap w:val="0"/>
            <w:vAlign w:val="center"/>
          </w:tcPr>
          <w:p w14:paraId="1F98B69B">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8.5</w:t>
            </w:r>
          </w:p>
        </w:tc>
        <w:tc>
          <w:tcPr>
            <w:tcW w:w="616" w:type="pct"/>
            <w:noWrap w:val="0"/>
            <w:vAlign w:val="center"/>
          </w:tcPr>
          <w:p w14:paraId="4E3F69AE">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61507611">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0E4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noWrap w:val="0"/>
            <w:vAlign w:val="center"/>
          </w:tcPr>
          <w:p w14:paraId="146DA0CF">
            <w:pPr>
              <w:spacing w:line="320" w:lineRule="exact"/>
              <w:jc w:val="center"/>
              <w:rPr>
                <w:rFonts w:ascii="Times New Roman" w:hAnsi="Times New Roman" w:eastAsia="宋体" w:cs="Times New Roman"/>
                <w:color w:val="000000"/>
                <w:sz w:val="21"/>
                <w:szCs w:val="21"/>
              </w:rPr>
            </w:pPr>
          </w:p>
        </w:tc>
        <w:tc>
          <w:tcPr>
            <w:tcW w:w="1649" w:type="pct"/>
            <w:gridSpan w:val="2"/>
            <w:noWrap w:val="0"/>
            <w:vAlign w:val="center"/>
          </w:tcPr>
          <w:p w14:paraId="43E0C28B">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三类保护物</w:t>
            </w:r>
          </w:p>
        </w:tc>
        <w:tc>
          <w:tcPr>
            <w:tcW w:w="1419" w:type="pct"/>
            <w:noWrap w:val="0"/>
            <w:vAlign w:val="center"/>
          </w:tcPr>
          <w:p w14:paraId="55023FCF">
            <w:pPr>
              <w:spacing w:line="32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7</w:t>
            </w:r>
          </w:p>
        </w:tc>
        <w:tc>
          <w:tcPr>
            <w:tcW w:w="616" w:type="pct"/>
            <w:noWrap w:val="0"/>
            <w:vAlign w:val="center"/>
          </w:tcPr>
          <w:p w14:paraId="126F8213">
            <w:pPr>
              <w:widowControl/>
              <w:spacing w:line="320" w:lineRule="exact"/>
              <w:jc w:val="center"/>
              <w:rPr>
                <w:rFonts w:hint="eastAsia" w:ascii="Times New Roman" w:hAnsi="Times New Roman" w:eastAsia="宋体" w:cs="Times New Roman"/>
                <w:b/>
                <w:color w:val="000000"/>
                <w:sz w:val="21"/>
                <w:szCs w:val="21"/>
                <w:lang w:val="en-US" w:eastAsia="zh-CN"/>
              </w:rPr>
            </w:pPr>
            <w:r>
              <w:rPr>
                <w:rFonts w:hint="eastAsia" w:cs="Times New Roman"/>
                <w:b/>
                <w:color w:val="000000"/>
                <w:sz w:val="21"/>
                <w:szCs w:val="21"/>
                <w:lang w:val="en-US" w:eastAsia="zh-CN"/>
              </w:rPr>
              <w:t>\</w:t>
            </w:r>
          </w:p>
        </w:tc>
        <w:tc>
          <w:tcPr>
            <w:tcW w:w="625" w:type="pct"/>
            <w:noWrap w:val="0"/>
            <w:vAlign w:val="center"/>
          </w:tcPr>
          <w:p w14:paraId="22F6B30C">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p>
        </w:tc>
      </w:tr>
      <w:tr w14:paraId="74BC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EEA0C8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甲、乙类物品生产厂房、库房和甲、乙类液体储罐</w:t>
            </w:r>
          </w:p>
        </w:tc>
        <w:tc>
          <w:tcPr>
            <w:tcW w:w="1419" w:type="pct"/>
            <w:noWrap w:val="0"/>
            <w:vAlign w:val="center"/>
          </w:tcPr>
          <w:p w14:paraId="4994B7EA">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616" w:type="pct"/>
            <w:noWrap w:val="0"/>
            <w:vAlign w:val="center"/>
          </w:tcPr>
          <w:p w14:paraId="52C3F2B9">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165BC185">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4C8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2BD1455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丙、丁、戊类物品生产厂房、库房和丙类液体储罐以及单罐容积不大于</w:t>
            </w:r>
            <w:r>
              <w:rPr>
                <w:rFonts w:ascii="Times New Roman" w:hAnsi="Times New Roman" w:eastAsia="宋体" w:cs="Times New Roman"/>
                <w:color w:val="000000"/>
                <w:sz w:val="21"/>
                <w:szCs w:val="21"/>
              </w:rPr>
              <w:t>50m</w:t>
            </w:r>
            <w:r>
              <w:rPr>
                <w:rFonts w:ascii="Times New Roman" w:hAnsi="Times New Roman" w:eastAsia="宋体" w:cs="Times New Roman"/>
                <w:color w:val="000000"/>
                <w:sz w:val="21"/>
                <w:szCs w:val="21"/>
                <w:vertAlign w:val="superscript"/>
              </w:rPr>
              <w:t>3</w:t>
            </w:r>
            <w:r>
              <w:rPr>
                <w:rFonts w:hint="eastAsia" w:ascii="宋体" w:hAnsi="宋体" w:eastAsia="宋体" w:cs="宋体"/>
                <w:color w:val="000000"/>
                <w:sz w:val="21"/>
                <w:szCs w:val="21"/>
              </w:rPr>
              <w:t>的埋地甲、乙类液体储罐</w:t>
            </w:r>
          </w:p>
        </w:tc>
        <w:tc>
          <w:tcPr>
            <w:tcW w:w="1419" w:type="pct"/>
            <w:noWrap w:val="0"/>
            <w:vAlign w:val="center"/>
          </w:tcPr>
          <w:p w14:paraId="042F2402">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10.5</w:t>
            </w:r>
          </w:p>
        </w:tc>
        <w:tc>
          <w:tcPr>
            <w:tcW w:w="616" w:type="pct"/>
            <w:noWrap w:val="0"/>
            <w:vAlign w:val="center"/>
          </w:tcPr>
          <w:p w14:paraId="3F24BADE">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4273330B">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250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2A610759">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室外变配电站</w:t>
            </w:r>
          </w:p>
        </w:tc>
        <w:tc>
          <w:tcPr>
            <w:tcW w:w="1419" w:type="pct"/>
            <w:noWrap w:val="0"/>
            <w:vAlign w:val="center"/>
          </w:tcPr>
          <w:p w14:paraId="15A2E277">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616" w:type="pct"/>
            <w:noWrap w:val="0"/>
            <w:vAlign w:val="center"/>
          </w:tcPr>
          <w:p w14:paraId="24D49797">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4937129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CAE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38" w:type="pct"/>
            <w:gridSpan w:val="3"/>
            <w:noWrap w:val="0"/>
            <w:vAlign w:val="center"/>
          </w:tcPr>
          <w:p w14:paraId="12EA822C">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铁路、地上城市轨道线路</w:t>
            </w:r>
          </w:p>
        </w:tc>
        <w:tc>
          <w:tcPr>
            <w:tcW w:w="1419" w:type="pct"/>
            <w:noWrap w:val="0"/>
            <w:vAlign w:val="center"/>
          </w:tcPr>
          <w:p w14:paraId="10BCEE46">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15.5</w:t>
            </w:r>
          </w:p>
        </w:tc>
        <w:tc>
          <w:tcPr>
            <w:tcW w:w="616" w:type="pct"/>
            <w:noWrap w:val="0"/>
            <w:vAlign w:val="center"/>
          </w:tcPr>
          <w:p w14:paraId="0530AACA">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01E16DF0">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2E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2338" w:type="pct"/>
            <w:gridSpan w:val="3"/>
            <w:noWrap w:val="0"/>
            <w:vAlign w:val="center"/>
          </w:tcPr>
          <w:p w14:paraId="56B40501">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城市快速路、主干路和高速公路、一级公路、二级公路</w:t>
            </w:r>
          </w:p>
        </w:tc>
        <w:tc>
          <w:tcPr>
            <w:tcW w:w="1419" w:type="pct"/>
            <w:noWrap w:val="0"/>
            <w:vAlign w:val="center"/>
          </w:tcPr>
          <w:p w14:paraId="1A40E8E1">
            <w:pPr>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218B99E9">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625" w:type="pct"/>
            <w:noWrap w:val="0"/>
            <w:vAlign w:val="center"/>
          </w:tcPr>
          <w:p w14:paraId="56850E4D">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p>
        </w:tc>
      </w:tr>
      <w:tr w14:paraId="6AB4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1E7E1A16">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城市次干路、支路和三级公路、四级公路</w:t>
            </w:r>
          </w:p>
        </w:tc>
        <w:tc>
          <w:tcPr>
            <w:tcW w:w="1419" w:type="pct"/>
            <w:noWrap w:val="0"/>
            <w:vAlign w:val="center"/>
          </w:tcPr>
          <w:p w14:paraId="40BF76CF">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487EE6BD">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12.2</w:t>
            </w:r>
          </w:p>
        </w:tc>
        <w:tc>
          <w:tcPr>
            <w:tcW w:w="625" w:type="pct"/>
            <w:noWrap w:val="0"/>
            <w:vAlign w:val="center"/>
          </w:tcPr>
          <w:p w14:paraId="0D559750">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合格</w:t>
            </w:r>
          </w:p>
        </w:tc>
      </w:tr>
      <w:tr w14:paraId="33B6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586D40C">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架空通信线路</w:t>
            </w:r>
          </w:p>
        </w:tc>
        <w:tc>
          <w:tcPr>
            <w:tcW w:w="1419" w:type="pct"/>
            <w:noWrap w:val="0"/>
            <w:vAlign w:val="center"/>
          </w:tcPr>
          <w:p w14:paraId="4C824251">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7CB084CF">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Cs/>
                <w:color w:val="000000"/>
                <w:sz w:val="21"/>
                <w:szCs w:val="21"/>
                <w:lang w:val="en-US" w:eastAsia="zh-CN"/>
              </w:rPr>
              <w:t>\</w:t>
            </w:r>
          </w:p>
        </w:tc>
        <w:tc>
          <w:tcPr>
            <w:tcW w:w="625" w:type="pct"/>
            <w:noWrap w:val="0"/>
            <w:vAlign w:val="center"/>
          </w:tcPr>
          <w:p w14:paraId="50E6948D">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r>
      <w:tr w14:paraId="4A7F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noWrap w:val="0"/>
            <w:vAlign w:val="center"/>
          </w:tcPr>
          <w:p w14:paraId="7ABB69B7">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架空电力线路</w:t>
            </w:r>
          </w:p>
        </w:tc>
        <w:tc>
          <w:tcPr>
            <w:tcW w:w="1649" w:type="pct"/>
            <w:gridSpan w:val="2"/>
            <w:noWrap w:val="0"/>
            <w:vAlign w:val="center"/>
          </w:tcPr>
          <w:p w14:paraId="34B58E60">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无绝缘层</w:t>
            </w:r>
          </w:p>
        </w:tc>
        <w:tc>
          <w:tcPr>
            <w:tcW w:w="1419" w:type="pct"/>
            <w:noWrap w:val="0"/>
            <w:vAlign w:val="center"/>
          </w:tcPr>
          <w:p w14:paraId="4380ACEC">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w:t>
            </w:r>
          </w:p>
        </w:tc>
        <w:tc>
          <w:tcPr>
            <w:tcW w:w="616" w:type="pct"/>
            <w:noWrap w:val="0"/>
            <w:vAlign w:val="center"/>
          </w:tcPr>
          <w:p w14:paraId="5313A75A">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07B2EBDD">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2864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noWrap w:val="0"/>
            <w:vAlign w:val="center"/>
          </w:tcPr>
          <w:p w14:paraId="0D209F26">
            <w:pPr>
              <w:spacing w:line="320" w:lineRule="exact"/>
              <w:jc w:val="center"/>
              <w:rPr>
                <w:rFonts w:ascii="Times New Roman" w:hAnsi="Times New Roman" w:eastAsia="宋体" w:cs="Times New Roman"/>
                <w:color w:val="000000"/>
                <w:sz w:val="21"/>
                <w:szCs w:val="21"/>
              </w:rPr>
            </w:pPr>
          </w:p>
        </w:tc>
        <w:tc>
          <w:tcPr>
            <w:tcW w:w="1649" w:type="pct"/>
            <w:gridSpan w:val="2"/>
            <w:noWrap w:val="0"/>
            <w:vAlign w:val="center"/>
          </w:tcPr>
          <w:p w14:paraId="013120CE">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有绝缘层</w:t>
            </w:r>
          </w:p>
        </w:tc>
        <w:tc>
          <w:tcPr>
            <w:tcW w:w="1419" w:type="pct"/>
            <w:noWrap w:val="0"/>
            <w:vAlign w:val="center"/>
          </w:tcPr>
          <w:p w14:paraId="450DEF5B">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2063FC7D">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37.2</w:t>
            </w:r>
          </w:p>
        </w:tc>
        <w:tc>
          <w:tcPr>
            <w:tcW w:w="625" w:type="pct"/>
            <w:noWrap w:val="0"/>
            <w:vAlign w:val="center"/>
          </w:tcPr>
          <w:p w14:paraId="68093F2A">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合格</w:t>
            </w:r>
          </w:p>
        </w:tc>
      </w:tr>
      <w:tr w14:paraId="74DE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restart"/>
            <w:noWrap w:val="0"/>
            <w:vAlign w:val="center"/>
          </w:tcPr>
          <w:p w14:paraId="452B7B1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站外建（构）筑物</w:t>
            </w:r>
          </w:p>
        </w:tc>
        <w:tc>
          <w:tcPr>
            <w:tcW w:w="1419" w:type="pct"/>
            <w:noWrap w:val="0"/>
            <w:vAlign w:val="center"/>
          </w:tcPr>
          <w:p w14:paraId="52251074">
            <w:pPr>
              <w:spacing w:line="320" w:lineRule="exact"/>
              <w:jc w:val="center"/>
              <w:rPr>
                <w:rFonts w:ascii="Times New Roman" w:hAnsi="Times New Roman" w:eastAsia="宋体" w:cs="Times New Roman"/>
                <w:b/>
                <w:color w:val="000000"/>
                <w:sz w:val="21"/>
                <w:szCs w:val="21"/>
              </w:rPr>
            </w:pPr>
            <w:r>
              <w:rPr>
                <w:rFonts w:hint="eastAsia" w:ascii="宋体" w:hAnsi="宋体" w:eastAsia="宋体" w:cs="宋体"/>
                <w:b/>
                <w:color w:val="000000"/>
                <w:sz w:val="21"/>
                <w:szCs w:val="21"/>
              </w:rPr>
              <w:t>汽油加油机</w:t>
            </w:r>
          </w:p>
        </w:tc>
        <w:tc>
          <w:tcPr>
            <w:tcW w:w="616" w:type="pct"/>
            <w:vMerge w:val="restart"/>
            <w:noWrap w:val="0"/>
            <w:vAlign w:val="center"/>
          </w:tcPr>
          <w:p w14:paraId="07CA4E44">
            <w:pPr>
              <w:widowControl/>
              <w:spacing w:line="320" w:lineRule="exact"/>
              <w:ind w:left="-128" w:leftChars="-50" w:hanging="12" w:hangingChars="6"/>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检查情况</w:t>
            </w:r>
          </w:p>
        </w:tc>
        <w:tc>
          <w:tcPr>
            <w:tcW w:w="625" w:type="pct"/>
            <w:vMerge w:val="restart"/>
            <w:noWrap w:val="0"/>
            <w:vAlign w:val="center"/>
          </w:tcPr>
          <w:p w14:paraId="4420761F">
            <w:pPr>
              <w:widowControl/>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结论</w:t>
            </w:r>
          </w:p>
        </w:tc>
      </w:tr>
      <w:tr w14:paraId="7FC5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continue"/>
            <w:noWrap w:val="0"/>
            <w:vAlign w:val="center"/>
          </w:tcPr>
          <w:p w14:paraId="1BA013CE">
            <w:pPr>
              <w:spacing w:line="320" w:lineRule="exact"/>
              <w:jc w:val="center"/>
              <w:rPr>
                <w:rFonts w:ascii="Times New Roman" w:hAnsi="Times New Roman" w:eastAsia="宋体" w:cs="Times New Roman"/>
                <w:color w:val="000000"/>
                <w:sz w:val="21"/>
                <w:szCs w:val="21"/>
              </w:rPr>
            </w:pPr>
          </w:p>
        </w:tc>
        <w:tc>
          <w:tcPr>
            <w:tcW w:w="1419" w:type="pct"/>
            <w:noWrap w:val="0"/>
            <w:vAlign w:val="center"/>
          </w:tcPr>
          <w:p w14:paraId="2D374CBC">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二级站</w:t>
            </w:r>
          </w:p>
        </w:tc>
        <w:tc>
          <w:tcPr>
            <w:tcW w:w="616" w:type="pct"/>
            <w:vMerge w:val="continue"/>
            <w:noWrap w:val="0"/>
            <w:vAlign w:val="center"/>
          </w:tcPr>
          <w:p w14:paraId="3E3BDFEB">
            <w:pPr>
              <w:widowControl/>
              <w:spacing w:line="320" w:lineRule="exact"/>
              <w:jc w:val="center"/>
              <w:rPr>
                <w:rFonts w:ascii="Times New Roman" w:hAnsi="Times New Roman" w:eastAsia="宋体" w:cs="Times New Roman"/>
                <w:color w:val="000000"/>
                <w:sz w:val="21"/>
                <w:szCs w:val="21"/>
              </w:rPr>
            </w:pPr>
          </w:p>
        </w:tc>
        <w:tc>
          <w:tcPr>
            <w:tcW w:w="625" w:type="pct"/>
            <w:vMerge w:val="continue"/>
            <w:noWrap w:val="0"/>
            <w:vAlign w:val="center"/>
          </w:tcPr>
          <w:p w14:paraId="3DD26945">
            <w:pPr>
              <w:widowControl/>
              <w:spacing w:line="320" w:lineRule="exact"/>
              <w:jc w:val="center"/>
              <w:rPr>
                <w:rFonts w:ascii="Times New Roman" w:hAnsi="Times New Roman" w:eastAsia="宋体" w:cs="Times New Roman"/>
                <w:color w:val="000000"/>
                <w:sz w:val="21"/>
                <w:szCs w:val="21"/>
              </w:rPr>
            </w:pPr>
          </w:p>
        </w:tc>
      </w:tr>
      <w:tr w14:paraId="070C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vMerge w:val="continue"/>
            <w:noWrap w:val="0"/>
            <w:vAlign w:val="center"/>
          </w:tcPr>
          <w:p w14:paraId="04ED0605">
            <w:pPr>
              <w:spacing w:line="320" w:lineRule="exact"/>
              <w:jc w:val="center"/>
              <w:rPr>
                <w:rFonts w:ascii="Times New Roman" w:hAnsi="Times New Roman" w:eastAsia="宋体" w:cs="Times New Roman"/>
                <w:color w:val="000000"/>
                <w:sz w:val="21"/>
                <w:szCs w:val="21"/>
              </w:rPr>
            </w:pPr>
          </w:p>
        </w:tc>
        <w:tc>
          <w:tcPr>
            <w:tcW w:w="1419" w:type="pct"/>
            <w:noWrap w:val="0"/>
            <w:vAlign w:val="center"/>
          </w:tcPr>
          <w:p w14:paraId="5E4B393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有卸油和加油油气回收系统</w:t>
            </w:r>
            <w:r>
              <w:rPr>
                <w:rFonts w:ascii="Times New Roman" w:hAnsi="Times New Roman" w:eastAsia="宋体" w:cs="Times New Roman"/>
                <w:color w:val="000000"/>
                <w:sz w:val="21"/>
                <w:szCs w:val="21"/>
              </w:rPr>
              <w:t>■</w:t>
            </w:r>
          </w:p>
        </w:tc>
        <w:tc>
          <w:tcPr>
            <w:tcW w:w="616" w:type="pct"/>
            <w:vMerge w:val="continue"/>
            <w:noWrap w:val="0"/>
            <w:vAlign w:val="center"/>
          </w:tcPr>
          <w:p w14:paraId="0841B7FB">
            <w:pPr>
              <w:widowControl/>
              <w:spacing w:line="320" w:lineRule="exact"/>
              <w:jc w:val="center"/>
              <w:rPr>
                <w:rFonts w:ascii="Times New Roman" w:hAnsi="Times New Roman" w:eastAsia="宋体" w:cs="Times New Roman"/>
                <w:color w:val="000000"/>
                <w:sz w:val="21"/>
                <w:szCs w:val="21"/>
              </w:rPr>
            </w:pPr>
          </w:p>
        </w:tc>
        <w:tc>
          <w:tcPr>
            <w:tcW w:w="625" w:type="pct"/>
            <w:vMerge w:val="continue"/>
            <w:noWrap w:val="0"/>
            <w:vAlign w:val="center"/>
          </w:tcPr>
          <w:p w14:paraId="7CDE55BA">
            <w:pPr>
              <w:widowControl/>
              <w:spacing w:line="320" w:lineRule="exact"/>
              <w:jc w:val="center"/>
              <w:rPr>
                <w:rFonts w:ascii="Times New Roman" w:hAnsi="Times New Roman" w:eastAsia="宋体" w:cs="Times New Roman"/>
                <w:color w:val="000000"/>
                <w:sz w:val="21"/>
                <w:szCs w:val="21"/>
              </w:rPr>
            </w:pPr>
          </w:p>
        </w:tc>
      </w:tr>
      <w:tr w14:paraId="319E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549E79B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重要公共建筑物</w:t>
            </w:r>
          </w:p>
        </w:tc>
        <w:tc>
          <w:tcPr>
            <w:tcW w:w="1419" w:type="pct"/>
            <w:noWrap w:val="0"/>
            <w:vAlign w:val="center"/>
          </w:tcPr>
          <w:p w14:paraId="727EA68B">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35</w:t>
            </w:r>
          </w:p>
        </w:tc>
        <w:tc>
          <w:tcPr>
            <w:tcW w:w="616" w:type="pct"/>
            <w:noWrap w:val="0"/>
            <w:vAlign w:val="center"/>
          </w:tcPr>
          <w:p w14:paraId="1EEED903">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73CF52E3">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46D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D9ADF09">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明火地点或散发火花地点</w:t>
            </w:r>
          </w:p>
        </w:tc>
        <w:tc>
          <w:tcPr>
            <w:tcW w:w="1419" w:type="pct"/>
            <w:noWrap w:val="0"/>
            <w:vAlign w:val="center"/>
          </w:tcPr>
          <w:p w14:paraId="223020A2">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616" w:type="pct"/>
            <w:noWrap w:val="0"/>
            <w:vAlign w:val="center"/>
          </w:tcPr>
          <w:p w14:paraId="787EB387">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18A40B2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162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pct"/>
            <w:gridSpan w:val="2"/>
            <w:vMerge w:val="restart"/>
            <w:noWrap w:val="0"/>
            <w:vAlign w:val="center"/>
          </w:tcPr>
          <w:p w14:paraId="43435F92">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民用建筑物保护类别</w:t>
            </w:r>
          </w:p>
        </w:tc>
        <w:tc>
          <w:tcPr>
            <w:tcW w:w="1469" w:type="pct"/>
            <w:noWrap w:val="0"/>
            <w:vAlign w:val="center"/>
          </w:tcPr>
          <w:p w14:paraId="16D1A5B9">
            <w:pPr>
              <w:spacing w:line="320" w:lineRule="exact"/>
              <w:ind w:left="-14" w:leftChars="-38" w:hanging="92" w:hangingChars="44"/>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一类保护物</w:t>
            </w:r>
          </w:p>
        </w:tc>
        <w:tc>
          <w:tcPr>
            <w:tcW w:w="1419" w:type="pct"/>
            <w:noWrap w:val="0"/>
            <w:vAlign w:val="center"/>
          </w:tcPr>
          <w:p w14:paraId="3A24DC78">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616" w:type="pct"/>
            <w:noWrap w:val="0"/>
            <w:vAlign w:val="center"/>
          </w:tcPr>
          <w:p w14:paraId="15485CC9">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0EA0B82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36E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pct"/>
            <w:gridSpan w:val="2"/>
            <w:vMerge w:val="continue"/>
            <w:noWrap w:val="0"/>
            <w:vAlign w:val="center"/>
          </w:tcPr>
          <w:p w14:paraId="1395DDA0">
            <w:pPr>
              <w:spacing w:line="320" w:lineRule="exact"/>
              <w:jc w:val="center"/>
              <w:rPr>
                <w:rFonts w:ascii="Times New Roman" w:hAnsi="Times New Roman" w:eastAsia="宋体" w:cs="Times New Roman"/>
                <w:color w:val="000000"/>
                <w:sz w:val="21"/>
                <w:szCs w:val="21"/>
              </w:rPr>
            </w:pPr>
          </w:p>
        </w:tc>
        <w:tc>
          <w:tcPr>
            <w:tcW w:w="1469" w:type="pct"/>
            <w:noWrap w:val="0"/>
            <w:vAlign w:val="center"/>
          </w:tcPr>
          <w:p w14:paraId="11DCAA55">
            <w:pPr>
              <w:spacing w:line="320" w:lineRule="exact"/>
              <w:ind w:left="-14" w:leftChars="-38" w:hanging="92" w:hangingChars="44"/>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二类保护物</w:t>
            </w:r>
          </w:p>
        </w:tc>
        <w:tc>
          <w:tcPr>
            <w:tcW w:w="1419" w:type="pct"/>
            <w:noWrap w:val="0"/>
            <w:vAlign w:val="center"/>
          </w:tcPr>
          <w:p w14:paraId="468BC1E9">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8.5</w:t>
            </w:r>
          </w:p>
        </w:tc>
        <w:tc>
          <w:tcPr>
            <w:tcW w:w="616" w:type="pct"/>
            <w:noWrap w:val="0"/>
            <w:vAlign w:val="center"/>
          </w:tcPr>
          <w:p w14:paraId="2BA09EE8">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679CAE91">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00D9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pct"/>
            <w:gridSpan w:val="2"/>
            <w:vMerge w:val="continue"/>
            <w:noWrap w:val="0"/>
            <w:vAlign w:val="center"/>
          </w:tcPr>
          <w:p w14:paraId="5B0EA022">
            <w:pPr>
              <w:spacing w:line="320" w:lineRule="exact"/>
              <w:jc w:val="center"/>
              <w:rPr>
                <w:rFonts w:ascii="Times New Roman" w:hAnsi="Times New Roman" w:eastAsia="宋体" w:cs="Times New Roman"/>
                <w:color w:val="000000"/>
                <w:sz w:val="21"/>
                <w:szCs w:val="21"/>
              </w:rPr>
            </w:pPr>
          </w:p>
        </w:tc>
        <w:tc>
          <w:tcPr>
            <w:tcW w:w="1469" w:type="pct"/>
            <w:noWrap w:val="0"/>
            <w:vAlign w:val="center"/>
          </w:tcPr>
          <w:p w14:paraId="7EFC6A32">
            <w:pPr>
              <w:spacing w:line="320" w:lineRule="exact"/>
              <w:ind w:left="-14" w:leftChars="-38" w:hanging="92" w:hangingChars="44"/>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三类保护物</w:t>
            </w:r>
          </w:p>
        </w:tc>
        <w:tc>
          <w:tcPr>
            <w:tcW w:w="1419" w:type="pct"/>
            <w:noWrap w:val="0"/>
            <w:vAlign w:val="center"/>
          </w:tcPr>
          <w:p w14:paraId="54322135">
            <w:pPr>
              <w:spacing w:line="32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7</w:t>
            </w:r>
          </w:p>
        </w:tc>
        <w:tc>
          <w:tcPr>
            <w:tcW w:w="616" w:type="pct"/>
            <w:noWrap w:val="0"/>
            <w:vAlign w:val="center"/>
          </w:tcPr>
          <w:p w14:paraId="6723769D">
            <w:pPr>
              <w:widowControl/>
              <w:spacing w:line="320" w:lineRule="exact"/>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c>
          <w:tcPr>
            <w:tcW w:w="625" w:type="pct"/>
            <w:noWrap w:val="0"/>
            <w:vAlign w:val="center"/>
          </w:tcPr>
          <w:p w14:paraId="431061B6">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r>
      <w:tr w14:paraId="6758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FA95FBD">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甲、乙类物品生产厂房、库房和甲、乙类液体储罐</w:t>
            </w:r>
          </w:p>
        </w:tc>
        <w:tc>
          <w:tcPr>
            <w:tcW w:w="1419" w:type="pct"/>
            <w:noWrap w:val="0"/>
            <w:vAlign w:val="center"/>
          </w:tcPr>
          <w:p w14:paraId="36FD1CBF">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616" w:type="pct"/>
            <w:noWrap w:val="0"/>
            <w:vAlign w:val="center"/>
          </w:tcPr>
          <w:p w14:paraId="1628F327">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14031A09">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3BF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10320764">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丙、丁、戊类物品生产厂房、库房和丙类液体储罐以及单罐容积不大于</w:t>
            </w:r>
            <w:r>
              <w:rPr>
                <w:rFonts w:ascii="Times New Roman" w:hAnsi="Times New Roman" w:eastAsia="宋体" w:cs="Times New Roman"/>
                <w:color w:val="000000"/>
                <w:sz w:val="21"/>
                <w:szCs w:val="21"/>
              </w:rPr>
              <w:t>50m</w:t>
            </w:r>
            <w:r>
              <w:rPr>
                <w:rFonts w:ascii="Times New Roman" w:hAnsi="Times New Roman" w:eastAsia="宋体" w:cs="Times New Roman"/>
                <w:color w:val="000000"/>
                <w:sz w:val="21"/>
                <w:szCs w:val="21"/>
                <w:vertAlign w:val="superscript"/>
              </w:rPr>
              <w:t>3</w:t>
            </w:r>
            <w:r>
              <w:rPr>
                <w:rFonts w:hint="eastAsia" w:ascii="宋体" w:hAnsi="宋体" w:eastAsia="宋体" w:cs="宋体"/>
                <w:color w:val="000000"/>
                <w:sz w:val="21"/>
                <w:szCs w:val="21"/>
              </w:rPr>
              <w:t>的埋地甲、乙类液体储罐</w:t>
            </w:r>
          </w:p>
        </w:tc>
        <w:tc>
          <w:tcPr>
            <w:tcW w:w="1419" w:type="pct"/>
            <w:noWrap w:val="0"/>
            <w:vAlign w:val="center"/>
          </w:tcPr>
          <w:p w14:paraId="2E04497C">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10.5</w:t>
            </w:r>
          </w:p>
        </w:tc>
        <w:tc>
          <w:tcPr>
            <w:tcW w:w="616" w:type="pct"/>
            <w:noWrap w:val="0"/>
            <w:vAlign w:val="center"/>
          </w:tcPr>
          <w:p w14:paraId="409A7EA6">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000334DA">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482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204EFA98">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室外变配电站</w:t>
            </w:r>
          </w:p>
        </w:tc>
        <w:tc>
          <w:tcPr>
            <w:tcW w:w="1419" w:type="pct"/>
            <w:noWrap w:val="0"/>
            <w:vAlign w:val="center"/>
          </w:tcPr>
          <w:p w14:paraId="7C01C654">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616" w:type="pct"/>
            <w:noWrap w:val="0"/>
            <w:vAlign w:val="center"/>
          </w:tcPr>
          <w:p w14:paraId="7D86B13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625" w:type="pct"/>
            <w:noWrap w:val="0"/>
            <w:vAlign w:val="center"/>
          </w:tcPr>
          <w:p w14:paraId="13796BCE">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6F3B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1547B39E">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铁路、地上城市轨道线路</w:t>
            </w:r>
          </w:p>
        </w:tc>
        <w:tc>
          <w:tcPr>
            <w:tcW w:w="1419" w:type="pct"/>
            <w:noWrap w:val="0"/>
            <w:vAlign w:val="center"/>
          </w:tcPr>
          <w:p w14:paraId="5C130C29">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15.5</w:t>
            </w:r>
          </w:p>
        </w:tc>
        <w:tc>
          <w:tcPr>
            <w:tcW w:w="616" w:type="pct"/>
            <w:noWrap w:val="0"/>
            <w:vAlign w:val="center"/>
          </w:tcPr>
          <w:p w14:paraId="5C4DF67D">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3C2EE555">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085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338" w:type="pct"/>
            <w:gridSpan w:val="3"/>
            <w:noWrap w:val="0"/>
            <w:vAlign w:val="center"/>
          </w:tcPr>
          <w:p w14:paraId="7D8EB6FE">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城市快速路、主干路和高速公路、一级公路、二级公路</w:t>
            </w:r>
          </w:p>
        </w:tc>
        <w:tc>
          <w:tcPr>
            <w:tcW w:w="1419" w:type="pct"/>
            <w:noWrap w:val="0"/>
            <w:vAlign w:val="center"/>
          </w:tcPr>
          <w:p w14:paraId="4EC7BAEA">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56BA21FA">
            <w:pPr>
              <w:widowControl/>
              <w:spacing w:line="320" w:lineRule="exact"/>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c>
          <w:tcPr>
            <w:tcW w:w="625" w:type="pct"/>
            <w:noWrap w:val="0"/>
            <w:vAlign w:val="center"/>
          </w:tcPr>
          <w:p w14:paraId="01CC96B6">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r>
      <w:tr w14:paraId="163B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70B0F6AC">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城市次干路、支路和三级公路、四级公路</w:t>
            </w:r>
          </w:p>
        </w:tc>
        <w:tc>
          <w:tcPr>
            <w:tcW w:w="1419" w:type="pct"/>
            <w:noWrap w:val="0"/>
            <w:vAlign w:val="center"/>
          </w:tcPr>
          <w:p w14:paraId="39822C12">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3E4695C2">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34.2</w:t>
            </w:r>
          </w:p>
        </w:tc>
        <w:tc>
          <w:tcPr>
            <w:tcW w:w="625" w:type="pct"/>
            <w:noWrap w:val="0"/>
            <w:vAlign w:val="center"/>
          </w:tcPr>
          <w:p w14:paraId="1F7FC6E9">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合格</w:t>
            </w:r>
          </w:p>
        </w:tc>
      </w:tr>
      <w:tr w14:paraId="5306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8" w:type="pct"/>
            <w:gridSpan w:val="3"/>
            <w:noWrap w:val="0"/>
            <w:vAlign w:val="center"/>
          </w:tcPr>
          <w:p w14:paraId="60119909">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架空通信线路</w:t>
            </w:r>
          </w:p>
        </w:tc>
        <w:tc>
          <w:tcPr>
            <w:tcW w:w="1419" w:type="pct"/>
            <w:noWrap w:val="0"/>
            <w:vAlign w:val="center"/>
          </w:tcPr>
          <w:p w14:paraId="58035771">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1D87608F">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Cs/>
                <w:color w:val="000000"/>
                <w:sz w:val="21"/>
                <w:szCs w:val="21"/>
                <w:lang w:val="en-US" w:eastAsia="zh-CN"/>
              </w:rPr>
              <w:t>\</w:t>
            </w:r>
          </w:p>
        </w:tc>
        <w:tc>
          <w:tcPr>
            <w:tcW w:w="625" w:type="pct"/>
            <w:noWrap w:val="0"/>
            <w:vAlign w:val="center"/>
          </w:tcPr>
          <w:p w14:paraId="131D9AA7">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r>
      <w:tr w14:paraId="399A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pct"/>
            <w:gridSpan w:val="2"/>
            <w:vMerge w:val="restart"/>
            <w:noWrap w:val="0"/>
            <w:vAlign w:val="center"/>
          </w:tcPr>
          <w:p w14:paraId="7F7B016C">
            <w:pPr>
              <w:spacing w:line="320" w:lineRule="exact"/>
              <w:rPr>
                <w:rFonts w:ascii="Times New Roman" w:hAnsi="Times New Roman" w:eastAsia="宋体" w:cs="Times New Roman"/>
                <w:color w:val="000000"/>
                <w:sz w:val="21"/>
                <w:szCs w:val="21"/>
              </w:rPr>
            </w:pPr>
            <w:r>
              <w:rPr>
                <w:rFonts w:hint="eastAsia" w:ascii="宋体" w:hAnsi="宋体" w:eastAsia="宋体" w:cs="宋体"/>
                <w:color w:val="000000"/>
                <w:sz w:val="21"/>
                <w:szCs w:val="21"/>
              </w:rPr>
              <w:t>架空电力线路</w:t>
            </w:r>
          </w:p>
        </w:tc>
        <w:tc>
          <w:tcPr>
            <w:tcW w:w="1469" w:type="pct"/>
            <w:noWrap w:val="0"/>
            <w:vAlign w:val="center"/>
          </w:tcPr>
          <w:p w14:paraId="04A2EC36">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无绝缘层</w:t>
            </w:r>
          </w:p>
        </w:tc>
        <w:tc>
          <w:tcPr>
            <w:tcW w:w="1419" w:type="pct"/>
            <w:noWrap w:val="0"/>
            <w:vAlign w:val="center"/>
          </w:tcPr>
          <w:p w14:paraId="49E766DC">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w:t>
            </w:r>
          </w:p>
        </w:tc>
        <w:tc>
          <w:tcPr>
            <w:tcW w:w="616" w:type="pct"/>
            <w:noWrap w:val="0"/>
            <w:vAlign w:val="center"/>
          </w:tcPr>
          <w:p w14:paraId="72EE1EF2">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625" w:type="pct"/>
            <w:noWrap w:val="0"/>
            <w:vAlign w:val="center"/>
          </w:tcPr>
          <w:p w14:paraId="4016DF6E">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F69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pct"/>
            <w:gridSpan w:val="2"/>
            <w:vMerge w:val="continue"/>
            <w:noWrap w:val="0"/>
            <w:vAlign w:val="center"/>
          </w:tcPr>
          <w:p w14:paraId="7351572A">
            <w:pPr>
              <w:widowControl/>
              <w:spacing w:line="320" w:lineRule="exact"/>
              <w:jc w:val="center"/>
              <w:rPr>
                <w:rFonts w:ascii="Times New Roman" w:hAnsi="Times New Roman" w:eastAsia="宋体" w:cs="Times New Roman"/>
                <w:color w:val="000000"/>
                <w:sz w:val="21"/>
                <w:szCs w:val="21"/>
              </w:rPr>
            </w:pPr>
          </w:p>
        </w:tc>
        <w:tc>
          <w:tcPr>
            <w:tcW w:w="1469" w:type="pct"/>
            <w:noWrap w:val="0"/>
            <w:vAlign w:val="center"/>
          </w:tcPr>
          <w:p w14:paraId="1FB4AF24">
            <w:pPr>
              <w:spacing w:line="320" w:lineRule="exact"/>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有绝缘层</w:t>
            </w:r>
          </w:p>
        </w:tc>
        <w:tc>
          <w:tcPr>
            <w:tcW w:w="1419" w:type="pct"/>
            <w:noWrap w:val="0"/>
            <w:vAlign w:val="center"/>
          </w:tcPr>
          <w:p w14:paraId="1AA777CC">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616" w:type="pct"/>
            <w:noWrap w:val="0"/>
            <w:vAlign w:val="center"/>
          </w:tcPr>
          <w:p w14:paraId="344E5104">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16.9</w:t>
            </w:r>
          </w:p>
        </w:tc>
        <w:tc>
          <w:tcPr>
            <w:tcW w:w="625" w:type="pct"/>
            <w:noWrap w:val="0"/>
            <w:vAlign w:val="center"/>
          </w:tcPr>
          <w:p w14:paraId="09D16F5D">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合格</w:t>
            </w:r>
          </w:p>
        </w:tc>
      </w:tr>
    </w:tbl>
    <w:p w14:paraId="61DBC614">
      <w:pPr>
        <w:spacing w:line="600" w:lineRule="exact"/>
        <w:jc w:val="center"/>
        <w:rPr>
          <w:rFonts w:hint="eastAsia" w:ascii="Times New Roman" w:hAnsi="Times New Roman" w:eastAsia="宋体" w:cs="Times New Roman"/>
          <w:color w:val="000000"/>
          <w:sz w:val="21"/>
        </w:rPr>
      </w:pPr>
      <w:r>
        <w:rPr>
          <w:rFonts w:hint="eastAsia" w:ascii="Times New Roman" w:hAnsi="Times New Roman" w:eastAsia="宋体" w:cs="Times New Roman"/>
          <w:color w:val="000000"/>
          <w:sz w:val="21"/>
        </w:rPr>
        <w:t>备注：“\”表示该项目不涉及，以下相同。</w:t>
      </w:r>
    </w:p>
    <w:p w14:paraId="0F1197BC">
      <w:pPr>
        <w:spacing w:line="600" w:lineRule="exact"/>
        <w:jc w:val="center"/>
        <w:rPr>
          <w:rFonts w:hint="eastAsia" w:hAnsi="宋体"/>
          <w:color w:val="000000"/>
          <w:sz w:val="21"/>
          <w:szCs w:val="21"/>
        </w:rPr>
      </w:pPr>
      <w:r>
        <w:rPr>
          <w:rFonts w:hint="eastAsia"/>
          <w:bCs/>
          <w:color w:val="000000"/>
          <w:sz w:val="24"/>
          <w:szCs w:val="24"/>
        </w:rPr>
        <w:t>表5.</w:t>
      </w:r>
      <w:r>
        <w:rPr>
          <w:rFonts w:hint="eastAsia"/>
          <w:bCs/>
          <w:color w:val="000000"/>
          <w:sz w:val="24"/>
          <w:szCs w:val="24"/>
          <w:lang w:val="en-US" w:eastAsia="zh-CN"/>
        </w:rPr>
        <w:t>2</w:t>
      </w:r>
      <w:r>
        <w:rPr>
          <w:rFonts w:hint="eastAsia"/>
          <w:bCs/>
          <w:color w:val="000000"/>
          <w:sz w:val="24"/>
          <w:szCs w:val="24"/>
        </w:rPr>
        <w:t>-</w:t>
      </w:r>
      <w:r>
        <w:rPr>
          <w:rFonts w:hint="eastAsia"/>
          <w:bCs/>
          <w:color w:val="000000"/>
          <w:sz w:val="24"/>
          <w:szCs w:val="24"/>
          <w:lang w:val="en-US" w:eastAsia="zh-CN"/>
        </w:rPr>
        <w:t>4</w:t>
      </w:r>
      <w:r>
        <w:rPr>
          <w:rFonts w:hint="eastAsia"/>
          <w:bCs/>
          <w:color w:val="000000"/>
          <w:sz w:val="24"/>
          <w:szCs w:val="24"/>
        </w:rPr>
        <w:t>柴油设备</w:t>
      </w:r>
      <w:r>
        <w:rPr>
          <w:rFonts w:hint="eastAsia" w:ascii="宋体" w:hAnsi="宋体" w:cs="MS Gothic"/>
          <w:color w:val="000000"/>
          <w:kern w:val="0"/>
          <w:sz w:val="24"/>
          <w:szCs w:val="24"/>
        </w:rPr>
        <w:t>与站外建</w:t>
      </w:r>
      <w:r>
        <w:rPr>
          <w:rFonts w:hint="eastAsia"/>
          <w:bCs/>
          <w:color w:val="000000"/>
          <w:sz w:val="24"/>
          <w:szCs w:val="24"/>
        </w:rPr>
        <w:t>（构）</w:t>
      </w:r>
      <w:r>
        <w:rPr>
          <w:rFonts w:hint="eastAsia" w:ascii="宋体" w:hAnsi="宋体" w:cs="HiddenHorzOCR"/>
          <w:color w:val="000000"/>
          <w:kern w:val="0"/>
          <w:sz w:val="24"/>
          <w:szCs w:val="24"/>
        </w:rPr>
        <w:t>筑物的安全</w:t>
      </w:r>
      <w:r>
        <w:rPr>
          <w:rFonts w:hint="eastAsia" w:ascii="宋体" w:hAnsi="宋体" w:cs="宋体"/>
          <w:color w:val="000000"/>
          <w:kern w:val="0"/>
          <w:sz w:val="24"/>
          <w:szCs w:val="24"/>
        </w:rPr>
        <w:t>间</w:t>
      </w:r>
      <w:r>
        <w:rPr>
          <w:rFonts w:hint="eastAsia" w:ascii="宋体" w:hAnsi="宋体" w:cs="MS Gothic"/>
          <w:color w:val="000000"/>
          <w:kern w:val="0"/>
          <w:sz w:val="24"/>
          <w:szCs w:val="24"/>
        </w:rPr>
        <w:t>距</w:t>
      </w:r>
      <w:r>
        <w:rPr>
          <w:color w:val="000000"/>
          <w:sz w:val="24"/>
          <w:szCs w:val="24"/>
        </w:rPr>
        <w:t>评价</w:t>
      </w:r>
      <w:r>
        <w:rPr>
          <w:rFonts w:hAnsi="宋体"/>
          <w:color w:val="000000"/>
          <w:sz w:val="24"/>
          <w:szCs w:val="24"/>
        </w:rPr>
        <w:t>表</w:t>
      </w:r>
    </w:p>
    <w:tbl>
      <w:tblPr>
        <w:tblStyle w:val="20"/>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5"/>
        <w:gridCol w:w="16"/>
        <w:gridCol w:w="44"/>
        <w:gridCol w:w="2548"/>
        <w:gridCol w:w="15"/>
        <w:gridCol w:w="2832"/>
        <w:gridCol w:w="711"/>
        <w:gridCol w:w="1012"/>
      </w:tblGrid>
      <w:tr w14:paraId="280C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vMerge w:val="restart"/>
            <w:noWrap w:val="0"/>
            <w:vAlign w:val="center"/>
          </w:tcPr>
          <w:p w14:paraId="2F2ADED5">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站外建（构）</w:t>
            </w:r>
            <w:r>
              <w:rPr>
                <w:rFonts w:hint="eastAsia" w:ascii="宋体" w:hAnsi="宋体" w:eastAsia="宋体" w:cs="宋体"/>
                <w:color w:val="000000"/>
                <w:sz w:val="21"/>
                <w:szCs w:val="21"/>
              </w:rPr>
              <w:t>筑物</w:t>
            </w:r>
          </w:p>
        </w:tc>
        <w:tc>
          <w:tcPr>
            <w:tcW w:w="1557" w:type="pct"/>
            <w:noWrap w:val="0"/>
            <w:vAlign w:val="center"/>
          </w:tcPr>
          <w:p w14:paraId="25766A4E">
            <w:pPr>
              <w:spacing w:line="320" w:lineRule="exact"/>
              <w:jc w:val="center"/>
              <w:rPr>
                <w:rFonts w:ascii="Times New Roman" w:hAnsi="Times New Roman" w:eastAsia="宋体" w:cs="Times New Roman"/>
                <w:b/>
                <w:color w:val="000000"/>
                <w:sz w:val="21"/>
                <w:szCs w:val="21"/>
              </w:rPr>
            </w:pPr>
            <w:r>
              <w:rPr>
                <w:rFonts w:ascii="Times New Roman" w:hAnsi="宋体" w:eastAsia="宋体" w:cs="Times New Roman"/>
                <w:b/>
                <w:color w:val="000000"/>
                <w:sz w:val="21"/>
                <w:szCs w:val="21"/>
              </w:rPr>
              <w:t>柴油（埋地油罐）</w:t>
            </w:r>
          </w:p>
        </w:tc>
        <w:tc>
          <w:tcPr>
            <w:tcW w:w="391" w:type="pct"/>
            <w:vMerge w:val="restart"/>
            <w:noWrap w:val="0"/>
            <w:vAlign w:val="center"/>
          </w:tcPr>
          <w:p w14:paraId="2E60695B">
            <w:pPr>
              <w:widowControl/>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检查情况</w:t>
            </w:r>
          </w:p>
        </w:tc>
        <w:tc>
          <w:tcPr>
            <w:tcW w:w="557" w:type="pct"/>
            <w:vMerge w:val="restart"/>
            <w:noWrap w:val="0"/>
            <w:vAlign w:val="center"/>
          </w:tcPr>
          <w:p w14:paraId="0F027E68">
            <w:pPr>
              <w:widowControl/>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结论</w:t>
            </w:r>
          </w:p>
        </w:tc>
      </w:tr>
      <w:tr w14:paraId="36B4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vMerge w:val="continue"/>
            <w:noWrap w:val="0"/>
            <w:vAlign w:val="center"/>
          </w:tcPr>
          <w:p w14:paraId="33F84D37">
            <w:pPr>
              <w:spacing w:line="320" w:lineRule="exact"/>
              <w:jc w:val="center"/>
              <w:rPr>
                <w:rFonts w:ascii="Times New Roman" w:hAnsi="Times New Roman" w:eastAsia="宋体" w:cs="Times New Roman"/>
                <w:color w:val="000000"/>
                <w:sz w:val="21"/>
                <w:szCs w:val="21"/>
              </w:rPr>
            </w:pPr>
          </w:p>
        </w:tc>
        <w:tc>
          <w:tcPr>
            <w:tcW w:w="1557" w:type="pct"/>
            <w:noWrap w:val="0"/>
            <w:vAlign w:val="center"/>
          </w:tcPr>
          <w:p w14:paraId="3DC90EDE">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二级站</w:t>
            </w:r>
          </w:p>
        </w:tc>
        <w:tc>
          <w:tcPr>
            <w:tcW w:w="391" w:type="pct"/>
            <w:vMerge w:val="continue"/>
            <w:noWrap w:val="0"/>
            <w:vAlign w:val="top"/>
          </w:tcPr>
          <w:p w14:paraId="23124526">
            <w:pPr>
              <w:widowControl/>
              <w:spacing w:line="320" w:lineRule="exact"/>
              <w:jc w:val="center"/>
              <w:rPr>
                <w:rFonts w:ascii="Times New Roman" w:hAnsi="Times New Roman" w:eastAsia="宋体" w:cs="Times New Roman"/>
                <w:color w:val="000000"/>
                <w:sz w:val="21"/>
                <w:szCs w:val="21"/>
              </w:rPr>
            </w:pPr>
          </w:p>
        </w:tc>
        <w:tc>
          <w:tcPr>
            <w:tcW w:w="557" w:type="pct"/>
            <w:vMerge w:val="continue"/>
            <w:noWrap w:val="0"/>
            <w:vAlign w:val="top"/>
          </w:tcPr>
          <w:p w14:paraId="0B718D3E">
            <w:pPr>
              <w:widowControl/>
              <w:spacing w:line="320" w:lineRule="exact"/>
              <w:jc w:val="center"/>
              <w:rPr>
                <w:rFonts w:ascii="Times New Roman" w:hAnsi="Times New Roman" w:eastAsia="宋体" w:cs="Times New Roman"/>
                <w:color w:val="000000"/>
                <w:sz w:val="21"/>
                <w:szCs w:val="21"/>
              </w:rPr>
            </w:pPr>
          </w:p>
        </w:tc>
      </w:tr>
      <w:tr w14:paraId="3C14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1EB12CC2">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重要公共建筑物</w:t>
            </w:r>
          </w:p>
        </w:tc>
        <w:tc>
          <w:tcPr>
            <w:tcW w:w="1557" w:type="pct"/>
            <w:noWrap w:val="0"/>
            <w:vAlign w:val="center"/>
          </w:tcPr>
          <w:p w14:paraId="7B5D1290">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w:t>
            </w:r>
          </w:p>
        </w:tc>
        <w:tc>
          <w:tcPr>
            <w:tcW w:w="391" w:type="pct"/>
            <w:noWrap w:val="0"/>
            <w:vAlign w:val="top"/>
          </w:tcPr>
          <w:p w14:paraId="641F306A">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top"/>
          </w:tcPr>
          <w:p w14:paraId="73EB912D">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065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1ED739B8">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明火地点或散发火花地点</w:t>
            </w:r>
          </w:p>
        </w:tc>
        <w:tc>
          <w:tcPr>
            <w:tcW w:w="1557" w:type="pct"/>
            <w:noWrap w:val="0"/>
            <w:vAlign w:val="center"/>
          </w:tcPr>
          <w:p w14:paraId="5E7BFE4E">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391" w:type="pct"/>
            <w:noWrap w:val="0"/>
            <w:vAlign w:val="top"/>
          </w:tcPr>
          <w:p w14:paraId="0316E92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top"/>
          </w:tcPr>
          <w:p w14:paraId="3693D275">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20A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gridSpan w:val="2"/>
            <w:vMerge w:val="restart"/>
            <w:noWrap w:val="0"/>
            <w:vAlign w:val="center"/>
          </w:tcPr>
          <w:p w14:paraId="5D0F35AD">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民用建筑物</w:t>
            </w:r>
          </w:p>
          <w:p w14:paraId="2443FD74">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保护类别</w:t>
            </w:r>
          </w:p>
        </w:tc>
        <w:tc>
          <w:tcPr>
            <w:tcW w:w="1433" w:type="pct"/>
            <w:gridSpan w:val="3"/>
            <w:noWrap w:val="0"/>
            <w:vAlign w:val="center"/>
          </w:tcPr>
          <w:p w14:paraId="2FC89A0A">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一类保护物</w:t>
            </w:r>
          </w:p>
        </w:tc>
        <w:tc>
          <w:tcPr>
            <w:tcW w:w="1557" w:type="pct"/>
            <w:noWrap w:val="0"/>
            <w:vAlign w:val="center"/>
          </w:tcPr>
          <w:p w14:paraId="1C5F5851">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391" w:type="pct"/>
            <w:noWrap w:val="0"/>
            <w:vAlign w:val="top"/>
          </w:tcPr>
          <w:p w14:paraId="0E8B931B">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top"/>
          </w:tcPr>
          <w:p w14:paraId="0A3CECD4">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8A6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gridSpan w:val="2"/>
            <w:vMerge w:val="continue"/>
            <w:noWrap w:val="0"/>
            <w:vAlign w:val="center"/>
          </w:tcPr>
          <w:p w14:paraId="7FC385EB">
            <w:pPr>
              <w:spacing w:line="320" w:lineRule="exact"/>
              <w:jc w:val="center"/>
              <w:rPr>
                <w:rFonts w:ascii="Times New Roman" w:hAnsi="Times New Roman" w:eastAsia="宋体" w:cs="Times New Roman"/>
                <w:color w:val="000000"/>
                <w:sz w:val="21"/>
                <w:szCs w:val="21"/>
              </w:rPr>
            </w:pPr>
          </w:p>
        </w:tc>
        <w:tc>
          <w:tcPr>
            <w:tcW w:w="1433" w:type="pct"/>
            <w:gridSpan w:val="3"/>
            <w:noWrap w:val="0"/>
            <w:vAlign w:val="center"/>
          </w:tcPr>
          <w:p w14:paraId="7FAF20C5">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二类保护物</w:t>
            </w:r>
          </w:p>
        </w:tc>
        <w:tc>
          <w:tcPr>
            <w:tcW w:w="1557" w:type="pct"/>
            <w:noWrap w:val="0"/>
            <w:vAlign w:val="center"/>
          </w:tcPr>
          <w:p w14:paraId="7C2B7D83">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391" w:type="pct"/>
            <w:noWrap w:val="0"/>
            <w:vAlign w:val="center"/>
          </w:tcPr>
          <w:p w14:paraId="0E090D3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557" w:type="pct"/>
            <w:noWrap w:val="0"/>
            <w:vAlign w:val="center"/>
          </w:tcPr>
          <w:p w14:paraId="4A23CFA3">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485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58" w:type="pct"/>
            <w:gridSpan w:val="2"/>
            <w:vMerge w:val="continue"/>
            <w:noWrap w:val="0"/>
            <w:vAlign w:val="center"/>
          </w:tcPr>
          <w:p w14:paraId="36CC48FC">
            <w:pPr>
              <w:spacing w:line="320" w:lineRule="exact"/>
              <w:jc w:val="center"/>
              <w:rPr>
                <w:rFonts w:ascii="Times New Roman" w:hAnsi="Times New Roman" w:eastAsia="宋体" w:cs="Times New Roman"/>
                <w:color w:val="000000"/>
                <w:sz w:val="21"/>
                <w:szCs w:val="21"/>
              </w:rPr>
            </w:pPr>
          </w:p>
        </w:tc>
        <w:tc>
          <w:tcPr>
            <w:tcW w:w="1433" w:type="pct"/>
            <w:gridSpan w:val="3"/>
            <w:noWrap w:val="0"/>
            <w:vAlign w:val="center"/>
          </w:tcPr>
          <w:p w14:paraId="5BE92E96">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三类保护物</w:t>
            </w:r>
          </w:p>
        </w:tc>
        <w:tc>
          <w:tcPr>
            <w:tcW w:w="1557" w:type="pct"/>
            <w:noWrap w:val="0"/>
            <w:vAlign w:val="center"/>
          </w:tcPr>
          <w:p w14:paraId="020FA9CC">
            <w:pPr>
              <w:spacing w:line="32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6</w:t>
            </w:r>
          </w:p>
        </w:tc>
        <w:tc>
          <w:tcPr>
            <w:tcW w:w="391" w:type="pct"/>
            <w:noWrap w:val="0"/>
            <w:vAlign w:val="top"/>
          </w:tcPr>
          <w:p w14:paraId="76D75964">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c>
          <w:tcPr>
            <w:tcW w:w="557" w:type="pct"/>
            <w:noWrap w:val="0"/>
            <w:vAlign w:val="top"/>
          </w:tcPr>
          <w:p w14:paraId="7EDF30CA">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r>
      <w:tr w14:paraId="1D3F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65AF66C4">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甲、乙类物品生产厂房、库房和甲、乙类液体储罐</w:t>
            </w:r>
          </w:p>
        </w:tc>
        <w:tc>
          <w:tcPr>
            <w:tcW w:w="1557" w:type="pct"/>
            <w:noWrap w:val="0"/>
            <w:vAlign w:val="center"/>
          </w:tcPr>
          <w:p w14:paraId="5FD6394B">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391" w:type="pct"/>
            <w:noWrap w:val="0"/>
            <w:vAlign w:val="top"/>
          </w:tcPr>
          <w:p w14:paraId="09771695">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top"/>
          </w:tcPr>
          <w:p w14:paraId="5E89127E">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079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4DA7C435">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丙、丁、戊类物品生产厂房、库房和丙类液体储罐以及单罐容积不大于</w:t>
            </w:r>
            <w:r>
              <w:rPr>
                <w:rFonts w:ascii="Times New Roman" w:hAnsi="Times New Roman" w:eastAsia="宋体" w:cs="Times New Roman"/>
                <w:color w:val="000000"/>
                <w:sz w:val="21"/>
                <w:szCs w:val="21"/>
              </w:rPr>
              <w:t>50m</w:t>
            </w:r>
            <w:r>
              <w:rPr>
                <w:rFonts w:ascii="Times New Roman" w:hAnsi="Times New Roman" w:eastAsia="宋体" w:cs="Times New Roman"/>
                <w:color w:val="000000"/>
                <w:sz w:val="21"/>
                <w:szCs w:val="21"/>
                <w:vertAlign w:val="superscript"/>
              </w:rPr>
              <w:t>3</w:t>
            </w:r>
            <w:r>
              <w:rPr>
                <w:rFonts w:ascii="Times New Roman" w:hAnsi="宋体" w:eastAsia="宋体" w:cs="Times New Roman"/>
                <w:color w:val="000000"/>
                <w:sz w:val="21"/>
                <w:szCs w:val="21"/>
              </w:rPr>
              <w:t>的埋地甲、乙类液体储罐</w:t>
            </w:r>
          </w:p>
        </w:tc>
        <w:tc>
          <w:tcPr>
            <w:tcW w:w="1557" w:type="pct"/>
            <w:noWrap w:val="0"/>
            <w:vAlign w:val="center"/>
          </w:tcPr>
          <w:p w14:paraId="1C993E96">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391" w:type="pct"/>
            <w:noWrap w:val="0"/>
            <w:vAlign w:val="center"/>
          </w:tcPr>
          <w:p w14:paraId="4EDBE63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557" w:type="pct"/>
            <w:noWrap w:val="0"/>
            <w:vAlign w:val="center"/>
          </w:tcPr>
          <w:p w14:paraId="72CAD0DF">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F4F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3E35A518">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室外变配电站</w:t>
            </w:r>
          </w:p>
        </w:tc>
        <w:tc>
          <w:tcPr>
            <w:tcW w:w="1557" w:type="pct"/>
            <w:noWrap w:val="0"/>
            <w:vAlign w:val="center"/>
          </w:tcPr>
          <w:p w14:paraId="54BE8BC8">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391" w:type="pct"/>
            <w:noWrap w:val="0"/>
            <w:vAlign w:val="center"/>
          </w:tcPr>
          <w:p w14:paraId="534132BD">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5C40107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6D1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6089A87C">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铁路、地上城市轨道线路</w:t>
            </w:r>
          </w:p>
        </w:tc>
        <w:tc>
          <w:tcPr>
            <w:tcW w:w="1557" w:type="pct"/>
            <w:noWrap w:val="0"/>
            <w:vAlign w:val="center"/>
          </w:tcPr>
          <w:p w14:paraId="4D1321E2">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391" w:type="pct"/>
            <w:noWrap w:val="0"/>
            <w:vAlign w:val="center"/>
          </w:tcPr>
          <w:p w14:paraId="6910E36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557" w:type="pct"/>
            <w:noWrap w:val="0"/>
            <w:vAlign w:val="center"/>
          </w:tcPr>
          <w:p w14:paraId="21B507BD">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A5B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492" w:type="pct"/>
            <w:gridSpan w:val="5"/>
            <w:noWrap w:val="0"/>
            <w:vAlign w:val="center"/>
          </w:tcPr>
          <w:p w14:paraId="0C4C487D">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城市快速路、主干路和高速公路、一级公路、二级公路</w:t>
            </w:r>
          </w:p>
        </w:tc>
        <w:tc>
          <w:tcPr>
            <w:tcW w:w="1557" w:type="pct"/>
            <w:noWrap w:val="0"/>
            <w:vAlign w:val="center"/>
          </w:tcPr>
          <w:p w14:paraId="2B4370F5">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91" w:type="pct"/>
            <w:noWrap w:val="0"/>
            <w:vAlign w:val="top"/>
          </w:tcPr>
          <w:p w14:paraId="590F6C15">
            <w:pPr>
              <w:widowControl/>
              <w:spacing w:line="320" w:lineRule="exact"/>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c>
          <w:tcPr>
            <w:tcW w:w="557" w:type="pct"/>
            <w:noWrap w:val="0"/>
            <w:vAlign w:val="top"/>
          </w:tcPr>
          <w:p w14:paraId="6FB81BFE">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r>
      <w:tr w14:paraId="4109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14103600">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城市次干路、支路和三级公路、四级公路</w:t>
            </w:r>
          </w:p>
        </w:tc>
        <w:tc>
          <w:tcPr>
            <w:tcW w:w="1557" w:type="pct"/>
            <w:noWrap w:val="0"/>
            <w:vAlign w:val="center"/>
          </w:tcPr>
          <w:p w14:paraId="06B21C44">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91" w:type="pct"/>
            <w:noWrap w:val="0"/>
            <w:vAlign w:val="center"/>
          </w:tcPr>
          <w:p w14:paraId="0227DE41">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13.1</w:t>
            </w:r>
          </w:p>
        </w:tc>
        <w:tc>
          <w:tcPr>
            <w:tcW w:w="557" w:type="pct"/>
            <w:noWrap w:val="0"/>
            <w:vAlign w:val="center"/>
          </w:tcPr>
          <w:p w14:paraId="0E45DA87">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合格</w:t>
            </w:r>
          </w:p>
        </w:tc>
      </w:tr>
      <w:tr w14:paraId="1BD3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2" w:type="pct"/>
            <w:gridSpan w:val="5"/>
            <w:noWrap w:val="0"/>
            <w:vAlign w:val="center"/>
          </w:tcPr>
          <w:p w14:paraId="432C9116">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架空通信线路</w:t>
            </w:r>
          </w:p>
        </w:tc>
        <w:tc>
          <w:tcPr>
            <w:tcW w:w="1557" w:type="pct"/>
            <w:noWrap w:val="0"/>
            <w:vAlign w:val="center"/>
          </w:tcPr>
          <w:p w14:paraId="0B5C7417">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391" w:type="pct"/>
            <w:noWrap w:val="0"/>
            <w:vAlign w:val="center"/>
          </w:tcPr>
          <w:p w14:paraId="7311D2B6">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Cs/>
                <w:color w:val="000000"/>
                <w:sz w:val="21"/>
                <w:szCs w:val="21"/>
                <w:lang w:val="en-US" w:eastAsia="zh-CN"/>
              </w:rPr>
              <w:t>\</w:t>
            </w:r>
          </w:p>
        </w:tc>
        <w:tc>
          <w:tcPr>
            <w:tcW w:w="557" w:type="pct"/>
            <w:noWrap w:val="0"/>
            <w:vAlign w:val="center"/>
          </w:tcPr>
          <w:p w14:paraId="5152B82D">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r>
      <w:tr w14:paraId="3DED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gridSpan w:val="2"/>
            <w:vMerge w:val="restart"/>
            <w:noWrap w:val="0"/>
            <w:vAlign w:val="center"/>
          </w:tcPr>
          <w:p w14:paraId="3937E1D7">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架空电力线路</w:t>
            </w:r>
          </w:p>
        </w:tc>
        <w:tc>
          <w:tcPr>
            <w:tcW w:w="1433" w:type="pct"/>
            <w:gridSpan w:val="3"/>
            <w:noWrap w:val="0"/>
            <w:vAlign w:val="center"/>
          </w:tcPr>
          <w:p w14:paraId="711AC3F0">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无绝缘层</w:t>
            </w:r>
          </w:p>
        </w:tc>
        <w:tc>
          <w:tcPr>
            <w:tcW w:w="1557" w:type="pct"/>
            <w:noWrap w:val="0"/>
            <w:vAlign w:val="center"/>
          </w:tcPr>
          <w:p w14:paraId="51D6C592">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0.75</w:t>
            </w:r>
            <w:r>
              <w:rPr>
                <w:rFonts w:ascii="Times New Roman" w:hAnsi="宋体" w:eastAsia="宋体" w:cs="Times New Roman"/>
                <w:color w:val="auto"/>
                <w:sz w:val="21"/>
                <w:szCs w:val="21"/>
              </w:rPr>
              <w:t>倍杆（塔）高，且不应小于</w:t>
            </w:r>
            <w:r>
              <w:rPr>
                <w:rFonts w:ascii="Times New Roman" w:hAnsi="Times New Roman" w:eastAsia="宋体" w:cs="Times New Roman"/>
                <w:color w:val="auto"/>
                <w:sz w:val="21"/>
                <w:szCs w:val="21"/>
              </w:rPr>
              <w:t>6.5m</w:t>
            </w:r>
          </w:p>
        </w:tc>
        <w:tc>
          <w:tcPr>
            <w:tcW w:w="391" w:type="pct"/>
            <w:noWrap w:val="0"/>
            <w:vAlign w:val="center"/>
          </w:tcPr>
          <w:p w14:paraId="7223EB0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w:t>
            </w:r>
          </w:p>
        </w:tc>
        <w:tc>
          <w:tcPr>
            <w:tcW w:w="557" w:type="pct"/>
            <w:noWrap w:val="0"/>
            <w:vAlign w:val="center"/>
          </w:tcPr>
          <w:p w14:paraId="72FCA57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2083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pct"/>
            <w:gridSpan w:val="2"/>
            <w:vMerge w:val="continue"/>
            <w:noWrap w:val="0"/>
            <w:vAlign w:val="center"/>
          </w:tcPr>
          <w:p w14:paraId="36F12939">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p>
        </w:tc>
        <w:tc>
          <w:tcPr>
            <w:tcW w:w="1433" w:type="pct"/>
            <w:gridSpan w:val="3"/>
            <w:noWrap w:val="0"/>
            <w:vAlign w:val="center"/>
          </w:tcPr>
          <w:p w14:paraId="5BBBF27F">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有绝缘层</w:t>
            </w:r>
          </w:p>
        </w:tc>
        <w:tc>
          <w:tcPr>
            <w:tcW w:w="1557" w:type="pct"/>
            <w:noWrap w:val="0"/>
            <w:vAlign w:val="center"/>
          </w:tcPr>
          <w:p w14:paraId="58916D6F">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0.5</w:t>
            </w:r>
            <w:r>
              <w:rPr>
                <w:rFonts w:ascii="Times New Roman" w:hAnsi="宋体" w:eastAsia="宋体" w:cs="Times New Roman"/>
                <w:color w:val="auto"/>
                <w:sz w:val="21"/>
                <w:szCs w:val="21"/>
              </w:rPr>
              <w:t>倍杆（塔）高，且不应小于</w:t>
            </w:r>
            <w:r>
              <w:rPr>
                <w:rFonts w:ascii="Times New Roman" w:hAnsi="Times New Roman" w:eastAsia="宋体" w:cs="Times New Roman"/>
                <w:color w:val="auto"/>
                <w:sz w:val="21"/>
                <w:szCs w:val="21"/>
              </w:rPr>
              <w:t>5m</w:t>
            </w:r>
          </w:p>
        </w:tc>
        <w:tc>
          <w:tcPr>
            <w:tcW w:w="391" w:type="pct"/>
            <w:noWrap w:val="0"/>
            <w:vAlign w:val="center"/>
          </w:tcPr>
          <w:p w14:paraId="32A32D5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37.5</w:t>
            </w:r>
          </w:p>
        </w:tc>
        <w:tc>
          <w:tcPr>
            <w:tcW w:w="557" w:type="pct"/>
            <w:noWrap w:val="0"/>
            <w:vAlign w:val="center"/>
          </w:tcPr>
          <w:p w14:paraId="728C1D5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合格</w:t>
            </w:r>
          </w:p>
        </w:tc>
      </w:tr>
      <w:tr w14:paraId="5F0B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vMerge w:val="restart"/>
            <w:noWrap w:val="0"/>
            <w:vAlign w:val="center"/>
          </w:tcPr>
          <w:p w14:paraId="76C3C648">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站外建（构）筑物</w:t>
            </w:r>
          </w:p>
        </w:tc>
        <w:tc>
          <w:tcPr>
            <w:tcW w:w="1566" w:type="pct"/>
            <w:gridSpan w:val="2"/>
            <w:noWrap w:val="0"/>
            <w:vAlign w:val="center"/>
          </w:tcPr>
          <w:p w14:paraId="0ADDA3B8">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b/>
                <w:color w:val="auto"/>
                <w:sz w:val="21"/>
                <w:szCs w:val="21"/>
              </w:rPr>
            </w:pPr>
            <w:r>
              <w:rPr>
                <w:rFonts w:ascii="Times New Roman" w:hAnsi="宋体" w:eastAsia="宋体" w:cs="Times New Roman"/>
                <w:b/>
                <w:color w:val="auto"/>
                <w:sz w:val="21"/>
                <w:szCs w:val="21"/>
              </w:rPr>
              <w:t>柴油（通气管管口）</w:t>
            </w:r>
          </w:p>
        </w:tc>
        <w:tc>
          <w:tcPr>
            <w:tcW w:w="391" w:type="pct"/>
            <w:vMerge w:val="restart"/>
            <w:noWrap w:val="0"/>
            <w:vAlign w:val="center"/>
          </w:tcPr>
          <w:p w14:paraId="5A8F2CC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检查情况</w:t>
            </w:r>
          </w:p>
        </w:tc>
        <w:tc>
          <w:tcPr>
            <w:tcW w:w="557" w:type="pct"/>
            <w:vMerge w:val="restart"/>
            <w:noWrap w:val="0"/>
            <w:vAlign w:val="center"/>
          </w:tcPr>
          <w:p w14:paraId="1E80132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结论</w:t>
            </w:r>
          </w:p>
        </w:tc>
      </w:tr>
      <w:tr w14:paraId="4D00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2484" w:type="pct"/>
            <w:gridSpan w:val="4"/>
            <w:vMerge w:val="continue"/>
            <w:noWrap w:val="0"/>
            <w:vAlign w:val="center"/>
          </w:tcPr>
          <w:p w14:paraId="4E344C76">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p>
        </w:tc>
        <w:tc>
          <w:tcPr>
            <w:tcW w:w="1566" w:type="pct"/>
            <w:gridSpan w:val="2"/>
            <w:noWrap w:val="0"/>
            <w:vAlign w:val="center"/>
          </w:tcPr>
          <w:p w14:paraId="66372EEA">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二级站</w:t>
            </w:r>
          </w:p>
        </w:tc>
        <w:tc>
          <w:tcPr>
            <w:tcW w:w="391" w:type="pct"/>
            <w:vMerge w:val="continue"/>
            <w:noWrap w:val="0"/>
            <w:vAlign w:val="top"/>
          </w:tcPr>
          <w:p w14:paraId="7FB888F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p>
        </w:tc>
        <w:tc>
          <w:tcPr>
            <w:tcW w:w="557" w:type="pct"/>
            <w:vMerge w:val="continue"/>
            <w:noWrap w:val="0"/>
            <w:vAlign w:val="top"/>
          </w:tcPr>
          <w:p w14:paraId="1012FF6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p>
        </w:tc>
      </w:tr>
      <w:tr w14:paraId="78B7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1155633B">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重要公共建筑物</w:t>
            </w:r>
          </w:p>
        </w:tc>
        <w:tc>
          <w:tcPr>
            <w:tcW w:w="1566" w:type="pct"/>
            <w:gridSpan w:val="2"/>
            <w:noWrap w:val="0"/>
            <w:vAlign w:val="center"/>
          </w:tcPr>
          <w:p w14:paraId="3711C45F">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w:t>
            </w:r>
          </w:p>
        </w:tc>
        <w:tc>
          <w:tcPr>
            <w:tcW w:w="391" w:type="pct"/>
            <w:noWrap w:val="0"/>
            <w:vAlign w:val="top"/>
          </w:tcPr>
          <w:p w14:paraId="513EE90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557" w:type="pct"/>
            <w:noWrap w:val="0"/>
            <w:vAlign w:val="top"/>
          </w:tcPr>
          <w:p w14:paraId="3893A95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6B73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23CE5937">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明火地点或散发火花地点</w:t>
            </w:r>
          </w:p>
        </w:tc>
        <w:tc>
          <w:tcPr>
            <w:tcW w:w="1566" w:type="pct"/>
            <w:gridSpan w:val="2"/>
            <w:noWrap w:val="0"/>
            <w:vAlign w:val="center"/>
          </w:tcPr>
          <w:p w14:paraId="6F67DCB8">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391" w:type="pct"/>
            <w:noWrap w:val="0"/>
            <w:vAlign w:val="top"/>
          </w:tcPr>
          <w:p w14:paraId="661E68C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557" w:type="pct"/>
            <w:noWrap w:val="0"/>
            <w:vAlign w:val="top"/>
          </w:tcPr>
          <w:p w14:paraId="06F2383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2F20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gridSpan w:val="3"/>
            <w:vMerge w:val="restart"/>
            <w:noWrap w:val="0"/>
            <w:vAlign w:val="center"/>
          </w:tcPr>
          <w:p w14:paraId="0B0BD5E4">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民用建筑物</w:t>
            </w:r>
          </w:p>
          <w:p w14:paraId="13C6A186">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保护类别</w:t>
            </w:r>
          </w:p>
        </w:tc>
        <w:tc>
          <w:tcPr>
            <w:tcW w:w="1401" w:type="pct"/>
            <w:noWrap w:val="0"/>
            <w:vAlign w:val="center"/>
          </w:tcPr>
          <w:p w14:paraId="75A34932">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一类保护物</w:t>
            </w:r>
          </w:p>
        </w:tc>
        <w:tc>
          <w:tcPr>
            <w:tcW w:w="1566" w:type="pct"/>
            <w:gridSpan w:val="2"/>
            <w:noWrap w:val="0"/>
            <w:vAlign w:val="center"/>
          </w:tcPr>
          <w:p w14:paraId="518B26E7">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391" w:type="pct"/>
            <w:noWrap w:val="0"/>
            <w:vAlign w:val="top"/>
          </w:tcPr>
          <w:p w14:paraId="20FC2CD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557" w:type="pct"/>
            <w:noWrap w:val="0"/>
            <w:vAlign w:val="top"/>
          </w:tcPr>
          <w:p w14:paraId="5434B67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59FC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gridSpan w:val="3"/>
            <w:vMerge w:val="continue"/>
            <w:noWrap w:val="0"/>
            <w:vAlign w:val="center"/>
          </w:tcPr>
          <w:p w14:paraId="0DA61A7E">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p>
        </w:tc>
        <w:tc>
          <w:tcPr>
            <w:tcW w:w="1401" w:type="pct"/>
            <w:noWrap w:val="0"/>
            <w:vAlign w:val="center"/>
          </w:tcPr>
          <w:p w14:paraId="0CF523CA">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二类保护物</w:t>
            </w:r>
          </w:p>
        </w:tc>
        <w:tc>
          <w:tcPr>
            <w:tcW w:w="1566" w:type="pct"/>
            <w:gridSpan w:val="2"/>
            <w:noWrap w:val="0"/>
            <w:vAlign w:val="center"/>
          </w:tcPr>
          <w:p w14:paraId="6F8CB17E">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391" w:type="pct"/>
            <w:noWrap w:val="0"/>
            <w:vAlign w:val="top"/>
          </w:tcPr>
          <w:p w14:paraId="41E8B9F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557" w:type="pct"/>
            <w:noWrap w:val="0"/>
            <w:vAlign w:val="top"/>
          </w:tcPr>
          <w:p w14:paraId="6371DAE3">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5360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gridSpan w:val="3"/>
            <w:vMerge w:val="continue"/>
            <w:noWrap w:val="0"/>
            <w:vAlign w:val="center"/>
          </w:tcPr>
          <w:p w14:paraId="37AF5BEE">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p>
        </w:tc>
        <w:tc>
          <w:tcPr>
            <w:tcW w:w="1401" w:type="pct"/>
            <w:noWrap w:val="0"/>
            <w:vAlign w:val="center"/>
          </w:tcPr>
          <w:p w14:paraId="6C6BE608">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三类保护物</w:t>
            </w:r>
          </w:p>
        </w:tc>
        <w:tc>
          <w:tcPr>
            <w:tcW w:w="1566" w:type="pct"/>
            <w:gridSpan w:val="2"/>
            <w:noWrap w:val="0"/>
            <w:vAlign w:val="center"/>
          </w:tcPr>
          <w:p w14:paraId="4BDA08D2">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6</w:t>
            </w:r>
          </w:p>
        </w:tc>
        <w:tc>
          <w:tcPr>
            <w:tcW w:w="391" w:type="pct"/>
            <w:noWrap w:val="0"/>
            <w:vAlign w:val="top"/>
          </w:tcPr>
          <w:p w14:paraId="36208D4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557" w:type="pct"/>
            <w:noWrap w:val="0"/>
            <w:vAlign w:val="top"/>
          </w:tcPr>
          <w:p w14:paraId="345B79F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r>
      <w:tr w14:paraId="2B5B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240BD973">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甲、乙类物品生产厂房、库房和甲、乙类液体储罐</w:t>
            </w:r>
          </w:p>
        </w:tc>
        <w:tc>
          <w:tcPr>
            <w:tcW w:w="1566" w:type="pct"/>
            <w:gridSpan w:val="2"/>
            <w:noWrap w:val="0"/>
            <w:vAlign w:val="center"/>
          </w:tcPr>
          <w:p w14:paraId="21CC59EB">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391" w:type="pct"/>
            <w:noWrap w:val="0"/>
            <w:vAlign w:val="center"/>
          </w:tcPr>
          <w:p w14:paraId="126A37A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557" w:type="pct"/>
            <w:noWrap w:val="0"/>
            <w:vAlign w:val="center"/>
          </w:tcPr>
          <w:p w14:paraId="5D7B066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0E07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30E0CC13">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丙、丁、戊类物品生产厂房、库房和丙类液体储罐以及单罐容积不大于</w:t>
            </w:r>
            <w:r>
              <w:rPr>
                <w:rFonts w:ascii="Times New Roman" w:hAnsi="Times New Roman" w:eastAsia="宋体" w:cs="Times New Roman"/>
                <w:color w:val="auto"/>
                <w:sz w:val="21"/>
                <w:szCs w:val="21"/>
              </w:rPr>
              <w:t>50m</w:t>
            </w:r>
            <w:r>
              <w:rPr>
                <w:rFonts w:ascii="Times New Roman" w:hAnsi="Times New Roman" w:eastAsia="宋体" w:cs="Times New Roman"/>
                <w:color w:val="auto"/>
                <w:sz w:val="21"/>
                <w:szCs w:val="21"/>
                <w:vertAlign w:val="superscript"/>
              </w:rPr>
              <w:t>3</w:t>
            </w:r>
            <w:r>
              <w:rPr>
                <w:rFonts w:ascii="Times New Roman" w:hAnsi="宋体" w:eastAsia="宋体" w:cs="Times New Roman"/>
                <w:color w:val="auto"/>
                <w:sz w:val="21"/>
                <w:szCs w:val="21"/>
              </w:rPr>
              <w:t>的埋地甲、乙类液体储罐</w:t>
            </w:r>
          </w:p>
        </w:tc>
        <w:tc>
          <w:tcPr>
            <w:tcW w:w="1566" w:type="pct"/>
            <w:gridSpan w:val="2"/>
            <w:noWrap w:val="0"/>
            <w:vAlign w:val="center"/>
          </w:tcPr>
          <w:p w14:paraId="64CFF55A">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391" w:type="pct"/>
            <w:noWrap w:val="0"/>
            <w:vAlign w:val="center"/>
          </w:tcPr>
          <w:p w14:paraId="563ED03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w:t>
            </w:r>
          </w:p>
        </w:tc>
        <w:tc>
          <w:tcPr>
            <w:tcW w:w="557" w:type="pct"/>
            <w:noWrap w:val="0"/>
            <w:vAlign w:val="center"/>
          </w:tcPr>
          <w:p w14:paraId="4FE438A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77AA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481A23A6">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室外变配电站</w:t>
            </w:r>
          </w:p>
        </w:tc>
        <w:tc>
          <w:tcPr>
            <w:tcW w:w="1566" w:type="pct"/>
            <w:gridSpan w:val="2"/>
            <w:noWrap w:val="0"/>
            <w:vAlign w:val="center"/>
          </w:tcPr>
          <w:p w14:paraId="2494131B">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12.5</w:t>
            </w:r>
          </w:p>
        </w:tc>
        <w:tc>
          <w:tcPr>
            <w:tcW w:w="391" w:type="pct"/>
            <w:noWrap w:val="0"/>
            <w:vAlign w:val="center"/>
          </w:tcPr>
          <w:p w14:paraId="157726D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557" w:type="pct"/>
            <w:noWrap w:val="0"/>
            <w:vAlign w:val="center"/>
          </w:tcPr>
          <w:p w14:paraId="52AB7AD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1099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62D2B133">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铁路、地上城市轨道线路</w:t>
            </w:r>
          </w:p>
        </w:tc>
        <w:tc>
          <w:tcPr>
            <w:tcW w:w="1566" w:type="pct"/>
            <w:gridSpan w:val="2"/>
            <w:noWrap w:val="0"/>
            <w:vAlign w:val="center"/>
          </w:tcPr>
          <w:p w14:paraId="4D704703">
            <w:pPr>
              <w:keepNext w:val="0"/>
              <w:keepLines w:val="0"/>
              <w:pageBreakBefore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w:t>
            </w:r>
          </w:p>
        </w:tc>
        <w:tc>
          <w:tcPr>
            <w:tcW w:w="391" w:type="pct"/>
            <w:noWrap w:val="0"/>
            <w:vAlign w:val="center"/>
          </w:tcPr>
          <w:p w14:paraId="13ED212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w:t>
            </w:r>
          </w:p>
        </w:tc>
        <w:tc>
          <w:tcPr>
            <w:tcW w:w="557" w:type="pct"/>
            <w:noWrap w:val="0"/>
            <w:vAlign w:val="center"/>
          </w:tcPr>
          <w:p w14:paraId="3E2195B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14:paraId="3146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680F3EFF">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城市快速路、主干路和高速公路、一级公路、二级公路</w:t>
            </w:r>
          </w:p>
        </w:tc>
        <w:tc>
          <w:tcPr>
            <w:tcW w:w="1566" w:type="pct"/>
            <w:gridSpan w:val="2"/>
            <w:noWrap w:val="0"/>
            <w:vAlign w:val="center"/>
          </w:tcPr>
          <w:p w14:paraId="694F68DC">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91" w:type="pct"/>
            <w:noWrap w:val="0"/>
            <w:vAlign w:val="top"/>
          </w:tcPr>
          <w:p w14:paraId="287B7CF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557" w:type="pct"/>
            <w:noWrap w:val="0"/>
            <w:vAlign w:val="top"/>
          </w:tcPr>
          <w:p w14:paraId="6FBA4B2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r>
      <w:tr w14:paraId="03B0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3B4C6FCE">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城市次干路、支路和三级公路、四级公路</w:t>
            </w:r>
          </w:p>
        </w:tc>
        <w:tc>
          <w:tcPr>
            <w:tcW w:w="1566" w:type="pct"/>
            <w:gridSpan w:val="2"/>
            <w:noWrap w:val="0"/>
            <w:vAlign w:val="center"/>
          </w:tcPr>
          <w:p w14:paraId="55F0CE72">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91" w:type="pct"/>
            <w:noWrap w:val="0"/>
            <w:vAlign w:val="center"/>
          </w:tcPr>
          <w:p w14:paraId="18B0AB11">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12</w:t>
            </w:r>
          </w:p>
        </w:tc>
        <w:tc>
          <w:tcPr>
            <w:tcW w:w="557" w:type="pct"/>
            <w:noWrap w:val="0"/>
            <w:vAlign w:val="center"/>
          </w:tcPr>
          <w:p w14:paraId="2D24A37A">
            <w:pPr>
              <w:widowControl/>
              <w:spacing w:line="320" w:lineRule="exac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合格</w:t>
            </w:r>
          </w:p>
        </w:tc>
      </w:tr>
      <w:tr w14:paraId="2EEE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06098EF6">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架空通信线路</w:t>
            </w:r>
          </w:p>
        </w:tc>
        <w:tc>
          <w:tcPr>
            <w:tcW w:w="1566" w:type="pct"/>
            <w:gridSpan w:val="2"/>
            <w:noWrap w:val="0"/>
            <w:vAlign w:val="center"/>
          </w:tcPr>
          <w:p w14:paraId="7EF22A60">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391" w:type="pct"/>
            <w:noWrap w:val="0"/>
            <w:vAlign w:val="top"/>
          </w:tcPr>
          <w:p w14:paraId="1FD4B0C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557" w:type="pct"/>
            <w:noWrap w:val="0"/>
            <w:vAlign w:val="top"/>
          </w:tcPr>
          <w:p w14:paraId="4246B6F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r>
      <w:tr w14:paraId="178C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gridSpan w:val="3"/>
            <w:vMerge w:val="restart"/>
            <w:noWrap w:val="0"/>
            <w:vAlign w:val="center"/>
          </w:tcPr>
          <w:p w14:paraId="46F5B53F">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架空电力线路</w:t>
            </w:r>
          </w:p>
        </w:tc>
        <w:tc>
          <w:tcPr>
            <w:tcW w:w="1401" w:type="pct"/>
            <w:noWrap w:val="0"/>
            <w:vAlign w:val="center"/>
          </w:tcPr>
          <w:p w14:paraId="4379450C">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无绝缘层</w:t>
            </w:r>
          </w:p>
        </w:tc>
        <w:tc>
          <w:tcPr>
            <w:tcW w:w="1566" w:type="pct"/>
            <w:gridSpan w:val="2"/>
            <w:noWrap w:val="0"/>
            <w:vAlign w:val="center"/>
          </w:tcPr>
          <w:p w14:paraId="55576AF6">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w:t>
            </w:r>
          </w:p>
        </w:tc>
        <w:tc>
          <w:tcPr>
            <w:tcW w:w="391" w:type="pct"/>
            <w:noWrap w:val="0"/>
            <w:vAlign w:val="center"/>
          </w:tcPr>
          <w:p w14:paraId="602DFD55">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557" w:type="pct"/>
            <w:noWrap w:val="0"/>
            <w:vAlign w:val="center"/>
          </w:tcPr>
          <w:p w14:paraId="3E5E9C2D">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7186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82" w:type="pct"/>
            <w:gridSpan w:val="3"/>
            <w:vMerge w:val="continue"/>
            <w:noWrap w:val="0"/>
            <w:vAlign w:val="center"/>
          </w:tcPr>
          <w:p w14:paraId="03F22D4C">
            <w:pPr>
              <w:spacing w:line="320" w:lineRule="exact"/>
              <w:jc w:val="center"/>
              <w:rPr>
                <w:rFonts w:ascii="Times New Roman" w:hAnsi="Times New Roman" w:eastAsia="宋体" w:cs="Times New Roman"/>
                <w:color w:val="000000"/>
                <w:sz w:val="21"/>
                <w:szCs w:val="21"/>
              </w:rPr>
            </w:pPr>
          </w:p>
        </w:tc>
        <w:tc>
          <w:tcPr>
            <w:tcW w:w="1401" w:type="pct"/>
            <w:noWrap w:val="0"/>
            <w:vAlign w:val="center"/>
          </w:tcPr>
          <w:p w14:paraId="20798804">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有绝缘层</w:t>
            </w:r>
          </w:p>
        </w:tc>
        <w:tc>
          <w:tcPr>
            <w:tcW w:w="1566" w:type="pct"/>
            <w:gridSpan w:val="2"/>
            <w:noWrap w:val="0"/>
            <w:vAlign w:val="center"/>
          </w:tcPr>
          <w:p w14:paraId="45300D0E">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391" w:type="pct"/>
            <w:noWrap w:val="0"/>
            <w:vAlign w:val="center"/>
          </w:tcPr>
          <w:p w14:paraId="0D283775">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bCs/>
                <w:color w:val="000000"/>
                <w:sz w:val="21"/>
                <w:szCs w:val="21"/>
                <w:lang w:val="en-US" w:eastAsia="zh-CN"/>
              </w:rPr>
              <w:t>37.4</w:t>
            </w:r>
          </w:p>
        </w:tc>
        <w:tc>
          <w:tcPr>
            <w:tcW w:w="557" w:type="pct"/>
            <w:noWrap w:val="0"/>
            <w:vAlign w:val="center"/>
          </w:tcPr>
          <w:p w14:paraId="542DDA29">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合格</w:t>
            </w:r>
          </w:p>
        </w:tc>
      </w:tr>
      <w:tr w14:paraId="201F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484" w:type="pct"/>
            <w:gridSpan w:val="4"/>
            <w:vMerge w:val="restart"/>
            <w:noWrap w:val="0"/>
            <w:vAlign w:val="center"/>
          </w:tcPr>
          <w:p w14:paraId="5A47068A">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站外建（构）筑物</w:t>
            </w:r>
          </w:p>
        </w:tc>
        <w:tc>
          <w:tcPr>
            <w:tcW w:w="1566" w:type="pct"/>
            <w:gridSpan w:val="2"/>
            <w:noWrap w:val="0"/>
            <w:vAlign w:val="center"/>
          </w:tcPr>
          <w:p w14:paraId="65B88A10">
            <w:pPr>
              <w:spacing w:line="320" w:lineRule="exact"/>
              <w:jc w:val="center"/>
              <w:rPr>
                <w:rFonts w:ascii="Times New Roman" w:hAnsi="Times New Roman" w:eastAsia="宋体" w:cs="Times New Roman"/>
                <w:b/>
                <w:color w:val="000000"/>
                <w:sz w:val="21"/>
                <w:szCs w:val="21"/>
              </w:rPr>
            </w:pPr>
            <w:r>
              <w:rPr>
                <w:rFonts w:ascii="Times New Roman" w:hAnsi="宋体" w:eastAsia="宋体" w:cs="Times New Roman"/>
                <w:b/>
                <w:color w:val="000000"/>
                <w:sz w:val="21"/>
                <w:szCs w:val="21"/>
              </w:rPr>
              <w:t>柴油加油机</w:t>
            </w:r>
          </w:p>
        </w:tc>
        <w:tc>
          <w:tcPr>
            <w:tcW w:w="391" w:type="pct"/>
            <w:vMerge w:val="restart"/>
            <w:noWrap w:val="0"/>
            <w:vAlign w:val="center"/>
          </w:tcPr>
          <w:p w14:paraId="17D57720">
            <w:pPr>
              <w:widowControl/>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检查情况</w:t>
            </w:r>
          </w:p>
        </w:tc>
        <w:tc>
          <w:tcPr>
            <w:tcW w:w="557" w:type="pct"/>
            <w:vMerge w:val="restart"/>
            <w:noWrap w:val="0"/>
            <w:vAlign w:val="center"/>
          </w:tcPr>
          <w:p w14:paraId="766FFBA0">
            <w:pPr>
              <w:widowControl/>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结论</w:t>
            </w:r>
          </w:p>
        </w:tc>
      </w:tr>
      <w:tr w14:paraId="7BDD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vMerge w:val="continue"/>
            <w:noWrap w:val="0"/>
            <w:vAlign w:val="center"/>
          </w:tcPr>
          <w:p w14:paraId="20486A88">
            <w:pPr>
              <w:spacing w:line="320" w:lineRule="exact"/>
              <w:jc w:val="center"/>
              <w:rPr>
                <w:rFonts w:ascii="Times New Roman" w:hAnsi="Times New Roman" w:eastAsia="宋体" w:cs="Times New Roman"/>
                <w:color w:val="000000"/>
                <w:sz w:val="21"/>
                <w:szCs w:val="21"/>
              </w:rPr>
            </w:pPr>
          </w:p>
        </w:tc>
        <w:tc>
          <w:tcPr>
            <w:tcW w:w="1566" w:type="pct"/>
            <w:gridSpan w:val="2"/>
            <w:noWrap w:val="0"/>
            <w:vAlign w:val="center"/>
          </w:tcPr>
          <w:p w14:paraId="0B55C431">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二级站</w:t>
            </w:r>
          </w:p>
        </w:tc>
        <w:tc>
          <w:tcPr>
            <w:tcW w:w="391" w:type="pct"/>
            <w:vMerge w:val="continue"/>
            <w:noWrap w:val="0"/>
            <w:vAlign w:val="center"/>
          </w:tcPr>
          <w:p w14:paraId="21187207">
            <w:pPr>
              <w:widowControl/>
              <w:spacing w:line="320" w:lineRule="exact"/>
              <w:jc w:val="center"/>
              <w:rPr>
                <w:rFonts w:ascii="Times New Roman" w:hAnsi="Times New Roman" w:eastAsia="宋体" w:cs="Times New Roman"/>
                <w:color w:val="000000"/>
                <w:sz w:val="21"/>
                <w:szCs w:val="21"/>
              </w:rPr>
            </w:pPr>
          </w:p>
        </w:tc>
        <w:tc>
          <w:tcPr>
            <w:tcW w:w="557" w:type="pct"/>
            <w:vMerge w:val="continue"/>
            <w:noWrap w:val="0"/>
            <w:vAlign w:val="center"/>
          </w:tcPr>
          <w:p w14:paraId="43F46B5A">
            <w:pPr>
              <w:widowControl/>
              <w:spacing w:line="320" w:lineRule="exact"/>
              <w:jc w:val="center"/>
              <w:rPr>
                <w:rFonts w:ascii="Times New Roman" w:hAnsi="Times New Roman" w:eastAsia="宋体" w:cs="Times New Roman"/>
                <w:color w:val="000000"/>
                <w:sz w:val="21"/>
                <w:szCs w:val="21"/>
              </w:rPr>
            </w:pPr>
          </w:p>
        </w:tc>
      </w:tr>
      <w:tr w14:paraId="35A4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568614F2">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重要公共建筑物</w:t>
            </w:r>
          </w:p>
        </w:tc>
        <w:tc>
          <w:tcPr>
            <w:tcW w:w="1566" w:type="pct"/>
            <w:gridSpan w:val="2"/>
            <w:noWrap w:val="0"/>
            <w:vAlign w:val="center"/>
          </w:tcPr>
          <w:p w14:paraId="6D83135F">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w:t>
            </w:r>
          </w:p>
        </w:tc>
        <w:tc>
          <w:tcPr>
            <w:tcW w:w="391" w:type="pct"/>
            <w:noWrap w:val="0"/>
            <w:vAlign w:val="center"/>
          </w:tcPr>
          <w:p w14:paraId="4DD22CC4">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6D000A9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52F8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3C9659C1">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明火地点或散发火花地点</w:t>
            </w:r>
          </w:p>
        </w:tc>
        <w:tc>
          <w:tcPr>
            <w:tcW w:w="1566" w:type="pct"/>
            <w:gridSpan w:val="2"/>
            <w:noWrap w:val="0"/>
            <w:vAlign w:val="center"/>
          </w:tcPr>
          <w:p w14:paraId="1A4673A8">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391" w:type="pct"/>
            <w:noWrap w:val="0"/>
            <w:vAlign w:val="center"/>
          </w:tcPr>
          <w:p w14:paraId="0D9823B7">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0B1E2A34">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0AC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082" w:type="pct"/>
            <w:gridSpan w:val="3"/>
            <w:vMerge w:val="restart"/>
            <w:noWrap w:val="0"/>
            <w:vAlign w:val="center"/>
          </w:tcPr>
          <w:p w14:paraId="525AE594">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民用建筑物</w:t>
            </w:r>
          </w:p>
          <w:p w14:paraId="2876C3BD">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保护类别</w:t>
            </w:r>
          </w:p>
        </w:tc>
        <w:tc>
          <w:tcPr>
            <w:tcW w:w="1401" w:type="pct"/>
            <w:noWrap w:val="0"/>
            <w:vAlign w:val="center"/>
          </w:tcPr>
          <w:p w14:paraId="1AE63379">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一类保护物</w:t>
            </w:r>
          </w:p>
        </w:tc>
        <w:tc>
          <w:tcPr>
            <w:tcW w:w="1566" w:type="pct"/>
            <w:gridSpan w:val="2"/>
            <w:noWrap w:val="0"/>
            <w:vAlign w:val="center"/>
          </w:tcPr>
          <w:p w14:paraId="57B06D6B">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391" w:type="pct"/>
            <w:noWrap w:val="0"/>
            <w:vAlign w:val="center"/>
          </w:tcPr>
          <w:p w14:paraId="2768AB1D">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40D4F992">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855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gridSpan w:val="3"/>
            <w:vMerge w:val="continue"/>
            <w:noWrap w:val="0"/>
            <w:vAlign w:val="center"/>
          </w:tcPr>
          <w:p w14:paraId="2FC2CDC2">
            <w:pPr>
              <w:spacing w:line="320" w:lineRule="exact"/>
              <w:jc w:val="center"/>
              <w:rPr>
                <w:rFonts w:ascii="Times New Roman" w:hAnsi="Times New Roman" w:eastAsia="宋体" w:cs="Times New Roman"/>
                <w:color w:val="000000"/>
                <w:sz w:val="21"/>
                <w:szCs w:val="21"/>
              </w:rPr>
            </w:pPr>
          </w:p>
        </w:tc>
        <w:tc>
          <w:tcPr>
            <w:tcW w:w="1401" w:type="pct"/>
            <w:noWrap w:val="0"/>
            <w:vAlign w:val="center"/>
          </w:tcPr>
          <w:p w14:paraId="607CA4C2">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二类保护物</w:t>
            </w:r>
          </w:p>
        </w:tc>
        <w:tc>
          <w:tcPr>
            <w:tcW w:w="1566" w:type="pct"/>
            <w:gridSpan w:val="2"/>
            <w:noWrap w:val="0"/>
            <w:vAlign w:val="center"/>
          </w:tcPr>
          <w:p w14:paraId="715B3F7C">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391" w:type="pct"/>
            <w:noWrap w:val="0"/>
            <w:vAlign w:val="top"/>
          </w:tcPr>
          <w:p w14:paraId="17144D5A">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top"/>
          </w:tcPr>
          <w:p w14:paraId="164C7C0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65E2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082" w:type="pct"/>
            <w:gridSpan w:val="3"/>
            <w:vMerge w:val="continue"/>
            <w:noWrap w:val="0"/>
            <w:vAlign w:val="center"/>
          </w:tcPr>
          <w:p w14:paraId="18D856F3">
            <w:pPr>
              <w:spacing w:line="320" w:lineRule="exact"/>
              <w:jc w:val="center"/>
              <w:rPr>
                <w:rFonts w:ascii="Times New Roman" w:hAnsi="Times New Roman" w:eastAsia="宋体" w:cs="Times New Roman"/>
                <w:color w:val="000000"/>
                <w:sz w:val="21"/>
                <w:szCs w:val="21"/>
              </w:rPr>
            </w:pPr>
          </w:p>
        </w:tc>
        <w:tc>
          <w:tcPr>
            <w:tcW w:w="1401" w:type="pct"/>
            <w:noWrap w:val="0"/>
            <w:vAlign w:val="center"/>
          </w:tcPr>
          <w:p w14:paraId="5C6E9213">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三类保护物</w:t>
            </w:r>
          </w:p>
        </w:tc>
        <w:tc>
          <w:tcPr>
            <w:tcW w:w="1566" w:type="pct"/>
            <w:gridSpan w:val="2"/>
            <w:noWrap w:val="0"/>
            <w:vAlign w:val="center"/>
          </w:tcPr>
          <w:p w14:paraId="7C204FB7">
            <w:pPr>
              <w:spacing w:line="320" w:lineRule="exact"/>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6</w:t>
            </w:r>
          </w:p>
        </w:tc>
        <w:tc>
          <w:tcPr>
            <w:tcW w:w="391" w:type="pct"/>
            <w:noWrap w:val="0"/>
            <w:vAlign w:val="center"/>
          </w:tcPr>
          <w:p w14:paraId="05AAFCC2">
            <w:pPr>
              <w:widowControl/>
              <w:spacing w:line="320" w:lineRule="exact"/>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c>
          <w:tcPr>
            <w:tcW w:w="557" w:type="pct"/>
            <w:noWrap w:val="0"/>
            <w:vAlign w:val="center"/>
          </w:tcPr>
          <w:p w14:paraId="341D217F">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 w:val="21"/>
                <w:szCs w:val="21"/>
              </w:rPr>
              <w:t>\</w:t>
            </w:r>
          </w:p>
        </w:tc>
      </w:tr>
      <w:tr w14:paraId="71B1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50C99E89">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甲、乙类物品生产厂房、库房和甲、乙类液体储罐</w:t>
            </w:r>
          </w:p>
        </w:tc>
        <w:tc>
          <w:tcPr>
            <w:tcW w:w="1566" w:type="pct"/>
            <w:gridSpan w:val="2"/>
            <w:noWrap w:val="0"/>
            <w:vAlign w:val="center"/>
          </w:tcPr>
          <w:p w14:paraId="6F6E1A58">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391" w:type="pct"/>
            <w:noWrap w:val="0"/>
            <w:vAlign w:val="center"/>
          </w:tcPr>
          <w:p w14:paraId="0CB33A9F">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64227240">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C55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71D28352">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丙、丁、戊类物品生产厂房、库房和丙类液体储罐以及单罐容积不大于</w:t>
            </w:r>
            <w:r>
              <w:rPr>
                <w:rFonts w:ascii="Times New Roman" w:hAnsi="Times New Roman" w:eastAsia="宋体" w:cs="Times New Roman"/>
                <w:color w:val="000000"/>
                <w:sz w:val="21"/>
                <w:szCs w:val="21"/>
              </w:rPr>
              <w:t>50m</w:t>
            </w:r>
            <w:r>
              <w:rPr>
                <w:rFonts w:ascii="Times New Roman" w:hAnsi="Times New Roman" w:eastAsia="宋体" w:cs="Times New Roman"/>
                <w:color w:val="000000"/>
                <w:sz w:val="21"/>
                <w:szCs w:val="21"/>
                <w:vertAlign w:val="superscript"/>
              </w:rPr>
              <w:t>3</w:t>
            </w:r>
            <w:r>
              <w:rPr>
                <w:rFonts w:ascii="Times New Roman" w:hAnsi="宋体" w:eastAsia="宋体" w:cs="Times New Roman"/>
                <w:color w:val="000000"/>
                <w:sz w:val="21"/>
                <w:szCs w:val="21"/>
              </w:rPr>
              <w:t>的埋地甲、乙类液体储罐</w:t>
            </w:r>
          </w:p>
        </w:tc>
        <w:tc>
          <w:tcPr>
            <w:tcW w:w="1566" w:type="pct"/>
            <w:gridSpan w:val="2"/>
            <w:noWrap w:val="0"/>
            <w:vAlign w:val="center"/>
          </w:tcPr>
          <w:p w14:paraId="2BA16500">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391" w:type="pct"/>
            <w:noWrap w:val="0"/>
            <w:vAlign w:val="center"/>
          </w:tcPr>
          <w:p w14:paraId="5734C628">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2F1A26EA">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13C4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0D3B502B">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室外变配电站</w:t>
            </w:r>
          </w:p>
        </w:tc>
        <w:tc>
          <w:tcPr>
            <w:tcW w:w="1566" w:type="pct"/>
            <w:gridSpan w:val="2"/>
            <w:noWrap w:val="0"/>
            <w:vAlign w:val="center"/>
          </w:tcPr>
          <w:p w14:paraId="15AE15C4">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tc>
        <w:tc>
          <w:tcPr>
            <w:tcW w:w="391" w:type="pct"/>
            <w:noWrap w:val="0"/>
            <w:vAlign w:val="center"/>
          </w:tcPr>
          <w:p w14:paraId="0C3773E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c>
          <w:tcPr>
            <w:tcW w:w="557" w:type="pct"/>
            <w:noWrap w:val="0"/>
            <w:vAlign w:val="center"/>
          </w:tcPr>
          <w:p w14:paraId="1F61F68B">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4BCD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28F6F62D">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铁路、地上城市轨道线路</w:t>
            </w:r>
          </w:p>
        </w:tc>
        <w:tc>
          <w:tcPr>
            <w:tcW w:w="1566" w:type="pct"/>
            <w:gridSpan w:val="2"/>
            <w:noWrap w:val="0"/>
            <w:vAlign w:val="center"/>
          </w:tcPr>
          <w:p w14:paraId="58A0BC0B">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c>
          <w:tcPr>
            <w:tcW w:w="391" w:type="pct"/>
            <w:noWrap w:val="0"/>
            <w:vAlign w:val="center"/>
          </w:tcPr>
          <w:p w14:paraId="40E927A1">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557" w:type="pct"/>
            <w:noWrap w:val="0"/>
            <w:vAlign w:val="center"/>
          </w:tcPr>
          <w:p w14:paraId="56B12D8A">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32F0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484" w:type="pct"/>
            <w:gridSpan w:val="4"/>
            <w:noWrap w:val="0"/>
            <w:vAlign w:val="center"/>
          </w:tcPr>
          <w:p w14:paraId="44EDAB88">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城市快速路、主干路和高速公路、一级公路、二级公路</w:t>
            </w:r>
          </w:p>
        </w:tc>
        <w:tc>
          <w:tcPr>
            <w:tcW w:w="1566" w:type="pct"/>
            <w:gridSpan w:val="2"/>
            <w:noWrap w:val="0"/>
            <w:vAlign w:val="center"/>
          </w:tcPr>
          <w:p w14:paraId="52ADD0CD">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91" w:type="pct"/>
            <w:noWrap w:val="0"/>
            <w:vAlign w:val="center"/>
          </w:tcPr>
          <w:p w14:paraId="7C9428C7">
            <w:pPr>
              <w:widowControl/>
              <w:spacing w:line="32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30.4</w:t>
            </w:r>
          </w:p>
        </w:tc>
        <w:tc>
          <w:tcPr>
            <w:tcW w:w="557" w:type="pct"/>
            <w:noWrap w:val="0"/>
            <w:vAlign w:val="center"/>
          </w:tcPr>
          <w:p w14:paraId="5C3E2D78">
            <w:pPr>
              <w:widowControl/>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合格</w:t>
            </w:r>
          </w:p>
        </w:tc>
      </w:tr>
      <w:tr w14:paraId="4844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3148C1C6">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城市次干路、支路和三级公路、四级公路</w:t>
            </w:r>
          </w:p>
        </w:tc>
        <w:tc>
          <w:tcPr>
            <w:tcW w:w="1566" w:type="pct"/>
            <w:gridSpan w:val="2"/>
            <w:noWrap w:val="0"/>
            <w:vAlign w:val="center"/>
          </w:tcPr>
          <w:p w14:paraId="0908B1A0">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391" w:type="pct"/>
            <w:noWrap w:val="0"/>
            <w:vAlign w:val="center"/>
          </w:tcPr>
          <w:p w14:paraId="12D248FE">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557" w:type="pct"/>
            <w:noWrap w:val="0"/>
            <w:vAlign w:val="center"/>
          </w:tcPr>
          <w:p w14:paraId="4A253817">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r>
      <w:tr w14:paraId="322C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gridSpan w:val="4"/>
            <w:noWrap w:val="0"/>
            <w:vAlign w:val="center"/>
          </w:tcPr>
          <w:p w14:paraId="6053A449">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架空通信线路</w:t>
            </w:r>
          </w:p>
        </w:tc>
        <w:tc>
          <w:tcPr>
            <w:tcW w:w="1566" w:type="pct"/>
            <w:gridSpan w:val="2"/>
            <w:noWrap w:val="0"/>
            <w:vAlign w:val="center"/>
          </w:tcPr>
          <w:p w14:paraId="13A55AA5">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391" w:type="pct"/>
            <w:noWrap w:val="0"/>
            <w:vAlign w:val="center"/>
          </w:tcPr>
          <w:p w14:paraId="152A003F">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Cs/>
                <w:color w:val="000000"/>
                <w:sz w:val="21"/>
                <w:szCs w:val="21"/>
                <w:lang w:val="en-US" w:eastAsia="zh-CN"/>
              </w:rPr>
              <w:t>\</w:t>
            </w:r>
          </w:p>
        </w:tc>
        <w:tc>
          <w:tcPr>
            <w:tcW w:w="557" w:type="pct"/>
            <w:noWrap w:val="0"/>
            <w:vAlign w:val="center"/>
          </w:tcPr>
          <w:p w14:paraId="0C6A44E4">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w:t>
            </w:r>
          </w:p>
        </w:tc>
      </w:tr>
      <w:tr w14:paraId="0DA8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49" w:type="pct"/>
            <w:vMerge w:val="restart"/>
            <w:noWrap w:val="0"/>
            <w:vAlign w:val="center"/>
          </w:tcPr>
          <w:p w14:paraId="53402DA0">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架空电力线路</w:t>
            </w:r>
          </w:p>
        </w:tc>
        <w:tc>
          <w:tcPr>
            <w:tcW w:w="1434" w:type="pct"/>
            <w:gridSpan w:val="3"/>
            <w:noWrap w:val="0"/>
            <w:vAlign w:val="center"/>
          </w:tcPr>
          <w:p w14:paraId="492A8083">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无绝缘层</w:t>
            </w:r>
          </w:p>
        </w:tc>
        <w:tc>
          <w:tcPr>
            <w:tcW w:w="1566" w:type="pct"/>
            <w:gridSpan w:val="2"/>
            <w:noWrap w:val="0"/>
            <w:vAlign w:val="center"/>
          </w:tcPr>
          <w:p w14:paraId="3D070AD6">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6.5</w:t>
            </w:r>
          </w:p>
        </w:tc>
        <w:tc>
          <w:tcPr>
            <w:tcW w:w="391" w:type="pct"/>
            <w:noWrap w:val="0"/>
            <w:vAlign w:val="center"/>
          </w:tcPr>
          <w:p w14:paraId="1A4CE959">
            <w:pPr>
              <w:widowControl/>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w:t>
            </w:r>
          </w:p>
        </w:tc>
        <w:tc>
          <w:tcPr>
            <w:tcW w:w="557" w:type="pct"/>
            <w:noWrap w:val="0"/>
            <w:vAlign w:val="center"/>
          </w:tcPr>
          <w:p w14:paraId="65C5C88C">
            <w:pPr>
              <w:widowControl/>
              <w:spacing w:line="320" w:lineRule="exact"/>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p>
        </w:tc>
      </w:tr>
      <w:tr w14:paraId="002B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49" w:type="pct"/>
            <w:vMerge w:val="continue"/>
            <w:noWrap w:val="0"/>
            <w:vAlign w:val="center"/>
          </w:tcPr>
          <w:p w14:paraId="3DC807BA">
            <w:pPr>
              <w:spacing w:line="320" w:lineRule="exact"/>
              <w:jc w:val="center"/>
              <w:rPr>
                <w:rFonts w:ascii="Times New Roman" w:hAnsi="Times New Roman" w:eastAsia="宋体" w:cs="Times New Roman"/>
                <w:color w:val="000000"/>
                <w:sz w:val="21"/>
                <w:szCs w:val="21"/>
              </w:rPr>
            </w:pPr>
          </w:p>
        </w:tc>
        <w:tc>
          <w:tcPr>
            <w:tcW w:w="1434" w:type="pct"/>
            <w:gridSpan w:val="3"/>
            <w:noWrap w:val="0"/>
            <w:vAlign w:val="center"/>
          </w:tcPr>
          <w:p w14:paraId="7E1A9C84">
            <w:pPr>
              <w:spacing w:line="320" w:lineRule="exact"/>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有绝缘层</w:t>
            </w:r>
          </w:p>
        </w:tc>
        <w:tc>
          <w:tcPr>
            <w:tcW w:w="1566" w:type="pct"/>
            <w:gridSpan w:val="2"/>
            <w:noWrap w:val="0"/>
            <w:vAlign w:val="center"/>
          </w:tcPr>
          <w:p w14:paraId="28243531">
            <w:pPr>
              <w:spacing w:line="320" w:lineRule="exact"/>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391" w:type="pct"/>
            <w:noWrap w:val="0"/>
            <w:vAlign w:val="center"/>
          </w:tcPr>
          <w:p w14:paraId="68677C25">
            <w:pPr>
              <w:widowControl/>
              <w:spacing w:line="320" w:lineRule="exac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15.9</w:t>
            </w:r>
          </w:p>
        </w:tc>
        <w:tc>
          <w:tcPr>
            <w:tcW w:w="557" w:type="pct"/>
            <w:noWrap w:val="0"/>
            <w:vAlign w:val="center"/>
          </w:tcPr>
          <w:p w14:paraId="17FF6AE0">
            <w:pPr>
              <w:widowControl/>
              <w:spacing w:line="32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合格</w:t>
            </w:r>
          </w:p>
        </w:tc>
      </w:tr>
    </w:tbl>
    <w:p w14:paraId="3CEE650E">
      <w:pPr>
        <w:pStyle w:val="29"/>
      </w:pPr>
    </w:p>
    <w:p w14:paraId="389DAAEC">
      <w:pPr>
        <w:pStyle w:val="29"/>
        <w:ind w:firstLine="420" w:firstLineChars="0"/>
        <w:rPr>
          <w:rFonts w:hint="eastAsia"/>
          <w:lang w:val="en-US" w:eastAsia="zh-CN"/>
        </w:rPr>
      </w:pPr>
      <w:r>
        <w:rPr>
          <w:rFonts w:hAnsi="宋体"/>
          <w:color w:val="000000"/>
          <w:sz w:val="28"/>
          <w:szCs w:val="28"/>
        </w:rPr>
        <w:t>由站址（周边环境）检查表检查结果可以看出，项目选址</w:t>
      </w:r>
      <w:r>
        <w:rPr>
          <w:rFonts w:hint="eastAsia" w:hAnsi="宋体"/>
          <w:color w:val="000000"/>
          <w:sz w:val="28"/>
          <w:szCs w:val="28"/>
        </w:rPr>
        <w:t>及外部距离</w:t>
      </w:r>
      <w:r>
        <w:rPr>
          <w:rFonts w:hAnsi="宋体"/>
          <w:color w:val="000000"/>
          <w:sz w:val="28"/>
          <w:szCs w:val="28"/>
        </w:rPr>
        <w:t>符合有关标准的规定。</w:t>
      </w:r>
      <w:r>
        <w:rPr>
          <w:rFonts w:hAnsi="宋体"/>
          <w:bCs/>
          <w:color w:val="000000"/>
          <w:sz w:val="28"/>
          <w:szCs w:val="28"/>
        </w:rPr>
        <w:t>因此，建设项目与</w:t>
      </w:r>
      <w:r>
        <w:rPr>
          <w:rFonts w:hint="eastAsia" w:hAnsi="宋体"/>
          <w:bCs/>
          <w:color w:val="000000"/>
          <w:sz w:val="28"/>
          <w:szCs w:val="28"/>
        </w:rPr>
        <w:t>站外建筑的距离满足</w:t>
      </w:r>
      <w:r>
        <w:rPr>
          <w:rFonts w:hAnsi="宋体"/>
          <w:bCs/>
          <w:color w:val="000000"/>
          <w:sz w:val="28"/>
          <w:szCs w:val="28"/>
        </w:rPr>
        <w:t>《汽车加油加气加氢技术标准》（GB50156-</w:t>
      </w:r>
      <w:r>
        <w:rPr>
          <w:rFonts w:hint="eastAsia" w:hAnsi="宋体"/>
          <w:bCs/>
          <w:color w:val="000000"/>
          <w:sz w:val="28"/>
          <w:szCs w:val="28"/>
        </w:rPr>
        <w:t>2021</w:t>
      </w:r>
      <w:r>
        <w:rPr>
          <w:rFonts w:hAnsi="宋体"/>
          <w:bCs/>
          <w:color w:val="000000"/>
          <w:sz w:val="28"/>
          <w:szCs w:val="28"/>
        </w:rPr>
        <w:t>）的</w:t>
      </w:r>
      <w:r>
        <w:rPr>
          <w:rFonts w:hint="eastAsia" w:hAnsi="宋体"/>
          <w:bCs/>
          <w:color w:val="000000"/>
          <w:sz w:val="28"/>
          <w:szCs w:val="28"/>
        </w:rPr>
        <w:t>要求</w:t>
      </w:r>
      <w:r>
        <w:rPr>
          <w:rFonts w:hAnsi="宋体"/>
          <w:bCs/>
          <w:color w:val="000000"/>
          <w:sz w:val="28"/>
          <w:szCs w:val="28"/>
        </w:rPr>
        <w:t>。</w:t>
      </w:r>
    </w:p>
    <w:p w14:paraId="2ECDBE51">
      <w:pPr>
        <w:pStyle w:val="4"/>
        <w:spacing w:line="560" w:lineRule="exact"/>
        <w:rPr>
          <w:rFonts w:hint="default" w:ascii="Times New Roman" w:hAnsi="Times New Roman" w:eastAsia="宋体" w:cs="Times New Roman"/>
          <w:color w:val="auto"/>
          <w:sz w:val="28"/>
          <w:szCs w:val="28"/>
        </w:rPr>
      </w:pPr>
      <w:bookmarkStart w:id="250" w:name="_Toc19690"/>
      <w:bookmarkStart w:id="251" w:name="_Toc20627"/>
      <w:r>
        <w:rPr>
          <w:rFonts w:hint="default" w:ascii="Times New Roman" w:hAnsi="Times New Roman" w:eastAsia="宋体" w:cs="Times New Roman"/>
          <w:color w:val="auto"/>
          <w:sz w:val="28"/>
          <w:szCs w:val="28"/>
        </w:rPr>
        <w:t>5.</w:t>
      </w:r>
      <w:r>
        <w:rPr>
          <w:rFonts w:hint="default" w:cs="Times New Roman"/>
          <w:color w:val="auto"/>
          <w:sz w:val="28"/>
          <w:szCs w:val="28"/>
        </w:rPr>
        <w:t>2</w:t>
      </w:r>
      <w:r>
        <w:rPr>
          <w:rFonts w:hint="default" w:ascii="Times New Roman" w:hAnsi="Times New Roman" w:eastAsia="宋体" w:cs="Times New Roman"/>
          <w:color w:val="auto"/>
          <w:sz w:val="28"/>
          <w:szCs w:val="28"/>
        </w:rPr>
        <w:t>.</w:t>
      </w:r>
      <w:r>
        <w:rPr>
          <w:rFonts w:hint="default" w:cs="Times New Roman"/>
          <w:color w:val="auto"/>
          <w:sz w:val="28"/>
          <w:szCs w:val="28"/>
        </w:rPr>
        <w:t>5</w:t>
      </w:r>
      <w:r>
        <w:rPr>
          <w:rFonts w:hint="eastAsia" w:ascii="Times New Roman" w:hAnsi="Times New Roman" w:eastAsia="宋体" w:cs="Times New Roman"/>
          <w:color w:val="auto"/>
          <w:sz w:val="28"/>
          <w:szCs w:val="28"/>
        </w:rPr>
        <w:t>加油站站内平面布置符合性评价</w:t>
      </w:r>
      <w:bookmarkEnd w:id="250"/>
      <w:bookmarkEnd w:id="251"/>
    </w:p>
    <w:p w14:paraId="36D16E40">
      <w:pPr>
        <w:tabs>
          <w:tab w:val="left" w:pos="6970"/>
        </w:tabs>
        <w:spacing w:beforeLines="0" w:afterLines="0" w:line="560" w:lineRule="exact"/>
        <w:ind w:right="-14" w:rightChars="-5" w:firstLine="560"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对照《汽车加油加气加氢技术标准》（GB50156-2021）的有关规定，对加油站</w:t>
      </w:r>
      <w:r>
        <w:rPr>
          <w:rFonts w:hint="eastAsia" w:ascii="Times New Roman" w:hAnsi="Times New Roman" w:eastAsia="宋体" w:cs="Times New Roman"/>
          <w:color w:val="auto"/>
          <w:sz w:val="28"/>
          <w:szCs w:val="24"/>
        </w:rPr>
        <w:t>站内平面布置</w:t>
      </w:r>
      <w:r>
        <w:rPr>
          <w:rFonts w:hint="eastAsia" w:ascii="Times New Roman" w:hAnsi="Times New Roman" w:eastAsia="宋体" w:cs="Times New Roman"/>
          <w:color w:val="auto"/>
          <w:sz w:val="28"/>
          <w:szCs w:val="28"/>
        </w:rPr>
        <w:t>进行符合性评价，见表5.2</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5。站内设施之间的防火间距见表5.2</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6。</w:t>
      </w:r>
    </w:p>
    <w:p w14:paraId="010572B4">
      <w:pPr>
        <w:pStyle w:val="43"/>
        <w:spacing w:before="156" w:line="560" w:lineRule="exact"/>
        <w:rPr>
          <w:rFonts w:hint="default" w:ascii="Times New Roman" w:hAnsi="Times New Roman" w:cs="Times New Roman"/>
          <w:color w:val="auto"/>
          <w:sz w:val="24"/>
          <w:szCs w:val="20"/>
        </w:rPr>
      </w:pPr>
      <w:r>
        <w:rPr>
          <w:rFonts w:hint="eastAsia" w:ascii="Times New Roman" w:hAnsi="Times New Roman" w:cs="Times New Roman"/>
          <w:color w:val="auto"/>
          <w:sz w:val="24"/>
          <w:szCs w:val="20"/>
        </w:rPr>
        <w:t>表5.2</w:t>
      </w:r>
      <w:r>
        <w:rPr>
          <w:rFonts w:hint="default" w:ascii="Times New Roman" w:hAnsi="Times New Roman" w:cs="Times New Roman"/>
          <w:color w:val="auto"/>
          <w:sz w:val="24"/>
          <w:szCs w:val="20"/>
        </w:rPr>
        <w:t>-</w:t>
      </w:r>
      <w:r>
        <w:rPr>
          <w:rFonts w:hint="eastAsia" w:ascii="Times New Roman" w:hAnsi="Times New Roman" w:cs="Times New Roman"/>
          <w:color w:val="auto"/>
          <w:sz w:val="24"/>
          <w:szCs w:val="20"/>
        </w:rPr>
        <w:t>5加油站站内平面布置符合性评价表</w:t>
      </w:r>
    </w:p>
    <w:tbl>
      <w:tblPr>
        <w:tblStyle w:val="20"/>
        <w:tblW w:w="497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3843"/>
        <w:gridCol w:w="984"/>
        <w:gridCol w:w="2059"/>
        <w:gridCol w:w="1007"/>
      </w:tblGrid>
      <w:tr w14:paraId="4B208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single" w:color="auto" w:sz="12" w:space="0"/>
              <w:left w:val="single" w:color="auto" w:sz="12" w:space="0"/>
              <w:bottom w:val="single" w:color="auto" w:sz="4" w:space="0"/>
              <w:right w:val="single" w:color="auto" w:sz="4" w:space="0"/>
              <w:tl2br w:val="nil"/>
              <w:tr2bl w:val="nil"/>
            </w:tcBorders>
            <w:noWrap w:val="0"/>
            <w:vAlign w:val="center"/>
          </w:tcPr>
          <w:p w14:paraId="40E6524E">
            <w:pPr>
              <w:autoSpaceDE w:val="0"/>
              <w:autoSpaceDN w:val="0"/>
              <w:adjustRightInd w:val="0"/>
              <w:spacing w:beforeLines="0" w:afterLines="0" w:line="300" w:lineRule="exact"/>
              <w:jc w:val="center"/>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rPr>
              <w:t>序号</w:t>
            </w:r>
          </w:p>
        </w:tc>
        <w:tc>
          <w:tcPr>
            <w:tcW w:w="2266"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333FC54">
            <w:pPr>
              <w:autoSpaceDE w:val="0"/>
              <w:autoSpaceDN w:val="0"/>
              <w:adjustRightInd w:val="0"/>
              <w:spacing w:beforeLines="0" w:afterLines="0" w:line="300" w:lineRule="exact"/>
              <w:jc w:val="center"/>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rPr>
              <w:t>检查内容</w:t>
            </w:r>
          </w:p>
        </w:tc>
        <w:tc>
          <w:tcPr>
            <w:tcW w:w="580"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61C5FE8">
            <w:pPr>
              <w:autoSpaceDE w:val="0"/>
              <w:autoSpaceDN w:val="0"/>
              <w:adjustRightInd w:val="0"/>
              <w:spacing w:beforeLines="0" w:afterLines="0" w:line="300" w:lineRule="exact"/>
              <w:jc w:val="center"/>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rPr>
              <w:t>标准条款</w:t>
            </w:r>
          </w:p>
        </w:tc>
        <w:tc>
          <w:tcPr>
            <w:tcW w:w="1214"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34C9C561">
            <w:pPr>
              <w:autoSpaceDE w:val="0"/>
              <w:autoSpaceDN w:val="0"/>
              <w:adjustRightInd w:val="0"/>
              <w:spacing w:beforeLines="0" w:afterLines="0" w:line="300" w:lineRule="exact"/>
              <w:jc w:val="center"/>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rPr>
              <w:t>检查记录</w:t>
            </w:r>
          </w:p>
        </w:tc>
        <w:tc>
          <w:tcPr>
            <w:tcW w:w="594" w:type="pct"/>
            <w:tcBorders>
              <w:top w:val="single" w:color="auto" w:sz="12" w:space="0"/>
              <w:left w:val="single" w:color="auto" w:sz="4" w:space="0"/>
              <w:bottom w:val="single" w:color="auto" w:sz="4" w:space="0"/>
              <w:right w:val="single" w:color="auto" w:sz="12" w:space="0"/>
              <w:tl2br w:val="nil"/>
              <w:tr2bl w:val="nil"/>
            </w:tcBorders>
            <w:noWrap w:val="0"/>
            <w:vAlign w:val="center"/>
          </w:tcPr>
          <w:p w14:paraId="2F70FAAB">
            <w:pPr>
              <w:autoSpaceDE w:val="0"/>
              <w:autoSpaceDN w:val="0"/>
              <w:adjustRightInd w:val="0"/>
              <w:spacing w:beforeLines="0" w:afterLines="0" w:line="300" w:lineRule="exact"/>
              <w:jc w:val="center"/>
              <w:rPr>
                <w:rFonts w:hint="default"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rPr>
              <w:t>评价结论</w:t>
            </w:r>
          </w:p>
        </w:tc>
      </w:tr>
      <w:tr w14:paraId="74FD4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22E774F">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3252D1">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车辆入口和出口应分开设置。</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AAAFC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5.0.1</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679A6F">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分开布置</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2E7828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1E6CE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291231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B059E9">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站区内停车场和道路应符合下列规定：①单车道宽度不应小于4m，双车道宽度不应小于6m。②站内的道路转弯半径按行驶车型确定，且不宜小于9m；③站内停车位应为平坡，道路坡度不应大于8％，且宜坡向站外；④作业区内的停车场和道路路面不应采用沥青路面。</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FB9CF2">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5.0.2</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4CBB41">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道路宽度大于6m，道路转弯半径大于9m，道路路面为水泥路面</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EAC6C6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5AE98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D687554">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80A714">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加油作业区内，不得有“明火地点”或“散发火花地点”。</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3852D6">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5.0.5</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B0591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无“明火地点”或“散发火花地点”</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5868A5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59E18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4"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0883E81">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58E399">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柴油尾气处理液加注设施的布置应符合下列规定:</w:t>
            </w:r>
          </w:p>
          <w:p w14:paraId="31D6F30F">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rPr>
              <w:t>不符合防爆要求的设备应布置在爆炸危险区域之外，且与爆炸危险区域边界线的距离不应小于3m；</w:t>
            </w:r>
          </w:p>
          <w:p w14:paraId="79D798F9">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r>
              <w:rPr>
                <w:rFonts w:hint="eastAsia" w:ascii="Times New Roman" w:hAnsi="Times New Roman" w:eastAsia="宋体" w:cs="Times New Roman"/>
                <w:color w:val="auto"/>
                <w:kern w:val="0"/>
                <w:sz w:val="21"/>
                <w:szCs w:val="21"/>
              </w:rPr>
              <w:t>符合防爆要求的设备，在进行平面布置时可按柴油加油机对待；</w:t>
            </w:r>
          </w:p>
          <w:p w14:paraId="152C7344">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当柴油尾气处理液的储液箱(罐)或橇装设备布置在加油岛上时,容量不得超过1.2m”，且储液箱(罐)或橇装设备应在岛的两侧边缘100mm和岛端1.2m以内布置。</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FC5AA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5.0.6</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DF4722">
            <w:pPr>
              <w:autoSpaceDE w:val="0"/>
              <w:autoSpaceDN w:val="0"/>
              <w:adjustRightInd w:val="0"/>
              <w:spacing w:beforeLines="0" w:afterLines="0" w:line="240" w:lineRule="exact"/>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8F1402E">
            <w:pPr>
              <w:autoSpaceDE w:val="0"/>
              <w:autoSpaceDN w:val="0"/>
              <w:adjustRightInd w:val="0"/>
              <w:spacing w:beforeLines="0" w:afterLines="0" w:line="240" w:lineRule="exact"/>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w:t>
            </w:r>
          </w:p>
        </w:tc>
      </w:tr>
      <w:tr w14:paraId="3EBC5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1EE4A3EC">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6CD391">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电动汽车充电设施应布置在辅助服务区内。</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DFC44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5.0.7</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CE6AFB">
            <w:pPr>
              <w:autoSpaceDE w:val="0"/>
              <w:autoSpaceDN w:val="0"/>
              <w:adjustRightInd w:val="0"/>
              <w:spacing w:beforeLines="0" w:afterLines="0" w:line="240" w:lineRule="exact"/>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BB1231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14:paraId="471B0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5061EA0">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355BDE">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加油站的变配电间或室外变压器应布置在作业区之外。变配电间的起算点应为门窗等洞口。</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B06080">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5.0.8</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52B6E0">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配电间布置在作业区外</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71E8AF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4C72A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211FEEB">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3CDA88">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站房不应布置在爆炸危险区域。站房部分位于作业区内时，建筑面积等应符合本标准第14.2.10条的规定。</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92E3C5">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5.0.9</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7F5B96">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站房布置在爆炸危险区域外，不存在明火设施</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746131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75611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19DA647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183C2E">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当加油站内设置非油品业务建筑物或设施时，不应布置在作业区内，与站内可燃液体设施的防火间距，应符合本标准第4.0.4条~4.0.8条有关三类保护物的规定。当站内经营性餐饮、汽车服务、司机休息室等设施内设有明火设备时，应等同于“明火地点”或“散发火花地点”。</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17166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5.0.10</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EEBE82">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非油品业务建筑物或设施未布置在作业区</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4511D1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0B2AF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44"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A96E80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22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FAA67A">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汽车加油站内的爆炸危险区域，不应超出站区围墙和可用地界线。</w:t>
            </w:r>
          </w:p>
        </w:tc>
        <w:tc>
          <w:tcPr>
            <w:tcW w:w="5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2D59C1">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5.0.11</w:t>
            </w:r>
          </w:p>
        </w:tc>
        <w:tc>
          <w:tcPr>
            <w:tcW w:w="12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2E2A7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未超出</w:t>
            </w:r>
          </w:p>
        </w:tc>
        <w:tc>
          <w:tcPr>
            <w:tcW w:w="594"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5DBA8D8">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r w14:paraId="531C2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344" w:type="pct"/>
            <w:tcBorders>
              <w:top w:val="single" w:color="auto" w:sz="4" w:space="0"/>
              <w:left w:val="single" w:color="auto" w:sz="12" w:space="0"/>
              <w:bottom w:val="single" w:color="auto" w:sz="12" w:space="0"/>
              <w:right w:val="single" w:color="auto" w:sz="4" w:space="0"/>
              <w:tl2br w:val="nil"/>
              <w:tr2bl w:val="nil"/>
            </w:tcBorders>
            <w:noWrap w:val="0"/>
            <w:vAlign w:val="center"/>
          </w:tcPr>
          <w:p w14:paraId="3BDEFD78">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2266"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11247EAF">
            <w:pPr>
              <w:autoSpaceDE w:val="0"/>
              <w:autoSpaceDN w:val="0"/>
              <w:adjustRightInd w:val="0"/>
              <w:spacing w:beforeLines="0" w:afterLines="0" w:line="240" w:lineRule="exact"/>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汽车加油站的工艺设备与站外建（构）筑物之间，宜设置不燃烧体实体围墙，围墙高度相对于站内和站外地坪均不宜低于2.2m。当汽车加油站的工艺设备与站外建（构）筑物之间的距离大于本标准表4.0.4中的安全间距的1.5倍，且大于25m时，可设置非实体围墙。面向车辆入口和出口道路的一侧可设非实体围墙或不设围墙。与站区相毗邻的一、二级耐火等级的站外建（构）筑物，其面向加油站侧无门、窗、孔洞的外墙，可视为站区实体围墙的一部分，但站内工艺设备与其的安全距离应符合本标准表4.</w:t>
            </w:r>
            <w:r>
              <w:rPr>
                <w:rFonts w:hint="default" w:ascii="Times New Roman" w:hAnsi="Times New Roman" w:eastAsia="宋体" w:cs="Times New Roman"/>
                <w:color w:val="auto"/>
                <w:kern w:val="0"/>
                <w:sz w:val="21"/>
                <w:szCs w:val="21"/>
              </w:rPr>
              <w:t>0.4</w:t>
            </w:r>
            <w:r>
              <w:rPr>
                <w:rFonts w:hint="eastAsia" w:ascii="Times New Roman" w:hAnsi="Times New Roman" w:eastAsia="宋体" w:cs="Times New Roman"/>
                <w:color w:val="auto"/>
                <w:kern w:val="0"/>
                <w:sz w:val="21"/>
                <w:szCs w:val="21"/>
              </w:rPr>
              <w:t>的相关规定。</w:t>
            </w:r>
          </w:p>
        </w:tc>
        <w:tc>
          <w:tcPr>
            <w:tcW w:w="580"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44DEBDF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5.0.12</w:t>
            </w:r>
          </w:p>
        </w:tc>
        <w:tc>
          <w:tcPr>
            <w:tcW w:w="1214"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0387CAD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站内工艺设备与其的安全距离符合标准</w:t>
            </w:r>
          </w:p>
        </w:tc>
        <w:tc>
          <w:tcPr>
            <w:tcW w:w="594" w:type="pct"/>
            <w:tcBorders>
              <w:top w:val="single" w:color="auto" w:sz="4" w:space="0"/>
              <w:left w:val="single" w:color="auto" w:sz="4" w:space="0"/>
              <w:bottom w:val="single" w:color="auto" w:sz="12" w:space="0"/>
              <w:right w:val="single" w:color="auto" w:sz="12" w:space="0"/>
              <w:tl2br w:val="nil"/>
              <w:tr2bl w:val="nil"/>
            </w:tcBorders>
            <w:noWrap w:val="0"/>
            <w:vAlign w:val="center"/>
          </w:tcPr>
          <w:p w14:paraId="4977E6CC">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合格</w:t>
            </w:r>
          </w:p>
        </w:tc>
      </w:tr>
    </w:tbl>
    <w:p w14:paraId="73C29567">
      <w:pPr>
        <w:spacing w:line="600" w:lineRule="exact"/>
        <w:jc w:val="center"/>
        <w:rPr>
          <w:color w:val="000000"/>
          <w:sz w:val="24"/>
          <w:szCs w:val="24"/>
        </w:rPr>
      </w:pPr>
      <w:r>
        <w:rPr>
          <w:color w:val="000000"/>
          <w:sz w:val="24"/>
          <w:szCs w:val="24"/>
        </w:rPr>
        <w:t>表5</w:t>
      </w:r>
      <w:r>
        <w:rPr>
          <w:rFonts w:hint="eastAsia"/>
          <w:color w:val="000000"/>
          <w:sz w:val="24"/>
          <w:szCs w:val="24"/>
        </w:rPr>
        <w:t>.</w:t>
      </w:r>
      <w:r>
        <w:rPr>
          <w:rFonts w:hint="eastAsia"/>
          <w:color w:val="000000"/>
          <w:sz w:val="24"/>
          <w:szCs w:val="24"/>
          <w:lang w:val="en-US" w:eastAsia="zh-CN"/>
        </w:rPr>
        <w:t>2</w:t>
      </w:r>
      <w:r>
        <w:rPr>
          <w:color w:val="000000"/>
          <w:sz w:val="24"/>
          <w:szCs w:val="24"/>
        </w:rPr>
        <w:t>-</w:t>
      </w:r>
      <w:r>
        <w:rPr>
          <w:rFonts w:hint="eastAsia"/>
          <w:color w:val="000000"/>
          <w:sz w:val="24"/>
          <w:szCs w:val="24"/>
          <w:lang w:val="en-US" w:eastAsia="zh-CN"/>
        </w:rPr>
        <w:t>6</w:t>
      </w:r>
      <w:r>
        <w:rPr>
          <w:bCs/>
          <w:color w:val="000000"/>
          <w:sz w:val="24"/>
          <w:szCs w:val="24"/>
        </w:rPr>
        <w:t>加油站站内</w:t>
      </w:r>
      <w:r>
        <w:rPr>
          <w:rFonts w:hint="eastAsia"/>
          <w:bCs/>
          <w:color w:val="000000"/>
          <w:sz w:val="24"/>
          <w:szCs w:val="24"/>
        </w:rPr>
        <w:t>设施之间的防火距离检查</w:t>
      </w:r>
      <w:r>
        <w:rPr>
          <w:color w:val="000000"/>
          <w:sz w:val="24"/>
          <w:szCs w:val="24"/>
        </w:rPr>
        <w:t>表</w:t>
      </w:r>
    </w:p>
    <w:tbl>
      <w:tblPr>
        <w:tblStyle w:val="20"/>
        <w:tblW w:w="64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92"/>
        <w:gridCol w:w="2042"/>
        <w:gridCol w:w="2042"/>
        <w:gridCol w:w="2042"/>
        <w:gridCol w:w="1982"/>
        <w:gridCol w:w="1985"/>
      </w:tblGrid>
      <w:tr w14:paraId="00F17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277" w:type="pct"/>
            <w:noWrap w:val="0"/>
            <w:vAlign w:val="center"/>
          </w:tcPr>
          <w:p w14:paraId="52EBD686">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序号</w:t>
            </w:r>
          </w:p>
        </w:tc>
        <w:tc>
          <w:tcPr>
            <w:tcW w:w="955" w:type="pct"/>
            <w:noWrap w:val="0"/>
            <w:vAlign w:val="center"/>
          </w:tcPr>
          <w:p w14:paraId="2B3A6393">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设施名称</w:t>
            </w:r>
          </w:p>
        </w:tc>
        <w:tc>
          <w:tcPr>
            <w:tcW w:w="955" w:type="pct"/>
            <w:noWrap w:val="0"/>
            <w:vAlign w:val="center"/>
          </w:tcPr>
          <w:p w14:paraId="0F355B25">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方位</w:t>
            </w:r>
          </w:p>
        </w:tc>
        <w:tc>
          <w:tcPr>
            <w:tcW w:w="955" w:type="pct"/>
            <w:noWrap w:val="0"/>
            <w:vAlign w:val="center"/>
          </w:tcPr>
          <w:p w14:paraId="71CEBB17">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相邻设施</w:t>
            </w:r>
          </w:p>
        </w:tc>
        <w:tc>
          <w:tcPr>
            <w:tcW w:w="927" w:type="pct"/>
            <w:noWrap w:val="0"/>
            <w:vAlign w:val="center"/>
          </w:tcPr>
          <w:p w14:paraId="28197F65">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标准要求（m）</w:t>
            </w:r>
          </w:p>
        </w:tc>
        <w:tc>
          <w:tcPr>
            <w:tcW w:w="928" w:type="pct"/>
            <w:noWrap w:val="0"/>
            <w:vAlign w:val="center"/>
          </w:tcPr>
          <w:p w14:paraId="5694521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实际距离（m）</w:t>
            </w:r>
          </w:p>
        </w:tc>
      </w:tr>
      <w:tr w14:paraId="5F336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77" w:type="pct"/>
            <w:noWrap w:val="0"/>
            <w:vAlign w:val="center"/>
          </w:tcPr>
          <w:p w14:paraId="124F78D0">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w:t>
            </w:r>
          </w:p>
        </w:tc>
        <w:tc>
          <w:tcPr>
            <w:tcW w:w="955" w:type="pct"/>
            <w:noWrap w:val="0"/>
            <w:vAlign w:val="center"/>
          </w:tcPr>
          <w:p w14:paraId="09B7D51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汽油埋地油罐</w:t>
            </w:r>
          </w:p>
        </w:tc>
        <w:tc>
          <w:tcPr>
            <w:tcW w:w="955" w:type="pct"/>
            <w:noWrap w:val="0"/>
            <w:vAlign w:val="center"/>
          </w:tcPr>
          <w:p w14:paraId="0ED6FA5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522C96E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125AA1A7">
            <w:pPr>
              <w:autoSpaceDE w:val="0"/>
              <w:autoSpaceDN w:val="0"/>
              <w:adjustRightInd w:val="0"/>
              <w:spacing w:line="320" w:lineRule="exact"/>
              <w:jc w:val="center"/>
              <w:rPr>
                <w:rFonts w:hint="eastAsia" w:ascii="Times New Roman" w:hAnsi="宋体" w:eastAsia="宋体" w:cs="Times New Roman"/>
                <w:bCs/>
                <w:color w:val="000000"/>
                <w:kern w:val="0"/>
                <w:sz w:val="21"/>
                <w:szCs w:val="21"/>
                <w:lang w:eastAsia="zh-CN"/>
              </w:rPr>
            </w:pPr>
            <w:r>
              <w:rPr>
                <w:rFonts w:hint="eastAsia" w:ascii="Times New Roman" w:hAnsi="宋体" w:eastAsia="宋体" w:cs="Times New Roman"/>
                <w:bCs/>
                <w:color w:val="000000"/>
                <w:kern w:val="0"/>
                <w:sz w:val="21"/>
                <w:szCs w:val="21"/>
              </w:rPr>
              <w:t>4</w:t>
            </w:r>
          </w:p>
        </w:tc>
        <w:tc>
          <w:tcPr>
            <w:tcW w:w="928" w:type="pct"/>
            <w:noWrap w:val="0"/>
            <w:vAlign w:val="center"/>
          </w:tcPr>
          <w:p w14:paraId="3EC787F9">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hAnsi="宋体" w:cs="Times New Roman"/>
                <w:bCs/>
                <w:color w:val="000000"/>
                <w:kern w:val="0"/>
                <w:sz w:val="21"/>
                <w:szCs w:val="21"/>
                <w:lang w:val="en-US" w:eastAsia="zh-CN"/>
              </w:rPr>
              <w:t>4</w:t>
            </w:r>
          </w:p>
        </w:tc>
      </w:tr>
      <w:tr w14:paraId="0A953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277" w:type="pct"/>
            <w:noWrap w:val="0"/>
            <w:vAlign w:val="center"/>
          </w:tcPr>
          <w:p w14:paraId="140E863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2</w:t>
            </w:r>
          </w:p>
        </w:tc>
        <w:tc>
          <w:tcPr>
            <w:tcW w:w="955" w:type="pct"/>
            <w:noWrap w:val="0"/>
            <w:vAlign w:val="center"/>
          </w:tcPr>
          <w:p w14:paraId="5B3D9CDC">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柴油埋地油罐</w:t>
            </w:r>
          </w:p>
        </w:tc>
        <w:tc>
          <w:tcPr>
            <w:tcW w:w="955" w:type="pct"/>
            <w:noWrap w:val="0"/>
            <w:vAlign w:val="center"/>
          </w:tcPr>
          <w:p w14:paraId="7194A2C5">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3A955FA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4BF94B19">
            <w:pPr>
              <w:autoSpaceDE w:val="0"/>
              <w:autoSpaceDN w:val="0"/>
              <w:adjustRightInd w:val="0"/>
              <w:spacing w:line="320" w:lineRule="exact"/>
              <w:jc w:val="center"/>
              <w:rPr>
                <w:rFonts w:hint="eastAsia" w:ascii="Times New Roman" w:hAnsi="宋体" w:eastAsia="宋体" w:cs="Times New Roman"/>
                <w:bCs/>
                <w:color w:val="000000"/>
                <w:kern w:val="0"/>
                <w:sz w:val="21"/>
                <w:szCs w:val="21"/>
                <w:lang w:eastAsia="zh-CN"/>
              </w:rPr>
            </w:pPr>
            <w:r>
              <w:rPr>
                <w:rFonts w:hint="eastAsia" w:ascii="Times New Roman" w:hAnsi="宋体" w:eastAsia="宋体" w:cs="Times New Roman"/>
                <w:bCs/>
                <w:color w:val="000000"/>
                <w:kern w:val="0"/>
                <w:sz w:val="21"/>
                <w:szCs w:val="21"/>
              </w:rPr>
              <w:t>3</w:t>
            </w:r>
          </w:p>
        </w:tc>
        <w:tc>
          <w:tcPr>
            <w:tcW w:w="928" w:type="pct"/>
            <w:noWrap w:val="0"/>
            <w:vAlign w:val="center"/>
          </w:tcPr>
          <w:p w14:paraId="2A9FD0B6">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11</w:t>
            </w:r>
          </w:p>
        </w:tc>
      </w:tr>
      <w:tr w14:paraId="0C97F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277" w:type="pct"/>
            <w:noWrap w:val="0"/>
            <w:vAlign w:val="center"/>
          </w:tcPr>
          <w:p w14:paraId="0AAA17B7">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3</w:t>
            </w:r>
          </w:p>
        </w:tc>
        <w:tc>
          <w:tcPr>
            <w:tcW w:w="955" w:type="pct"/>
            <w:noWrap w:val="0"/>
            <w:vAlign w:val="center"/>
          </w:tcPr>
          <w:p w14:paraId="24DE6566">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汽油埋地油罐</w:t>
            </w:r>
          </w:p>
        </w:tc>
        <w:tc>
          <w:tcPr>
            <w:tcW w:w="955" w:type="pct"/>
            <w:noWrap w:val="0"/>
            <w:vAlign w:val="center"/>
          </w:tcPr>
          <w:p w14:paraId="1BD2FC38">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0186380D">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33F0E7E8">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rPr>
              <w:t>4.5</w:t>
            </w:r>
          </w:p>
        </w:tc>
        <w:tc>
          <w:tcPr>
            <w:tcW w:w="928" w:type="pct"/>
            <w:noWrap w:val="0"/>
            <w:vAlign w:val="center"/>
          </w:tcPr>
          <w:p w14:paraId="38C2BC63">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41.3</w:t>
            </w:r>
          </w:p>
        </w:tc>
      </w:tr>
      <w:tr w14:paraId="0AD88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277" w:type="pct"/>
            <w:noWrap w:val="0"/>
            <w:vAlign w:val="center"/>
          </w:tcPr>
          <w:p w14:paraId="62C9226F">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4</w:t>
            </w:r>
          </w:p>
        </w:tc>
        <w:tc>
          <w:tcPr>
            <w:tcW w:w="955" w:type="pct"/>
            <w:noWrap w:val="0"/>
            <w:vAlign w:val="center"/>
          </w:tcPr>
          <w:p w14:paraId="5D1DBE9F">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柴油埋地油罐</w:t>
            </w:r>
          </w:p>
        </w:tc>
        <w:tc>
          <w:tcPr>
            <w:tcW w:w="955" w:type="pct"/>
            <w:noWrap w:val="0"/>
            <w:vAlign w:val="center"/>
          </w:tcPr>
          <w:p w14:paraId="7B1673B8">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3365D4EA">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605B9ED2">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rPr>
              <w:t>3</w:t>
            </w:r>
          </w:p>
        </w:tc>
        <w:tc>
          <w:tcPr>
            <w:tcW w:w="928" w:type="pct"/>
            <w:noWrap w:val="0"/>
            <w:vAlign w:val="center"/>
          </w:tcPr>
          <w:p w14:paraId="1B14F760">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46.5</w:t>
            </w:r>
          </w:p>
        </w:tc>
      </w:tr>
      <w:tr w14:paraId="3FCF9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277" w:type="pct"/>
            <w:noWrap w:val="0"/>
            <w:vAlign w:val="center"/>
          </w:tcPr>
          <w:p w14:paraId="142F50A4">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5</w:t>
            </w:r>
          </w:p>
        </w:tc>
        <w:tc>
          <w:tcPr>
            <w:tcW w:w="955" w:type="pct"/>
            <w:noWrap w:val="0"/>
            <w:vAlign w:val="center"/>
          </w:tcPr>
          <w:p w14:paraId="6F93DA3F">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埋地油罐</w:t>
            </w:r>
          </w:p>
        </w:tc>
        <w:tc>
          <w:tcPr>
            <w:tcW w:w="955" w:type="pct"/>
            <w:noWrap w:val="0"/>
            <w:vAlign w:val="center"/>
          </w:tcPr>
          <w:p w14:paraId="71A74123">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南\北</w:t>
            </w:r>
          </w:p>
        </w:tc>
        <w:tc>
          <w:tcPr>
            <w:tcW w:w="955" w:type="pct"/>
            <w:noWrap w:val="0"/>
            <w:vAlign w:val="center"/>
          </w:tcPr>
          <w:p w14:paraId="7720132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埋地油罐</w:t>
            </w:r>
          </w:p>
        </w:tc>
        <w:tc>
          <w:tcPr>
            <w:tcW w:w="927" w:type="pct"/>
            <w:noWrap w:val="0"/>
            <w:vAlign w:val="center"/>
          </w:tcPr>
          <w:p w14:paraId="24D083F9">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0.5</w:t>
            </w:r>
          </w:p>
        </w:tc>
        <w:tc>
          <w:tcPr>
            <w:tcW w:w="928" w:type="pct"/>
            <w:noWrap w:val="0"/>
            <w:vAlign w:val="center"/>
          </w:tcPr>
          <w:p w14:paraId="409EFFEE">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rPr>
              <w:t>0.</w:t>
            </w:r>
            <w:r>
              <w:rPr>
                <w:rFonts w:hint="eastAsia" w:ascii="Times New Roman" w:hAnsi="宋体" w:eastAsia="宋体" w:cs="Times New Roman"/>
                <w:bCs/>
                <w:color w:val="000000"/>
                <w:kern w:val="0"/>
                <w:sz w:val="21"/>
                <w:szCs w:val="21"/>
                <w:lang w:val="en-US" w:eastAsia="zh-CN"/>
              </w:rPr>
              <w:t>6</w:t>
            </w:r>
          </w:p>
        </w:tc>
      </w:tr>
      <w:tr w14:paraId="577A7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277" w:type="pct"/>
            <w:noWrap w:val="0"/>
            <w:vAlign w:val="center"/>
          </w:tcPr>
          <w:p w14:paraId="72D17EC9">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8</w:t>
            </w:r>
          </w:p>
        </w:tc>
        <w:tc>
          <w:tcPr>
            <w:tcW w:w="955" w:type="pct"/>
            <w:noWrap w:val="0"/>
            <w:vAlign w:val="center"/>
          </w:tcPr>
          <w:p w14:paraId="4DF9C32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汽油通气管管口</w:t>
            </w:r>
          </w:p>
        </w:tc>
        <w:tc>
          <w:tcPr>
            <w:tcW w:w="955" w:type="pct"/>
            <w:noWrap w:val="0"/>
            <w:vAlign w:val="center"/>
          </w:tcPr>
          <w:p w14:paraId="58FAB468">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68292D79">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0136F77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4</w:t>
            </w:r>
          </w:p>
        </w:tc>
        <w:tc>
          <w:tcPr>
            <w:tcW w:w="928" w:type="pct"/>
            <w:noWrap w:val="0"/>
            <w:vAlign w:val="center"/>
          </w:tcPr>
          <w:p w14:paraId="35227EAD">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11</w:t>
            </w:r>
          </w:p>
        </w:tc>
      </w:tr>
      <w:tr w14:paraId="4C8D3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277" w:type="pct"/>
            <w:noWrap w:val="0"/>
            <w:vAlign w:val="center"/>
          </w:tcPr>
          <w:p w14:paraId="7ADD1D4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9</w:t>
            </w:r>
          </w:p>
        </w:tc>
        <w:tc>
          <w:tcPr>
            <w:tcW w:w="955" w:type="pct"/>
            <w:noWrap w:val="0"/>
            <w:vAlign w:val="center"/>
          </w:tcPr>
          <w:p w14:paraId="55EABDE0">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柴油通气管管口</w:t>
            </w:r>
          </w:p>
        </w:tc>
        <w:tc>
          <w:tcPr>
            <w:tcW w:w="955" w:type="pct"/>
            <w:noWrap w:val="0"/>
            <w:vAlign w:val="center"/>
          </w:tcPr>
          <w:p w14:paraId="56925DB6">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0D3E615F">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6A844CB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3.5</w:t>
            </w:r>
          </w:p>
        </w:tc>
        <w:tc>
          <w:tcPr>
            <w:tcW w:w="928" w:type="pct"/>
            <w:noWrap w:val="0"/>
            <w:vAlign w:val="center"/>
          </w:tcPr>
          <w:p w14:paraId="6571A46C">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11.2</w:t>
            </w:r>
          </w:p>
        </w:tc>
      </w:tr>
      <w:tr w14:paraId="51775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277" w:type="pct"/>
            <w:noWrap w:val="0"/>
            <w:vAlign w:val="center"/>
          </w:tcPr>
          <w:p w14:paraId="3373DFC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10</w:t>
            </w:r>
          </w:p>
        </w:tc>
        <w:tc>
          <w:tcPr>
            <w:tcW w:w="955" w:type="pct"/>
            <w:noWrap w:val="0"/>
            <w:vAlign w:val="center"/>
          </w:tcPr>
          <w:p w14:paraId="468272D3">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汽油通气管管口</w:t>
            </w:r>
          </w:p>
        </w:tc>
        <w:tc>
          <w:tcPr>
            <w:tcW w:w="955" w:type="pct"/>
            <w:noWrap w:val="0"/>
            <w:vAlign w:val="center"/>
          </w:tcPr>
          <w:p w14:paraId="39DE14CD">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2EC8746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45D50ED8">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5</w:t>
            </w:r>
          </w:p>
        </w:tc>
        <w:tc>
          <w:tcPr>
            <w:tcW w:w="928" w:type="pct"/>
            <w:noWrap w:val="0"/>
            <w:vAlign w:val="center"/>
          </w:tcPr>
          <w:p w14:paraId="40569746">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45.6</w:t>
            </w:r>
          </w:p>
        </w:tc>
      </w:tr>
      <w:tr w14:paraId="4265F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277" w:type="pct"/>
            <w:noWrap w:val="0"/>
            <w:vAlign w:val="center"/>
          </w:tcPr>
          <w:p w14:paraId="76CB46B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11</w:t>
            </w:r>
          </w:p>
        </w:tc>
        <w:tc>
          <w:tcPr>
            <w:tcW w:w="955" w:type="pct"/>
            <w:noWrap w:val="0"/>
            <w:vAlign w:val="center"/>
          </w:tcPr>
          <w:p w14:paraId="3EE80577">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柴油通气管管口</w:t>
            </w:r>
          </w:p>
        </w:tc>
        <w:tc>
          <w:tcPr>
            <w:tcW w:w="955" w:type="pct"/>
            <w:noWrap w:val="0"/>
            <w:vAlign w:val="center"/>
          </w:tcPr>
          <w:p w14:paraId="2B1D1A7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3DC73AEA">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2E4C85A5">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3</w:t>
            </w:r>
          </w:p>
        </w:tc>
        <w:tc>
          <w:tcPr>
            <w:tcW w:w="928" w:type="pct"/>
            <w:noWrap w:val="0"/>
            <w:vAlign w:val="center"/>
          </w:tcPr>
          <w:p w14:paraId="3C0566C2">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45.8</w:t>
            </w:r>
          </w:p>
        </w:tc>
      </w:tr>
      <w:tr w14:paraId="03E18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77" w:type="pct"/>
            <w:noWrap w:val="0"/>
            <w:vAlign w:val="center"/>
          </w:tcPr>
          <w:p w14:paraId="4F4B9B7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14</w:t>
            </w:r>
          </w:p>
        </w:tc>
        <w:tc>
          <w:tcPr>
            <w:tcW w:w="955" w:type="pct"/>
            <w:noWrap w:val="0"/>
            <w:vAlign w:val="center"/>
          </w:tcPr>
          <w:p w14:paraId="6B0775FF">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密闭卸油点</w:t>
            </w:r>
          </w:p>
        </w:tc>
        <w:tc>
          <w:tcPr>
            <w:tcW w:w="955" w:type="pct"/>
            <w:noWrap w:val="0"/>
            <w:vAlign w:val="center"/>
          </w:tcPr>
          <w:p w14:paraId="2E816DF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lang w:val="en-US" w:eastAsia="zh-CN"/>
              </w:rPr>
              <w:t>南</w:t>
            </w:r>
          </w:p>
        </w:tc>
        <w:tc>
          <w:tcPr>
            <w:tcW w:w="955" w:type="pct"/>
            <w:noWrap w:val="0"/>
            <w:vAlign w:val="center"/>
          </w:tcPr>
          <w:p w14:paraId="7574643D">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502389E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5</w:t>
            </w:r>
          </w:p>
        </w:tc>
        <w:tc>
          <w:tcPr>
            <w:tcW w:w="928" w:type="pct"/>
            <w:noWrap w:val="0"/>
            <w:vAlign w:val="center"/>
          </w:tcPr>
          <w:p w14:paraId="5FEAEA47">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14</w:t>
            </w:r>
          </w:p>
        </w:tc>
      </w:tr>
      <w:tr w14:paraId="5065F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77" w:type="pct"/>
            <w:noWrap w:val="0"/>
            <w:vAlign w:val="center"/>
          </w:tcPr>
          <w:p w14:paraId="0084843A">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15</w:t>
            </w:r>
          </w:p>
        </w:tc>
        <w:tc>
          <w:tcPr>
            <w:tcW w:w="955" w:type="pct"/>
            <w:noWrap w:val="0"/>
            <w:vAlign w:val="center"/>
          </w:tcPr>
          <w:p w14:paraId="033AEFC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密闭卸油点</w:t>
            </w:r>
          </w:p>
        </w:tc>
        <w:tc>
          <w:tcPr>
            <w:tcW w:w="955" w:type="pct"/>
            <w:noWrap w:val="0"/>
            <w:vAlign w:val="center"/>
          </w:tcPr>
          <w:p w14:paraId="54D4C549">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东南</w:t>
            </w:r>
          </w:p>
        </w:tc>
        <w:tc>
          <w:tcPr>
            <w:tcW w:w="955" w:type="pct"/>
            <w:noWrap w:val="0"/>
            <w:vAlign w:val="center"/>
          </w:tcPr>
          <w:p w14:paraId="74841F1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492946AD">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4.5</w:t>
            </w:r>
          </w:p>
        </w:tc>
        <w:tc>
          <w:tcPr>
            <w:tcW w:w="928" w:type="pct"/>
            <w:noWrap w:val="0"/>
            <w:vAlign w:val="center"/>
          </w:tcPr>
          <w:p w14:paraId="06143431">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43.7</w:t>
            </w:r>
          </w:p>
        </w:tc>
      </w:tr>
      <w:tr w14:paraId="2C1CB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277" w:type="pct"/>
            <w:noWrap w:val="0"/>
            <w:vAlign w:val="center"/>
          </w:tcPr>
          <w:p w14:paraId="0720ED57">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16</w:t>
            </w:r>
          </w:p>
        </w:tc>
        <w:tc>
          <w:tcPr>
            <w:tcW w:w="955" w:type="pct"/>
            <w:noWrap w:val="0"/>
            <w:vAlign w:val="center"/>
          </w:tcPr>
          <w:p w14:paraId="10CA260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密闭卸油点</w:t>
            </w:r>
          </w:p>
        </w:tc>
        <w:tc>
          <w:tcPr>
            <w:tcW w:w="955" w:type="pct"/>
            <w:noWrap w:val="0"/>
            <w:vAlign w:val="center"/>
          </w:tcPr>
          <w:p w14:paraId="3CBDD34A">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w:t>
            </w:r>
          </w:p>
        </w:tc>
        <w:tc>
          <w:tcPr>
            <w:tcW w:w="955" w:type="pct"/>
            <w:noWrap w:val="0"/>
            <w:vAlign w:val="center"/>
          </w:tcPr>
          <w:p w14:paraId="2A0862E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汽油通气管管口</w:t>
            </w:r>
          </w:p>
        </w:tc>
        <w:tc>
          <w:tcPr>
            <w:tcW w:w="927" w:type="pct"/>
            <w:noWrap w:val="0"/>
            <w:vAlign w:val="center"/>
          </w:tcPr>
          <w:p w14:paraId="3AE35F99">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3</w:t>
            </w:r>
          </w:p>
        </w:tc>
        <w:tc>
          <w:tcPr>
            <w:tcW w:w="928" w:type="pct"/>
            <w:noWrap w:val="0"/>
            <w:vAlign w:val="center"/>
          </w:tcPr>
          <w:p w14:paraId="1B24CC37">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w:t>
            </w:r>
          </w:p>
        </w:tc>
      </w:tr>
      <w:tr w14:paraId="2B216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77" w:type="pct"/>
            <w:noWrap w:val="0"/>
            <w:vAlign w:val="center"/>
          </w:tcPr>
          <w:p w14:paraId="17C133F0">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17</w:t>
            </w:r>
          </w:p>
        </w:tc>
        <w:tc>
          <w:tcPr>
            <w:tcW w:w="955" w:type="pct"/>
            <w:noWrap w:val="0"/>
            <w:vAlign w:val="center"/>
          </w:tcPr>
          <w:p w14:paraId="71406D18">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密闭卸油点</w:t>
            </w:r>
          </w:p>
        </w:tc>
        <w:tc>
          <w:tcPr>
            <w:tcW w:w="955" w:type="pct"/>
            <w:noWrap w:val="0"/>
            <w:vAlign w:val="center"/>
          </w:tcPr>
          <w:p w14:paraId="1E2206D2">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w:t>
            </w:r>
          </w:p>
        </w:tc>
        <w:tc>
          <w:tcPr>
            <w:tcW w:w="955" w:type="pct"/>
            <w:noWrap w:val="0"/>
            <w:vAlign w:val="center"/>
          </w:tcPr>
          <w:p w14:paraId="420A44BA">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柴油通气管管口</w:t>
            </w:r>
          </w:p>
        </w:tc>
        <w:tc>
          <w:tcPr>
            <w:tcW w:w="927" w:type="pct"/>
            <w:noWrap w:val="0"/>
            <w:vAlign w:val="center"/>
          </w:tcPr>
          <w:p w14:paraId="389A6B7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2</w:t>
            </w:r>
          </w:p>
        </w:tc>
        <w:tc>
          <w:tcPr>
            <w:tcW w:w="928" w:type="pct"/>
            <w:noWrap w:val="0"/>
            <w:vAlign w:val="center"/>
          </w:tcPr>
          <w:p w14:paraId="71879731">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4</w:t>
            </w:r>
          </w:p>
        </w:tc>
      </w:tr>
      <w:tr w14:paraId="736D4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277" w:type="pct"/>
            <w:noWrap w:val="0"/>
            <w:vAlign w:val="center"/>
          </w:tcPr>
          <w:p w14:paraId="01206C34">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18</w:t>
            </w:r>
          </w:p>
        </w:tc>
        <w:tc>
          <w:tcPr>
            <w:tcW w:w="955" w:type="pct"/>
            <w:noWrap w:val="0"/>
            <w:vAlign w:val="center"/>
          </w:tcPr>
          <w:p w14:paraId="5BC55F9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汽油加油机</w:t>
            </w:r>
          </w:p>
        </w:tc>
        <w:tc>
          <w:tcPr>
            <w:tcW w:w="955" w:type="pct"/>
            <w:noWrap w:val="0"/>
            <w:vAlign w:val="center"/>
          </w:tcPr>
          <w:p w14:paraId="4832DED3">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w:t>
            </w:r>
          </w:p>
        </w:tc>
        <w:tc>
          <w:tcPr>
            <w:tcW w:w="955" w:type="pct"/>
            <w:noWrap w:val="0"/>
            <w:vAlign w:val="center"/>
          </w:tcPr>
          <w:p w14:paraId="3BFA4B85">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5B5FA504">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5</w:t>
            </w:r>
          </w:p>
        </w:tc>
        <w:tc>
          <w:tcPr>
            <w:tcW w:w="928" w:type="pct"/>
            <w:noWrap w:val="0"/>
            <w:vAlign w:val="center"/>
          </w:tcPr>
          <w:p w14:paraId="4FF94FB0">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7.7</w:t>
            </w:r>
          </w:p>
        </w:tc>
      </w:tr>
      <w:tr w14:paraId="2D635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277" w:type="pct"/>
            <w:noWrap w:val="0"/>
            <w:vAlign w:val="center"/>
          </w:tcPr>
          <w:p w14:paraId="094C664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19</w:t>
            </w:r>
          </w:p>
        </w:tc>
        <w:tc>
          <w:tcPr>
            <w:tcW w:w="955" w:type="pct"/>
            <w:noWrap w:val="0"/>
            <w:vAlign w:val="center"/>
          </w:tcPr>
          <w:p w14:paraId="12127F8A">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柴油加油机</w:t>
            </w:r>
          </w:p>
        </w:tc>
        <w:tc>
          <w:tcPr>
            <w:tcW w:w="955" w:type="pct"/>
            <w:noWrap w:val="0"/>
            <w:vAlign w:val="center"/>
          </w:tcPr>
          <w:p w14:paraId="4F04AC37">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w:t>
            </w:r>
          </w:p>
        </w:tc>
        <w:tc>
          <w:tcPr>
            <w:tcW w:w="955" w:type="pct"/>
            <w:noWrap w:val="0"/>
            <w:vAlign w:val="center"/>
          </w:tcPr>
          <w:p w14:paraId="62BFFA1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站房</w:t>
            </w:r>
          </w:p>
        </w:tc>
        <w:tc>
          <w:tcPr>
            <w:tcW w:w="927" w:type="pct"/>
            <w:noWrap w:val="0"/>
            <w:vAlign w:val="center"/>
          </w:tcPr>
          <w:p w14:paraId="6384FF71">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4</w:t>
            </w:r>
          </w:p>
        </w:tc>
        <w:tc>
          <w:tcPr>
            <w:tcW w:w="928" w:type="pct"/>
            <w:noWrap w:val="0"/>
            <w:vAlign w:val="center"/>
          </w:tcPr>
          <w:p w14:paraId="5F41994F">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7.7</w:t>
            </w:r>
          </w:p>
        </w:tc>
      </w:tr>
      <w:tr w14:paraId="78088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77" w:type="pct"/>
            <w:noWrap w:val="0"/>
            <w:vAlign w:val="center"/>
          </w:tcPr>
          <w:p w14:paraId="28D85FA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20</w:t>
            </w:r>
          </w:p>
        </w:tc>
        <w:tc>
          <w:tcPr>
            <w:tcW w:w="955" w:type="pct"/>
            <w:noWrap w:val="0"/>
            <w:vAlign w:val="center"/>
          </w:tcPr>
          <w:p w14:paraId="01240384">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汽油加油机</w:t>
            </w:r>
          </w:p>
        </w:tc>
        <w:tc>
          <w:tcPr>
            <w:tcW w:w="955" w:type="pct"/>
            <w:noWrap w:val="0"/>
            <w:vAlign w:val="center"/>
          </w:tcPr>
          <w:p w14:paraId="4AA8C10D">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东南</w:t>
            </w:r>
          </w:p>
        </w:tc>
        <w:tc>
          <w:tcPr>
            <w:tcW w:w="955" w:type="pct"/>
            <w:noWrap w:val="0"/>
            <w:vAlign w:val="center"/>
          </w:tcPr>
          <w:p w14:paraId="487DD74C">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53878B1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6</w:t>
            </w:r>
          </w:p>
        </w:tc>
        <w:tc>
          <w:tcPr>
            <w:tcW w:w="928" w:type="pct"/>
            <w:noWrap w:val="0"/>
            <w:vAlign w:val="center"/>
          </w:tcPr>
          <w:p w14:paraId="2185FF37">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25.8</w:t>
            </w:r>
          </w:p>
        </w:tc>
      </w:tr>
      <w:tr w14:paraId="24C75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77" w:type="pct"/>
            <w:noWrap w:val="0"/>
            <w:vAlign w:val="center"/>
          </w:tcPr>
          <w:p w14:paraId="6C6AE5AE">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21</w:t>
            </w:r>
          </w:p>
        </w:tc>
        <w:tc>
          <w:tcPr>
            <w:tcW w:w="955" w:type="pct"/>
            <w:noWrap w:val="0"/>
            <w:vAlign w:val="center"/>
          </w:tcPr>
          <w:p w14:paraId="3574862B">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柴油加油机</w:t>
            </w:r>
          </w:p>
        </w:tc>
        <w:tc>
          <w:tcPr>
            <w:tcW w:w="955" w:type="pct"/>
            <w:noWrap w:val="0"/>
            <w:vAlign w:val="center"/>
          </w:tcPr>
          <w:p w14:paraId="01934E10">
            <w:pPr>
              <w:autoSpaceDE w:val="0"/>
              <w:autoSpaceDN w:val="0"/>
              <w:adjustRightInd w:val="0"/>
              <w:spacing w:line="320" w:lineRule="exact"/>
              <w:jc w:val="center"/>
              <w:rPr>
                <w:rFonts w:hint="eastAsia"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东南</w:t>
            </w:r>
          </w:p>
        </w:tc>
        <w:tc>
          <w:tcPr>
            <w:tcW w:w="955" w:type="pct"/>
            <w:noWrap w:val="0"/>
            <w:vAlign w:val="center"/>
          </w:tcPr>
          <w:p w14:paraId="3D2EE492">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配电间</w:t>
            </w:r>
          </w:p>
        </w:tc>
        <w:tc>
          <w:tcPr>
            <w:tcW w:w="927" w:type="pct"/>
            <w:noWrap w:val="0"/>
            <w:vAlign w:val="center"/>
          </w:tcPr>
          <w:p w14:paraId="50F76173">
            <w:pPr>
              <w:autoSpaceDE w:val="0"/>
              <w:autoSpaceDN w:val="0"/>
              <w:adjustRightInd w:val="0"/>
              <w:spacing w:line="320" w:lineRule="exact"/>
              <w:jc w:val="center"/>
              <w:rPr>
                <w:rFonts w:hint="eastAsia" w:ascii="Times New Roman" w:hAnsi="宋体" w:eastAsia="宋体" w:cs="Times New Roman"/>
                <w:bCs/>
                <w:color w:val="000000"/>
                <w:kern w:val="0"/>
                <w:sz w:val="21"/>
                <w:szCs w:val="21"/>
              </w:rPr>
            </w:pPr>
            <w:r>
              <w:rPr>
                <w:rFonts w:hint="eastAsia" w:ascii="Times New Roman" w:hAnsi="宋体" w:eastAsia="宋体" w:cs="Times New Roman"/>
                <w:bCs/>
                <w:color w:val="000000"/>
                <w:kern w:val="0"/>
                <w:sz w:val="21"/>
                <w:szCs w:val="21"/>
              </w:rPr>
              <w:t>3</w:t>
            </w:r>
          </w:p>
        </w:tc>
        <w:tc>
          <w:tcPr>
            <w:tcW w:w="928" w:type="pct"/>
            <w:noWrap w:val="0"/>
            <w:vAlign w:val="center"/>
          </w:tcPr>
          <w:p w14:paraId="02209398">
            <w:pPr>
              <w:autoSpaceDE w:val="0"/>
              <w:autoSpaceDN w:val="0"/>
              <w:adjustRightInd w:val="0"/>
              <w:spacing w:line="320" w:lineRule="exact"/>
              <w:jc w:val="center"/>
              <w:rPr>
                <w:rFonts w:hint="default" w:ascii="Times New Roman" w:hAnsi="宋体" w:eastAsia="宋体" w:cs="Times New Roman"/>
                <w:bCs/>
                <w:color w:val="000000"/>
                <w:kern w:val="0"/>
                <w:sz w:val="21"/>
                <w:szCs w:val="21"/>
                <w:lang w:val="en-US" w:eastAsia="zh-CN"/>
              </w:rPr>
            </w:pPr>
            <w:r>
              <w:rPr>
                <w:rFonts w:hint="eastAsia" w:ascii="Times New Roman" w:hAnsi="宋体" w:eastAsia="宋体" w:cs="Times New Roman"/>
                <w:bCs/>
                <w:color w:val="000000"/>
                <w:kern w:val="0"/>
                <w:sz w:val="21"/>
                <w:szCs w:val="21"/>
                <w:lang w:val="en-US" w:eastAsia="zh-CN"/>
              </w:rPr>
              <w:t>23.6</w:t>
            </w:r>
          </w:p>
        </w:tc>
      </w:tr>
    </w:tbl>
    <w:p w14:paraId="285D7669">
      <w:pPr>
        <w:pStyle w:val="3"/>
        <w:outlineLvl w:val="1"/>
        <w:rPr>
          <w:rFonts w:hint="default" w:ascii="Times New Roman" w:hAnsi="Times New Roman" w:cs="Times New Roman"/>
          <w:color w:val="auto"/>
        </w:rPr>
      </w:pPr>
      <w:bookmarkStart w:id="252" w:name="_Toc31610"/>
      <w:bookmarkStart w:id="253" w:name="_Toc28838"/>
      <w:r>
        <w:rPr>
          <w:rFonts w:hint="default" w:ascii="Times New Roman" w:hAnsi="Times New Roman" w:cs="Times New Roman"/>
          <w:color w:val="auto"/>
        </w:rPr>
        <w:t>5.</w:t>
      </w:r>
      <w:r>
        <w:rPr>
          <w:rFonts w:hint="eastAsia" w:cs="Times New Roman"/>
          <w:color w:val="auto"/>
          <w:lang w:val="en-US" w:eastAsia="zh-CN"/>
        </w:rPr>
        <w:t>3</w:t>
      </w:r>
      <w:r>
        <w:rPr>
          <w:rFonts w:hint="eastAsia" w:ascii="Times New Roman" w:hAnsi="Times New Roman" w:eastAsia="宋体"/>
          <w:b/>
          <w:color w:val="000000"/>
          <w:sz w:val="28"/>
          <w:szCs w:val="28"/>
          <w:highlight w:val="none"/>
        </w:rPr>
        <w:t>加油工艺及设备设施单元</w:t>
      </w:r>
      <w:bookmarkEnd w:id="252"/>
      <w:bookmarkEnd w:id="253"/>
    </w:p>
    <w:p w14:paraId="4C0902AF">
      <w:pPr>
        <w:tabs>
          <w:tab w:val="left" w:pos="6970"/>
        </w:tabs>
        <w:spacing w:line="580" w:lineRule="exact"/>
        <w:ind w:right="-14" w:rightChars="-5" w:firstLine="560" w:firstLineChars="200"/>
        <w:rPr>
          <w:color w:val="000000"/>
          <w:sz w:val="28"/>
          <w:szCs w:val="28"/>
        </w:rPr>
      </w:pPr>
      <w:r>
        <w:rPr>
          <w:color w:val="000000"/>
          <w:sz w:val="28"/>
          <w:szCs w:val="28"/>
        </w:rPr>
        <w:t>对照《汽车加油加气加氢技术标准》（GB50156-2021的有关规定，对加油站</w:t>
      </w:r>
      <w:r>
        <w:rPr>
          <w:bCs/>
          <w:color w:val="000000"/>
          <w:sz w:val="28"/>
        </w:rPr>
        <w:t>加油工艺及设施</w:t>
      </w:r>
      <w:r>
        <w:rPr>
          <w:color w:val="000000"/>
          <w:sz w:val="28"/>
          <w:szCs w:val="28"/>
        </w:rPr>
        <w:t>进行符合性评价，见表5</w:t>
      </w:r>
      <w:r>
        <w:rPr>
          <w:rFonts w:hint="eastAsia"/>
          <w:color w:val="000000"/>
          <w:sz w:val="28"/>
          <w:szCs w:val="28"/>
        </w:rPr>
        <w:t>.</w:t>
      </w:r>
      <w:r>
        <w:rPr>
          <w:rFonts w:hint="eastAsia"/>
          <w:color w:val="000000"/>
          <w:sz w:val="28"/>
          <w:szCs w:val="28"/>
          <w:lang w:val="en-US" w:eastAsia="zh-CN"/>
        </w:rPr>
        <w:t>3</w:t>
      </w:r>
      <w:r>
        <w:rPr>
          <w:color w:val="000000"/>
          <w:sz w:val="28"/>
          <w:szCs w:val="28"/>
        </w:rPr>
        <w:t>-</w:t>
      </w:r>
      <w:r>
        <w:rPr>
          <w:rFonts w:hint="eastAsia"/>
          <w:color w:val="000000"/>
          <w:sz w:val="28"/>
          <w:szCs w:val="28"/>
          <w:lang w:val="en-US" w:eastAsia="zh-CN"/>
        </w:rPr>
        <w:t>1</w:t>
      </w:r>
      <w:r>
        <w:rPr>
          <w:color w:val="000000"/>
          <w:sz w:val="28"/>
          <w:szCs w:val="28"/>
        </w:rPr>
        <w:t>。</w:t>
      </w:r>
    </w:p>
    <w:p w14:paraId="40CAFB74">
      <w:pPr>
        <w:spacing w:line="600" w:lineRule="exact"/>
        <w:ind w:firstLine="470" w:firstLineChars="196"/>
        <w:jc w:val="center"/>
        <w:rPr>
          <w:rFonts w:hint="eastAsia"/>
          <w:color w:val="000000"/>
          <w:sz w:val="24"/>
          <w:szCs w:val="24"/>
        </w:rPr>
      </w:pPr>
      <w:r>
        <w:rPr>
          <w:color w:val="000000"/>
          <w:sz w:val="24"/>
          <w:szCs w:val="24"/>
        </w:rPr>
        <w:t>表5</w:t>
      </w:r>
      <w:r>
        <w:rPr>
          <w:rFonts w:hint="eastAsia"/>
          <w:color w:val="000000"/>
          <w:sz w:val="24"/>
          <w:szCs w:val="24"/>
        </w:rPr>
        <w:t>.</w:t>
      </w:r>
      <w:r>
        <w:rPr>
          <w:rFonts w:hint="eastAsia"/>
          <w:color w:val="000000"/>
          <w:sz w:val="24"/>
          <w:szCs w:val="24"/>
          <w:lang w:val="en-US" w:eastAsia="zh-CN"/>
        </w:rPr>
        <w:t>3</w:t>
      </w:r>
      <w:r>
        <w:rPr>
          <w:color w:val="000000"/>
          <w:sz w:val="24"/>
          <w:szCs w:val="24"/>
        </w:rPr>
        <w:t>-</w:t>
      </w:r>
      <w:r>
        <w:rPr>
          <w:rFonts w:hint="eastAsia"/>
          <w:color w:val="000000"/>
          <w:sz w:val="24"/>
          <w:szCs w:val="24"/>
          <w:lang w:val="en-US" w:eastAsia="zh-CN"/>
        </w:rPr>
        <w:t>1</w:t>
      </w:r>
      <w:r>
        <w:rPr>
          <w:bCs/>
          <w:color w:val="000000"/>
          <w:sz w:val="24"/>
          <w:szCs w:val="24"/>
        </w:rPr>
        <w:t>加油站加油工艺及设施</w:t>
      </w:r>
      <w:r>
        <w:rPr>
          <w:color w:val="000000"/>
          <w:sz w:val="24"/>
          <w:szCs w:val="24"/>
        </w:rPr>
        <w:t>符合性评价表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6309"/>
        <w:gridCol w:w="1570"/>
        <w:gridCol w:w="567"/>
      </w:tblGrid>
      <w:tr w14:paraId="141E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9080" w:type="dxa"/>
            <w:gridSpan w:val="4"/>
            <w:noWrap w:val="0"/>
            <w:vAlign w:val="center"/>
          </w:tcPr>
          <w:p w14:paraId="12519994">
            <w:pPr>
              <w:spacing w:line="320" w:lineRule="exact"/>
              <w:jc w:val="center"/>
              <w:rPr>
                <w:rFonts w:eastAsia="宋体"/>
                <w:b/>
                <w:bCs/>
                <w:color w:val="000000"/>
                <w:kern w:val="0"/>
                <w:sz w:val="21"/>
                <w:szCs w:val="21"/>
              </w:rPr>
            </w:pPr>
            <w:r>
              <w:rPr>
                <w:rFonts w:eastAsia="宋体"/>
                <w:b/>
                <w:bCs/>
                <w:color w:val="000000"/>
                <w:kern w:val="0"/>
                <w:sz w:val="21"/>
                <w:szCs w:val="21"/>
              </w:rPr>
              <w:t>油罐</w:t>
            </w:r>
          </w:p>
        </w:tc>
      </w:tr>
      <w:tr w14:paraId="78C7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7F6E027C">
            <w:pPr>
              <w:autoSpaceDE w:val="0"/>
              <w:autoSpaceDN w:val="0"/>
              <w:spacing w:line="320" w:lineRule="exact"/>
              <w:jc w:val="center"/>
              <w:rPr>
                <w:rFonts w:eastAsia="宋体"/>
                <w:b/>
                <w:bCs/>
                <w:color w:val="000000"/>
                <w:kern w:val="0"/>
                <w:sz w:val="21"/>
                <w:szCs w:val="21"/>
              </w:rPr>
            </w:pPr>
            <w:r>
              <w:rPr>
                <w:rFonts w:eastAsia="宋体"/>
                <w:b/>
                <w:bCs/>
                <w:color w:val="000000"/>
                <w:kern w:val="0"/>
                <w:sz w:val="21"/>
                <w:szCs w:val="21"/>
              </w:rPr>
              <w:t>序号</w:t>
            </w:r>
          </w:p>
        </w:tc>
        <w:tc>
          <w:tcPr>
            <w:tcW w:w="6309" w:type="dxa"/>
            <w:noWrap w:val="0"/>
            <w:vAlign w:val="center"/>
          </w:tcPr>
          <w:p w14:paraId="2C21571B">
            <w:pPr>
              <w:autoSpaceDE w:val="0"/>
              <w:autoSpaceDN w:val="0"/>
              <w:spacing w:line="320" w:lineRule="exact"/>
              <w:jc w:val="center"/>
              <w:rPr>
                <w:rFonts w:eastAsia="宋体"/>
                <w:b/>
                <w:bCs/>
                <w:color w:val="000000"/>
                <w:kern w:val="0"/>
                <w:sz w:val="21"/>
                <w:szCs w:val="21"/>
              </w:rPr>
            </w:pPr>
            <w:r>
              <w:rPr>
                <w:rFonts w:eastAsia="宋体"/>
                <w:b/>
                <w:bCs/>
                <w:color w:val="000000"/>
                <w:kern w:val="0"/>
                <w:sz w:val="21"/>
                <w:szCs w:val="21"/>
              </w:rPr>
              <w:t>检查内容</w:t>
            </w:r>
          </w:p>
        </w:tc>
        <w:tc>
          <w:tcPr>
            <w:tcW w:w="1570" w:type="dxa"/>
            <w:noWrap w:val="0"/>
            <w:vAlign w:val="center"/>
          </w:tcPr>
          <w:p w14:paraId="65A654A9">
            <w:pPr>
              <w:spacing w:line="320" w:lineRule="exact"/>
              <w:jc w:val="center"/>
              <w:rPr>
                <w:rFonts w:eastAsia="宋体"/>
                <w:b/>
                <w:bCs/>
                <w:color w:val="000000"/>
                <w:kern w:val="0"/>
                <w:sz w:val="21"/>
                <w:szCs w:val="21"/>
              </w:rPr>
            </w:pPr>
            <w:r>
              <w:rPr>
                <w:rFonts w:eastAsia="宋体"/>
                <w:b/>
                <w:bCs/>
                <w:color w:val="000000"/>
                <w:kern w:val="0"/>
                <w:sz w:val="21"/>
                <w:szCs w:val="21"/>
              </w:rPr>
              <w:t>检查记录</w:t>
            </w:r>
          </w:p>
        </w:tc>
        <w:tc>
          <w:tcPr>
            <w:tcW w:w="567" w:type="dxa"/>
            <w:noWrap w:val="0"/>
            <w:vAlign w:val="center"/>
          </w:tcPr>
          <w:p w14:paraId="099222FC">
            <w:pPr>
              <w:spacing w:line="320" w:lineRule="exact"/>
              <w:jc w:val="center"/>
              <w:rPr>
                <w:rFonts w:eastAsia="宋体"/>
                <w:b/>
                <w:bCs/>
                <w:color w:val="000000"/>
                <w:kern w:val="0"/>
                <w:sz w:val="21"/>
                <w:szCs w:val="21"/>
              </w:rPr>
            </w:pPr>
            <w:r>
              <w:rPr>
                <w:rFonts w:eastAsia="宋体"/>
                <w:b/>
                <w:bCs/>
                <w:color w:val="000000"/>
                <w:kern w:val="0"/>
                <w:sz w:val="21"/>
                <w:szCs w:val="21"/>
              </w:rPr>
              <w:t>结论</w:t>
            </w:r>
          </w:p>
        </w:tc>
      </w:tr>
      <w:tr w14:paraId="2D83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040969DE">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w:t>
            </w:r>
          </w:p>
        </w:tc>
        <w:tc>
          <w:tcPr>
            <w:tcW w:w="6309" w:type="dxa"/>
            <w:noWrap w:val="0"/>
            <w:vAlign w:val="center"/>
          </w:tcPr>
          <w:p w14:paraId="53CBCC3B">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 除</w:t>
            </w:r>
            <w:r>
              <w:rPr>
                <w:rFonts w:hint="eastAsia" w:hAnsi="宋体"/>
                <w:bCs/>
                <w:color w:val="000000"/>
                <w:kern w:val="0"/>
                <w:sz w:val="21"/>
                <w:szCs w:val="21"/>
                <w:lang w:eastAsia="zh-CN"/>
              </w:rPr>
              <w:t>撬</w:t>
            </w:r>
            <w:r>
              <w:rPr>
                <w:rFonts w:hAnsi="宋体" w:eastAsia="宋体"/>
                <w:bCs/>
                <w:color w:val="000000"/>
                <w:kern w:val="0"/>
                <w:sz w:val="21"/>
                <w:szCs w:val="21"/>
              </w:rPr>
              <w:t>装式加油装置所配置的防火防爆油罐外，加油站的汽油罐和柴油罐应埋地设置，严禁设在室内或</w:t>
            </w:r>
            <w:r>
              <w:rPr>
                <w:rFonts w:hint="eastAsia" w:hAnsi="宋体"/>
                <w:bCs/>
                <w:color w:val="000000"/>
                <w:kern w:val="0"/>
                <w:sz w:val="21"/>
                <w:szCs w:val="21"/>
                <w:lang w:eastAsia="zh-CN"/>
              </w:rPr>
              <w:t>地下室</w:t>
            </w:r>
            <w:r>
              <w:rPr>
                <w:rFonts w:hAnsi="宋体" w:eastAsia="宋体"/>
                <w:bCs/>
                <w:color w:val="000000"/>
                <w:kern w:val="0"/>
                <w:sz w:val="21"/>
                <w:szCs w:val="21"/>
              </w:rPr>
              <w:t>内。</w:t>
            </w:r>
          </w:p>
        </w:tc>
        <w:tc>
          <w:tcPr>
            <w:tcW w:w="1570" w:type="dxa"/>
            <w:noWrap w:val="0"/>
            <w:vAlign w:val="center"/>
          </w:tcPr>
          <w:p w14:paraId="0FCB66D3">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室外埋地</w:t>
            </w:r>
          </w:p>
        </w:tc>
        <w:tc>
          <w:tcPr>
            <w:tcW w:w="567" w:type="dxa"/>
            <w:noWrap w:val="0"/>
            <w:vAlign w:val="center"/>
          </w:tcPr>
          <w:p w14:paraId="3708DE25">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10E6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69070C98">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2</w:t>
            </w:r>
          </w:p>
        </w:tc>
        <w:tc>
          <w:tcPr>
            <w:tcW w:w="6309" w:type="dxa"/>
            <w:noWrap w:val="0"/>
            <w:vAlign w:val="center"/>
          </w:tcPr>
          <w:p w14:paraId="78E18FD4">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6.1.2汽车加油站的储油罐应采用卧式油罐。</w:t>
            </w:r>
          </w:p>
        </w:tc>
        <w:tc>
          <w:tcPr>
            <w:tcW w:w="1570" w:type="dxa"/>
            <w:noWrap w:val="0"/>
            <w:vAlign w:val="center"/>
          </w:tcPr>
          <w:p w14:paraId="4906A9F3">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采用卧式油罐</w:t>
            </w:r>
          </w:p>
        </w:tc>
        <w:tc>
          <w:tcPr>
            <w:tcW w:w="567" w:type="dxa"/>
            <w:noWrap w:val="0"/>
            <w:vAlign w:val="center"/>
          </w:tcPr>
          <w:p w14:paraId="04D83D6A">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4DE6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634" w:type="dxa"/>
            <w:noWrap w:val="0"/>
            <w:vAlign w:val="center"/>
          </w:tcPr>
          <w:p w14:paraId="05DE09E7">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3</w:t>
            </w:r>
          </w:p>
        </w:tc>
        <w:tc>
          <w:tcPr>
            <w:tcW w:w="6309" w:type="dxa"/>
            <w:noWrap w:val="0"/>
            <w:vAlign w:val="center"/>
          </w:tcPr>
          <w:p w14:paraId="08E00986">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6.1.3 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1570" w:type="dxa"/>
            <w:noWrap w:val="0"/>
            <w:vAlign w:val="center"/>
          </w:tcPr>
          <w:p w14:paraId="45317F31">
            <w:pPr>
              <w:autoSpaceDE w:val="0"/>
              <w:autoSpaceDN w:val="0"/>
              <w:adjustRightInd w:val="0"/>
              <w:spacing w:line="320" w:lineRule="exact"/>
              <w:jc w:val="center"/>
              <w:rPr>
                <w:rFonts w:hint="default" w:hAnsi="宋体" w:eastAsia="宋体"/>
                <w:bCs/>
                <w:color w:val="000000"/>
                <w:kern w:val="0"/>
                <w:sz w:val="21"/>
                <w:szCs w:val="21"/>
                <w:lang w:val="en-US" w:eastAsia="zh-CN"/>
              </w:rPr>
            </w:pPr>
            <w:r>
              <w:rPr>
                <w:rFonts w:hint="eastAsia" w:hAnsi="宋体"/>
                <w:bCs/>
                <w:color w:val="000000"/>
                <w:kern w:val="0"/>
                <w:sz w:val="21"/>
                <w:szCs w:val="21"/>
                <w:lang w:val="en-US" w:eastAsia="zh-CN"/>
              </w:rPr>
              <w:t>单层钢制油罐</w:t>
            </w:r>
          </w:p>
        </w:tc>
        <w:tc>
          <w:tcPr>
            <w:tcW w:w="567" w:type="dxa"/>
            <w:noWrap w:val="0"/>
            <w:vAlign w:val="center"/>
          </w:tcPr>
          <w:p w14:paraId="06A54EAA">
            <w:pPr>
              <w:autoSpaceDE w:val="0"/>
              <w:autoSpaceDN w:val="0"/>
              <w:adjustRightInd w:val="0"/>
              <w:spacing w:line="320" w:lineRule="exact"/>
              <w:jc w:val="center"/>
              <w:rPr>
                <w:rFonts w:hint="default" w:hAnsi="宋体" w:eastAsia="宋体"/>
                <w:bCs/>
                <w:color w:val="000000"/>
                <w:kern w:val="0"/>
                <w:sz w:val="21"/>
                <w:szCs w:val="21"/>
                <w:lang w:val="en-US" w:eastAsia="zh-CN"/>
              </w:rPr>
            </w:pPr>
            <w:r>
              <w:rPr>
                <w:rFonts w:hint="eastAsia" w:hAnsi="宋体"/>
                <w:bCs/>
                <w:color w:val="000000"/>
                <w:kern w:val="0"/>
                <w:sz w:val="21"/>
                <w:szCs w:val="21"/>
                <w:lang w:val="en-US" w:eastAsia="zh-CN"/>
              </w:rPr>
              <w:t>不</w:t>
            </w:r>
            <w:r>
              <w:rPr>
                <w:rFonts w:hAnsi="宋体" w:eastAsia="宋体"/>
                <w:bCs/>
                <w:color w:val="000000"/>
                <w:kern w:val="0"/>
                <w:sz w:val="21"/>
                <w:szCs w:val="21"/>
              </w:rPr>
              <w:t>合格</w:t>
            </w:r>
          </w:p>
        </w:tc>
      </w:tr>
      <w:tr w14:paraId="668B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10D3657A">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4</w:t>
            </w:r>
          </w:p>
        </w:tc>
        <w:tc>
          <w:tcPr>
            <w:tcW w:w="6309" w:type="dxa"/>
            <w:noWrap w:val="0"/>
            <w:vAlign w:val="center"/>
          </w:tcPr>
          <w:p w14:paraId="59D61D59">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6.1.4 单层钢制油罐、双层钢制油罐和内钢外玻璃纤维增强塑料双层油罐的内层罐的罐体结构设计，可按现行行业标准《钢制常压储罐 第一部分：储存对水有污染的易燃和不易燃液体的埋地卧式圆筒形单层和双层储罐》AQ3020 的有关规定执行，并应符合下列规定。</w:t>
            </w:r>
          </w:p>
          <w:p w14:paraId="1E8AFE42">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1 钢制油罐的罐体和封头所用的钢板的厚度，不应小于表6.1.4的规定。</w:t>
            </w:r>
          </w:p>
          <w:p w14:paraId="6BCC88DF">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2 钢制油罐的设计内压不应低于0.08MPa。</w:t>
            </w:r>
          </w:p>
        </w:tc>
        <w:tc>
          <w:tcPr>
            <w:tcW w:w="1570" w:type="dxa"/>
            <w:noWrap w:val="0"/>
            <w:vAlign w:val="center"/>
          </w:tcPr>
          <w:p w14:paraId="631F25A0">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符合要求</w:t>
            </w:r>
          </w:p>
        </w:tc>
        <w:tc>
          <w:tcPr>
            <w:tcW w:w="567" w:type="dxa"/>
            <w:noWrap w:val="0"/>
            <w:vAlign w:val="center"/>
          </w:tcPr>
          <w:p w14:paraId="529CA67B">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7F59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634" w:type="dxa"/>
            <w:noWrap w:val="0"/>
            <w:vAlign w:val="center"/>
          </w:tcPr>
          <w:p w14:paraId="47221EF9">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5</w:t>
            </w:r>
          </w:p>
        </w:tc>
        <w:tc>
          <w:tcPr>
            <w:tcW w:w="6309" w:type="dxa"/>
            <w:noWrap w:val="0"/>
            <w:vAlign w:val="center"/>
          </w:tcPr>
          <w:p w14:paraId="0B259967">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6.1.5 选用的双层玻璃纤维增强塑料油罐应符合现行行业标准《加油站用埋地玻璃纤维增强塑料双层油罐工程技术规范》SH/T3177的有关规定；选用的钢-玻璃纤维增强塑料双层油罐应符合现行行业标准《加油站用埋地钢-玻璃纤维增强塑料双层油罐工程技术规范》SH/T 3178的有关规定。</w:t>
            </w:r>
          </w:p>
        </w:tc>
        <w:tc>
          <w:tcPr>
            <w:tcW w:w="1570" w:type="dxa"/>
            <w:noWrap w:val="0"/>
            <w:vAlign w:val="center"/>
          </w:tcPr>
          <w:p w14:paraId="3D3DE873">
            <w:pPr>
              <w:autoSpaceDE w:val="0"/>
              <w:autoSpaceDN w:val="0"/>
              <w:adjustRightInd w:val="0"/>
              <w:spacing w:line="320" w:lineRule="exact"/>
              <w:jc w:val="center"/>
              <w:rPr>
                <w:rFonts w:hint="default" w:hAnsi="宋体" w:eastAsia="宋体"/>
                <w:bCs/>
                <w:color w:val="000000"/>
                <w:kern w:val="0"/>
                <w:sz w:val="21"/>
                <w:szCs w:val="21"/>
                <w:lang w:val="en-US" w:eastAsia="zh-CN"/>
              </w:rPr>
            </w:pPr>
            <w:r>
              <w:rPr>
                <w:rFonts w:hint="eastAsia" w:hAnsi="宋体"/>
                <w:bCs/>
                <w:color w:val="000000"/>
                <w:kern w:val="0"/>
                <w:sz w:val="21"/>
                <w:szCs w:val="21"/>
                <w:lang w:val="en-US" w:eastAsia="zh-CN"/>
              </w:rPr>
              <w:t>\</w:t>
            </w:r>
          </w:p>
        </w:tc>
        <w:tc>
          <w:tcPr>
            <w:tcW w:w="567" w:type="dxa"/>
            <w:noWrap w:val="0"/>
            <w:vAlign w:val="center"/>
          </w:tcPr>
          <w:p w14:paraId="2721D8C0">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r>
      <w:tr w14:paraId="27D7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100C5882">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6</w:t>
            </w:r>
          </w:p>
        </w:tc>
        <w:tc>
          <w:tcPr>
            <w:tcW w:w="6309" w:type="dxa"/>
            <w:noWrap w:val="0"/>
            <w:vAlign w:val="center"/>
          </w:tcPr>
          <w:p w14:paraId="3F836B6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6.1.6 加油站在役油罐进行加内衬防渗漏改造时，应符合现国家标准《加油站在役油罐防渗漏改造工程技术标准》GB/T 51344的有关规定。</w:t>
            </w:r>
          </w:p>
        </w:tc>
        <w:tc>
          <w:tcPr>
            <w:tcW w:w="1570" w:type="dxa"/>
            <w:noWrap w:val="0"/>
            <w:vAlign w:val="center"/>
          </w:tcPr>
          <w:p w14:paraId="6A664C24">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w:t>
            </w:r>
          </w:p>
        </w:tc>
        <w:tc>
          <w:tcPr>
            <w:tcW w:w="567" w:type="dxa"/>
            <w:noWrap w:val="0"/>
            <w:vAlign w:val="center"/>
          </w:tcPr>
          <w:p w14:paraId="2DD0EA2F">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w:t>
            </w:r>
          </w:p>
        </w:tc>
      </w:tr>
      <w:tr w14:paraId="36FF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8" w:hRule="atLeast"/>
          <w:jc w:val="center"/>
        </w:trPr>
        <w:tc>
          <w:tcPr>
            <w:tcW w:w="634" w:type="dxa"/>
            <w:noWrap w:val="0"/>
            <w:vAlign w:val="center"/>
          </w:tcPr>
          <w:p w14:paraId="37D307C7">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7</w:t>
            </w:r>
          </w:p>
        </w:tc>
        <w:tc>
          <w:tcPr>
            <w:tcW w:w="6309" w:type="dxa"/>
            <w:noWrap w:val="0"/>
            <w:vAlign w:val="center"/>
          </w:tcPr>
          <w:p w14:paraId="157EF3F4">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6.1.7 与罐内油品直接接触的玻璃纤维增强塑料等非金属层，应满足消除油品静电荷的要求，其表面电阻率应小于109Ω；当表面电阻率无法满足小于109Ω的要求时，应在罐内安装能够消除油品静电电荷的物体。消除油品静电电荷的物体可为浸入油品中的钢板，也可为钢制的进油立管、出油管等金属物，表面积之和不应小于下式的计算值。</w:t>
            </w:r>
          </w:p>
          <w:p w14:paraId="730628F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A=0.04Vt    （6.1.7）</w:t>
            </w:r>
          </w:p>
          <w:p w14:paraId="5C02EF89">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式中：A——浸入油品中的金属物表面积之和（m2）；</w:t>
            </w:r>
          </w:p>
          <w:p w14:paraId="47B375CF">
            <w:pPr>
              <w:autoSpaceDE w:val="0"/>
              <w:autoSpaceDN w:val="0"/>
              <w:adjustRightInd w:val="0"/>
              <w:spacing w:line="320" w:lineRule="exact"/>
              <w:ind w:firstLine="630" w:firstLineChars="300"/>
              <w:jc w:val="left"/>
              <w:rPr>
                <w:rFonts w:hAnsi="宋体" w:eastAsia="宋体"/>
                <w:bCs/>
                <w:color w:val="000000"/>
                <w:kern w:val="0"/>
                <w:sz w:val="21"/>
                <w:szCs w:val="21"/>
              </w:rPr>
            </w:pPr>
            <w:r>
              <w:rPr>
                <w:rFonts w:hAnsi="宋体" w:eastAsia="宋体"/>
                <w:bCs/>
                <w:color w:val="000000"/>
                <w:kern w:val="0"/>
                <w:sz w:val="21"/>
                <w:szCs w:val="21"/>
              </w:rPr>
              <w:t>Vt——储罐容积（m3）</w:t>
            </w:r>
          </w:p>
        </w:tc>
        <w:tc>
          <w:tcPr>
            <w:tcW w:w="1570" w:type="dxa"/>
            <w:noWrap w:val="0"/>
            <w:vAlign w:val="center"/>
          </w:tcPr>
          <w:p w14:paraId="7B12E881">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c>
          <w:tcPr>
            <w:tcW w:w="567" w:type="dxa"/>
            <w:noWrap w:val="0"/>
            <w:vAlign w:val="center"/>
          </w:tcPr>
          <w:p w14:paraId="1649EA26">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r>
      <w:tr w14:paraId="6669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03B5D037">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8</w:t>
            </w:r>
          </w:p>
        </w:tc>
        <w:tc>
          <w:tcPr>
            <w:tcW w:w="6309" w:type="dxa"/>
            <w:noWrap w:val="0"/>
            <w:vAlign w:val="center"/>
          </w:tcPr>
          <w:p w14:paraId="253CD97C">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6.1.8 安装在罐内的静电消除物体应接地，接地电阻应符合本标准第11.2节的有关规定。</w:t>
            </w:r>
          </w:p>
        </w:tc>
        <w:tc>
          <w:tcPr>
            <w:tcW w:w="1570" w:type="dxa"/>
            <w:noWrap w:val="0"/>
            <w:vAlign w:val="center"/>
          </w:tcPr>
          <w:p w14:paraId="10F994B2">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符合要求</w:t>
            </w:r>
          </w:p>
        </w:tc>
        <w:tc>
          <w:tcPr>
            <w:tcW w:w="567" w:type="dxa"/>
            <w:noWrap w:val="0"/>
            <w:vAlign w:val="center"/>
          </w:tcPr>
          <w:p w14:paraId="156A016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7422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1961D83B">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9</w:t>
            </w:r>
          </w:p>
        </w:tc>
        <w:tc>
          <w:tcPr>
            <w:tcW w:w="6309" w:type="dxa"/>
            <w:noWrap w:val="0"/>
            <w:vAlign w:val="center"/>
          </w:tcPr>
          <w:p w14:paraId="4CEE57B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6.1.9双层油罐内壁与外壁之间应有满足渗漏检测要求的贯通间隙。</w:t>
            </w:r>
          </w:p>
        </w:tc>
        <w:tc>
          <w:tcPr>
            <w:tcW w:w="1570" w:type="dxa"/>
            <w:noWrap w:val="0"/>
            <w:vAlign w:val="center"/>
          </w:tcPr>
          <w:p w14:paraId="2C222C5E">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c>
          <w:tcPr>
            <w:tcW w:w="567" w:type="dxa"/>
            <w:noWrap w:val="0"/>
            <w:vAlign w:val="center"/>
          </w:tcPr>
          <w:p w14:paraId="0BC7E4AC">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r>
      <w:tr w14:paraId="6DAF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1" w:hRule="atLeast"/>
          <w:jc w:val="center"/>
        </w:trPr>
        <w:tc>
          <w:tcPr>
            <w:tcW w:w="634" w:type="dxa"/>
            <w:noWrap w:val="0"/>
            <w:vAlign w:val="center"/>
          </w:tcPr>
          <w:p w14:paraId="748DE7F9">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10</w:t>
            </w:r>
          </w:p>
        </w:tc>
        <w:tc>
          <w:tcPr>
            <w:tcW w:w="6309" w:type="dxa"/>
            <w:noWrap w:val="0"/>
            <w:vAlign w:val="center"/>
          </w:tcPr>
          <w:p w14:paraId="7430E9B3">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6.1.10 双层钢制油罐、内钢外玻璃纤维增强塑料双层油罐和玻璃纤维增强塑料等非金属防渗衬里的双层油罐，应设渗漏检测立管，并应符合下列规定：</w:t>
            </w:r>
          </w:p>
          <w:p w14:paraId="1E2FFD2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1 检测立管应采用钢管，直径宜为80mm，壁厚不宜小于4mm；</w:t>
            </w:r>
          </w:p>
          <w:p w14:paraId="371438A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2 检测立管应位于油罐顶部的纵向中心线上；</w:t>
            </w:r>
          </w:p>
          <w:p w14:paraId="34282C58">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3 检测立管的底部管口应与油罐内、外壁间隙相连通，顶部管口应装防尘盖；</w:t>
            </w:r>
          </w:p>
          <w:p w14:paraId="6E1555D3">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4 检测立管应满足人工检测和在线监测的要求，并应保证油罐内、外壁任何部位出现渗漏均能被发现。</w:t>
            </w:r>
          </w:p>
        </w:tc>
        <w:tc>
          <w:tcPr>
            <w:tcW w:w="1570" w:type="dxa"/>
            <w:noWrap w:val="0"/>
            <w:vAlign w:val="center"/>
          </w:tcPr>
          <w:p w14:paraId="6CA7FE62">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c>
          <w:tcPr>
            <w:tcW w:w="567" w:type="dxa"/>
            <w:noWrap w:val="0"/>
            <w:vAlign w:val="center"/>
          </w:tcPr>
          <w:p w14:paraId="076631AA">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w:t>
            </w:r>
          </w:p>
        </w:tc>
      </w:tr>
      <w:tr w14:paraId="34A9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19BA9803">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11</w:t>
            </w:r>
          </w:p>
        </w:tc>
        <w:tc>
          <w:tcPr>
            <w:tcW w:w="6309" w:type="dxa"/>
            <w:noWrap w:val="0"/>
            <w:vAlign w:val="center"/>
          </w:tcPr>
          <w:p w14:paraId="4E8BB319">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6.1.11 油罐应采用钢制人孔盖。</w:t>
            </w:r>
          </w:p>
        </w:tc>
        <w:tc>
          <w:tcPr>
            <w:tcW w:w="1570" w:type="dxa"/>
            <w:noWrap w:val="0"/>
            <w:vAlign w:val="center"/>
          </w:tcPr>
          <w:p w14:paraId="08CBC3FF">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钢制人孔盖</w:t>
            </w:r>
          </w:p>
        </w:tc>
        <w:tc>
          <w:tcPr>
            <w:tcW w:w="567" w:type="dxa"/>
            <w:noWrap w:val="0"/>
            <w:vAlign w:val="center"/>
          </w:tcPr>
          <w:p w14:paraId="78337C09">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208D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634" w:type="dxa"/>
            <w:noWrap w:val="0"/>
            <w:vAlign w:val="center"/>
          </w:tcPr>
          <w:p w14:paraId="2550AB71">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12</w:t>
            </w:r>
          </w:p>
        </w:tc>
        <w:tc>
          <w:tcPr>
            <w:tcW w:w="6309" w:type="dxa"/>
            <w:noWrap w:val="0"/>
            <w:vAlign w:val="center"/>
          </w:tcPr>
          <w:p w14:paraId="523A6D0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6.1.12 油罐设在非车行道下面时，罐顶的覆土厚度不应小于0.5m；设在行车道下面时，罐顶低于混凝土路面不宜小于0.9m。钢制油罐的周围应回填中性沙或细</w:t>
            </w:r>
            <w:r>
              <w:rPr>
                <w:rFonts w:hint="eastAsia" w:hAnsi="宋体"/>
                <w:bCs/>
                <w:color w:val="000000"/>
                <w:kern w:val="0"/>
                <w:sz w:val="21"/>
                <w:szCs w:val="21"/>
                <w:lang w:eastAsia="zh-CN"/>
              </w:rPr>
              <w:t>土</w:t>
            </w:r>
            <w:r>
              <w:rPr>
                <w:rFonts w:hAnsi="宋体" w:eastAsia="宋体"/>
                <w:bCs/>
                <w:color w:val="000000"/>
                <w:kern w:val="0"/>
                <w:sz w:val="21"/>
                <w:szCs w:val="21"/>
              </w:rPr>
              <w:t>，其厚度</w:t>
            </w:r>
            <w:r>
              <w:rPr>
                <w:rFonts w:hint="eastAsia" w:hAnsi="宋体"/>
                <w:bCs/>
                <w:color w:val="000000"/>
                <w:kern w:val="0"/>
                <w:sz w:val="21"/>
                <w:szCs w:val="21"/>
                <w:lang w:eastAsia="zh-CN"/>
              </w:rPr>
              <w:t>不</w:t>
            </w:r>
            <w:r>
              <w:rPr>
                <w:rFonts w:hAnsi="宋体" w:eastAsia="宋体"/>
                <w:bCs/>
                <w:color w:val="000000"/>
                <w:kern w:val="0"/>
                <w:sz w:val="21"/>
                <w:szCs w:val="21"/>
              </w:rPr>
              <w:t>小于0.3m；外层为玻璃纤维增强塑料材料的油罐，其回填料应符合产品说明书的要求。</w:t>
            </w:r>
          </w:p>
        </w:tc>
        <w:tc>
          <w:tcPr>
            <w:tcW w:w="1570" w:type="dxa"/>
            <w:noWrap w:val="0"/>
            <w:vAlign w:val="top"/>
          </w:tcPr>
          <w:p w14:paraId="3F7ADD8E">
            <w:pPr>
              <w:autoSpaceDE w:val="0"/>
              <w:autoSpaceDN w:val="0"/>
              <w:adjustRightInd w:val="0"/>
              <w:spacing w:line="320" w:lineRule="exact"/>
              <w:jc w:val="center"/>
              <w:rPr>
                <w:rFonts w:hint="default" w:hAnsi="宋体" w:eastAsia="宋体"/>
                <w:bCs/>
                <w:color w:val="000000"/>
                <w:kern w:val="0"/>
                <w:sz w:val="21"/>
                <w:szCs w:val="21"/>
                <w:lang w:val="en-US" w:eastAsia="zh-CN"/>
              </w:rPr>
            </w:pPr>
            <w:r>
              <w:rPr>
                <w:rFonts w:hint="eastAsia" w:hAnsi="宋体" w:eastAsia="宋体"/>
                <w:bCs/>
                <w:color w:val="000000"/>
                <w:kern w:val="0"/>
                <w:sz w:val="21"/>
                <w:szCs w:val="21"/>
              </w:rPr>
              <w:t>罐顶覆土</w:t>
            </w:r>
            <w:r>
              <w:rPr>
                <w:rFonts w:hint="eastAsia" w:hAnsi="宋体"/>
                <w:bCs/>
                <w:color w:val="000000"/>
                <w:kern w:val="0"/>
                <w:sz w:val="21"/>
                <w:szCs w:val="21"/>
                <w:lang w:val="en-US" w:eastAsia="zh-CN"/>
              </w:rPr>
              <w:t>已破坏</w:t>
            </w:r>
          </w:p>
        </w:tc>
        <w:tc>
          <w:tcPr>
            <w:tcW w:w="567" w:type="dxa"/>
            <w:noWrap w:val="0"/>
            <w:vAlign w:val="center"/>
          </w:tcPr>
          <w:p w14:paraId="5D40F7E4">
            <w:pPr>
              <w:autoSpaceDE w:val="0"/>
              <w:autoSpaceDN w:val="0"/>
              <w:adjustRightInd w:val="0"/>
              <w:spacing w:line="320" w:lineRule="exact"/>
              <w:jc w:val="center"/>
              <w:rPr>
                <w:rFonts w:hAnsi="宋体" w:eastAsia="宋体"/>
                <w:bCs/>
                <w:color w:val="000000"/>
                <w:kern w:val="0"/>
                <w:sz w:val="21"/>
                <w:szCs w:val="21"/>
              </w:rPr>
            </w:pPr>
            <w:r>
              <w:rPr>
                <w:rFonts w:hint="eastAsia" w:hAnsi="宋体"/>
                <w:bCs/>
                <w:color w:val="000000"/>
                <w:kern w:val="0"/>
                <w:sz w:val="21"/>
                <w:szCs w:val="21"/>
                <w:lang w:val="en-US" w:eastAsia="zh-CN"/>
              </w:rPr>
              <w:t>不</w:t>
            </w:r>
            <w:r>
              <w:rPr>
                <w:rFonts w:hAnsi="宋体" w:eastAsia="宋体"/>
                <w:bCs/>
                <w:color w:val="000000"/>
                <w:kern w:val="0"/>
                <w:sz w:val="21"/>
                <w:szCs w:val="21"/>
              </w:rPr>
              <w:t>合格</w:t>
            </w:r>
          </w:p>
        </w:tc>
      </w:tr>
      <w:tr w14:paraId="6E6A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2B4845EC">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13</w:t>
            </w:r>
          </w:p>
        </w:tc>
        <w:tc>
          <w:tcPr>
            <w:tcW w:w="6309" w:type="dxa"/>
            <w:noWrap w:val="0"/>
            <w:vAlign w:val="center"/>
          </w:tcPr>
          <w:p w14:paraId="642D4C78">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6.1.13 当埋地油罐受地下水或雨水作用有上浮的可能时，应采取防止油罐上浮的措施。</w:t>
            </w:r>
          </w:p>
        </w:tc>
        <w:tc>
          <w:tcPr>
            <w:tcW w:w="1570" w:type="dxa"/>
            <w:noWrap w:val="0"/>
            <w:vAlign w:val="center"/>
          </w:tcPr>
          <w:p w14:paraId="4A4AFFF5">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有防止油罐上浮措施</w:t>
            </w:r>
          </w:p>
        </w:tc>
        <w:tc>
          <w:tcPr>
            <w:tcW w:w="567" w:type="dxa"/>
            <w:noWrap w:val="0"/>
            <w:vAlign w:val="center"/>
          </w:tcPr>
          <w:p w14:paraId="04D47C59">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0057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19F27276">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14</w:t>
            </w:r>
          </w:p>
        </w:tc>
        <w:tc>
          <w:tcPr>
            <w:tcW w:w="6309" w:type="dxa"/>
            <w:noWrap w:val="0"/>
            <w:vAlign w:val="center"/>
          </w:tcPr>
          <w:p w14:paraId="68022AF1">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6.1.14 埋地油罐的人孔应设操作井。设在行车道下面的人孔井应采用加油站车行道下专用的密闭井盖和井座。</w:t>
            </w:r>
          </w:p>
        </w:tc>
        <w:tc>
          <w:tcPr>
            <w:tcW w:w="1570" w:type="dxa"/>
            <w:noWrap w:val="0"/>
            <w:vAlign w:val="center"/>
          </w:tcPr>
          <w:p w14:paraId="22E9DAF3">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设操作井座和井盖</w:t>
            </w:r>
          </w:p>
        </w:tc>
        <w:tc>
          <w:tcPr>
            <w:tcW w:w="567" w:type="dxa"/>
            <w:noWrap w:val="0"/>
            <w:vAlign w:val="center"/>
          </w:tcPr>
          <w:p w14:paraId="2C870080">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0EE4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79374ABD">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15</w:t>
            </w:r>
          </w:p>
        </w:tc>
        <w:tc>
          <w:tcPr>
            <w:tcW w:w="6309" w:type="dxa"/>
            <w:noWrap w:val="0"/>
            <w:vAlign w:val="center"/>
          </w:tcPr>
          <w:p w14:paraId="2C906D68">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6.1.15 油罐卸油应采取防满溢措施。油料达到油罐容量的90%时，应能触动高液位报警装置，油料达到油罐容量的95%时，应能自动停止油料继续进罐。高液位报警装置应位于工作人员便于觉察的地点。</w:t>
            </w:r>
          </w:p>
        </w:tc>
        <w:tc>
          <w:tcPr>
            <w:tcW w:w="1570" w:type="dxa"/>
            <w:noWrap w:val="0"/>
            <w:vAlign w:val="center"/>
          </w:tcPr>
          <w:p w14:paraId="127A3F28">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高液位报警仪位于人员便于觉察的地方</w:t>
            </w:r>
          </w:p>
        </w:tc>
        <w:tc>
          <w:tcPr>
            <w:tcW w:w="567" w:type="dxa"/>
            <w:noWrap w:val="0"/>
            <w:vAlign w:val="center"/>
          </w:tcPr>
          <w:p w14:paraId="1F08E70B">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7045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536B4898">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16</w:t>
            </w:r>
          </w:p>
        </w:tc>
        <w:tc>
          <w:tcPr>
            <w:tcW w:w="6309" w:type="dxa"/>
            <w:noWrap w:val="0"/>
            <w:vAlign w:val="center"/>
          </w:tcPr>
          <w:p w14:paraId="12861E2F">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6.1.16 设有油气回收系统的加油站，站内油罐应设带有高液位报警功能的液位监测系统。单层油罐的液位监测系统尚应具备渗漏检测功能，渗漏检测分辨率不宜</w:t>
            </w:r>
            <w:r>
              <w:rPr>
                <w:rFonts w:hint="eastAsia" w:hAnsi="宋体"/>
                <w:bCs/>
                <w:color w:val="000000"/>
                <w:kern w:val="0"/>
                <w:sz w:val="21"/>
                <w:szCs w:val="21"/>
                <w:lang w:eastAsia="zh-CN"/>
              </w:rPr>
              <w:t>大于</w:t>
            </w:r>
            <w:r>
              <w:rPr>
                <w:rFonts w:hAnsi="宋体" w:eastAsia="宋体"/>
                <w:bCs/>
                <w:color w:val="000000"/>
                <w:kern w:val="0"/>
                <w:sz w:val="21"/>
                <w:szCs w:val="21"/>
              </w:rPr>
              <w:t>0.8L/h。</w:t>
            </w:r>
          </w:p>
        </w:tc>
        <w:tc>
          <w:tcPr>
            <w:tcW w:w="1570" w:type="dxa"/>
            <w:noWrap w:val="0"/>
            <w:vAlign w:val="center"/>
          </w:tcPr>
          <w:p w14:paraId="2C356870">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有高液位报警功能的液位监测系统</w:t>
            </w:r>
          </w:p>
        </w:tc>
        <w:tc>
          <w:tcPr>
            <w:tcW w:w="567" w:type="dxa"/>
            <w:noWrap w:val="0"/>
            <w:vAlign w:val="center"/>
          </w:tcPr>
          <w:p w14:paraId="645C0E73">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3E00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1F3A40F7">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17</w:t>
            </w:r>
          </w:p>
        </w:tc>
        <w:tc>
          <w:tcPr>
            <w:tcW w:w="6309" w:type="dxa"/>
            <w:noWrap w:val="0"/>
            <w:vAlign w:val="center"/>
          </w:tcPr>
          <w:p w14:paraId="539F113B">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6.1.17 与土壤接触的钢制油罐外表面，防腐设计应符合现行行业标准《石油化工设备和管道涂料防腐蚀设计标准》SH/T 3022的有关规定，且防腐等级不应低于加强级。</w:t>
            </w:r>
          </w:p>
        </w:tc>
        <w:tc>
          <w:tcPr>
            <w:tcW w:w="1570" w:type="dxa"/>
            <w:noWrap w:val="0"/>
            <w:vAlign w:val="center"/>
          </w:tcPr>
          <w:p w14:paraId="7AD7F67C">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符合规定要求</w:t>
            </w:r>
          </w:p>
        </w:tc>
        <w:tc>
          <w:tcPr>
            <w:tcW w:w="567" w:type="dxa"/>
            <w:noWrap w:val="0"/>
            <w:vAlign w:val="center"/>
          </w:tcPr>
          <w:p w14:paraId="056B56E2">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5AFE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9080" w:type="dxa"/>
            <w:gridSpan w:val="4"/>
            <w:noWrap w:val="0"/>
            <w:vAlign w:val="center"/>
          </w:tcPr>
          <w:p w14:paraId="2C3ED19B">
            <w:pPr>
              <w:autoSpaceDE w:val="0"/>
              <w:autoSpaceDN w:val="0"/>
              <w:spacing w:line="320" w:lineRule="exact"/>
              <w:jc w:val="center"/>
              <w:rPr>
                <w:rFonts w:eastAsia="宋体"/>
                <w:b/>
                <w:color w:val="000000"/>
                <w:kern w:val="0"/>
                <w:sz w:val="21"/>
                <w:szCs w:val="21"/>
              </w:rPr>
            </w:pPr>
            <w:r>
              <w:rPr>
                <w:rFonts w:eastAsia="宋体"/>
                <w:b/>
                <w:color w:val="000000"/>
                <w:kern w:val="0"/>
                <w:sz w:val="21"/>
                <w:szCs w:val="21"/>
              </w:rPr>
              <w:t>加油机</w:t>
            </w:r>
          </w:p>
        </w:tc>
      </w:tr>
      <w:tr w14:paraId="47C7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15A851F5">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w:t>
            </w:r>
          </w:p>
        </w:tc>
        <w:tc>
          <w:tcPr>
            <w:tcW w:w="6309" w:type="dxa"/>
            <w:noWrap w:val="0"/>
            <w:vAlign w:val="center"/>
          </w:tcPr>
          <w:p w14:paraId="13142EB7">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6.2.1 加油机不得设置在室内。</w:t>
            </w:r>
          </w:p>
        </w:tc>
        <w:tc>
          <w:tcPr>
            <w:tcW w:w="1570" w:type="dxa"/>
            <w:noWrap w:val="0"/>
            <w:vAlign w:val="center"/>
          </w:tcPr>
          <w:p w14:paraId="25823FF9">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设置在室外</w:t>
            </w:r>
          </w:p>
        </w:tc>
        <w:tc>
          <w:tcPr>
            <w:tcW w:w="567" w:type="dxa"/>
            <w:noWrap w:val="0"/>
            <w:vAlign w:val="center"/>
          </w:tcPr>
          <w:p w14:paraId="5098743A">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061A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67D77642">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2</w:t>
            </w:r>
          </w:p>
        </w:tc>
        <w:tc>
          <w:tcPr>
            <w:tcW w:w="6309" w:type="dxa"/>
            <w:noWrap w:val="0"/>
            <w:vAlign w:val="center"/>
          </w:tcPr>
          <w:p w14:paraId="61238E2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6.2.2 加油枪应采用自封式加油枪，汽油加油枪的流量不应大于50L/min。</w:t>
            </w:r>
          </w:p>
        </w:tc>
        <w:tc>
          <w:tcPr>
            <w:tcW w:w="1570" w:type="dxa"/>
            <w:noWrap w:val="0"/>
            <w:vAlign w:val="center"/>
          </w:tcPr>
          <w:p w14:paraId="42D4C75B">
            <w:pPr>
              <w:autoSpaceDE w:val="0"/>
              <w:autoSpaceDN w:val="0"/>
              <w:adjustRightInd w:val="0"/>
              <w:spacing w:line="320" w:lineRule="exact"/>
              <w:jc w:val="left"/>
              <w:rPr>
                <w:rFonts w:ascii="Times New Roman" w:hAnsi="宋体" w:eastAsia="宋体" w:cs="Times New Roman"/>
                <w:bCs/>
                <w:color w:val="000000"/>
                <w:kern w:val="0"/>
                <w:sz w:val="21"/>
                <w:szCs w:val="21"/>
              </w:rPr>
            </w:pPr>
            <w:r>
              <w:rPr>
                <w:rFonts w:hint="default" w:ascii="Times New Roman" w:hAnsi="宋体" w:eastAsia="宋体" w:cs="Times New Roman"/>
                <w:bCs/>
                <w:color w:val="000000"/>
                <w:kern w:val="0"/>
                <w:sz w:val="21"/>
                <w:szCs w:val="21"/>
              </w:rPr>
              <w:t>采用自封式加油枪，均不大于50L/min</w:t>
            </w:r>
          </w:p>
        </w:tc>
        <w:tc>
          <w:tcPr>
            <w:tcW w:w="567" w:type="dxa"/>
            <w:noWrap w:val="0"/>
            <w:vAlign w:val="center"/>
          </w:tcPr>
          <w:p w14:paraId="0141E7A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7C0C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68727D76">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3</w:t>
            </w:r>
          </w:p>
        </w:tc>
        <w:tc>
          <w:tcPr>
            <w:tcW w:w="6309" w:type="dxa"/>
            <w:noWrap w:val="0"/>
            <w:vAlign w:val="center"/>
          </w:tcPr>
          <w:p w14:paraId="4A67DA7F">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6.2.3 加油软管上宜设安全拉断阀。</w:t>
            </w:r>
          </w:p>
        </w:tc>
        <w:tc>
          <w:tcPr>
            <w:tcW w:w="1570" w:type="dxa"/>
            <w:noWrap w:val="0"/>
            <w:vAlign w:val="center"/>
          </w:tcPr>
          <w:p w14:paraId="3C0E3A25">
            <w:pPr>
              <w:autoSpaceDE w:val="0"/>
              <w:autoSpaceDN w:val="0"/>
              <w:adjustRightInd w:val="0"/>
              <w:spacing w:line="320" w:lineRule="exact"/>
              <w:jc w:val="left"/>
              <w:rPr>
                <w:rFonts w:ascii="Times New Roman" w:hAnsi="宋体" w:eastAsia="宋体" w:cs="Times New Roman"/>
                <w:bCs/>
                <w:color w:val="000000"/>
                <w:kern w:val="0"/>
                <w:sz w:val="21"/>
                <w:szCs w:val="21"/>
              </w:rPr>
            </w:pPr>
            <w:r>
              <w:rPr>
                <w:rFonts w:ascii="Times New Roman" w:hAnsi="宋体" w:eastAsia="宋体" w:cs="Times New Roman"/>
                <w:bCs/>
                <w:color w:val="000000"/>
                <w:kern w:val="0"/>
                <w:sz w:val="21"/>
                <w:szCs w:val="21"/>
              </w:rPr>
              <w:t>有安全拉断阀</w:t>
            </w:r>
          </w:p>
        </w:tc>
        <w:tc>
          <w:tcPr>
            <w:tcW w:w="567" w:type="dxa"/>
            <w:noWrap w:val="0"/>
            <w:vAlign w:val="center"/>
          </w:tcPr>
          <w:p w14:paraId="133F08C9">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0B30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6C7A2F66">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4</w:t>
            </w:r>
          </w:p>
        </w:tc>
        <w:tc>
          <w:tcPr>
            <w:tcW w:w="6309" w:type="dxa"/>
            <w:noWrap w:val="0"/>
            <w:vAlign w:val="center"/>
          </w:tcPr>
          <w:p w14:paraId="5FA3E68C">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6.2.4 以正压(潜油泵)供油的加油机，底部的供油管道上应设剪切阀，当加油机被撞或起火时，剪切阀应能自动关闭。</w:t>
            </w:r>
          </w:p>
        </w:tc>
        <w:tc>
          <w:tcPr>
            <w:tcW w:w="1570" w:type="dxa"/>
            <w:noWrap w:val="0"/>
            <w:vAlign w:val="center"/>
          </w:tcPr>
          <w:p w14:paraId="628F8351">
            <w:pPr>
              <w:autoSpaceDE w:val="0"/>
              <w:autoSpaceDN w:val="0"/>
              <w:adjustRightInd w:val="0"/>
              <w:spacing w:line="320" w:lineRule="exact"/>
              <w:jc w:val="left"/>
              <w:rPr>
                <w:rFonts w:ascii="Times New Roman" w:hAnsi="宋体" w:eastAsia="宋体" w:cs="Times New Roman"/>
                <w:bCs/>
                <w:color w:val="000000"/>
                <w:kern w:val="0"/>
                <w:sz w:val="21"/>
                <w:szCs w:val="21"/>
              </w:rPr>
            </w:pPr>
            <w:r>
              <w:rPr>
                <w:rFonts w:ascii="Times New Roman" w:hAnsi="宋体" w:eastAsia="宋体" w:cs="Times New Roman"/>
                <w:bCs/>
                <w:color w:val="000000"/>
                <w:kern w:val="0"/>
                <w:sz w:val="21"/>
                <w:szCs w:val="21"/>
              </w:rPr>
              <w:t>设有剪切阀</w:t>
            </w:r>
          </w:p>
        </w:tc>
        <w:tc>
          <w:tcPr>
            <w:tcW w:w="567" w:type="dxa"/>
            <w:noWrap w:val="0"/>
            <w:vAlign w:val="center"/>
          </w:tcPr>
          <w:p w14:paraId="0E02F98F">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3352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2187A4C6">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5</w:t>
            </w:r>
          </w:p>
        </w:tc>
        <w:tc>
          <w:tcPr>
            <w:tcW w:w="6309" w:type="dxa"/>
            <w:noWrap w:val="0"/>
            <w:vAlign w:val="center"/>
          </w:tcPr>
          <w:p w14:paraId="220B07C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6.2.5 采用一机多油品的加油机时，加油机上的放枪位应有各油品的文字标识，加油枪应有颜色标识。</w:t>
            </w:r>
          </w:p>
        </w:tc>
        <w:tc>
          <w:tcPr>
            <w:tcW w:w="1570" w:type="dxa"/>
            <w:noWrap w:val="0"/>
            <w:vAlign w:val="center"/>
          </w:tcPr>
          <w:p w14:paraId="51471206">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有文字标识有颜色标识</w:t>
            </w:r>
          </w:p>
        </w:tc>
        <w:tc>
          <w:tcPr>
            <w:tcW w:w="567" w:type="dxa"/>
            <w:noWrap w:val="0"/>
            <w:vAlign w:val="center"/>
          </w:tcPr>
          <w:p w14:paraId="66D4F482">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7466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9080" w:type="dxa"/>
            <w:gridSpan w:val="4"/>
            <w:noWrap w:val="0"/>
            <w:vAlign w:val="center"/>
          </w:tcPr>
          <w:p w14:paraId="7B81C96F">
            <w:pPr>
              <w:spacing w:line="320" w:lineRule="exact"/>
              <w:jc w:val="center"/>
              <w:rPr>
                <w:rFonts w:eastAsia="宋体"/>
                <w:b/>
                <w:bCs/>
                <w:color w:val="000000"/>
                <w:kern w:val="0"/>
                <w:sz w:val="21"/>
                <w:szCs w:val="21"/>
              </w:rPr>
            </w:pPr>
            <w:r>
              <w:rPr>
                <w:rFonts w:eastAsia="宋体"/>
                <w:b/>
                <w:bCs/>
                <w:color w:val="000000"/>
                <w:kern w:val="0"/>
                <w:sz w:val="21"/>
                <w:szCs w:val="21"/>
              </w:rPr>
              <w:t>工艺管道系统</w:t>
            </w:r>
          </w:p>
        </w:tc>
      </w:tr>
      <w:tr w14:paraId="7D69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34" w:type="dxa"/>
            <w:noWrap w:val="0"/>
            <w:vAlign w:val="center"/>
          </w:tcPr>
          <w:p w14:paraId="45920823">
            <w:pPr>
              <w:autoSpaceDE w:val="0"/>
              <w:autoSpaceDN w:val="0"/>
              <w:spacing w:line="320" w:lineRule="exact"/>
              <w:jc w:val="center"/>
              <w:rPr>
                <w:rFonts w:eastAsia="宋体"/>
                <w:b/>
                <w:bCs/>
                <w:color w:val="000000"/>
                <w:kern w:val="0"/>
                <w:sz w:val="21"/>
                <w:szCs w:val="21"/>
              </w:rPr>
            </w:pPr>
            <w:r>
              <w:rPr>
                <w:rFonts w:eastAsia="宋体"/>
                <w:b/>
                <w:bCs/>
                <w:color w:val="000000"/>
                <w:kern w:val="0"/>
                <w:sz w:val="21"/>
                <w:szCs w:val="21"/>
              </w:rPr>
              <w:t>序号</w:t>
            </w:r>
          </w:p>
        </w:tc>
        <w:tc>
          <w:tcPr>
            <w:tcW w:w="6309" w:type="dxa"/>
            <w:noWrap w:val="0"/>
            <w:vAlign w:val="center"/>
          </w:tcPr>
          <w:p w14:paraId="72FA6048">
            <w:pPr>
              <w:autoSpaceDE w:val="0"/>
              <w:autoSpaceDN w:val="0"/>
              <w:spacing w:line="320" w:lineRule="exact"/>
              <w:jc w:val="center"/>
              <w:rPr>
                <w:rFonts w:eastAsia="宋体"/>
                <w:b/>
                <w:bCs/>
                <w:color w:val="000000"/>
                <w:kern w:val="0"/>
                <w:sz w:val="21"/>
                <w:szCs w:val="21"/>
              </w:rPr>
            </w:pPr>
            <w:r>
              <w:rPr>
                <w:rFonts w:eastAsia="宋体"/>
                <w:b/>
                <w:bCs/>
                <w:color w:val="000000"/>
                <w:kern w:val="0"/>
                <w:sz w:val="21"/>
                <w:szCs w:val="21"/>
              </w:rPr>
              <w:t>检查内容</w:t>
            </w:r>
          </w:p>
        </w:tc>
        <w:tc>
          <w:tcPr>
            <w:tcW w:w="1570" w:type="dxa"/>
            <w:noWrap w:val="0"/>
            <w:vAlign w:val="center"/>
          </w:tcPr>
          <w:p w14:paraId="086F316E">
            <w:pPr>
              <w:spacing w:line="320" w:lineRule="exact"/>
              <w:jc w:val="center"/>
              <w:rPr>
                <w:rFonts w:eastAsia="宋体"/>
                <w:b/>
                <w:bCs/>
                <w:color w:val="000000"/>
                <w:kern w:val="0"/>
                <w:sz w:val="21"/>
                <w:szCs w:val="21"/>
              </w:rPr>
            </w:pPr>
            <w:r>
              <w:rPr>
                <w:rFonts w:eastAsia="宋体"/>
                <w:b/>
                <w:bCs/>
                <w:color w:val="000000"/>
                <w:kern w:val="0"/>
                <w:sz w:val="21"/>
                <w:szCs w:val="21"/>
              </w:rPr>
              <w:t>检查记录</w:t>
            </w:r>
          </w:p>
        </w:tc>
        <w:tc>
          <w:tcPr>
            <w:tcW w:w="567" w:type="dxa"/>
            <w:noWrap w:val="0"/>
            <w:vAlign w:val="center"/>
          </w:tcPr>
          <w:p w14:paraId="01F6BF65">
            <w:pPr>
              <w:spacing w:line="320" w:lineRule="exact"/>
              <w:jc w:val="center"/>
              <w:rPr>
                <w:rFonts w:eastAsia="宋体"/>
                <w:b/>
                <w:bCs/>
                <w:color w:val="000000"/>
                <w:kern w:val="0"/>
                <w:sz w:val="21"/>
                <w:szCs w:val="21"/>
              </w:rPr>
            </w:pPr>
            <w:r>
              <w:rPr>
                <w:rFonts w:eastAsia="宋体"/>
                <w:b/>
                <w:bCs/>
                <w:color w:val="000000"/>
                <w:kern w:val="0"/>
                <w:sz w:val="21"/>
                <w:szCs w:val="21"/>
              </w:rPr>
              <w:t>结论</w:t>
            </w:r>
          </w:p>
        </w:tc>
      </w:tr>
      <w:tr w14:paraId="01D7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3F84FD54">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w:t>
            </w:r>
          </w:p>
        </w:tc>
        <w:tc>
          <w:tcPr>
            <w:tcW w:w="6309" w:type="dxa"/>
            <w:noWrap w:val="0"/>
            <w:vAlign w:val="center"/>
          </w:tcPr>
          <w:p w14:paraId="083BC07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 汽油和柴油油罐车卸油必须采用密闭卸油方式。汽油油罐车应具有卸油油气回收系统。</w:t>
            </w:r>
          </w:p>
        </w:tc>
        <w:tc>
          <w:tcPr>
            <w:tcW w:w="1570" w:type="dxa"/>
            <w:noWrap w:val="0"/>
            <w:vAlign w:val="center"/>
          </w:tcPr>
          <w:p w14:paraId="064656A7">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采用密闭卸油方式</w:t>
            </w:r>
          </w:p>
        </w:tc>
        <w:tc>
          <w:tcPr>
            <w:tcW w:w="567" w:type="dxa"/>
            <w:noWrap w:val="0"/>
            <w:vAlign w:val="center"/>
          </w:tcPr>
          <w:p w14:paraId="5D64C16A">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4895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634" w:type="dxa"/>
            <w:noWrap w:val="0"/>
            <w:vAlign w:val="center"/>
          </w:tcPr>
          <w:p w14:paraId="0A1C92AA">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2</w:t>
            </w:r>
          </w:p>
        </w:tc>
        <w:tc>
          <w:tcPr>
            <w:tcW w:w="6309" w:type="dxa"/>
            <w:noWrap w:val="0"/>
            <w:vAlign w:val="center"/>
          </w:tcPr>
          <w:p w14:paraId="5A7F15B9">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6.3.2 每个油罐应各自设置卸油管道和卸油接口。各卸油接口及油气回收接口应有明显的标识。</w:t>
            </w:r>
          </w:p>
        </w:tc>
        <w:tc>
          <w:tcPr>
            <w:tcW w:w="1570" w:type="dxa"/>
            <w:noWrap w:val="0"/>
            <w:vAlign w:val="center"/>
          </w:tcPr>
          <w:p w14:paraId="5337FEE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每个油罐各自设置卸油管道和卸油接口，各接口有明显的标识。</w:t>
            </w:r>
          </w:p>
        </w:tc>
        <w:tc>
          <w:tcPr>
            <w:tcW w:w="567" w:type="dxa"/>
            <w:noWrap w:val="0"/>
            <w:vAlign w:val="center"/>
          </w:tcPr>
          <w:p w14:paraId="3D8CCE78">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5830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138DE02E">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3</w:t>
            </w:r>
          </w:p>
        </w:tc>
        <w:tc>
          <w:tcPr>
            <w:tcW w:w="6309" w:type="dxa"/>
            <w:noWrap w:val="0"/>
            <w:vAlign w:val="center"/>
          </w:tcPr>
          <w:p w14:paraId="4FD0129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6.3.3 卸油接口应装设快速接头及密封盖。</w:t>
            </w:r>
          </w:p>
        </w:tc>
        <w:tc>
          <w:tcPr>
            <w:tcW w:w="1570" w:type="dxa"/>
            <w:noWrap w:val="0"/>
            <w:vAlign w:val="center"/>
          </w:tcPr>
          <w:p w14:paraId="07ACCBFB">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装设快速接头及密封盖</w:t>
            </w:r>
          </w:p>
        </w:tc>
        <w:tc>
          <w:tcPr>
            <w:tcW w:w="567" w:type="dxa"/>
            <w:noWrap w:val="0"/>
            <w:vAlign w:val="center"/>
          </w:tcPr>
          <w:p w14:paraId="6C42BB12">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24C7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4" w:hRule="atLeast"/>
          <w:jc w:val="center"/>
        </w:trPr>
        <w:tc>
          <w:tcPr>
            <w:tcW w:w="634" w:type="dxa"/>
            <w:noWrap w:val="0"/>
            <w:vAlign w:val="center"/>
          </w:tcPr>
          <w:p w14:paraId="10BF477E">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4</w:t>
            </w:r>
          </w:p>
        </w:tc>
        <w:tc>
          <w:tcPr>
            <w:tcW w:w="6309" w:type="dxa"/>
            <w:noWrap w:val="0"/>
            <w:vAlign w:val="center"/>
          </w:tcPr>
          <w:p w14:paraId="6643033C">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6.3.4 加油站卸油油气回收系统的设计应符合下列规定：</w:t>
            </w:r>
          </w:p>
          <w:p w14:paraId="7537EF94">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1 汽油罐车向站内油罐卸油应采用平衡式密闭油气回收系统；</w:t>
            </w:r>
          </w:p>
          <w:p w14:paraId="423548CE">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2 各汽油罐可共用一根卸油油气回收主管，回收主管的公称直径不宜小于100mm；</w:t>
            </w:r>
          </w:p>
          <w:p w14:paraId="134B92EC">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3 卸油油气回收管道的接口宜采用自闭式快速接头和盖帽，采用</w:t>
            </w:r>
            <w:r>
              <w:rPr>
                <w:rFonts w:hAnsi="宋体" w:eastAsia="宋体"/>
                <w:bCs/>
                <w:color w:val="000000"/>
                <w:spacing w:val="-6"/>
                <w:kern w:val="0"/>
                <w:sz w:val="21"/>
                <w:szCs w:val="21"/>
              </w:rPr>
              <w:t>非自闭式快速接头时，应在靠近快速接头的连接管道上装设阀门和盖帽。</w:t>
            </w:r>
          </w:p>
        </w:tc>
        <w:tc>
          <w:tcPr>
            <w:tcW w:w="1570" w:type="dxa"/>
            <w:noWrap w:val="0"/>
            <w:vAlign w:val="center"/>
          </w:tcPr>
          <w:p w14:paraId="3192190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符合规定要求</w:t>
            </w:r>
          </w:p>
        </w:tc>
        <w:tc>
          <w:tcPr>
            <w:tcW w:w="567" w:type="dxa"/>
            <w:noWrap w:val="0"/>
            <w:vAlign w:val="center"/>
          </w:tcPr>
          <w:p w14:paraId="4A6AA119">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4B37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5C221F90">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5</w:t>
            </w:r>
          </w:p>
        </w:tc>
        <w:tc>
          <w:tcPr>
            <w:tcW w:w="6309" w:type="dxa"/>
            <w:noWrap w:val="0"/>
            <w:vAlign w:val="center"/>
          </w:tcPr>
          <w:p w14:paraId="4A750354">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6.3.5 加油站宜采用油罐装设潜油泵的一泵供多机（枪）的加油工艺。采用自吸式加油机时，每台加油机应按加油品种单独设置进油管和罐内底阀。</w:t>
            </w:r>
          </w:p>
        </w:tc>
        <w:tc>
          <w:tcPr>
            <w:tcW w:w="1570" w:type="dxa"/>
            <w:noWrap w:val="0"/>
            <w:vAlign w:val="center"/>
          </w:tcPr>
          <w:p w14:paraId="3118711B">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是</w:t>
            </w:r>
          </w:p>
        </w:tc>
        <w:tc>
          <w:tcPr>
            <w:tcW w:w="567" w:type="dxa"/>
            <w:noWrap w:val="0"/>
            <w:vAlign w:val="center"/>
          </w:tcPr>
          <w:p w14:paraId="3F5B5B60">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1962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17184862">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6</w:t>
            </w:r>
          </w:p>
        </w:tc>
        <w:tc>
          <w:tcPr>
            <w:tcW w:w="6309" w:type="dxa"/>
            <w:noWrap w:val="0"/>
            <w:vAlign w:val="center"/>
          </w:tcPr>
          <w:p w14:paraId="662B8626">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6.3.6 加油站应采用加油油气回收系统。</w:t>
            </w:r>
          </w:p>
        </w:tc>
        <w:tc>
          <w:tcPr>
            <w:tcW w:w="1570" w:type="dxa"/>
            <w:noWrap w:val="0"/>
            <w:vAlign w:val="center"/>
          </w:tcPr>
          <w:p w14:paraId="73E688CB">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采用加油油气回收系统</w:t>
            </w:r>
          </w:p>
        </w:tc>
        <w:tc>
          <w:tcPr>
            <w:tcW w:w="567" w:type="dxa"/>
            <w:noWrap w:val="0"/>
            <w:vAlign w:val="center"/>
          </w:tcPr>
          <w:p w14:paraId="69B19ED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4C79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4" w:type="dxa"/>
            <w:noWrap w:val="0"/>
            <w:vAlign w:val="center"/>
          </w:tcPr>
          <w:p w14:paraId="00819CA8">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7</w:t>
            </w:r>
          </w:p>
        </w:tc>
        <w:tc>
          <w:tcPr>
            <w:tcW w:w="6309" w:type="dxa"/>
            <w:noWrap w:val="0"/>
            <w:vAlign w:val="center"/>
          </w:tcPr>
          <w:p w14:paraId="0ECCD32F">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Ansi="宋体" w:eastAsia="宋体"/>
                <w:bCs/>
                <w:color w:val="000000"/>
                <w:kern w:val="0"/>
                <w:sz w:val="21"/>
                <w:szCs w:val="21"/>
              </w:rPr>
            </w:pPr>
            <w:r>
              <w:rPr>
                <w:rFonts w:hAnsi="宋体" w:eastAsia="宋体"/>
                <w:bCs/>
                <w:color w:val="000000"/>
                <w:kern w:val="0"/>
                <w:sz w:val="21"/>
                <w:szCs w:val="21"/>
              </w:rPr>
              <w:t>6.3.7 加油油气回收系统的设计应符合下列规定：</w:t>
            </w:r>
          </w:p>
          <w:p w14:paraId="2B1A071E">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1 应采用真空辅助式油气回收系统；</w:t>
            </w:r>
          </w:p>
          <w:p w14:paraId="031E3C26">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2 汽油加油机与油罐之间应设油气回收管道，多台汽油加油机可共用一根油气回收主管，油气回收主管的公称直径不应小于50mm；</w:t>
            </w:r>
          </w:p>
          <w:p w14:paraId="2E001D55">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3 加油油气回收系统应采取防止油气反向流至加油枪的措施；</w:t>
            </w:r>
          </w:p>
          <w:p w14:paraId="5FBB73F6">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4 加油机应具备回收油气功能，其气液比宜设定为1.0~1.2；</w:t>
            </w:r>
          </w:p>
          <w:p w14:paraId="3546FB65">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5 在加油机底部与油气回收立管的连接处，应安装一个用于检测液阻和系统密闭性的丝接三通，其旁通短管上应设公称直径为25mm的球阀及丝堵。</w:t>
            </w:r>
          </w:p>
        </w:tc>
        <w:tc>
          <w:tcPr>
            <w:tcW w:w="1570" w:type="dxa"/>
            <w:noWrap w:val="0"/>
            <w:vAlign w:val="center"/>
          </w:tcPr>
          <w:p w14:paraId="76F3F19D">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加油油气回收系统符合规定要求</w:t>
            </w:r>
          </w:p>
        </w:tc>
        <w:tc>
          <w:tcPr>
            <w:tcW w:w="567" w:type="dxa"/>
            <w:noWrap w:val="0"/>
            <w:vAlign w:val="center"/>
          </w:tcPr>
          <w:p w14:paraId="39549AC9">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合格</w:t>
            </w:r>
          </w:p>
        </w:tc>
      </w:tr>
      <w:tr w14:paraId="4362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4" w:type="dxa"/>
            <w:noWrap w:val="0"/>
            <w:vAlign w:val="center"/>
          </w:tcPr>
          <w:p w14:paraId="20E8A174">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8</w:t>
            </w:r>
          </w:p>
        </w:tc>
        <w:tc>
          <w:tcPr>
            <w:tcW w:w="6309" w:type="dxa"/>
            <w:noWrap w:val="0"/>
            <w:vAlign w:val="center"/>
          </w:tcPr>
          <w:p w14:paraId="2084088B">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Ansi="宋体" w:eastAsia="宋体"/>
                <w:bCs/>
                <w:color w:val="000000"/>
                <w:kern w:val="0"/>
                <w:sz w:val="21"/>
                <w:szCs w:val="21"/>
              </w:rPr>
            </w:pPr>
            <w:r>
              <w:rPr>
                <w:rFonts w:hAnsi="宋体" w:eastAsia="宋体"/>
                <w:bCs/>
                <w:color w:val="000000"/>
                <w:kern w:val="0"/>
                <w:sz w:val="21"/>
                <w:szCs w:val="21"/>
              </w:rPr>
              <w:t>6.3.8 油罐的接合管设置应符合下列规定：</w:t>
            </w:r>
          </w:p>
          <w:p w14:paraId="3B89F431">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1 接合管应为金属材质。</w:t>
            </w:r>
          </w:p>
          <w:p w14:paraId="30F360CB">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2 接合管应设在油罐的顶部，其中进油接合管、出油接合管或潜油泵安装口应设在人孔盖上。</w:t>
            </w:r>
          </w:p>
          <w:p w14:paraId="16D559C3">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3 进油管应伸至罐内距罐底50mm～100mm处。进油立管的底端应为45°斜管口或T形管口，进油管管壁上不得有与油罐气相空间相通的开口。</w:t>
            </w:r>
          </w:p>
          <w:p w14:paraId="5B4EDEE3">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4 罐内潜油泵的入油口或通往自吸式加油机管道的罐内底阀，应高于罐底150mm～200mm。</w:t>
            </w:r>
          </w:p>
          <w:p w14:paraId="63F1B9C3">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5 油罐的量油孔应设带锁的量油帽，量油孔下部的接合管宜向下伸至罐内距罐底200mm处，并应有检尺时使接合管内液位与罐内液位相一致的技术措施。</w:t>
            </w:r>
          </w:p>
          <w:p w14:paraId="78251439">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6 油罐人孔井内的管道及设备应保证油罐人孔盖的可拆装性。</w:t>
            </w:r>
          </w:p>
          <w:p w14:paraId="0485DF80">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7 人孔盖上的接合管与引出井外管道的连接，宜采用金属软管过渡连接。</w:t>
            </w:r>
          </w:p>
        </w:tc>
        <w:tc>
          <w:tcPr>
            <w:tcW w:w="1570" w:type="dxa"/>
            <w:noWrap w:val="0"/>
            <w:vAlign w:val="center"/>
          </w:tcPr>
          <w:p w14:paraId="110EBF34">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油罐的接合管设置符合要求</w:t>
            </w:r>
          </w:p>
        </w:tc>
        <w:tc>
          <w:tcPr>
            <w:tcW w:w="567" w:type="dxa"/>
            <w:noWrap w:val="0"/>
            <w:vAlign w:val="center"/>
          </w:tcPr>
          <w:p w14:paraId="68BBB35A">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合格</w:t>
            </w:r>
          </w:p>
        </w:tc>
      </w:tr>
      <w:tr w14:paraId="7074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4" w:type="dxa"/>
            <w:noWrap w:val="0"/>
            <w:vAlign w:val="center"/>
          </w:tcPr>
          <w:p w14:paraId="51C85DB5">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9</w:t>
            </w:r>
          </w:p>
        </w:tc>
        <w:tc>
          <w:tcPr>
            <w:tcW w:w="6309" w:type="dxa"/>
            <w:noWrap w:val="0"/>
            <w:vAlign w:val="center"/>
          </w:tcPr>
          <w:p w14:paraId="73870C7F">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Ansi="宋体" w:eastAsia="宋体"/>
                <w:bCs/>
                <w:color w:val="000000"/>
                <w:kern w:val="0"/>
                <w:sz w:val="21"/>
                <w:szCs w:val="21"/>
              </w:rPr>
            </w:pPr>
            <w:r>
              <w:rPr>
                <w:rFonts w:hAnsi="宋体" w:eastAsia="宋体"/>
                <w:bCs/>
                <w:color w:val="000000"/>
                <w:kern w:val="0"/>
                <w:sz w:val="21"/>
                <w:szCs w:val="21"/>
              </w:rPr>
              <w:t>6.3.9 汽油罐与柴油罐的通气管应分开设置。通气管管口高出地面的高度不应小于4m。沿建（构)筑物的墙（柱)向上敷设的通气管，管口应高出建筑物的顶面2m及以上。通气管管口应设置阻火器。</w:t>
            </w:r>
          </w:p>
        </w:tc>
        <w:tc>
          <w:tcPr>
            <w:tcW w:w="1570" w:type="dxa"/>
            <w:noWrap w:val="0"/>
            <w:vAlign w:val="center"/>
          </w:tcPr>
          <w:p w14:paraId="6C99E83A">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汽、柴油通气管分开设置，管口设有阻火器，高4m</w:t>
            </w:r>
          </w:p>
        </w:tc>
        <w:tc>
          <w:tcPr>
            <w:tcW w:w="567" w:type="dxa"/>
            <w:noWrap w:val="0"/>
            <w:vAlign w:val="center"/>
          </w:tcPr>
          <w:p w14:paraId="4F064AC2">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合格</w:t>
            </w:r>
          </w:p>
        </w:tc>
      </w:tr>
      <w:tr w14:paraId="7A05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4" w:type="dxa"/>
            <w:noWrap w:val="0"/>
            <w:vAlign w:val="center"/>
          </w:tcPr>
          <w:p w14:paraId="6259DBD3">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10</w:t>
            </w:r>
          </w:p>
        </w:tc>
        <w:tc>
          <w:tcPr>
            <w:tcW w:w="6309" w:type="dxa"/>
            <w:noWrap w:val="0"/>
            <w:vAlign w:val="center"/>
          </w:tcPr>
          <w:p w14:paraId="770C3BBD">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Ansi="宋体" w:eastAsia="宋体"/>
                <w:bCs/>
                <w:color w:val="000000"/>
                <w:kern w:val="0"/>
                <w:sz w:val="21"/>
                <w:szCs w:val="21"/>
              </w:rPr>
            </w:pPr>
            <w:r>
              <w:rPr>
                <w:rFonts w:hAnsi="宋体" w:eastAsia="宋体"/>
                <w:bCs/>
                <w:color w:val="000000"/>
                <w:kern w:val="0"/>
                <w:sz w:val="21"/>
                <w:szCs w:val="21"/>
              </w:rPr>
              <w:t>6.3.10 通气管的公称直径不应小于50mm。</w:t>
            </w:r>
          </w:p>
        </w:tc>
        <w:tc>
          <w:tcPr>
            <w:tcW w:w="1570" w:type="dxa"/>
            <w:noWrap w:val="0"/>
            <w:vAlign w:val="center"/>
          </w:tcPr>
          <w:p w14:paraId="1391CEE4">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50mm</w:t>
            </w:r>
          </w:p>
        </w:tc>
        <w:tc>
          <w:tcPr>
            <w:tcW w:w="567" w:type="dxa"/>
            <w:noWrap w:val="0"/>
            <w:vAlign w:val="center"/>
          </w:tcPr>
          <w:p w14:paraId="6122AF02">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合格</w:t>
            </w:r>
          </w:p>
        </w:tc>
      </w:tr>
      <w:tr w14:paraId="7566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4" w:type="dxa"/>
            <w:noWrap w:val="0"/>
            <w:vAlign w:val="center"/>
          </w:tcPr>
          <w:p w14:paraId="3C02C521">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11</w:t>
            </w:r>
          </w:p>
        </w:tc>
        <w:tc>
          <w:tcPr>
            <w:tcW w:w="6309" w:type="dxa"/>
            <w:noWrap w:val="0"/>
            <w:vAlign w:val="center"/>
          </w:tcPr>
          <w:p w14:paraId="5A87FD8F">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Ansi="宋体" w:eastAsia="宋体"/>
                <w:bCs/>
                <w:color w:val="000000"/>
                <w:kern w:val="0"/>
                <w:sz w:val="21"/>
                <w:szCs w:val="21"/>
              </w:rPr>
            </w:pPr>
            <w:r>
              <w:rPr>
                <w:rFonts w:hAnsi="宋体" w:eastAsia="宋体"/>
                <w:bCs/>
                <w:color w:val="000000"/>
                <w:kern w:val="0"/>
                <w:sz w:val="21"/>
                <w:szCs w:val="21"/>
              </w:rPr>
              <w:t>6.3.11 当加油站采用油气回</w:t>
            </w:r>
            <w:r>
              <w:rPr>
                <w:rFonts w:hint="eastAsia" w:hAnsi="宋体"/>
                <w:bCs/>
                <w:color w:val="000000"/>
                <w:kern w:val="0"/>
                <w:sz w:val="21"/>
                <w:szCs w:val="21"/>
                <w:lang w:eastAsia="zh-CN"/>
              </w:rPr>
              <w:t>收</w:t>
            </w:r>
            <w:r>
              <w:rPr>
                <w:rFonts w:hAnsi="宋体" w:eastAsia="宋体"/>
                <w:bCs/>
                <w:color w:val="000000"/>
                <w:kern w:val="0"/>
                <w:sz w:val="21"/>
                <w:szCs w:val="21"/>
              </w:rPr>
              <w:t>系统时，汽油罐的通气管管口除应装设阻火器外，尚应装设呼吸阀。呼吸阀的工作正压宜为2kPa~3kPa，工作负压宜为1.5kPa~2kPa。</w:t>
            </w:r>
          </w:p>
        </w:tc>
        <w:tc>
          <w:tcPr>
            <w:tcW w:w="1570" w:type="dxa"/>
            <w:noWrap w:val="0"/>
            <w:vAlign w:val="center"/>
          </w:tcPr>
          <w:p w14:paraId="0F25E2B3">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汽油通气管管口安装阻火型真空压力阀(P/V阀)</w:t>
            </w:r>
          </w:p>
        </w:tc>
        <w:tc>
          <w:tcPr>
            <w:tcW w:w="567" w:type="dxa"/>
            <w:noWrap w:val="0"/>
            <w:vAlign w:val="center"/>
          </w:tcPr>
          <w:p w14:paraId="5CC4C9DF">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合格</w:t>
            </w:r>
          </w:p>
        </w:tc>
      </w:tr>
      <w:tr w14:paraId="4867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4" w:type="dxa"/>
            <w:noWrap w:val="0"/>
            <w:vAlign w:val="center"/>
          </w:tcPr>
          <w:p w14:paraId="0B64D3BA">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12</w:t>
            </w:r>
          </w:p>
        </w:tc>
        <w:tc>
          <w:tcPr>
            <w:tcW w:w="6309" w:type="dxa"/>
            <w:noWrap w:val="0"/>
            <w:vAlign w:val="center"/>
          </w:tcPr>
          <w:p w14:paraId="73A1C7FC">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Ansi="宋体" w:eastAsia="宋体"/>
                <w:bCs/>
                <w:color w:val="000000"/>
                <w:kern w:val="0"/>
                <w:sz w:val="21"/>
                <w:szCs w:val="21"/>
              </w:rPr>
            </w:pPr>
            <w:r>
              <w:rPr>
                <w:rFonts w:hAnsi="宋体" w:eastAsia="宋体"/>
                <w:bCs/>
                <w:color w:val="000000"/>
                <w:kern w:val="0"/>
                <w:sz w:val="21"/>
                <w:szCs w:val="21"/>
              </w:rPr>
              <w:t>6.3.12 加油站工艺管道的选用，应符合下列规定：</w:t>
            </w:r>
          </w:p>
          <w:p w14:paraId="02817AE2">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1 地面敷设的工艺管道应采用符合现行国家标准《输送流体用无缝钢管》GB/T 8163的无缝钢管；。</w:t>
            </w:r>
          </w:p>
          <w:p w14:paraId="541E6E43">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2 其他管道应采用输送流体用无缝钢管或适于输送油品的热塑性塑料管道，所采用的热塑性塑料管道应有质量证明文件，非烃类车用燃料不得采用不导静电的热塑性塑料管道；</w:t>
            </w:r>
          </w:p>
          <w:p w14:paraId="11AF9212">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3 无缝钢管的公称壁厚不应小于4mm，埋地钢管的连接应采用焊接；</w:t>
            </w:r>
          </w:p>
          <w:p w14:paraId="636EE73A">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4 热塑性塑料管道的主体结构层应为无孔隙聚乙烯材料，壁厚不应小于4mm，埋地部分的热塑性塑料管道应用配套的专用连接管件电熔连接；</w:t>
            </w:r>
          </w:p>
          <w:p w14:paraId="2F6FDEC6">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5 导静电热塑性塑料管道导静电衬层的体电阻率应小于108Ω▪m，表面电阻率应小于1010Ω；</w:t>
            </w:r>
          </w:p>
          <w:p w14:paraId="1F2942DF">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6 不导静电热塑性塑料管道主体结构层的介电击穿强度应大于100kV；</w:t>
            </w:r>
          </w:p>
          <w:p w14:paraId="525F53D9">
            <w:pPr>
              <w:keepNext w:val="0"/>
              <w:keepLines w:val="0"/>
              <w:pageBreakBefore w:val="0"/>
              <w:widowControl w:val="0"/>
              <w:kinsoku/>
              <w:wordWrap/>
              <w:overflowPunct/>
              <w:topLinePunct w:val="0"/>
              <w:autoSpaceDE w:val="0"/>
              <w:autoSpaceDN w:val="0"/>
              <w:bidi w:val="0"/>
              <w:adjustRightInd w:val="0"/>
              <w:snapToGrid/>
              <w:spacing w:line="300" w:lineRule="exact"/>
              <w:ind w:firstLine="420" w:firstLineChars="200"/>
              <w:jc w:val="left"/>
              <w:textAlignment w:val="auto"/>
              <w:rPr>
                <w:rFonts w:hAnsi="宋体" w:eastAsia="宋体"/>
                <w:bCs/>
                <w:color w:val="000000"/>
                <w:kern w:val="0"/>
                <w:sz w:val="21"/>
                <w:szCs w:val="21"/>
              </w:rPr>
            </w:pPr>
            <w:r>
              <w:rPr>
                <w:rFonts w:hAnsi="宋体" w:eastAsia="宋体"/>
                <w:bCs/>
                <w:color w:val="000000"/>
                <w:kern w:val="0"/>
                <w:sz w:val="21"/>
                <w:szCs w:val="21"/>
              </w:rPr>
              <w:t>7 柴油尾气处理液加注设备的管道，应采用</w:t>
            </w:r>
            <w:r>
              <w:rPr>
                <w:rFonts w:hint="eastAsia" w:hAnsi="宋体"/>
                <w:bCs/>
                <w:color w:val="000000"/>
                <w:kern w:val="0"/>
                <w:sz w:val="21"/>
                <w:szCs w:val="21"/>
                <w:lang w:eastAsia="zh-CN"/>
              </w:rPr>
              <w:t>奥氏体不锈钢</w:t>
            </w:r>
            <w:r>
              <w:rPr>
                <w:rFonts w:hAnsi="宋体" w:eastAsia="宋体"/>
                <w:bCs/>
                <w:color w:val="000000"/>
                <w:kern w:val="0"/>
                <w:sz w:val="21"/>
                <w:szCs w:val="21"/>
              </w:rPr>
              <w:t>管道或能满足输送柴油尾气处理液的其他管道。</w:t>
            </w:r>
          </w:p>
        </w:tc>
        <w:tc>
          <w:tcPr>
            <w:tcW w:w="1570" w:type="dxa"/>
            <w:noWrap w:val="0"/>
            <w:vAlign w:val="center"/>
          </w:tcPr>
          <w:p w14:paraId="3F240EF2">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int="eastAsia" w:hAnsi="宋体"/>
                <w:bCs/>
                <w:color w:val="000000"/>
                <w:kern w:val="0"/>
                <w:sz w:val="21"/>
                <w:szCs w:val="21"/>
                <w:lang w:val="en-US" w:eastAsia="zh-CN"/>
              </w:rPr>
              <w:t>使用无缝钢管</w:t>
            </w:r>
            <w:r>
              <w:rPr>
                <w:rFonts w:hint="eastAsia" w:hAnsi="宋体" w:eastAsia="宋体"/>
                <w:bCs/>
                <w:color w:val="000000"/>
                <w:kern w:val="0"/>
                <w:sz w:val="21"/>
                <w:szCs w:val="21"/>
              </w:rPr>
              <w:t>。</w:t>
            </w:r>
            <w:r>
              <w:rPr>
                <w:rFonts w:hAnsi="宋体" w:eastAsia="宋体"/>
                <w:bCs/>
                <w:color w:val="000000"/>
                <w:kern w:val="0"/>
                <w:sz w:val="21"/>
                <w:szCs w:val="21"/>
              </w:rPr>
              <w:t xml:space="preserve"> </w:t>
            </w:r>
          </w:p>
        </w:tc>
        <w:tc>
          <w:tcPr>
            <w:tcW w:w="567" w:type="dxa"/>
            <w:noWrap w:val="0"/>
            <w:vAlign w:val="center"/>
          </w:tcPr>
          <w:p w14:paraId="724AA52A">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hAnsi="宋体" w:eastAsia="宋体"/>
                <w:bCs/>
                <w:color w:val="000000"/>
                <w:kern w:val="0"/>
                <w:sz w:val="21"/>
                <w:szCs w:val="21"/>
              </w:rPr>
            </w:pPr>
            <w:r>
              <w:rPr>
                <w:rFonts w:hAnsi="宋体" w:eastAsia="宋体"/>
                <w:bCs/>
                <w:color w:val="000000"/>
                <w:kern w:val="0"/>
                <w:sz w:val="21"/>
                <w:szCs w:val="21"/>
              </w:rPr>
              <w:t>合格</w:t>
            </w:r>
          </w:p>
        </w:tc>
      </w:tr>
      <w:tr w14:paraId="2755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048FB992">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13</w:t>
            </w:r>
          </w:p>
        </w:tc>
        <w:tc>
          <w:tcPr>
            <w:tcW w:w="6309" w:type="dxa"/>
            <w:noWrap w:val="0"/>
            <w:vAlign w:val="center"/>
          </w:tcPr>
          <w:p w14:paraId="22E8F25C">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6.3.13 油罐车卸油时用的卸油连通软管、油气回收连通软管，应采用导静电耐油软管，其体电阻率应小于108Ω·m，表面电阻率应小于1010Ω，或采用内附金属丝(网)的塑料软管。</w:t>
            </w:r>
          </w:p>
        </w:tc>
        <w:tc>
          <w:tcPr>
            <w:tcW w:w="1570" w:type="dxa"/>
            <w:noWrap w:val="0"/>
            <w:vAlign w:val="center"/>
          </w:tcPr>
          <w:p w14:paraId="6A2BDA28">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采用导静电耐油软管</w:t>
            </w:r>
          </w:p>
        </w:tc>
        <w:tc>
          <w:tcPr>
            <w:tcW w:w="567" w:type="dxa"/>
            <w:noWrap w:val="0"/>
            <w:vAlign w:val="center"/>
          </w:tcPr>
          <w:p w14:paraId="04471731">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5726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5EA9A6BF">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14</w:t>
            </w:r>
          </w:p>
        </w:tc>
        <w:tc>
          <w:tcPr>
            <w:tcW w:w="6309" w:type="dxa"/>
            <w:noWrap w:val="0"/>
            <w:vAlign w:val="center"/>
          </w:tcPr>
          <w:p w14:paraId="1E298F66">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6.3.14 加油站内的工艺管道除必须露出地面的以外，均应埋地敷设。当采用管沟敷设时，管沟必须用中性沙子或细土填满、填实。</w:t>
            </w:r>
          </w:p>
        </w:tc>
        <w:tc>
          <w:tcPr>
            <w:tcW w:w="1570" w:type="dxa"/>
            <w:noWrap w:val="0"/>
            <w:vAlign w:val="center"/>
          </w:tcPr>
          <w:p w14:paraId="5D87BBC2">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除必须露出地面的以外的工艺管道外均埋地敷设</w:t>
            </w:r>
          </w:p>
        </w:tc>
        <w:tc>
          <w:tcPr>
            <w:tcW w:w="567" w:type="dxa"/>
            <w:noWrap w:val="0"/>
            <w:vAlign w:val="center"/>
          </w:tcPr>
          <w:p w14:paraId="2683EE94">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21A0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1FEF0080">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15</w:t>
            </w:r>
          </w:p>
        </w:tc>
        <w:tc>
          <w:tcPr>
            <w:tcW w:w="6309" w:type="dxa"/>
            <w:noWrap w:val="0"/>
            <w:vAlign w:val="center"/>
          </w:tcPr>
          <w:p w14:paraId="653FBAE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6.3.15 卸油管道、卸油油气回收管道、加油油气回收管道和油罐通气管横管，应坡向埋地油罐。卸油管道的坡度不应小于2‰，卸油油气回收管道、加油油气回收管道和油罐通气管横管的坡度，不应</w:t>
            </w:r>
            <w:r>
              <w:rPr>
                <w:rFonts w:hint="eastAsia" w:hAnsi="宋体"/>
                <w:bCs/>
                <w:color w:val="000000"/>
                <w:kern w:val="0"/>
                <w:sz w:val="21"/>
                <w:szCs w:val="21"/>
                <w:lang w:eastAsia="zh-CN"/>
              </w:rPr>
              <w:t>小于</w:t>
            </w:r>
            <w:r>
              <w:rPr>
                <w:rFonts w:hAnsi="宋体" w:eastAsia="宋体"/>
                <w:bCs/>
                <w:color w:val="000000"/>
                <w:kern w:val="0"/>
                <w:sz w:val="21"/>
                <w:szCs w:val="21"/>
              </w:rPr>
              <w:t>1%。</w:t>
            </w:r>
          </w:p>
        </w:tc>
        <w:tc>
          <w:tcPr>
            <w:tcW w:w="1570" w:type="dxa"/>
            <w:noWrap w:val="0"/>
            <w:vAlign w:val="center"/>
          </w:tcPr>
          <w:p w14:paraId="7E8CFC3E">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坡向埋地油罐</w:t>
            </w:r>
          </w:p>
        </w:tc>
        <w:tc>
          <w:tcPr>
            <w:tcW w:w="567" w:type="dxa"/>
            <w:noWrap w:val="0"/>
            <w:vAlign w:val="center"/>
          </w:tcPr>
          <w:p w14:paraId="5038F938">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6B0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066C64F5">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16</w:t>
            </w:r>
          </w:p>
        </w:tc>
        <w:tc>
          <w:tcPr>
            <w:tcW w:w="6309" w:type="dxa"/>
            <w:noWrap w:val="0"/>
            <w:vAlign w:val="center"/>
          </w:tcPr>
          <w:p w14:paraId="3B18A83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6.3.16 受地形限制，加油油气回收管道坡向油罐的坡度无法满足本标准第6.3.14条的要求时，可在管道靠近油罐的位置设置集液器，且管道坡向集液器的坡度不应小1％。</w:t>
            </w:r>
          </w:p>
        </w:tc>
        <w:tc>
          <w:tcPr>
            <w:tcW w:w="1570" w:type="dxa"/>
            <w:noWrap w:val="0"/>
            <w:vAlign w:val="center"/>
          </w:tcPr>
          <w:p w14:paraId="0BF65824">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在管道靠近油罐的位置设置集液罐，且管道坡向集液罐的坡度不小于1%</w:t>
            </w:r>
          </w:p>
        </w:tc>
        <w:tc>
          <w:tcPr>
            <w:tcW w:w="567" w:type="dxa"/>
            <w:noWrap w:val="0"/>
            <w:vAlign w:val="center"/>
          </w:tcPr>
          <w:p w14:paraId="18141094">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符合</w:t>
            </w:r>
          </w:p>
        </w:tc>
      </w:tr>
      <w:tr w14:paraId="7110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7FE813CE">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17</w:t>
            </w:r>
          </w:p>
        </w:tc>
        <w:tc>
          <w:tcPr>
            <w:tcW w:w="6309" w:type="dxa"/>
            <w:noWrap w:val="0"/>
            <w:vAlign w:val="center"/>
          </w:tcPr>
          <w:p w14:paraId="11AB84F6">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6.3.17 埋地工艺管道的埋设深度不得小于0.4m。敷设在混凝土场地或道路下面的管道，管顶低于混凝土下表面不得小于0.2m。管道周围应回填不小于100mm厚的中性沙子或细土。</w:t>
            </w:r>
          </w:p>
        </w:tc>
        <w:tc>
          <w:tcPr>
            <w:tcW w:w="1570" w:type="dxa"/>
            <w:noWrap w:val="0"/>
            <w:vAlign w:val="center"/>
          </w:tcPr>
          <w:p w14:paraId="6FE63F94">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埋地工艺管道的埋设深度符合要求</w:t>
            </w:r>
          </w:p>
        </w:tc>
        <w:tc>
          <w:tcPr>
            <w:tcW w:w="567" w:type="dxa"/>
            <w:noWrap w:val="0"/>
            <w:vAlign w:val="center"/>
          </w:tcPr>
          <w:p w14:paraId="1598D122">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7A9F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jc w:val="center"/>
        </w:trPr>
        <w:tc>
          <w:tcPr>
            <w:tcW w:w="634" w:type="dxa"/>
            <w:noWrap w:val="0"/>
            <w:vAlign w:val="center"/>
          </w:tcPr>
          <w:p w14:paraId="1394061C">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18</w:t>
            </w:r>
          </w:p>
        </w:tc>
        <w:tc>
          <w:tcPr>
            <w:tcW w:w="6309" w:type="dxa"/>
            <w:noWrap w:val="0"/>
            <w:vAlign w:val="center"/>
          </w:tcPr>
          <w:p w14:paraId="322A9E9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6.3.18 工艺管道不应穿过或跨越站房等与其无直接关系的建(构)筑物；与管沟、电缆沟和排水沟相交叉，应采取相应的防护措施。</w:t>
            </w:r>
          </w:p>
        </w:tc>
        <w:tc>
          <w:tcPr>
            <w:tcW w:w="1570" w:type="dxa"/>
            <w:noWrap w:val="0"/>
            <w:vAlign w:val="center"/>
          </w:tcPr>
          <w:p w14:paraId="5C2203A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工艺管道不穿过或跨越站房等与其无关建(构)筑物</w:t>
            </w:r>
          </w:p>
        </w:tc>
        <w:tc>
          <w:tcPr>
            <w:tcW w:w="567" w:type="dxa"/>
            <w:noWrap w:val="0"/>
            <w:vAlign w:val="center"/>
          </w:tcPr>
          <w:p w14:paraId="27755286">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303A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6" w:hRule="atLeast"/>
          <w:jc w:val="center"/>
        </w:trPr>
        <w:tc>
          <w:tcPr>
            <w:tcW w:w="634" w:type="dxa"/>
            <w:noWrap w:val="0"/>
            <w:vAlign w:val="center"/>
          </w:tcPr>
          <w:p w14:paraId="7D4DECC3">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19</w:t>
            </w:r>
          </w:p>
        </w:tc>
        <w:tc>
          <w:tcPr>
            <w:tcW w:w="6309" w:type="dxa"/>
            <w:noWrap w:val="0"/>
            <w:vAlign w:val="center"/>
          </w:tcPr>
          <w:p w14:paraId="7D157FC3">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6.3.19 不导静电热塑性塑料管道的设计和安装，除应符合本标准第6.3.12条的有关规定外，尚应符合下列规定：</w:t>
            </w:r>
          </w:p>
          <w:p w14:paraId="79A5FF92">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1 管道内油品的流速应小于2.8m/s。</w:t>
            </w:r>
          </w:p>
          <w:p w14:paraId="63CC73F1">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2 管道在人孔井内、加油机底槽和卸油口等处未完全埋地的部分，应在满足管道连接要求的前提下，采用最短的安装长度和最少的接头。</w:t>
            </w:r>
          </w:p>
        </w:tc>
        <w:tc>
          <w:tcPr>
            <w:tcW w:w="1570" w:type="dxa"/>
            <w:noWrap w:val="0"/>
            <w:vAlign w:val="center"/>
          </w:tcPr>
          <w:p w14:paraId="331DFEF7">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hAnsi="宋体" w:eastAsia="宋体"/>
                <w:bCs/>
                <w:color w:val="000000"/>
                <w:kern w:val="0"/>
                <w:sz w:val="21"/>
                <w:szCs w:val="21"/>
                <w:lang w:eastAsia="zh-CN"/>
              </w:rPr>
            </w:pPr>
            <w:r>
              <w:rPr>
                <w:rFonts w:hint="default" w:ascii="Times New Roman" w:hAnsi="Times New Roman" w:cs="Times New Roman"/>
                <w:color w:val="auto"/>
              </w:rPr>
              <w:t>未设置不导静电热塑性塑料管道</w:t>
            </w:r>
          </w:p>
        </w:tc>
        <w:tc>
          <w:tcPr>
            <w:tcW w:w="567" w:type="dxa"/>
            <w:noWrap w:val="0"/>
            <w:vAlign w:val="center"/>
          </w:tcPr>
          <w:p w14:paraId="5FA9F89E">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hAnsi="宋体" w:eastAsia="宋体"/>
                <w:bCs/>
                <w:color w:val="000000"/>
                <w:kern w:val="0"/>
                <w:sz w:val="21"/>
                <w:szCs w:val="21"/>
                <w:lang w:eastAsia="zh-CN"/>
              </w:rPr>
            </w:pPr>
            <w:r>
              <w:rPr>
                <w:rFonts w:hint="default" w:ascii="Times New Roman" w:hAnsi="Times New Roman" w:cs="Times New Roman"/>
                <w:color w:val="auto"/>
              </w:rPr>
              <w:t>不涉及</w:t>
            </w:r>
          </w:p>
        </w:tc>
      </w:tr>
      <w:tr w14:paraId="123E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39751A5E">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20</w:t>
            </w:r>
          </w:p>
        </w:tc>
        <w:tc>
          <w:tcPr>
            <w:tcW w:w="6309" w:type="dxa"/>
            <w:noWrap w:val="0"/>
            <w:vAlign w:val="center"/>
          </w:tcPr>
          <w:p w14:paraId="07CAA35A">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6.3.20 埋地钢质管道外表面的防腐设计，应符合现行国家标准《钢质管道外腐蚀控制规范》GB/T 21447的有关规定。</w:t>
            </w:r>
          </w:p>
        </w:tc>
        <w:tc>
          <w:tcPr>
            <w:tcW w:w="1570" w:type="dxa"/>
            <w:noWrap w:val="0"/>
            <w:vAlign w:val="center"/>
          </w:tcPr>
          <w:p w14:paraId="0D6B0C43">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管道外表面的防腐设计符合要求</w:t>
            </w:r>
          </w:p>
        </w:tc>
        <w:tc>
          <w:tcPr>
            <w:tcW w:w="567" w:type="dxa"/>
            <w:noWrap w:val="0"/>
            <w:vAlign w:val="center"/>
          </w:tcPr>
          <w:p w14:paraId="4FAD7387">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符合</w:t>
            </w:r>
          </w:p>
        </w:tc>
      </w:tr>
      <w:tr w14:paraId="63F3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9080" w:type="dxa"/>
            <w:gridSpan w:val="4"/>
            <w:noWrap w:val="0"/>
            <w:vAlign w:val="center"/>
          </w:tcPr>
          <w:p w14:paraId="7C79DA95">
            <w:pPr>
              <w:spacing w:line="320" w:lineRule="exact"/>
              <w:jc w:val="center"/>
              <w:rPr>
                <w:rFonts w:eastAsia="宋体"/>
                <w:color w:val="000000"/>
                <w:kern w:val="0"/>
                <w:sz w:val="21"/>
                <w:szCs w:val="21"/>
              </w:rPr>
            </w:pPr>
            <w:r>
              <w:rPr>
                <w:rFonts w:eastAsia="宋体"/>
                <w:b/>
                <w:bCs/>
                <w:color w:val="000000"/>
                <w:kern w:val="0"/>
                <w:sz w:val="21"/>
                <w:szCs w:val="21"/>
              </w:rPr>
              <w:t>防渗措施</w:t>
            </w:r>
          </w:p>
        </w:tc>
      </w:tr>
      <w:tr w14:paraId="2225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2" w:hRule="atLeast"/>
          <w:jc w:val="center"/>
        </w:trPr>
        <w:tc>
          <w:tcPr>
            <w:tcW w:w="634" w:type="dxa"/>
            <w:noWrap w:val="0"/>
            <w:vAlign w:val="center"/>
          </w:tcPr>
          <w:p w14:paraId="1D9C2265">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1</w:t>
            </w:r>
          </w:p>
        </w:tc>
        <w:tc>
          <w:tcPr>
            <w:tcW w:w="6309" w:type="dxa"/>
            <w:noWrap w:val="0"/>
            <w:vAlign w:val="center"/>
          </w:tcPr>
          <w:p w14:paraId="3D2548D5">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6.5.1 加油站埋地油罐应采用下列之一的防渗方式：</w:t>
            </w:r>
          </w:p>
          <w:p w14:paraId="1C98DA92">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1 采用双层油罐；</w:t>
            </w:r>
          </w:p>
          <w:p w14:paraId="3DA15840">
            <w:pPr>
              <w:autoSpaceDE w:val="0"/>
              <w:autoSpaceDN w:val="0"/>
              <w:adjustRightInd w:val="0"/>
              <w:spacing w:line="320" w:lineRule="exact"/>
              <w:ind w:firstLine="420" w:firstLineChars="200"/>
              <w:jc w:val="left"/>
              <w:rPr>
                <w:rFonts w:hAnsi="宋体" w:eastAsia="宋体"/>
                <w:bCs/>
                <w:color w:val="000000"/>
                <w:kern w:val="0"/>
                <w:sz w:val="21"/>
                <w:szCs w:val="21"/>
              </w:rPr>
            </w:pPr>
            <w:r>
              <w:rPr>
                <w:rFonts w:hAnsi="宋体" w:eastAsia="宋体"/>
                <w:bCs/>
                <w:color w:val="000000"/>
                <w:kern w:val="0"/>
                <w:sz w:val="21"/>
                <w:szCs w:val="21"/>
              </w:rPr>
              <w:t>2 单层油罐设置防渗罐池。</w:t>
            </w:r>
          </w:p>
        </w:tc>
        <w:tc>
          <w:tcPr>
            <w:tcW w:w="1570" w:type="dxa"/>
            <w:noWrap w:val="0"/>
            <w:vAlign w:val="center"/>
          </w:tcPr>
          <w:p w14:paraId="69A941E1">
            <w:pPr>
              <w:autoSpaceDE w:val="0"/>
              <w:autoSpaceDN w:val="0"/>
              <w:adjustRightInd w:val="0"/>
              <w:spacing w:line="320" w:lineRule="exact"/>
              <w:jc w:val="center"/>
              <w:rPr>
                <w:rFonts w:hint="default" w:hAnsi="宋体" w:eastAsia="宋体"/>
                <w:bCs/>
                <w:color w:val="000000"/>
                <w:kern w:val="0"/>
                <w:sz w:val="21"/>
                <w:szCs w:val="21"/>
                <w:lang w:val="en-US" w:eastAsia="zh-CN"/>
              </w:rPr>
            </w:pPr>
            <w:r>
              <w:rPr>
                <w:rFonts w:hint="eastAsia" w:hAnsi="宋体"/>
                <w:bCs/>
                <w:color w:val="000000"/>
                <w:kern w:val="0"/>
                <w:sz w:val="21"/>
                <w:szCs w:val="21"/>
                <w:lang w:val="en-US" w:eastAsia="zh-CN"/>
              </w:rPr>
              <w:t>有防渗罐池</w:t>
            </w:r>
          </w:p>
        </w:tc>
        <w:tc>
          <w:tcPr>
            <w:tcW w:w="567" w:type="dxa"/>
            <w:noWrap w:val="0"/>
            <w:vAlign w:val="center"/>
          </w:tcPr>
          <w:p w14:paraId="7100B3DD">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合格</w:t>
            </w:r>
          </w:p>
        </w:tc>
      </w:tr>
      <w:tr w14:paraId="3140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5" w:hRule="atLeast"/>
          <w:jc w:val="center"/>
        </w:trPr>
        <w:tc>
          <w:tcPr>
            <w:tcW w:w="634" w:type="dxa"/>
            <w:noWrap w:val="0"/>
            <w:vAlign w:val="center"/>
          </w:tcPr>
          <w:p w14:paraId="130C7FBA">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2</w:t>
            </w:r>
          </w:p>
        </w:tc>
        <w:tc>
          <w:tcPr>
            <w:tcW w:w="6309" w:type="dxa"/>
            <w:noWrap w:val="0"/>
            <w:vAlign w:val="center"/>
          </w:tcPr>
          <w:p w14:paraId="7C52AA40">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6.5.2 防渗罐池的设计应符合下列规定：</w:t>
            </w:r>
          </w:p>
          <w:p w14:paraId="7C911668">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1 防渗罐池应采用防渗钢筋混凝土整体浇筑，并应符合现行国家标准《地下工程防水技术规范》GB 50108的有关规定；</w:t>
            </w:r>
          </w:p>
          <w:p w14:paraId="137571D0">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2 防渗罐池应根据油罐的数量设置隔池，一个隔池内的油罐不应多于两座；</w:t>
            </w:r>
          </w:p>
          <w:p w14:paraId="2294942F">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3 防渗罐池的池壁顶应高于池内罐顶标高，池底宜低于罐底设计标高20mm，墙面与罐壁之间的间距不应小于500mm；</w:t>
            </w:r>
          </w:p>
          <w:p w14:paraId="2C08DD94">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4 防渗罐池的内表面应衬玻璃钢或其他材料防渗层；</w:t>
            </w:r>
          </w:p>
          <w:p w14:paraId="3F73B3AC">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5 防渗罐池内的空间应采用中性沙回填；</w:t>
            </w:r>
          </w:p>
          <w:p w14:paraId="34B154D8">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 防渗罐池的上部应采取防止雨水、地表水和外部泄漏油品渗入池内的措施。</w:t>
            </w:r>
          </w:p>
        </w:tc>
        <w:tc>
          <w:tcPr>
            <w:tcW w:w="1570" w:type="dxa"/>
            <w:noWrap w:val="0"/>
            <w:vAlign w:val="center"/>
          </w:tcPr>
          <w:p w14:paraId="428FECB7">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防渗罐池设计符合规定</w:t>
            </w:r>
          </w:p>
        </w:tc>
        <w:tc>
          <w:tcPr>
            <w:tcW w:w="567" w:type="dxa"/>
            <w:noWrap w:val="0"/>
            <w:vAlign w:val="center"/>
          </w:tcPr>
          <w:p w14:paraId="364EFB89">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合格</w:t>
            </w:r>
          </w:p>
        </w:tc>
      </w:tr>
      <w:tr w14:paraId="41CC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5" w:hRule="atLeast"/>
          <w:jc w:val="center"/>
        </w:trPr>
        <w:tc>
          <w:tcPr>
            <w:tcW w:w="634" w:type="dxa"/>
            <w:noWrap w:val="0"/>
            <w:vAlign w:val="center"/>
          </w:tcPr>
          <w:p w14:paraId="058E22DF">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3</w:t>
            </w:r>
          </w:p>
        </w:tc>
        <w:tc>
          <w:tcPr>
            <w:tcW w:w="6309" w:type="dxa"/>
            <w:noWrap w:val="0"/>
            <w:vAlign w:val="center"/>
          </w:tcPr>
          <w:p w14:paraId="7C8A02E1">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6.5.3 防渗罐池的各隔池内应设检测立管，检测立管的设置应符合下列规定：</w:t>
            </w:r>
          </w:p>
          <w:p w14:paraId="5995113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1 检测立管应采用耐油、耐腐蚀的管材制作，直径宜为100mm，壁厚不应小于4mm；</w:t>
            </w:r>
          </w:p>
          <w:p w14:paraId="03CC4AF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2 检测立管的下端应置于防渗罐池的最低处，除设置在车道下的油罐外，检测立管的上部管口应高出罐区设计地面200mm；</w:t>
            </w:r>
          </w:p>
          <w:p w14:paraId="0E5A6CB3">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3 检测立管与池内罐顶标高以下范围应为过滤管段，过滤管段应能允许池内任何层面的渗漏液体进入检测管，并应能阻止泥沙侵入；</w:t>
            </w:r>
          </w:p>
          <w:p w14:paraId="3B4B5EE9">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4 检测立管周围应回填粒径为10mm~30mm的砾石。</w:t>
            </w:r>
          </w:p>
          <w:p w14:paraId="7920F354">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 xml:space="preserve">5 检测口应有防止雨水、油污、杂物侵入的保护盖和标识。 </w:t>
            </w:r>
          </w:p>
        </w:tc>
        <w:tc>
          <w:tcPr>
            <w:tcW w:w="1570" w:type="dxa"/>
            <w:noWrap w:val="0"/>
            <w:vAlign w:val="center"/>
          </w:tcPr>
          <w:p w14:paraId="5E80CA38">
            <w:pPr>
              <w:autoSpaceDE w:val="0"/>
              <w:autoSpaceDN w:val="0"/>
              <w:adjustRightInd w:val="0"/>
              <w:spacing w:line="320" w:lineRule="exact"/>
              <w:jc w:val="center"/>
              <w:rPr>
                <w:rFonts w:hAnsi="宋体" w:eastAsia="宋体"/>
                <w:bCs/>
                <w:color w:val="000000"/>
                <w:kern w:val="0"/>
                <w:sz w:val="21"/>
                <w:szCs w:val="21"/>
              </w:rPr>
            </w:pPr>
            <w:r>
              <w:rPr>
                <w:rFonts w:hAnsi="宋体" w:eastAsia="宋体"/>
                <w:bCs/>
                <w:color w:val="000000"/>
                <w:kern w:val="0"/>
                <w:sz w:val="21"/>
                <w:szCs w:val="21"/>
              </w:rPr>
              <w:t>防渗罐池内设检测立管</w:t>
            </w:r>
          </w:p>
        </w:tc>
        <w:tc>
          <w:tcPr>
            <w:tcW w:w="567" w:type="dxa"/>
            <w:noWrap w:val="0"/>
            <w:vAlign w:val="center"/>
          </w:tcPr>
          <w:p w14:paraId="08F9C025">
            <w:pPr>
              <w:autoSpaceDE w:val="0"/>
              <w:autoSpaceDN w:val="0"/>
              <w:adjustRightInd w:val="0"/>
              <w:spacing w:line="320" w:lineRule="exact"/>
              <w:jc w:val="center"/>
              <w:rPr>
                <w:rFonts w:hint="eastAsia" w:hAnsi="宋体" w:eastAsia="宋体"/>
                <w:bCs/>
                <w:color w:val="000000"/>
                <w:kern w:val="0"/>
                <w:sz w:val="21"/>
                <w:szCs w:val="21"/>
                <w:lang w:eastAsia="zh-CN"/>
              </w:rPr>
            </w:pPr>
            <w:r>
              <w:rPr>
                <w:rFonts w:hint="eastAsia" w:hAnsi="宋体"/>
                <w:bCs/>
                <w:color w:val="000000"/>
                <w:kern w:val="0"/>
                <w:sz w:val="21"/>
                <w:szCs w:val="21"/>
                <w:lang w:val="en-US" w:eastAsia="zh-CN"/>
              </w:rPr>
              <w:t>符合</w:t>
            </w:r>
          </w:p>
        </w:tc>
      </w:tr>
      <w:tr w14:paraId="6173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18FB8C68">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4</w:t>
            </w:r>
          </w:p>
        </w:tc>
        <w:tc>
          <w:tcPr>
            <w:tcW w:w="6309" w:type="dxa"/>
            <w:noWrap w:val="0"/>
            <w:vAlign w:val="center"/>
          </w:tcPr>
          <w:p w14:paraId="759DD01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6.5.4 装有潜油泵的油罐人孔操作井、卸油口井、加油机底槽等可能发生油品渗漏的部位，也应采取相应的防渗措施。</w:t>
            </w:r>
          </w:p>
        </w:tc>
        <w:tc>
          <w:tcPr>
            <w:tcW w:w="1570" w:type="dxa"/>
            <w:noWrap w:val="0"/>
            <w:vAlign w:val="center"/>
          </w:tcPr>
          <w:p w14:paraId="5E93DA41">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加</w:t>
            </w:r>
            <w:r>
              <w:rPr>
                <w:rFonts w:hint="default" w:ascii="Times New Roman" w:hAnsi="Times New Roman" w:cs="Times New Roman"/>
                <w:color w:val="auto"/>
                <w:spacing w:val="-6"/>
              </w:rPr>
              <w:t>油站在卸油口、加油岛底槽填充细砂、埋地油罐表面涂刷防腐等防渗漏措</w:t>
            </w:r>
            <w:r>
              <w:rPr>
                <w:rFonts w:hint="default" w:ascii="Times New Roman" w:hAnsi="Times New Roman" w:cs="Times New Roman"/>
                <w:color w:val="auto"/>
              </w:rPr>
              <w:t>施。</w:t>
            </w:r>
          </w:p>
        </w:tc>
        <w:tc>
          <w:tcPr>
            <w:tcW w:w="567" w:type="dxa"/>
            <w:noWrap w:val="0"/>
            <w:vAlign w:val="center"/>
          </w:tcPr>
          <w:p w14:paraId="1D7779F7">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符合</w:t>
            </w:r>
          </w:p>
        </w:tc>
      </w:tr>
      <w:tr w14:paraId="735B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1" w:hRule="atLeast"/>
          <w:jc w:val="center"/>
        </w:trPr>
        <w:tc>
          <w:tcPr>
            <w:tcW w:w="634" w:type="dxa"/>
            <w:noWrap w:val="0"/>
            <w:vAlign w:val="center"/>
          </w:tcPr>
          <w:p w14:paraId="08B4B780">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5</w:t>
            </w:r>
          </w:p>
        </w:tc>
        <w:tc>
          <w:tcPr>
            <w:tcW w:w="6309" w:type="dxa"/>
            <w:noWrap w:val="0"/>
            <w:vAlign w:val="center"/>
          </w:tcPr>
          <w:p w14:paraId="61AE2A1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6.5.5 加油站埋地加油管道应采用双层管道。双层管道的设计应符合下列规定：</w:t>
            </w:r>
          </w:p>
          <w:p w14:paraId="1F8E99FB">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1 双层管道的内层管应符合本标准第6.3节的有关规定；</w:t>
            </w:r>
          </w:p>
          <w:p w14:paraId="22AD5F3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2 采用双层非金属管道时，外层管应满足耐油、耐腐蚀、耐老化和系统试验压力的要求；</w:t>
            </w:r>
          </w:p>
          <w:p w14:paraId="1AFFF4B1">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3 采用双层钢质管道时，外层管的壁厚不应小于5mm；</w:t>
            </w:r>
          </w:p>
          <w:p w14:paraId="3978F10B">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4 双层管道系统的内层管与外层管之间的缝隙应贯通；</w:t>
            </w:r>
          </w:p>
          <w:p w14:paraId="4728CA1E">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5 双层管道系统的最低</w:t>
            </w:r>
            <w:r>
              <w:rPr>
                <w:rFonts w:hint="eastAsia" w:hAnsi="宋体"/>
                <w:bCs/>
                <w:color w:val="000000"/>
                <w:kern w:val="0"/>
                <w:sz w:val="21"/>
                <w:szCs w:val="21"/>
                <w:lang w:eastAsia="zh-CN"/>
              </w:rPr>
              <w:t>则</w:t>
            </w:r>
            <w:r>
              <w:rPr>
                <w:rFonts w:hAnsi="宋体" w:eastAsia="宋体"/>
                <w:bCs/>
                <w:color w:val="000000"/>
                <w:kern w:val="0"/>
                <w:sz w:val="21"/>
                <w:szCs w:val="21"/>
              </w:rPr>
              <w:t>应设检漏点；</w:t>
            </w:r>
          </w:p>
          <w:p w14:paraId="33D6C763">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 双层管道坡向检漏点的坡度不应小于5‰，并应保证内层管和外层管任何部位出现渗漏均能在检漏点处</w:t>
            </w:r>
            <w:r>
              <w:rPr>
                <w:rFonts w:hint="eastAsia" w:hAnsi="宋体"/>
                <w:bCs/>
                <w:color w:val="000000"/>
                <w:kern w:val="0"/>
                <w:sz w:val="21"/>
                <w:szCs w:val="21"/>
                <w:lang w:eastAsia="zh-CN"/>
              </w:rPr>
              <w:t>被</w:t>
            </w:r>
            <w:r>
              <w:rPr>
                <w:rFonts w:hAnsi="宋体" w:eastAsia="宋体"/>
                <w:bCs/>
                <w:color w:val="000000"/>
                <w:kern w:val="0"/>
                <w:sz w:val="21"/>
                <w:szCs w:val="21"/>
              </w:rPr>
              <w:t>发现；</w:t>
            </w:r>
          </w:p>
          <w:p w14:paraId="20F93A47">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7 管道系统的渗漏检测宜采用在线监测系统。</w:t>
            </w:r>
          </w:p>
        </w:tc>
        <w:tc>
          <w:tcPr>
            <w:tcW w:w="1570" w:type="dxa"/>
            <w:noWrap w:val="0"/>
            <w:vAlign w:val="center"/>
          </w:tcPr>
          <w:p w14:paraId="5E29535B">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该加油埋地加油管道采用双层管道</w:t>
            </w:r>
          </w:p>
        </w:tc>
        <w:tc>
          <w:tcPr>
            <w:tcW w:w="567" w:type="dxa"/>
            <w:noWrap w:val="0"/>
            <w:vAlign w:val="center"/>
          </w:tcPr>
          <w:p w14:paraId="2327B6E2">
            <w:pPr>
              <w:pStyle w:val="4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符合</w:t>
            </w:r>
          </w:p>
        </w:tc>
      </w:tr>
      <w:tr w14:paraId="3E8B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634" w:type="dxa"/>
            <w:noWrap w:val="0"/>
            <w:vAlign w:val="center"/>
          </w:tcPr>
          <w:p w14:paraId="33E2A10D">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6</w:t>
            </w:r>
          </w:p>
        </w:tc>
        <w:tc>
          <w:tcPr>
            <w:tcW w:w="6309" w:type="dxa"/>
            <w:noWrap w:val="0"/>
            <w:vAlign w:val="center"/>
          </w:tcPr>
          <w:p w14:paraId="469A0EAD">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6.5.6 双层油罐、防渗罐池的渗漏检测宜采用在线监测系统。采用液体传感器监测时，传感器的检测精度不应大于3.5mm。</w:t>
            </w:r>
          </w:p>
        </w:tc>
        <w:tc>
          <w:tcPr>
            <w:tcW w:w="1570" w:type="dxa"/>
            <w:noWrap w:val="0"/>
            <w:vAlign w:val="center"/>
          </w:tcPr>
          <w:p w14:paraId="63DD01FC">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hAnsi="宋体" w:eastAsia="宋体"/>
                <w:bCs/>
                <w:color w:val="000000"/>
                <w:kern w:val="0"/>
                <w:sz w:val="21"/>
                <w:szCs w:val="21"/>
                <w:lang w:val="en-US" w:eastAsia="zh-CN"/>
              </w:rPr>
            </w:pPr>
            <w:r>
              <w:rPr>
                <w:rFonts w:hint="eastAsia" w:ascii="Times New Roman" w:hAnsi="Times New Roman" w:cs="Times New Roman"/>
                <w:color w:val="auto"/>
                <w:lang w:val="en-US" w:eastAsia="zh-CN"/>
              </w:rPr>
              <w:t>单层罐</w:t>
            </w:r>
          </w:p>
        </w:tc>
        <w:tc>
          <w:tcPr>
            <w:tcW w:w="567" w:type="dxa"/>
            <w:noWrap w:val="0"/>
            <w:vAlign w:val="center"/>
          </w:tcPr>
          <w:p w14:paraId="46B76200">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hAnsi="宋体" w:eastAsia="宋体"/>
                <w:bCs/>
                <w:color w:val="000000"/>
                <w:kern w:val="0"/>
                <w:sz w:val="21"/>
                <w:szCs w:val="21"/>
                <w:lang w:eastAsia="zh-CN"/>
              </w:rPr>
            </w:pPr>
            <w:r>
              <w:rPr>
                <w:rFonts w:hint="eastAsia" w:ascii="Times New Roman" w:hAnsi="Times New Roman" w:cs="Times New Roman"/>
                <w:color w:val="auto"/>
                <w:lang w:val="en-US" w:eastAsia="zh-CN"/>
              </w:rPr>
              <w:t>不涉及</w:t>
            </w:r>
          </w:p>
        </w:tc>
      </w:tr>
      <w:tr w14:paraId="15E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634" w:type="dxa"/>
            <w:noWrap w:val="0"/>
            <w:vAlign w:val="center"/>
          </w:tcPr>
          <w:p w14:paraId="7E15F6EF">
            <w:pPr>
              <w:tabs>
                <w:tab w:val="left" w:pos="0"/>
              </w:tabs>
              <w:autoSpaceDE w:val="0"/>
              <w:autoSpaceDN w:val="0"/>
              <w:spacing w:line="320" w:lineRule="exact"/>
              <w:jc w:val="center"/>
              <w:rPr>
                <w:rFonts w:eastAsia="宋体"/>
                <w:bCs/>
                <w:color w:val="000000"/>
                <w:kern w:val="0"/>
                <w:sz w:val="21"/>
                <w:szCs w:val="21"/>
              </w:rPr>
            </w:pPr>
            <w:r>
              <w:rPr>
                <w:rFonts w:hint="eastAsia" w:eastAsia="宋体"/>
                <w:bCs/>
                <w:color w:val="000000"/>
                <w:kern w:val="0"/>
                <w:sz w:val="21"/>
                <w:szCs w:val="21"/>
              </w:rPr>
              <w:t>7</w:t>
            </w:r>
          </w:p>
        </w:tc>
        <w:tc>
          <w:tcPr>
            <w:tcW w:w="6309" w:type="dxa"/>
            <w:noWrap w:val="0"/>
            <w:vAlign w:val="center"/>
          </w:tcPr>
          <w:p w14:paraId="77E5E722">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6.5.7 既有加油站油罐和管道需要更新改造时，应符合本标准第</w:t>
            </w:r>
          </w:p>
          <w:p w14:paraId="3D8A16CA">
            <w:pPr>
              <w:autoSpaceDE w:val="0"/>
              <w:autoSpaceDN w:val="0"/>
              <w:adjustRightInd w:val="0"/>
              <w:spacing w:line="320" w:lineRule="exact"/>
              <w:jc w:val="left"/>
              <w:rPr>
                <w:rFonts w:hAnsi="宋体" w:eastAsia="宋体"/>
                <w:bCs/>
                <w:color w:val="000000"/>
                <w:kern w:val="0"/>
                <w:sz w:val="21"/>
                <w:szCs w:val="21"/>
              </w:rPr>
            </w:pPr>
            <w:r>
              <w:rPr>
                <w:rFonts w:hAnsi="宋体" w:eastAsia="宋体"/>
                <w:bCs/>
                <w:color w:val="000000"/>
                <w:kern w:val="0"/>
                <w:sz w:val="21"/>
                <w:szCs w:val="21"/>
              </w:rPr>
              <w:t>6.5.1条~第6.5.6条的规定。</w:t>
            </w:r>
          </w:p>
        </w:tc>
        <w:tc>
          <w:tcPr>
            <w:tcW w:w="1570" w:type="dxa"/>
            <w:noWrap w:val="0"/>
            <w:vAlign w:val="center"/>
          </w:tcPr>
          <w:p w14:paraId="68159E55">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未涉及更新改造</w:t>
            </w:r>
          </w:p>
        </w:tc>
        <w:tc>
          <w:tcPr>
            <w:tcW w:w="567" w:type="dxa"/>
            <w:noWrap w:val="0"/>
            <w:vAlign w:val="center"/>
          </w:tcPr>
          <w:p w14:paraId="054C9CD9">
            <w:pPr>
              <w:pStyle w:val="42"/>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Ansi="宋体" w:eastAsia="宋体"/>
                <w:bCs/>
                <w:color w:val="000000"/>
                <w:kern w:val="0"/>
                <w:sz w:val="21"/>
                <w:szCs w:val="21"/>
              </w:rPr>
            </w:pPr>
            <w:r>
              <w:rPr>
                <w:rFonts w:hint="default" w:ascii="Times New Roman" w:hAnsi="Times New Roman" w:cs="Times New Roman"/>
                <w:color w:val="auto"/>
              </w:rPr>
              <w:t>不涉及</w:t>
            </w:r>
          </w:p>
        </w:tc>
      </w:tr>
    </w:tbl>
    <w:p w14:paraId="7CDFCC40">
      <w:pPr>
        <w:pStyle w:val="3"/>
        <w:outlineLvl w:val="1"/>
        <w:rPr>
          <w:rFonts w:hint="default" w:ascii="Times New Roman" w:hAnsi="Times New Roman" w:cs="Times New Roman"/>
          <w:color w:val="auto"/>
        </w:rPr>
      </w:pPr>
      <w:bookmarkStart w:id="254" w:name="_Toc2107"/>
      <w:r>
        <w:rPr>
          <w:rFonts w:hint="default" w:ascii="Times New Roman" w:hAnsi="Times New Roman" w:cs="Times New Roman"/>
          <w:color w:val="auto"/>
        </w:rPr>
        <w:t>5.</w:t>
      </w:r>
      <w:r>
        <w:rPr>
          <w:rFonts w:hint="eastAsia" w:cs="Times New Roman"/>
          <w:color w:val="auto"/>
          <w:lang w:val="en-US" w:eastAsia="zh-CN"/>
        </w:rPr>
        <w:t>4</w:t>
      </w:r>
      <w:r>
        <w:rPr>
          <w:rFonts w:hint="eastAsia" w:ascii="Times New Roman" w:hAnsi="Times New Roman" w:eastAsia="宋体"/>
          <w:b/>
          <w:color w:val="000000"/>
          <w:sz w:val="28"/>
          <w:szCs w:val="28"/>
          <w:highlight w:val="none"/>
        </w:rPr>
        <w:t>消防安全设施单元</w:t>
      </w:r>
      <w:bookmarkEnd w:id="254"/>
    </w:p>
    <w:p w14:paraId="13645971">
      <w:pPr>
        <w:tabs>
          <w:tab w:val="left" w:pos="6970"/>
        </w:tabs>
        <w:spacing w:line="580" w:lineRule="exact"/>
        <w:ind w:right="-14" w:rightChars="-5" w:firstLine="560" w:firstLineChars="200"/>
        <w:rPr>
          <w:color w:val="000000"/>
          <w:sz w:val="28"/>
          <w:szCs w:val="28"/>
        </w:rPr>
      </w:pPr>
      <w:r>
        <w:rPr>
          <w:color w:val="000000"/>
          <w:sz w:val="28"/>
          <w:szCs w:val="28"/>
        </w:rPr>
        <w:t>对照《汽车加油加气加氢技术标准》（GB50156-2021</w:t>
      </w:r>
      <w:r>
        <w:rPr>
          <w:rFonts w:hint="eastAsia"/>
          <w:color w:val="000000"/>
          <w:sz w:val="28"/>
          <w:szCs w:val="28"/>
        </w:rPr>
        <w:t>）</w:t>
      </w:r>
      <w:r>
        <w:rPr>
          <w:color w:val="000000"/>
          <w:sz w:val="28"/>
          <w:szCs w:val="28"/>
        </w:rPr>
        <w:t>的有关规定，对加油站</w:t>
      </w:r>
      <w:r>
        <w:rPr>
          <w:bCs/>
          <w:color w:val="000000"/>
          <w:sz w:val="28"/>
        </w:rPr>
        <w:t>消防设施及给排水</w:t>
      </w:r>
      <w:r>
        <w:rPr>
          <w:color w:val="000000"/>
          <w:sz w:val="28"/>
          <w:szCs w:val="28"/>
        </w:rPr>
        <w:t>进行符合性评价，见表5</w:t>
      </w:r>
      <w:r>
        <w:rPr>
          <w:rFonts w:hint="eastAsia"/>
          <w:color w:val="000000"/>
          <w:sz w:val="28"/>
          <w:szCs w:val="28"/>
        </w:rPr>
        <w:t>.</w:t>
      </w:r>
      <w:r>
        <w:rPr>
          <w:rFonts w:hint="eastAsia"/>
          <w:color w:val="000000"/>
          <w:sz w:val="28"/>
          <w:szCs w:val="28"/>
          <w:lang w:val="en-US" w:eastAsia="zh-CN"/>
        </w:rPr>
        <w:t>4</w:t>
      </w:r>
      <w:r>
        <w:rPr>
          <w:color w:val="000000"/>
          <w:sz w:val="28"/>
          <w:szCs w:val="28"/>
        </w:rPr>
        <w:t>-</w:t>
      </w:r>
      <w:r>
        <w:rPr>
          <w:rFonts w:hint="eastAsia"/>
          <w:color w:val="000000"/>
          <w:sz w:val="28"/>
          <w:szCs w:val="28"/>
          <w:lang w:val="en-US" w:eastAsia="zh-CN"/>
        </w:rPr>
        <w:t>1</w:t>
      </w:r>
      <w:r>
        <w:rPr>
          <w:color w:val="000000"/>
          <w:sz w:val="28"/>
          <w:szCs w:val="28"/>
        </w:rPr>
        <w:t>。</w:t>
      </w:r>
    </w:p>
    <w:p w14:paraId="1FE35A01">
      <w:pPr>
        <w:spacing w:line="600" w:lineRule="exact"/>
        <w:ind w:firstLine="470" w:firstLineChars="196"/>
        <w:jc w:val="center"/>
        <w:rPr>
          <w:color w:val="000000"/>
          <w:sz w:val="24"/>
          <w:szCs w:val="24"/>
        </w:rPr>
      </w:pPr>
      <w:r>
        <w:rPr>
          <w:color w:val="000000"/>
          <w:sz w:val="24"/>
          <w:szCs w:val="24"/>
        </w:rPr>
        <w:t>表5</w:t>
      </w:r>
      <w:r>
        <w:rPr>
          <w:rFonts w:hint="eastAsia"/>
          <w:color w:val="000000"/>
          <w:sz w:val="24"/>
          <w:szCs w:val="24"/>
        </w:rPr>
        <w:t>.</w:t>
      </w:r>
      <w:r>
        <w:rPr>
          <w:rFonts w:hint="eastAsia"/>
          <w:color w:val="000000"/>
          <w:sz w:val="24"/>
          <w:szCs w:val="24"/>
          <w:lang w:val="en-US" w:eastAsia="zh-CN"/>
        </w:rPr>
        <w:t>4</w:t>
      </w:r>
      <w:r>
        <w:rPr>
          <w:color w:val="000000"/>
          <w:sz w:val="24"/>
          <w:szCs w:val="24"/>
        </w:rPr>
        <w:t>-</w:t>
      </w:r>
      <w:r>
        <w:rPr>
          <w:rFonts w:hint="eastAsia"/>
          <w:color w:val="000000"/>
          <w:sz w:val="24"/>
          <w:szCs w:val="24"/>
          <w:lang w:val="en-US" w:eastAsia="zh-CN"/>
        </w:rPr>
        <w:t>1</w:t>
      </w:r>
      <w:r>
        <w:rPr>
          <w:bCs/>
          <w:color w:val="000000"/>
          <w:sz w:val="24"/>
          <w:szCs w:val="24"/>
        </w:rPr>
        <w:t>加油站消防设施及给排水</w:t>
      </w:r>
      <w:r>
        <w:rPr>
          <w:color w:val="000000"/>
          <w:sz w:val="24"/>
          <w:szCs w:val="24"/>
        </w:rPr>
        <w:t>符合性评价表</w:t>
      </w:r>
    </w:p>
    <w:tbl>
      <w:tblPr>
        <w:tblStyle w:val="20"/>
        <w:tblW w:w="92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2"/>
        <w:gridCol w:w="6565"/>
        <w:gridCol w:w="1208"/>
        <w:gridCol w:w="794"/>
      </w:tblGrid>
      <w:tr w14:paraId="4F841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712" w:type="dxa"/>
            <w:tcBorders>
              <w:top w:val="single" w:color="auto" w:sz="12" w:space="0"/>
              <w:left w:val="single" w:color="auto" w:sz="12" w:space="0"/>
              <w:bottom w:val="single" w:color="auto" w:sz="4" w:space="0"/>
              <w:right w:val="single" w:color="auto" w:sz="4" w:space="0"/>
              <w:tl2br w:val="nil"/>
              <w:tr2bl w:val="nil"/>
            </w:tcBorders>
            <w:noWrap w:val="0"/>
            <w:vAlign w:val="center"/>
          </w:tcPr>
          <w:p w14:paraId="4BA61793">
            <w:pPr>
              <w:autoSpaceDE w:val="0"/>
              <w:autoSpaceDN w:val="0"/>
              <w:spacing w:beforeLines="0" w:afterLines="0" w:line="260" w:lineRule="exact"/>
              <w:jc w:val="center"/>
              <w:rPr>
                <w:rFonts w:hint="default" w:ascii="Times New Roman" w:hAnsi="Times New Roman" w:eastAsia="宋体" w:cs="Times New Roman"/>
                <w:b/>
                <w:color w:val="auto"/>
                <w:kern w:val="0"/>
                <w:sz w:val="21"/>
                <w:szCs w:val="21"/>
              </w:rPr>
            </w:pPr>
            <w:bookmarkStart w:id="255" w:name="_Toc120957346"/>
            <w:bookmarkStart w:id="256" w:name="_Toc20196"/>
            <w:r>
              <w:rPr>
                <w:rFonts w:hint="default" w:ascii="宋体" w:hAnsi="Times New Roman" w:eastAsia="宋体" w:cs="Times New Roman"/>
                <w:b/>
                <w:color w:val="auto"/>
                <w:kern w:val="0"/>
                <w:sz w:val="21"/>
                <w:szCs w:val="21"/>
              </w:rPr>
              <w:t>序号</w:t>
            </w:r>
          </w:p>
        </w:tc>
        <w:tc>
          <w:tcPr>
            <w:tcW w:w="6565"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60F821D8">
            <w:pPr>
              <w:autoSpaceDE w:val="0"/>
              <w:autoSpaceDN w:val="0"/>
              <w:spacing w:beforeLines="0" w:afterLines="0" w:line="26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检查内容</w:t>
            </w:r>
          </w:p>
        </w:tc>
        <w:tc>
          <w:tcPr>
            <w:tcW w:w="1208"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2EDDE7E8">
            <w:pPr>
              <w:spacing w:beforeLines="0" w:afterLines="0" w:line="26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检查记录</w:t>
            </w:r>
          </w:p>
        </w:tc>
        <w:tc>
          <w:tcPr>
            <w:tcW w:w="794"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5882C8E9">
            <w:pPr>
              <w:spacing w:beforeLines="0" w:afterLines="0" w:line="26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结论</w:t>
            </w:r>
          </w:p>
        </w:tc>
      </w:tr>
      <w:tr w14:paraId="4B594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5" w:hRule="atLeast"/>
          <w:jc w:val="center"/>
        </w:trPr>
        <w:tc>
          <w:tcPr>
            <w:tcW w:w="712"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8E79211">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5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F43884">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12.1.1 </w:t>
            </w:r>
            <w:r>
              <w:rPr>
                <w:rFonts w:hint="default" w:ascii="宋体" w:hAnsi="Times New Roman" w:eastAsia="宋体" w:cs="Times New Roman"/>
                <w:color w:val="auto"/>
                <w:kern w:val="0"/>
                <w:sz w:val="21"/>
                <w:szCs w:val="21"/>
              </w:rPr>
              <w:t>加油加气加氢站工艺设备应配置灭火器材，并应符合下列规定：</w:t>
            </w:r>
          </w:p>
          <w:p w14:paraId="586E8708">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每2台加气（氢）机应配置不少于2具5kg手提式干粉灭火器，加气（氢）机不足2台应按2台配置；</w:t>
            </w:r>
          </w:p>
          <w:p w14:paraId="0AF977B9">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每2台加油机应配置不少于2具5kg手提式干粉灭火器，或1具5kg手提式干粉灭火器和1具6L泡沫灭火器，加油机不足2台应按2台配置；</w:t>
            </w:r>
          </w:p>
          <w:p w14:paraId="2D99F250">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地上LPG储罐、地上LNG储罐、地下和半地下LNG储罐、地上液氢储罐、CNG储气设施，应配置2台不小于35kg推车式干粉灭火器，当两种介质储罐之间的距离超过15m时，应分别配置；</w:t>
            </w:r>
          </w:p>
          <w:p w14:paraId="21C1C4AD">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4 </w:t>
            </w:r>
            <w:r>
              <w:rPr>
                <w:rFonts w:hint="default" w:ascii="宋体" w:hAnsi="Times New Roman" w:eastAsia="宋体" w:cs="Times New Roman"/>
                <w:color w:val="auto"/>
                <w:kern w:val="0"/>
                <w:sz w:val="21"/>
                <w:szCs w:val="21"/>
              </w:rPr>
              <w:t>地下储罐应配置1台不小于35kg推车式干粉灭火器，当两种介质储罐之间的距离超过15m时，应分别配置；</w:t>
            </w:r>
          </w:p>
          <w:p w14:paraId="0C7F4064">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 LPG</w:t>
            </w:r>
            <w:r>
              <w:rPr>
                <w:rFonts w:hint="default" w:ascii="宋体" w:hAnsi="Times New Roman" w:eastAsia="宋体" w:cs="Times New Roman"/>
                <w:color w:val="auto"/>
                <w:kern w:val="0"/>
                <w:sz w:val="21"/>
                <w:szCs w:val="21"/>
              </w:rPr>
              <w:t>泵、LNG泵、液氢增压泵、压缩机操作间（棚、箱），应按建筑面积每50m2配置不少于2具5kg手提式干粉灭火器；</w:t>
            </w:r>
          </w:p>
          <w:p w14:paraId="6C5F982C">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6 </w:t>
            </w:r>
            <w:r>
              <w:rPr>
                <w:rFonts w:hint="default" w:ascii="宋体" w:hAnsi="Times New Roman" w:eastAsia="宋体" w:cs="Times New Roman"/>
                <w:color w:val="auto"/>
                <w:kern w:val="0"/>
                <w:sz w:val="21"/>
                <w:szCs w:val="21"/>
              </w:rPr>
              <w:t>一、二级加油站应配置灭火毯5块、沙子2m³；三级加油站应配置灭火毯不少于2块、沙子2m³。加油加气合建站应按同级别的加油站配置灭火毯和沙子。</w:t>
            </w:r>
          </w:p>
        </w:tc>
        <w:tc>
          <w:tcPr>
            <w:tcW w:w="120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E3912A">
            <w:pPr>
              <w:autoSpaceDE w:val="0"/>
              <w:autoSpaceDN w:val="0"/>
              <w:adjustRightInd w:val="0"/>
              <w:spacing w:beforeLines="0" w:afterLines="0" w:line="260" w:lineRule="exact"/>
              <w:jc w:val="center"/>
              <w:rPr>
                <w:rFonts w:hint="eastAsia" w:ascii="Times New Roman" w:hAnsi="Times New Roman" w:eastAsia="宋体" w:cs="Times New Roman"/>
                <w:color w:val="auto"/>
                <w:kern w:val="0"/>
                <w:sz w:val="21"/>
                <w:szCs w:val="21"/>
                <w:lang w:eastAsia="zh-CN"/>
              </w:rPr>
            </w:pPr>
            <w:r>
              <w:rPr>
                <w:rFonts w:hint="eastAsia" w:ascii="宋体" w:hAnsi="Times New Roman" w:eastAsia="宋体" w:cs="Times New Roman"/>
                <w:color w:val="auto"/>
                <w:kern w:val="0"/>
                <w:sz w:val="21"/>
                <w:szCs w:val="21"/>
                <w:lang w:val="en-US" w:eastAsia="zh-CN"/>
              </w:rPr>
              <w:t>未见灭火器</w:t>
            </w:r>
          </w:p>
        </w:tc>
        <w:tc>
          <w:tcPr>
            <w:tcW w:w="794"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8BFCA89">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eastAsia" w:ascii="宋体" w:hAnsi="Times New Roman" w:eastAsia="宋体" w:cs="Times New Roman"/>
                <w:color w:val="auto"/>
                <w:kern w:val="0"/>
                <w:sz w:val="21"/>
                <w:szCs w:val="21"/>
                <w:lang w:val="en-US" w:eastAsia="zh-CN"/>
              </w:rPr>
              <w:t>不</w:t>
            </w:r>
            <w:r>
              <w:rPr>
                <w:rFonts w:hint="default" w:ascii="宋体" w:hAnsi="Times New Roman" w:eastAsia="宋体" w:cs="Times New Roman"/>
                <w:color w:val="auto"/>
                <w:kern w:val="0"/>
                <w:sz w:val="21"/>
                <w:szCs w:val="21"/>
              </w:rPr>
              <w:t>合格</w:t>
            </w:r>
          </w:p>
        </w:tc>
      </w:tr>
      <w:tr w14:paraId="15190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712"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664E07F">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5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5ED424">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12.1.2 </w:t>
            </w:r>
            <w:r>
              <w:rPr>
                <w:rFonts w:hint="default" w:ascii="宋体" w:hAnsi="Times New Roman" w:eastAsia="宋体" w:cs="Times New Roman"/>
                <w:color w:val="auto"/>
                <w:kern w:val="0"/>
                <w:sz w:val="21"/>
                <w:szCs w:val="21"/>
              </w:rPr>
              <w:t>其余建筑的灭火器配置，应符合现行国家标准《建筑灭火器配置设计规范》GB 50140的有关规定。</w:t>
            </w:r>
          </w:p>
        </w:tc>
        <w:tc>
          <w:tcPr>
            <w:tcW w:w="120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BA8B50">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eastAsia" w:ascii="宋体" w:hAnsi="Times New Roman" w:eastAsia="宋体" w:cs="Times New Roman"/>
                <w:color w:val="auto"/>
                <w:kern w:val="0"/>
                <w:sz w:val="21"/>
                <w:szCs w:val="21"/>
                <w:lang w:val="en-US" w:eastAsia="zh-CN"/>
              </w:rPr>
              <w:t>未见灭火器</w:t>
            </w:r>
          </w:p>
        </w:tc>
        <w:tc>
          <w:tcPr>
            <w:tcW w:w="794"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B254EBD">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eastAsia" w:ascii="宋体" w:hAnsi="Times New Roman" w:eastAsia="宋体" w:cs="Times New Roman"/>
                <w:color w:val="auto"/>
                <w:kern w:val="0"/>
                <w:sz w:val="21"/>
                <w:szCs w:val="21"/>
                <w:lang w:val="en-US" w:eastAsia="zh-CN"/>
              </w:rPr>
              <w:t>不</w:t>
            </w:r>
            <w:r>
              <w:rPr>
                <w:rFonts w:hint="default" w:ascii="宋体" w:hAnsi="Times New Roman" w:eastAsia="宋体" w:cs="Times New Roman"/>
                <w:color w:val="auto"/>
                <w:kern w:val="0"/>
                <w:sz w:val="21"/>
                <w:szCs w:val="21"/>
              </w:rPr>
              <w:t>合格</w:t>
            </w:r>
          </w:p>
        </w:tc>
      </w:tr>
      <w:tr w14:paraId="02053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9279" w:type="dxa"/>
            <w:gridSpan w:val="4"/>
            <w:tcBorders>
              <w:top w:val="single" w:color="auto" w:sz="4" w:space="0"/>
              <w:left w:val="single" w:color="auto" w:sz="12" w:space="0"/>
              <w:bottom w:val="single" w:color="auto" w:sz="4" w:space="0"/>
              <w:right w:val="single" w:color="auto" w:sz="12" w:space="0"/>
              <w:tl2br w:val="nil"/>
              <w:tr2bl w:val="nil"/>
            </w:tcBorders>
            <w:noWrap w:val="0"/>
            <w:vAlign w:val="center"/>
          </w:tcPr>
          <w:p w14:paraId="04C8AE43">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b/>
                <w:color w:val="auto"/>
                <w:kern w:val="0"/>
                <w:sz w:val="21"/>
                <w:szCs w:val="21"/>
              </w:rPr>
              <w:t>紧急切断系统</w:t>
            </w:r>
          </w:p>
        </w:tc>
      </w:tr>
      <w:tr w14:paraId="7F90F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0"/>
            <w:vAlign w:val="center"/>
          </w:tcPr>
          <w:p w14:paraId="104DA55E">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序号</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667D6EEB">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检查内容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829A506">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检查记录</w:t>
            </w:r>
          </w:p>
        </w:tc>
        <w:tc>
          <w:tcPr>
            <w:tcW w:w="0" w:type="auto"/>
            <w:tcBorders>
              <w:top w:val="single" w:color="auto" w:sz="4" w:space="0"/>
              <w:left w:val="single" w:color="auto" w:sz="4" w:space="0"/>
              <w:bottom w:val="single" w:color="auto" w:sz="4" w:space="0"/>
              <w:right w:val="single" w:color="auto" w:sz="12" w:space="0"/>
              <w:tl2br w:val="nil"/>
              <w:tr2bl w:val="nil"/>
            </w:tcBorders>
            <w:noWrap w:val="0"/>
            <w:vAlign w:val="center"/>
          </w:tcPr>
          <w:p w14:paraId="0601C315">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结论</w:t>
            </w:r>
          </w:p>
        </w:tc>
      </w:tr>
      <w:tr w14:paraId="57CCF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0"/>
            <w:vAlign w:val="center"/>
          </w:tcPr>
          <w:p w14:paraId="00A98D1A">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30464C2C">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13.5.1 </w:t>
            </w:r>
            <w:r>
              <w:rPr>
                <w:rFonts w:hint="default" w:ascii="宋体" w:hAnsi="Times New Roman" w:eastAsia="宋体" w:cs="Times New Roman"/>
                <w:color w:val="auto"/>
                <w:kern w:val="0"/>
                <w:sz w:val="21"/>
                <w:szCs w:val="21"/>
              </w:rPr>
              <w:t>汽车加油加气加氢站应设置紧急切断系统，该系统应能在事故状态下实现紧急停车和关闭紧急切断阀的保护功能。</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8F7E9A2">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设有紧急切断系统（按钮）</w:t>
            </w:r>
          </w:p>
        </w:tc>
        <w:tc>
          <w:tcPr>
            <w:tcW w:w="0" w:type="auto"/>
            <w:tcBorders>
              <w:top w:val="single" w:color="auto" w:sz="4" w:space="0"/>
              <w:left w:val="single" w:color="auto" w:sz="4" w:space="0"/>
              <w:bottom w:val="single" w:color="auto" w:sz="4" w:space="0"/>
              <w:right w:val="single" w:color="auto" w:sz="12" w:space="0"/>
              <w:tl2br w:val="nil"/>
              <w:tr2bl w:val="nil"/>
            </w:tcBorders>
            <w:noWrap w:val="0"/>
            <w:vAlign w:val="center"/>
          </w:tcPr>
          <w:p w14:paraId="7EAA4B62">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43C99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0"/>
            <w:vAlign w:val="center"/>
          </w:tcPr>
          <w:p w14:paraId="182E3F8C">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40DD9E3">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13.5.2 </w:t>
            </w:r>
            <w:r>
              <w:rPr>
                <w:rFonts w:hint="default" w:ascii="宋体" w:hAnsi="Times New Roman" w:eastAsia="宋体" w:cs="Times New Roman"/>
                <w:color w:val="auto"/>
                <w:kern w:val="0"/>
                <w:sz w:val="21"/>
                <w:szCs w:val="21"/>
              </w:rPr>
              <w:t>紧急切断系统应至少在下列位置设置紧急切断开关：</w:t>
            </w:r>
          </w:p>
          <w:p w14:paraId="08221ECF">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在汽车加油加气加氢站现场工作人员容易接近且较为安全的位置；</w:t>
            </w:r>
          </w:p>
          <w:p w14:paraId="500697FB">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在控制室、值班室内或站房收银台等有人员值守的位置。</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D8013CA">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eastAsia" w:ascii="宋体" w:cs="Times New Roman"/>
                <w:color w:val="auto"/>
                <w:kern w:val="0"/>
                <w:sz w:val="21"/>
                <w:szCs w:val="21"/>
                <w:lang w:val="en-US" w:eastAsia="zh-CN"/>
              </w:rPr>
              <w:t>营业厅和</w:t>
            </w:r>
            <w:r>
              <w:rPr>
                <w:rFonts w:hint="default" w:ascii="宋体" w:hAnsi="Times New Roman" w:eastAsia="宋体" w:cs="Times New Roman"/>
                <w:color w:val="auto"/>
                <w:kern w:val="0"/>
                <w:sz w:val="21"/>
                <w:szCs w:val="21"/>
              </w:rPr>
              <w:t>站房外墙处设置紧急切断按钮</w:t>
            </w:r>
          </w:p>
        </w:tc>
        <w:tc>
          <w:tcPr>
            <w:tcW w:w="0" w:type="auto"/>
            <w:tcBorders>
              <w:top w:val="single" w:color="auto" w:sz="4" w:space="0"/>
              <w:left w:val="single" w:color="auto" w:sz="4" w:space="0"/>
              <w:bottom w:val="single" w:color="auto" w:sz="4" w:space="0"/>
              <w:right w:val="single" w:color="auto" w:sz="12" w:space="0"/>
              <w:tl2br w:val="nil"/>
              <w:tr2bl w:val="nil"/>
            </w:tcBorders>
            <w:noWrap w:val="0"/>
            <w:vAlign w:val="center"/>
          </w:tcPr>
          <w:p w14:paraId="64CDC2E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19450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tcBorders>
              <w:top w:val="single" w:color="auto" w:sz="4" w:space="0"/>
              <w:left w:val="single" w:color="auto" w:sz="12" w:space="0"/>
              <w:bottom w:val="single" w:color="auto" w:sz="4" w:space="0"/>
              <w:right w:val="single" w:color="auto" w:sz="4" w:space="0"/>
              <w:tl2br w:val="nil"/>
              <w:tr2bl w:val="nil"/>
            </w:tcBorders>
            <w:noWrap w:val="0"/>
            <w:vAlign w:val="center"/>
          </w:tcPr>
          <w:p w14:paraId="442F38AD">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4E968190">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13.5.3 </w:t>
            </w:r>
            <w:r>
              <w:rPr>
                <w:rFonts w:hint="default" w:ascii="宋体" w:hAnsi="Times New Roman" w:eastAsia="宋体" w:cs="Times New Roman"/>
                <w:color w:val="auto"/>
                <w:kern w:val="0"/>
                <w:sz w:val="21"/>
                <w:szCs w:val="21"/>
              </w:rPr>
              <w:t>工艺设备的电源和工艺管道上的紧急切断阀应能由手动启动的远程控制切断系统操纵关闭。</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943DF00">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符合要求</w:t>
            </w:r>
          </w:p>
        </w:tc>
        <w:tc>
          <w:tcPr>
            <w:tcW w:w="0" w:type="auto"/>
            <w:tcBorders>
              <w:top w:val="single" w:color="auto" w:sz="4" w:space="0"/>
              <w:left w:val="single" w:color="auto" w:sz="4" w:space="0"/>
              <w:bottom w:val="single" w:color="auto" w:sz="4" w:space="0"/>
              <w:right w:val="single" w:color="auto" w:sz="12" w:space="0"/>
              <w:tl2br w:val="nil"/>
              <w:tr2bl w:val="nil"/>
            </w:tcBorders>
            <w:noWrap w:val="0"/>
            <w:vAlign w:val="center"/>
          </w:tcPr>
          <w:p w14:paraId="5D7D8D9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1D7BE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0" w:type="auto"/>
            <w:tcBorders>
              <w:top w:val="single" w:color="auto" w:sz="4" w:space="0"/>
              <w:left w:val="single" w:color="auto" w:sz="12" w:space="0"/>
              <w:bottom w:val="single" w:color="auto" w:sz="12" w:space="0"/>
              <w:right w:val="single" w:color="auto" w:sz="4" w:space="0"/>
              <w:tl2br w:val="nil"/>
              <w:tr2bl w:val="nil"/>
            </w:tcBorders>
            <w:noWrap w:val="0"/>
            <w:vAlign w:val="center"/>
          </w:tcPr>
          <w:p w14:paraId="6EE52505">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0" w:type="auto"/>
            <w:tcBorders>
              <w:top w:val="single" w:color="auto" w:sz="4" w:space="0"/>
              <w:left w:val="single" w:color="auto" w:sz="4" w:space="0"/>
              <w:bottom w:val="single" w:color="auto" w:sz="12" w:space="0"/>
              <w:right w:val="single" w:color="auto" w:sz="4" w:space="0"/>
              <w:tl2br w:val="nil"/>
              <w:tr2bl w:val="nil"/>
            </w:tcBorders>
            <w:noWrap w:val="0"/>
            <w:vAlign w:val="center"/>
          </w:tcPr>
          <w:p w14:paraId="55814C3C">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13.5.4 </w:t>
            </w:r>
            <w:r>
              <w:rPr>
                <w:rFonts w:hint="default" w:ascii="宋体" w:hAnsi="Times New Roman" w:eastAsia="宋体" w:cs="Times New Roman"/>
                <w:color w:val="auto"/>
                <w:kern w:val="0"/>
                <w:sz w:val="21"/>
                <w:szCs w:val="21"/>
              </w:rPr>
              <w:t>紧急切断系统应只能手动复位。</w:t>
            </w:r>
          </w:p>
        </w:tc>
        <w:tc>
          <w:tcPr>
            <w:tcW w:w="0" w:type="auto"/>
            <w:tcBorders>
              <w:top w:val="single" w:color="auto" w:sz="4" w:space="0"/>
              <w:left w:val="single" w:color="auto" w:sz="4" w:space="0"/>
              <w:bottom w:val="single" w:color="auto" w:sz="12" w:space="0"/>
              <w:right w:val="single" w:color="auto" w:sz="4" w:space="0"/>
              <w:tl2br w:val="nil"/>
              <w:tr2bl w:val="nil"/>
            </w:tcBorders>
            <w:noWrap w:val="0"/>
            <w:vAlign w:val="center"/>
          </w:tcPr>
          <w:p w14:paraId="3FE79D2C">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手动复位</w:t>
            </w:r>
          </w:p>
        </w:tc>
        <w:tc>
          <w:tcPr>
            <w:tcW w:w="0" w:type="auto"/>
            <w:tcBorders>
              <w:top w:val="single" w:color="auto" w:sz="4" w:space="0"/>
              <w:left w:val="single" w:color="auto" w:sz="4" w:space="0"/>
              <w:bottom w:val="single" w:color="auto" w:sz="12" w:space="0"/>
              <w:right w:val="single" w:color="auto" w:sz="12" w:space="0"/>
              <w:tl2br w:val="nil"/>
              <w:tr2bl w:val="nil"/>
            </w:tcBorders>
            <w:noWrap w:val="0"/>
            <w:vAlign w:val="center"/>
          </w:tcPr>
          <w:p w14:paraId="1B97338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bl>
    <w:p w14:paraId="1419AD50">
      <w:pPr>
        <w:pStyle w:val="3"/>
        <w:rPr>
          <w:rFonts w:hint="default"/>
          <w:color w:val="auto"/>
          <w:kern w:val="2"/>
          <w:sz w:val="28"/>
          <w:szCs w:val="24"/>
        </w:rPr>
      </w:pPr>
      <w:bookmarkStart w:id="257" w:name="_Toc5832"/>
      <w:r>
        <w:rPr>
          <w:b/>
          <w:bCs/>
          <w:color w:val="000000"/>
          <w:sz w:val="28"/>
          <w:szCs w:val="28"/>
        </w:rPr>
        <w:t>5</w:t>
      </w:r>
      <w:bookmarkEnd w:id="255"/>
      <w:bookmarkEnd w:id="256"/>
      <w:bookmarkStart w:id="258" w:name="_Toc23405"/>
      <w:r>
        <w:rPr>
          <w:rFonts w:hint="default" w:ascii="Times New Roman" w:hAnsi="Times New Roman" w:eastAsia="宋体" w:cs="Times New Roman"/>
          <w:color w:val="auto"/>
          <w:sz w:val="28"/>
          <w:szCs w:val="28"/>
        </w:rPr>
        <w:t>.</w:t>
      </w:r>
      <w:r>
        <w:rPr>
          <w:rFonts w:hint="default" w:cs="Times New Roman"/>
          <w:color w:val="auto"/>
          <w:sz w:val="28"/>
          <w:szCs w:val="28"/>
        </w:rPr>
        <w:t>5</w:t>
      </w:r>
      <w:r>
        <w:rPr>
          <w:rFonts w:hint="default" w:ascii="宋体" w:eastAsia="宋体"/>
          <w:color w:val="auto"/>
          <w:kern w:val="2"/>
          <w:sz w:val="28"/>
          <w:szCs w:val="24"/>
        </w:rPr>
        <w:t>公用工程及辅助配套设施</w:t>
      </w:r>
      <w:r>
        <w:rPr>
          <w:rFonts w:hint="default" w:ascii="宋体" w:hAnsi="Times New Roman" w:eastAsia="宋体" w:cs="Times New Roman"/>
          <w:color w:val="auto"/>
          <w:sz w:val="28"/>
          <w:szCs w:val="28"/>
        </w:rPr>
        <w:t>符合性评价</w:t>
      </w:r>
      <w:bookmarkEnd w:id="257"/>
      <w:bookmarkEnd w:id="258"/>
    </w:p>
    <w:p w14:paraId="5AE6BD4E">
      <w:pPr>
        <w:spacing w:beforeLines="0" w:afterLines="0"/>
        <w:ind w:firstLine="562" w:firstLineChars="200"/>
        <w:rPr>
          <w:rFonts w:hint="default" w:ascii="Times New Roman" w:hAnsi="Times New Roman" w:eastAsia="宋体" w:cs="Times New Roman"/>
          <w:b/>
          <w:color w:val="auto"/>
          <w:sz w:val="28"/>
          <w:szCs w:val="24"/>
        </w:rPr>
      </w:pPr>
      <w:r>
        <w:rPr>
          <w:rFonts w:hint="default" w:ascii="宋体" w:eastAsia="宋体" w:cs="Times New Roman"/>
          <w:b/>
          <w:color w:val="auto"/>
          <w:sz w:val="28"/>
          <w:szCs w:val="24"/>
        </w:rPr>
        <w:t>一、</w:t>
      </w:r>
      <w:r>
        <w:rPr>
          <w:rFonts w:hint="default" w:ascii="宋体" w:hAnsi="Times New Roman" w:eastAsia="宋体" w:cs="Times New Roman"/>
          <w:b/>
          <w:color w:val="auto"/>
          <w:sz w:val="28"/>
          <w:szCs w:val="24"/>
        </w:rPr>
        <w:t>加油站电气和紧急切断系统符合性评价</w:t>
      </w:r>
    </w:p>
    <w:p w14:paraId="2762BBB8">
      <w:pPr>
        <w:tabs>
          <w:tab w:val="left" w:pos="6970"/>
        </w:tabs>
        <w:spacing w:beforeLines="0" w:afterLines="0" w:line="580" w:lineRule="exact"/>
        <w:ind w:right="-14" w:rightChars="-5" w:firstLine="560" w:firstLineChars="20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对照《汽车加油加气加氢技术标准》（GB50156-2021）的有关规定，对加油站</w:t>
      </w:r>
      <w:r>
        <w:rPr>
          <w:rFonts w:hint="default" w:ascii="宋体" w:hAnsi="Times New Roman" w:eastAsia="宋体" w:cs="Times New Roman"/>
          <w:color w:val="auto"/>
          <w:sz w:val="28"/>
          <w:szCs w:val="24"/>
        </w:rPr>
        <w:t>电气、给排水和防雷防静电</w:t>
      </w:r>
      <w:r>
        <w:rPr>
          <w:rFonts w:hint="default" w:ascii="宋体" w:hAnsi="Times New Roman" w:eastAsia="宋体" w:cs="Times New Roman"/>
          <w:color w:val="auto"/>
          <w:sz w:val="28"/>
          <w:szCs w:val="28"/>
        </w:rPr>
        <w:t>进行符合性评价，见表5.5</w:t>
      </w:r>
      <w:r>
        <w:rPr>
          <w:rFonts w:hint="default" w:ascii="Times New Roman" w:hAnsi="Times New Roman" w:eastAsia="宋体" w:cs="Times New Roman"/>
          <w:color w:val="auto"/>
          <w:sz w:val="28"/>
          <w:szCs w:val="28"/>
        </w:rPr>
        <w:t>-</w:t>
      </w:r>
      <w:r>
        <w:rPr>
          <w:rFonts w:hint="default" w:ascii="宋体" w:hAnsi="Times New Roman" w:eastAsia="宋体" w:cs="Times New Roman"/>
          <w:color w:val="auto"/>
          <w:sz w:val="28"/>
          <w:szCs w:val="28"/>
        </w:rPr>
        <w:t>1。</w:t>
      </w:r>
    </w:p>
    <w:p w14:paraId="3EBE9C78">
      <w:pPr>
        <w:pStyle w:val="43"/>
        <w:spacing w:before="156"/>
        <w:rPr>
          <w:rFonts w:hint="default" w:ascii="Times New Roman" w:hAnsi="Times New Roman" w:cs="Times New Roman"/>
          <w:color w:val="auto"/>
          <w:sz w:val="24"/>
          <w:szCs w:val="20"/>
        </w:rPr>
      </w:pPr>
      <w:r>
        <w:rPr>
          <w:rFonts w:hint="default" w:hAnsi="Times New Roman" w:cs="Times New Roman"/>
          <w:color w:val="auto"/>
          <w:sz w:val="24"/>
          <w:szCs w:val="20"/>
        </w:rPr>
        <w:t>表5.5</w:t>
      </w:r>
      <w:r>
        <w:rPr>
          <w:rFonts w:hint="default" w:ascii="Times New Roman" w:hAnsi="Times New Roman" w:cs="Times New Roman"/>
          <w:color w:val="auto"/>
          <w:sz w:val="24"/>
          <w:szCs w:val="20"/>
        </w:rPr>
        <w:t>-</w:t>
      </w:r>
      <w:r>
        <w:rPr>
          <w:rFonts w:hint="default" w:hAnsi="Times New Roman" w:cs="Times New Roman"/>
          <w:color w:val="auto"/>
          <w:sz w:val="24"/>
          <w:szCs w:val="20"/>
        </w:rPr>
        <w:t>1加油站电气和紧急切断系统符合性评价表</w:t>
      </w:r>
    </w:p>
    <w:tbl>
      <w:tblPr>
        <w:tblStyle w:val="20"/>
        <w:tblW w:w="91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8"/>
        <w:gridCol w:w="6525"/>
        <w:gridCol w:w="1110"/>
        <w:gridCol w:w="810"/>
      </w:tblGrid>
      <w:tr w14:paraId="6985F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153" w:type="dxa"/>
            <w:gridSpan w:val="4"/>
            <w:tcBorders>
              <w:top w:val="single" w:color="auto" w:sz="12" w:space="0"/>
              <w:left w:val="single" w:color="auto" w:sz="12" w:space="0"/>
              <w:bottom w:val="single" w:color="auto" w:sz="4" w:space="0"/>
              <w:right w:val="single" w:color="auto" w:sz="12" w:space="0"/>
              <w:tl2br w:val="nil"/>
              <w:tr2bl w:val="nil"/>
            </w:tcBorders>
            <w:noWrap w:val="0"/>
            <w:vAlign w:val="center"/>
          </w:tcPr>
          <w:p w14:paraId="42B8C1CA">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供配电</w:t>
            </w:r>
          </w:p>
        </w:tc>
      </w:tr>
      <w:tr w14:paraId="0042A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074CE50C">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序号</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0DDB62">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检查内容</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A01E1F">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检查记录</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942BA5B">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结论</w:t>
            </w:r>
          </w:p>
        </w:tc>
      </w:tr>
      <w:tr w14:paraId="75582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5F3248D">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BCCB29">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13.1.1 </w:t>
            </w:r>
            <w:r>
              <w:rPr>
                <w:rFonts w:hint="default" w:ascii="宋体" w:hAnsi="Times New Roman" w:eastAsia="宋体" w:cs="Times New Roman"/>
                <w:color w:val="auto"/>
                <w:kern w:val="0"/>
                <w:sz w:val="21"/>
                <w:szCs w:val="21"/>
              </w:rPr>
              <w:t>汽车加油加气加氢站的供电负荷等级可分为三级，信息系统应设不间断供电电源。</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A0606F">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三级负荷，信息系统设不间断供电电源</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A8DF9A6">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1107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FBBC178">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5363BD">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13.1.2 </w:t>
            </w:r>
            <w:r>
              <w:rPr>
                <w:rFonts w:hint="default" w:ascii="宋体" w:hAnsi="Times New Roman" w:eastAsia="宋体" w:cs="Times New Roman"/>
                <w:color w:val="auto"/>
                <w:kern w:val="0"/>
                <w:sz w:val="21"/>
                <w:szCs w:val="21"/>
              </w:rPr>
              <w:t>加油站、LPG加气站宜采用电压为380/220V的外接电源，CNG加气站、LNG加气站、加氢合建站宜采用电压为10kV的外接电源。</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538D9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采用380/220V外接电源</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7BACA6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0178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2D7629C">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7429C1">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13.1.3 </w:t>
            </w:r>
            <w:r>
              <w:rPr>
                <w:rFonts w:hint="default" w:ascii="宋体" w:hAnsi="Times New Roman" w:eastAsia="宋体" w:cs="Times New Roman"/>
                <w:color w:val="auto"/>
                <w:kern w:val="0"/>
                <w:sz w:val="21"/>
                <w:szCs w:val="21"/>
              </w:rPr>
              <w:t>汽车加油加气加氢站的消防泵房、罩棚、营业室、LPG泵房、压缩机间等处均应设应急照明，连续供电时间不应少于90min。</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CED08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有应急照明</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26A1595">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70100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73"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BABD039">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4861E5">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13.1.4 </w:t>
            </w:r>
            <w:r>
              <w:rPr>
                <w:rFonts w:hint="default" w:ascii="宋体" w:hAnsi="Times New Roman" w:eastAsia="宋体" w:cs="Times New Roman"/>
                <w:color w:val="auto"/>
                <w:kern w:val="0"/>
                <w:sz w:val="21"/>
                <w:szCs w:val="21"/>
              </w:rPr>
              <w:t>当引用外电源有困难时，汽车加油加气加氢站可设置小型内燃发电机组。内燃机的排烟管口应安装阻火器。排烟管口至各爆炸危险区域边界的水平距离，应符合下列规定：</w:t>
            </w:r>
          </w:p>
          <w:p w14:paraId="0BD77043">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排烟口高出地面4.5m以下时，不应小于5m；</w:t>
            </w:r>
          </w:p>
          <w:p w14:paraId="4710EA79">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排烟口高出地面4.5m及以上时，不应小于3m。</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FC70A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0B3A86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3CF8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864946E">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DBB1C1">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13.1.5 </w:t>
            </w:r>
            <w:r>
              <w:rPr>
                <w:rFonts w:hint="default" w:ascii="宋体" w:hAnsi="Times New Roman" w:eastAsia="宋体" w:cs="Times New Roman"/>
                <w:color w:val="auto"/>
                <w:kern w:val="0"/>
                <w:sz w:val="21"/>
                <w:szCs w:val="21"/>
              </w:rPr>
              <w:t>汽车加油加气加氢站的电缆宜采用直埋或电缆穿管敷设。电缆穿越行车道部分应穿钢管保护。</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1E9B7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电缆直埋</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9C2F572">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B1D6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8C76A4A">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0BB6FC">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13.1.6 </w:t>
            </w:r>
            <w:r>
              <w:rPr>
                <w:rFonts w:hint="default" w:ascii="宋体" w:hAnsi="Times New Roman" w:eastAsia="宋体" w:cs="Times New Roman"/>
                <w:color w:val="auto"/>
                <w:kern w:val="0"/>
                <w:sz w:val="21"/>
                <w:szCs w:val="21"/>
              </w:rPr>
              <w:t>当采用电缆沟敷设电缆时，作业区内的电缆沟内必须充沙填实。电缆不得与氢气、油品、LPG，LNG和CNG管道以及热力管道敷设在同一沟内。</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46B3C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直埋敷设；电缆与油品管道不同沟敷设</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BF87F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7B721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0FBCF82">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478AE9">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13.1.7 </w:t>
            </w:r>
            <w:r>
              <w:rPr>
                <w:rFonts w:hint="default" w:ascii="宋体" w:hAnsi="Times New Roman" w:eastAsia="宋体" w:cs="Times New Roman"/>
                <w:color w:val="auto"/>
                <w:kern w:val="0"/>
                <w:sz w:val="21"/>
                <w:szCs w:val="21"/>
              </w:rPr>
              <w:t>爆炸危险区域内的电气设备选型、安装、电力线路敷设应符合现行国家标准《爆炸危险环境电力装置设计规范》GB 50058的有关规定。</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FE0ECC">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符合防爆标准要求</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F82586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7AE8A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746773B">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44EBE6">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13.1.8 </w:t>
            </w:r>
            <w:r>
              <w:rPr>
                <w:rFonts w:hint="default" w:ascii="宋体" w:hAnsi="Times New Roman" w:eastAsia="宋体" w:cs="Times New Roman"/>
                <w:color w:val="auto"/>
                <w:kern w:val="0"/>
                <w:sz w:val="21"/>
                <w:szCs w:val="21"/>
              </w:rPr>
              <w:t>汽车加油加气加氢站内爆炸危险区域以外的照明灯具可选用非防爆型。罩棚下处于非爆炸危险区域的灯具应选用防护等级不低于IP44级的照明灯具。</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0E41A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罩棚下的灯具防护等级不低于IP44级</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6BF19C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5FE7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0B49CBE">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4D68AC">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应设防止雨、雪、小动物、风沙及污秽尘埃进入的措施。《20kV及以下变电所设计规范》GB50053-2013。</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4ECE5C">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按规范设置</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61436FB">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4248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53" w:type="dxa"/>
            <w:gridSpan w:val="4"/>
            <w:tcBorders>
              <w:top w:val="single" w:color="auto" w:sz="4" w:space="0"/>
              <w:left w:val="single" w:color="auto" w:sz="12" w:space="0"/>
              <w:bottom w:val="single" w:color="auto" w:sz="4" w:space="0"/>
              <w:right w:val="single" w:color="auto" w:sz="12" w:space="0"/>
              <w:tl2br w:val="nil"/>
              <w:tr2bl w:val="nil"/>
            </w:tcBorders>
            <w:noWrap w:val="0"/>
            <w:vAlign w:val="center"/>
          </w:tcPr>
          <w:p w14:paraId="3B31023C">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给排水</w:t>
            </w:r>
          </w:p>
        </w:tc>
      </w:tr>
      <w:tr w14:paraId="081C7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BF927FC">
            <w:pPr>
              <w:autoSpaceDE w:val="0"/>
              <w:autoSpaceDN w:val="0"/>
              <w:adjustRightInd w:val="0"/>
              <w:spacing w:beforeLines="0" w:afterLines="0" w:line="240" w:lineRule="exact"/>
              <w:jc w:val="center"/>
              <w:rPr>
                <w:rFonts w:hint="default" w:ascii="宋体"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序号</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2BFCB6">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检查内容</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320883">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检查记录</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88708BC">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结论</w:t>
            </w:r>
          </w:p>
        </w:tc>
      </w:tr>
      <w:tr w14:paraId="3C382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shd w:val="clear" w:color="auto" w:fill="FFFFFF"/>
            <w:noWrap w:val="0"/>
            <w:vAlign w:val="center"/>
          </w:tcPr>
          <w:p w14:paraId="475ADFB5">
            <w:pPr>
              <w:tabs>
                <w:tab w:val="left" w:pos="0"/>
              </w:tabs>
              <w:autoSpaceDE w:val="0"/>
              <w:autoSpaceDN w:val="0"/>
              <w:spacing w:beforeLines="0" w:afterLines="0" w:line="260" w:lineRule="exact"/>
              <w:jc w:val="center"/>
              <w:rPr>
                <w:rFonts w:hint="default" w:ascii="宋体" w:hAnsi="Times New Roman" w:eastAsia="宋体" w:cs="Times New Roman"/>
                <w:color w:val="auto"/>
                <w:kern w:val="0"/>
                <w:sz w:val="21"/>
                <w:szCs w:val="21"/>
              </w:rPr>
            </w:pPr>
            <w:r>
              <w:rPr>
                <w:rFonts w:hint="default" w:ascii="宋体" w:hAnsi="Times New Roman" w:eastAsia="宋体" w:cs="Times New Roman"/>
                <w:color w:val="auto"/>
                <w:kern w:val="0"/>
                <w:sz w:val="21"/>
                <w:szCs w:val="21"/>
              </w:rPr>
              <w:t>1</w:t>
            </w:r>
          </w:p>
        </w:tc>
        <w:tc>
          <w:tcPr>
            <w:tcW w:w="6525"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08AC3433">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12.3.2 </w:t>
            </w:r>
            <w:r>
              <w:rPr>
                <w:rFonts w:hint="default" w:ascii="宋体" w:hAnsi="Times New Roman" w:eastAsia="宋体" w:cs="Times New Roman"/>
                <w:color w:val="auto"/>
                <w:kern w:val="0"/>
                <w:sz w:val="21"/>
                <w:szCs w:val="21"/>
              </w:rPr>
              <w:t>汽车加油加气加氢站的排水应符合下列规定：</w:t>
            </w:r>
          </w:p>
          <w:p w14:paraId="4A94DD7A">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站内地面雨水可散流排出站外，当加油站、LPG加气站或加油与L.PG加气合建站的雨水由明沟排到站处时，应在围墙内设置水封装置；</w:t>
            </w:r>
          </w:p>
          <w:p w14:paraId="2E67FB3A">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加油站、LPG加气站或加油与LPG加气合建站排出建筑物或围墙的污水，在建筑物墙外或围墙内应分别设水封井，水封井的水封高度不应小于0.25m，水封应设沉泥段，沉泥段高度不应小于0.25m；</w:t>
            </w:r>
          </w:p>
          <w:p w14:paraId="70588892">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清洗油罐的污水应集中收集处理，不应直接进入排水管道，LPG储罐的排污（排水）应采用活动式回收桶集中收集处理，不应直接接入排水管道；</w:t>
            </w:r>
          </w:p>
          <w:p w14:paraId="02B03F31">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4 </w:t>
            </w:r>
            <w:r>
              <w:rPr>
                <w:rFonts w:hint="default" w:ascii="宋体" w:hAnsi="Times New Roman" w:eastAsia="宋体" w:cs="Times New Roman"/>
                <w:color w:val="auto"/>
                <w:kern w:val="0"/>
                <w:sz w:val="21"/>
                <w:szCs w:val="21"/>
              </w:rPr>
              <w:t>排出站外的污水应符合国家现行有关污水排放标准的规定；</w:t>
            </w:r>
          </w:p>
          <w:p w14:paraId="7EA8F127">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5 </w:t>
            </w:r>
            <w:r>
              <w:rPr>
                <w:rFonts w:hint="default" w:ascii="宋体" w:hAnsi="Times New Roman" w:eastAsia="宋体" w:cs="Times New Roman"/>
                <w:color w:val="auto"/>
                <w:kern w:val="0"/>
                <w:sz w:val="21"/>
                <w:szCs w:val="21"/>
              </w:rPr>
              <w:t>加油站、LPG加气站不应采用暗沟排水。</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DB2595">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站内地面雨水可散流排出站外；未采用暗沟排水</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79555DB">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603CD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shd w:val="clear" w:color="auto" w:fill="FFFFFF"/>
            <w:noWrap w:val="0"/>
            <w:vAlign w:val="center"/>
          </w:tcPr>
          <w:p w14:paraId="058F4169">
            <w:pPr>
              <w:tabs>
                <w:tab w:val="left" w:pos="0"/>
              </w:tabs>
              <w:autoSpaceDE w:val="0"/>
              <w:autoSpaceDN w:val="0"/>
              <w:spacing w:beforeLines="0" w:afterLines="0" w:line="260" w:lineRule="exact"/>
              <w:jc w:val="center"/>
              <w:rPr>
                <w:rFonts w:hint="default" w:ascii="宋体" w:hAnsi="Times New Roman" w:eastAsia="宋体" w:cs="Times New Roman"/>
                <w:color w:val="auto"/>
                <w:kern w:val="0"/>
                <w:sz w:val="21"/>
                <w:szCs w:val="21"/>
              </w:rPr>
            </w:pPr>
            <w:r>
              <w:rPr>
                <w:rFonts w:hint="default" w:ascii="宋体" w:hAnsi="Times New Roman" w:eastAsia="宋体" w:cs="Times New Roman"/>
                <w:color w:val="auto"/>
                <w:kern w:val="0"/>
                <w:sz w:val="21"/>
                <w:szCs w:val="21"/>
              </w:rPr>
              <w:t>2</w:t>
            </w:r>
          </w:p>
        </w:tc>
        <w:tc>
          <w:tcPr>
            <w:tcW w:w="6525"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14:paraId="03F229BD">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12.3.3 </w:t>
            </w:r>
            <w:r>
              <w:rPr>
                <w:rFonts w:hint="default" w:ascii="宋体" w:hAnsi="Times New Roman" w:eastAsia="宋体" w:cs="Times New Roman"/>
                <w:color w:val="auto"/>
                <w:kern w:val="0"/>
                <w:sz w:val="21"/>
                <w:szCs w:val="21"/>
              </w:rPr>
              <w:t>排水井、雨水口和化粪池不应设在作业区和可燃液体出现泄漏事故时可能流经的部位。</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27F965">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不设在作业区和可燃液体出现泄漏事故时可能流经的部位</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CD0C05E">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8E10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9153" w:type="dxa"/>
            <w:gridSpan w:val="4"/>
            <w:tcBorders>
              <w:top w:val="single" w:color="auto" w:sz="4" w:space="0"/>
              <w:left w:val="single" w:color="auto" w:sz="12" w:space="0"/>
              <w:bottom w:val="single" w:color="auto" w:sz="4" w:space="0"/>
              <w:right w:val="single" w:color="auto" w:sz="12" w:space="0"/>
              <w:tl2br w:val="nil"/>
              <w:tr2bl w:val="nil"/>
            </w:tcBorders>
            <w:noWrap w:val="0"/>
            <w:vAlign w:val="center"/>
          </w:tcPr>
          <w:p w14:paraId="011A7632">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防雷、防静电</w:t>
            </w:r>
          </w:p>
        </w:tc>
      </w:tr>
      <w:tr w14:paraId="6D5DF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26D0F82">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序号</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927319">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检查内容</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DA30EA">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检查记录</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00FE7DF">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结论</w:t>
            </w:r>
          </w:p>
        </w:tc>
      </w:tr>
      <w:tr w14:paraId="3F0F8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6D7D6E2">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DDE562">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 </w:t>
            </w:r>
            <w:r>
              <w:rPr>
                <w:rFonts w:hint="default" w:ascii="宋体" w:hAnsi="Times New Roman" w:eastAsia="宋体" w:cs="Times New Roman"/>
                <w:color w:val="auto"/>
                <w:kern w:val="0"/>
                <w:sz w:val="21"/>
                <w:szCs w:val="21"/>
              </w:rPr>
              <w:t>钢制油罐、LPG储罐、LNG储罐、CNG储气瓶（组）、储氢容器和液氢储罐必须进行防雷接地，接地点不应少于两处。CNG和氢气的长管拖车或管束式集装箱停放场地、卸车点车辆停放场地应设两处临时用固定防雷接地装置。</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C34A41">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油罐两处接地</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151719B">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70CAC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78204E15">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774FA9">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13.2.2 </w:t>
            </w:r>
            <w:r>
              <w:rPr>
                <w:rFonts w:hint="default" w:ascii="宋体" w:hAnsi="Times New Roman" w:eastAsia="宋体" w:cs="Times New Roman"/>
                <w:color w:val="auto"/>
                <w:kern w:val="0"/>
                <w:sz w:val="21"/>
                <w:szCs w:val="21"/>
              </w:rPr>
              <w:t>汽车加油加气加氢站的防雷接地防静电接地、电气设备的工作接地、保护接地及信息系统的接地等宜共用接地装置，接地电阻不应大于4Ω。</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0D4B0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符合要求，见防雷检测报告</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64A4F6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A1FB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2B630CBE">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8C30B4">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13.2.4 </w:t>
            </w:r>
            <w:r>
              <w:rPr>
                <w:rFonts w:hint="default" w:ascii="宋体" w:hAnsi="Times New Roman" w:eastAsia="宋体" w:cs="Times New Roman"/>
                <w:color w:val="auto"/>
                <w:kern w:val="0"/>
                <w:sz w:val="21"/>
                <w:szCs w:val="21"/>
              </w:rPr>
              <w:t>埋地钢制油罐、埋地LPG储罐以及非金属油罐顶部的金属部件和罐内的各金属部件，必须与非埋地部分的工艺金属管道相互做电气连接并接地。</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8440F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有电气连接并接地</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83557C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275D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A21953C">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07EAF7">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13.2.5 </w:t>
            </w:r>
            <w:r>
              <w:rPr>
                <w:rFonts w:hint="default" w:ascii="宋体" w:hAnsi="Times New Roman" w:eastAsia="宋体" w:cs="Times New Roman"/>
                <w:color w:val="auto"/>
                <w:kern w:val="0"/>
                <w:sz w:val="21"/>
                <w:szCs w:val="21"/>
              </w:rPr>
              <w:t>汽车加油加气加氢站内油气放空管在接入全站共用接地装置后，可不单独做防雷接地。</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73CC40">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符合要求</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4E3F226">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0E662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701D3E60">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E290A8">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13.2.6 </w:t>
            </w:r>
            <w:r>
              <w:rPr>
                <w:rFonts w:hint="default" w:ascii="宋体" w:hAnsi="Times New Roman" w:eastAsia="宋体" w:cs="Times New Roman"/>
                <w:color w:val="auto"/>
                <w:kern w:val="0"/>
                <w:sz w:val="21"/>
                <w:szCs w:val="21"/>
              </w:rPr>
              <w:t>当汽车加油加气加氢站内的站房和罩棚等建筑物需要防直击雷时，应采用接闪带（网）保护。当罩棚采用金属屋面时，宜利用屋面作为接闪器，但应符合下列规定：</w:t>
            </w:r>
          </w:p>
          <w:p w14:paraId="3E814B43">
            <w:pPr>
              <w:autoSpaceDE w:val="0"/>
              <w:autoSpaceDN w:val="0"/>
              <w:adjustRightInd w:val="0"/>
              <w:spacing w:beforeLines="0" w:afterLines="0" w:line="24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板间的连接应是持久的电气贯通，可采用铜锌合金焊、熔焊、卷边压接、缝接、螺钉或螺栓连接；</w:t>
            </w:r>
          </w:p>
          <w:p w14:paraId="78DB154D">
            <w:pPr>
              <w:autoSpaceDE w:val="0"/>
              <w:autoSpaceDN w:val="0"/>
              <w:adjustRightInd w:val="0"/>
              <w:spacing w:beforeLines="0" w:afterLines="0" w:line="24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金属板下面不应有易燃物品，热镀锌钢板的厚度不应小于0.5mm，铝板的厚度不应小于0.65mm，锌板的厚度不应小于0.7mm；</w:t>
            </w:r>
          </w:p>
          <w:p w14:paraId="7B083D8A">
            <w:pPr>
              <w:autoSpaceDE w:val="0"/>
              <w:autoSpaceDN w:val="0"/>
              <w:adjustRightInd w:val="0"/>
              <w:spacing w:beforeLines="0" w:afterLines="0" w:line="24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金属板应无绝缘被覆层。</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26E9D5">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采用接闪带（网）保护</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CB655E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4C25E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067148DE">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0F1837">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13.2.7 </w:t>
            </w:r>
            <w:r>
              <w:rPr>
                <w:rFonts w:hint="default" w:ascii="宋体" w:hAnsi="Times New Roman" w:eastAsia="宋体" w:cs="Times New Roman"/>
                <w:color w:val="auto"/>
                <w:kern w:val="0"/>
                <w:sz w:val="21"/>
                <w:szCs w:val="21"/>
              </w:rPr>
              <w:t>汽车加油加气加氢站的信息系统应采用铠装电缆或导线穿钢管配线。配线电缆铠装金属层两端、保护钢管两端均应接地。</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4F6CE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符合要求</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A373D78">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AE2D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7F3BFFF7">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6A3857">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13.2.8 </w:t>
            </w:r>
            <w:r>
              <w:rPr>
                <w:rFonts w:hint="default" w:ascii="宋体" w:hAnsi="Times New Roman" w:eastAsia="宋体" w:cs="Times New Roman"/>
                <w:color w:val="auto"/>
                <w:kern w:val="0"/>
                <w:sz w:val="21"/>
                <w:szCs w:val="21"/>
              </w:rPr>
              <w:t>汽车加油加气加氢站信息系统的配电线路首、末端与电子器件连接时，应装设与电子器件耐压水平相适应的过电压（电涌）保护器。</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61268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符合要求</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527053D">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A686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FEF0120">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D81EE3">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13.2.9 380/220V</w:t>
            </w:r>
            <w:r>
              <w:rPr>
                <w:rFonts w:hint="default" w:ascii="宋体" w:hAnsi="Times New Roman" w:eastAsia="宋体" w:cs="Times New Roman"/>
                <w:color w:val="auto"/>
                <w:kern w:val="0"/>
                <w:sz w:val="21"/>
                <w:szCs w:val="21"/>
              </w:rPr>
              <w:t>供配电系统宜采用TN-S系统，当外供电源为380V时，可采用TN-C-S系统。供电系统的电缆金属外皮或电缆金属保护管两端均应接地，在供配电系统的电源端应安装与设备耐压水平相适应的过电压（电）保护器。</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37CEC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采用过电压（电）保护器</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6FB9C12">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41060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B8E6A6A">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912F65">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13.2.10 </w:t>
            </w:r>
            <w:r>
              <w:rPr>
                <w:rFonts w:hint="default" w:ascii="宋体" w:hAnsi="Times New Roman" w:eastAsia="宋体" w:cs="Times New Roman"/>
                <w:color w:val="auto"/>
                <w:kern w:val="0"/>
                <w:sz w:val="21"/>
                <w:szCs w:val="21"/>
              </w:rPr>
              <w:t>地上或管沟敷设的油品管道、LPG管道，LNG管道CNG管道、氢气管道和液氢管道应设防静电和防感应雷的共用接地装置，接地电阻不应大于30Ω。</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44825E">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油品管道接地电阻不大于30Ω</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BB7E7E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3EB40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877C6FD">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877B44">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13.2.11 </w:t>
            </w:r>
            <w:r>
              <w:rPr>
                <w:rFonts w:hint="default" w:ascii="宋体" w:hAnsi="Times New Roman" w:eastAsia="宋体" w:cs="Times New Roman"/>
                <w:color w:val="auto"/>
                <w:kern w:val="0"/>
                <w:sz w:val="21"/>
                <w:szCs w:val="21"/>
              </w:rPr>
              <w:t>加油加气加氢站的油罐车LPG罐车、LNG罐车和液氢罐车卸车场地应设卸车或卸气临时用的防静电接地装置，并应设置能检测跨接线及监视接地装置状态的静电接地仪。</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1B6726">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有防静电接地装置</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42D600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85A1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6D167870">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79DEEB">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13.2.12 </w:t>
            </w:r>
            <w:r>
              <w:rPr>
                <w:rFonts w:hint="default" w:ascii="宋体" w:hAnsi="Times New Roman" w:eastAsia="宋体" w:cs="Times New Roman"/>
                <w:color w:val="auto"/>
                <w:kern w:val="0"/>
                <w:sz w:val="21"/>
                <w:szCs w:val="21"/>
              </w:rPr>
              <w:t>在爆炸危险区域内工艺管道上的法兰、胶管两端等连接处应用金属线跨接。当法兰的连接螺栓不少于5根时，在非腐蚀环境下可不跨接。</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47A446">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按要求跨接</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535934F">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1E15A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35DF16A1">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BBFD9A">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13.2.13 </w:t>
            </w:r>
            <w:r>
              <w:rPr>
                <w:rFonts w:hint="default" w:ascii="宋体" w:hAnsi="Times New Roman" w:eastAsia="宋体" w:cs="Times New Roman"/>
                <w:color w:val="auto"/>
                <w:kern w:val="0"/>
                <w:sz w:val="21"/>
                <w:szCs w:val="21"/>
              </w:rPr>
              <w:t>油罐车卸油用的卸油软管、油气回收软管与两端接头，应保证可靠的电气连接。</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A6F34">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电气可靠连接</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0FFE7C1">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12C2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69804FE">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2176E3">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13.2.14 </w:t>
            </w:r>
            <w:r>
              <w:rPr>
                <w:rFonts w:hint="default" w:ascii="宋体" w:hAnsi="Times New Roman" w:eastAsia="宋体" w:cs="Times New Roman"/>
                <w:color w:val="auto"/>
                <w:kern w:val="0"/>
                <w:sz w:val="21"/>
                <w:szCs w:val="21"/>
              </w:rPr>
              <w:t>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A9E71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按要求接地</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9D46C58">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43B24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9C8AE28">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6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F4A12E">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13.2.15</w:t>
            </w:r>
            <w:r>
              <w:rPr>
                <w:rFonts w:hint="default" w:ascii="宋体" w:hAnsi="Times New Roman" w:eastAsia="宋体" w:cs="Times New Roman"/>
                <w:color w:val="auto"/>
                <w:kern w:val="0"/>
                <w:sz w:val="21"/>
                <w:szCs w:val="21"/>
              </w:rPr>
              <w:t>防静电接地装置的接地电阻不应大于100Ω。</w:t>
            </w:r>
          </w:p>
        </w:tc>
        <w:tc>
          <w:tcPr>
            <w:tcW w:w="11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633B7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接地电阻不大于100Ω</w:t>
            </w:r>
          </w:p>
        </w:tc>
        <w:tc>
          <w:tcPr>
            <w:tcW w:w="81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285598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2AA24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tcBorders>
              <w:top w:val="single" w:color="auto" w:sz="4" w:space="0"/>
              <w:left w:val="single" w:color="auto" w:sz="12" w:space="0"/>
              <w:bottom w:val="single" w:color="auto" w:sz="12" w:space="0"/>
              <w:right w:val="single" w:color="auto" w:sz="4" w:space="0"/>
              <w:tl2br w:val="nil"/>
              <w:tr2bl w:val="nil"/>
            </w:tcBorders>
            <w:noWrap w:val="0"/>
            <w:vAlign w:val="center"/>
          </w:tcPr>
          <w:p w14:paraId="5AC06C9B">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6525"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716BE30F">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13.2.16 </w:t>
            </w:r>
            <w:r>
              <w:rPr>
                <w:rFonts w:hint="default" w:ascii="宋体" w:hAnsi="Times New Roman" w:eastAsia="宋体" w:cs="Times New Roman"/>
                <w:color w:val="auto"/>
                <w:kern w:val="0"/>
                <w:sz w:val="21"/>
                <w:szCs w:val="21"/>
              </w:rPr>
              <w:t>油罐车、LPG罐车、LNG罐车和液氢罐车卸车场地内用于防静电跨接的固定接地装置不应设置在爆炸危险1区。</w:t>
            </w:r>
          </w:p>
        </w:tc>
        <w:tc>
          <w:tcPr>
            <w:tcW w:w="1110"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0E55DC7F">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未设置在爆炸危险区</w:t>
            </w:r>
          </w:p>
        </w:tc>
        <w:tc>
          <w:tcPr>
            <w:tcW w:w="810" w:type="dxa"/>
            <w:tcBorders>
              <w:top w:val="single" w:color="auto" w:sz="4" w:space="0"/>
              <w:left w:val="single" w:color="auto" w:sz="4" w:space="0"/>
              <w:bottom w:val="single" w:color="auto" w:sz="12" w:space="0"/>
              <w:right w:val="single" w:color="auto" w:sz="12" w:space="0"/>
              <w:tl2br w:val="nil"/>
              <w:tr2bl w:val="nil"/>
            </w:tcBorders>
            <w:noWrap w:val="0"/>
            <w:vAlign w:val="center"/>
          </w:tcPr>
          <w:p w14:paraId="785A6DE7">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bl>
    <w:p w14:paraId="5C08EDE4">
      <w:pPr>
        <w:spacing w:beforeLines="0" w:afterLines="0"/>
        <w:ind w:firstLine="562" w:firstLineChars="200"/>
        <w:rPr>
          <w:rFonts w:hint="default" w:ascii="Times New Roman" w:hAnsi="Times New Roman" w:eastAsia="宋体" w:cs="Times New Roman"/>
          <w:b/>
          <w:color w:val="auto"/>
          <w:sz w:val="28"/>
          <w:szCs w:val="24"/>
        </w:rPr>
      </w:pPr>
      <w:r>
        <w:rPr>
          <w:rFonts w:hint="default" w:ascii="宋体" w:eastAsia="宋体" w:cs="Times New Roman"/>
          <w:b/>
          <w:color w:val="auto"/>
          <w:sz w:val="28"/>
          <w:szCs w:val="24"/>
        </w:rPr>
        <w:t>二、</w:t>
      </w:r>
      <w:r>
        <w:rPr>
          <w:rFonts w:hint="default" w:ascii="宋体" w:hAnsi="Times New Roman" w:eastAsia="宋体" w:cs="Times New Roman"/>
          <w:b/>
          <w:color w:val="auto"/>
          <w:sz w:val="28"/>
          <w:szCs w:val="24"/>
        </w:rPr>
        <w:t>加油站采暖通风、建（构）筑物、绿化符合性评价</w:t>
      </w:r>
    </w:p>
    <w:p w14:paraId="2B826CFF">
      <w:pPr>
        <w:tabs>
          <w:tab w:val="left" w:pos="6970"/>
        </w:tabs>
        <w:spacing w:beforeLines="0" w:afterLines="0" w:line="520" w:lineRule="exact"/>
        <w:ind w:right="-14" w:rightChars="-5" w:firstLine="560" w:firstLineChars="20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对照《汽车加油加气加氢技术标准》（GB50156-2021）的有关规定，对加油站</w:t>
      </w:r>
      <w:r>
        <w:rPr>
          <w:rFonts w:hint="default" w:ascii="宋体" w:hAnsi="Times New Roman" w:eastAsia="宋体" w:cs="Times New Roman"/>
          <w:color w:val="auto"/>
          <w:sz w:val="28"/>
          <w:szCs w:val="24"/>
        </w:rPr>
        <w:t>采暖通风、建（构）筑物、绿化</w:t>
      </w:r>
      <w:r>
        <w:rPr>
          <w:rFonts w:hint="default" w:ascii="宋体" w:hAnsi="Times New Roman" w:eastAsia="宋体" w:cs="Times New Roman"/>
          <w:color w:val="auto"/>
          <w:sz w:val="28"/>
          <w:szCs w:val="28"/>
        </w:rPr>
        <w:t>进行符合性评价，见表5.5</w:t>
      </w:r>
      <w:r>
        <w:rPr>
          <w:rFonts w:hint="default" w:ascii="Times New Roman" w:hAnsi="Times New Roman" w:eastAsia="宋体" w:cs="Times New Roman"/>
          <w:color w:val="auto"/>
          <w:sz w:val="28"/>
          <w:szCs w:val="28"/>
        </w:rPr>
        <w:t>-</w:t>
      </w:r>
      <w:r>
        <w:rPr>
          <w:rFonts w:hint="default" w:ascii="宋体" w:hAnsi="Times New Roman" w:eastAsia="宋体" w:cs="Times New Roman"/>
          <w:color w:val="auto"/>
          <w:sz w:val="28"/>
          <w:szCs w:val="28"/>
        </w:rPr>
        <w:t>2。</w:t>
      </w:r>
    </w:p>
    <w:p w14:paraId="030DCDCB">
      <w:pPr>
        <w:pStyle w:val="43"/>
        <w:spacing w:before="156"/>
        <w:rPr>
          <w:rFonts w:hint="default" w:ascii="Times New Roman" w:hAnsi="Times New Roman" w:cs="Times New Roman"/>
          <w:color w:val="auto"/>
          <w:sz w:val="24"/>
          <w:szCs w:val="20"/>
        </w:rPr>
      </w:pPr>
      <w:r>
        <w:rPr>
          <w:rFonts w:hint="default" w:hAnsi="Times New Roman" w:cs="Times New Roman"/>
          <w:color w:val="auto"/>
          <w:sz w:val="24"/>
          <w:szCs w:val="20"/>
        </w:rPr>
        <w:t>表5.5</w:t>
      </w:r>
      <w:r>
        <w:rPr>
          <w:rFonts w:hint="default" w:ascii="Times New Roman" w:hAnsi="Times New Roman" w:cs="Times New Roman"/>
          <w:color w:val="auto"/>
          <w:sz w:val="24"/>
          <w:szCs w:val="20"/>
        </w:rPr>
        <w:t>-</w:t>
      </w:r>
      <w:r>
        <w:rPr>
          <w:rFonts w:hint="default" w:hAnsi="Times New Roman" w:cs="Times New Roman"/>
          <w:color w:val="auto"/>
          <w:sz w:val="24"/>
          <w:szCs w:val="20"/>
        </w:rPr>
        <w:t>2</w:t>
      </w:r>
      <w:r>
        <w:rPr>
          <w:rFonts w:hint="default" w:ascii="Times New Roman" w:hAnsi="Times New Roman" w:cs="Times New Roman"/>
          <w:color w:val="auto"/>
          <w:sz w:val="24"/>
          <w:szCs w:val="20"/>
        </w:rPr>
        <w:t xml:space="preserve"> </w:t>
      </w:r>
      <w:r>
        <w:rPr>
          <w:rFonts w:hint="default" w:hAnsi="Times New Roman" w:cs="Times New Roman"/>
          <w:color w:val="auto"/>
          <w:sz w:val="24"/>
          <w:szCs w:val="20"/>
        </w:rPr>
        <w:t>加油站采暖通风、建（构）筑物、绿化符合性评价表</w:t>
      </w:r>
    </w:p>
    <w:tbl>
      <w:tblPr>
        <w:tblStyle w:val="20"/>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53"/>
        <w:gridCol w:w="6039"/>
        <w:gridCol w:w="980"/>
        <w:gridCol w:w="691"/>
      </w:tblGrid>
      <w:tr w14:paraId="0A97D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390" w:type="pct"/>
            <w:tcBorders>
              <w:top w:val="single" w:color="auto" w:sz="12" w:space="0"/>
              <w:left w:val="single" w:color="auto" w:sz="12" w:space="0"/>
              <w:bottom w:val="single" w:color="auto" w:sz="4" w:space="0"/>
              <w:right w:val="single" w:color="auto" w:sz="4" w:space="0"/>
              <w:tl2br w:val="nil"/>
              <w:tr2bl w:val="nil"/>
            </w:tcBorders>
            <w:noWrap w:val="0"/>
            <w:vAlign w:val="center"/>
          </w:tcPr>
          <w:p w14:paraId="636D6D9F">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序号</w:t>
            </w:r>
          </w:p>
        </w:tc>
        <w:tc>
          <w:tcPr>
            <w:tcW w:w="3609"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0D943D2E">
            <w:pPr>
              <w:autoSpaceDE w:val="0"/>
              <w:autoSpaceDN w:val="0"/>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检查内容</w:t>
            </w:r>
          </w:p>
        </w:tc>
        <w:tc>
          <w:tcPr>
            <w:tcW w:w="586"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7698E1A7">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检查记录</w:t>
            </w:r>
          </w:p>
        </w:tc>
        <w:tc>
          <w:tcPr>
            <w:tcW w:w="413" w:type="pct"/>
            <w:tcBorders>
              <w:top w:val="single" w:color="auto" w:sz="12" w:space="0"/>
              <w:left w:val="single" w:color="auto" w:sz="4" w:space="0"/>
              <w:bottom w:val="single" w:color="auto" w:sz="4" w:space="0"/>
              <w:right w:val="single" w:color="auto" w:sz="12" w:space="0"/>
              <w:tl2br w:val="nil"/>
              <w:tr2bl w:val="nil"/>
            </w:tcBorders>
            <w:noWrap w:val="0"/>
            <w:vAlign w:val="center"/>
          </w:tcPr>
          <w:p w14:paraId="00B20654">
            <w:pPr>
              <w:adjustRightInd w:val="0"/>
              <w:spacing w:beforeLines="0" w:afterLines="0" w:line="240" w:lineRule="exact"/>
              <w:jc w:val="center"/>
              <w:rPr>
                <w:rFonts w:hint="default" w:ascii="Times New Roman" w:hAnsi="Times New Roman" w:eastAsia="宋体" w:cs="Times New Roman"/>
                <w:b/>
                <w:color w:val="auto"/>
                <w:kern w:val="0"/>
                <w:sz w:val="21"/>
                <w:szCs w:val="21"/>
              </w:rPr>
            </w:pPr>
            <w:r>
              <w:rPr>
                <w:rFonts w:hint="default" w:ascii="宋体" w:hAnsi="Times New Roman" w:eastAsia="宋体" w:cs="Times New Roman"/>
                <w:b/>
                <w:color w:val="auto"/>
                <w:kern w:val="0"/>
                <w:sz w:val="21"/>
                <w:szCs w:val="21"/>
              </w:rPr>
              <w:t>结论</w:t>
            </w:r>
          </w:p>
        </w:tc>
      </w:tr>
      <w:tr w14:paraId="5E3BB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A56D6FF">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4B8261">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14.1.2 </w:t>
            </w:r>
            <w:r>
              <w:rPr>
                <w:rFonts w:hint="default" w:ascii="宋体" w:hAnsi="Times New Roman" w:eastAsia="宋体" w:cs="Times New Roman"/>
                <w:color w:val="auto"/>
                <w:kern w:val="0"/>
                <w:sz w:val="21"/>
                <w:szCs w:val="21"/>
              </w:rPr>
              <w:t>汽车加油加气加氢站的采暖宜利用城市、小区或邻近单位的热源。无利用条件时，可在汽车加油加气加氢站内设置锅炉房。</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6EE718">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3B6D14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E0BE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40DF37D">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C2B1CB">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14.1.3 </w:t>
            </w:r>
            <w:r>
              <w:rPr>
                <w:rFonts w:hint="default" w:ascii="宋体" w:hAnsi="Times New Roman" w:eastAsia="宋体" w:cs="Times New Roman"/>
                <w:color w:val="auto"/>
                <w:kern w:val="0"/>
                <w:sz w:val="21"/>
                <w:szCs w:val="21"/>
              </w:rPr>
              <w:t>设置在站房内的热水锅炉房（间）应符合下列规定：</w:t>
            </w:r>
          </w:p>
          <w:p w14:paraId="0217E3F6">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锅炉宜选用额定供热量不大于140kW的小型锅炉。</w:t>
            </w:r>
          </w:p>
          <w:p w14:paraId="3AAB619B">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当采用燃煤锅炉时，宜选用具有除尘功能的自然通风型锅炉。锅炉烟囱出口应高出屋顶2m及以上，并应采取防止火星外溢的有效措施。</w:t>
            </w:r>
          </w:p>
          <w:p w14:paraId="3C68A275">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当采用燃气热水器采暖时，热水器应设有排烟系统和熄火保护等安全装置。</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1E63FF">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447986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9C2C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060255C">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2C3119">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14.1.4 </w:t>
            </w:r>
            <w:r>
              <w:rPr>
                <w:rFonts w:hint="default" w:ascii="宋体" w:hAnsi="Times New Roman" w:eastAsia="宋体" w:cs="Times New Roman"/>
                <w:color w:val="auto"/>
                <w:kern w:val="0"/>
                <w:sz w:val="21"/>
                <w:szCs w:val="21"/>
              </w:rPr>
              <w:t>汽车加油加气加氢站内爆炸危险区域中的房间或箱体应采取通风措施，并应符合下列规定：</w:t>
            </w:r>
          </w:p>
          <w:p w14:paraId="60A6EB7C">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采用强制通风时，通风设备的通风能力在工艺设备工作期间应按每小时换气12次计算，在工艺设备非工作期间应按每小时换气5次计算。通风设备应防爆，并应与可燃气体浓度报警器联锁。</w:t>
            </w:r>
          </w:p>
          <w:p w14:paraId="46A01FCB">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采用自然通风时，通风口总面积不应小于300cm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宋体" w:hAnsi="Times New Roman" w:eastAsia="宋体" w:cs="Times New Roman"/>
                <w:color w:val="auto"/>
                <w:kern w:val="0"/>
                <w:sz w:val="21"/>
                <w:szCs w:val="21"/>
              </w:rPr>
              <w:t>（地面），通风口不应少于2个，且应靠近可燃气体积聚的部位设置。</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376FEC">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爆炸危险区域内无房间</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14F10F5">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1CD07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1F4EC95">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5EFBC7">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14.1.5 </w:t>
            </w:r>
            <w:r>
              <w:rPr>
                <w:rFonts w:hint="default" w:ascii="宋体" w:hAnsi="Times New Roman" w:eastAsia="宋体" w:cs="Times New Roman"/>
                <w:color w:val="auto"/>
                <w:kern w:val="0"/>
                <w:sz w:val="21"/>
                <w:szCs w:val="21"/>
              </w:rPr>
              <w:t>汽车加油加气加氢站室内外采暖管道宜直埋敷设，当采用管沟敷设时，管沟应充沙填实，进、出建筑物处应采取隔断措施。</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6A9CBC">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8AC843B">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A85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29"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2237D82">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2111C7">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 </w:t>
            </w:r>
            <w:r>
              <w:rPr>
                <w:rFonts w:hint="default" w:ascii="宋体" w:hAnsi="Times New Roman" w:eastAsia="宋体" w:cs="Times New Roman"/>
                <w:color w:val="auto"/>
                <w:kern w:val="0"/>
                <w:sz w:val="21"/>
                <w:szCs w:val="21"/>
              </w:rPr>
              <w:t>作业区内的站房及其他附属建筑物的耐火等级不应低于二级。罩棚顶棚可采用无防火保护的钢结构。</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EB4E0E">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站房耐火等级为二级；罩棚为钢网架结构轻质顶</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9266769">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3346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FDED717">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EBAD19">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14.2.2 </w:t>
            </w:r>
            <w:r>
              <w:rPr>
                <w:rFonts w:hint="default" w:ascii="宋体" w:hAnsi="Times New Roman" w:eastAsia="宋体" w:cs="Times New Roman"/>
                <w:color w:val="auto"/>
                <w:kern w:val="0"/>
                <w:sz w:val="21"/>
                <w:szCs w:val="21"/>
              </w:rPr>
              <w:t>汽车加油加气加氢场地宜设罩棚，罩棚的设计应符合下列规定：</w:t>
            </w:r>
          </w:p>
          <w:p w14:paraId="7C247208">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罩棚应采用不燃材料建造；</w:t>
            </w:r>
          </w:p>
          <w:p w14:paraId="5E942B71">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进站口无限高措施时，罩棚的净空高度不应小于4.5m；进站口有限高措施时，罩棚的净空高度不应小于限高高度；</w:t>
            </w:r>
          </w:p>
          <w:p w14:paraId="795B54E3">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罩棚遮盖加油机、加气机的平面投影距离不宜小于2m；</w:t>
            </w:r>
          </w:p>
          <w:p w14:paraId="48906FE2">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4 </w:t>
            </w:r>
            <w:r>
              <w:rPr>
                <w:rFonts w:hint="default" w:ascii="宋体" w:hAnsi="Times New Roman" w:eastAsia="宋体" w:cs="Times New Roman"/>
                <w:color w:val="auto"/>
                <w:kern w:val="0"/>
                <w:sz w:val="21"/>
                <w:szCs w:val="21"/>
              </w:rPr>
              <w:t>罩棚的安全等级和可靠度设计应按现行国家标准《建筑结构可靠度设计统一标准》GB 50068的有关规定执行；</w:t>
            </w:r>
          </w:p>
          <w:p w14:paraId="57AF9F11">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5 </w:t>
            </w:r>
            <w:r>
              <w:rPr>
                <w:rFonts w:hint="default" w:ascii="宋体" w:hAnsi="Times New Roman" w:eastAsia="宋体" w:cs="Times New Roman"/>
                <w:color w:val="auto"/>
                <w:kern w:val="0"/>
                <w:sz w:val="21"/>
                <w:szCs w:val="21"/>
              </w:rPr>
              <w:t>罩棚设计应计及活荷载、雪荷载、风荷载，其设计标准值应符合现行国家标准《建筑结构荷载规范》GB 50009的有关规定；</w:t>
            </w:r>
          </w:p>
          <w:p w14:paraId="311ECEC8">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6 </w:t>
            </w:r>
            <w:r>
              <w:rPr>
                <w:rFonts w:hint="default" w:ascii="宋体" w:hAnsi="Times New Roman" w:eastAsia="宋体" w:cs="Times New Roman"/>
                <w:color w:val="auto"/>
                <w:kern w:val="0"/>
                <w:sz w:val="21"/>
                <w:szCs w:val="21"/>
              </w:rPr>
              <w:t>罩棚的抗震设计应按现行国家标准《建筑抗震设计规范》GB 50011的有关规定执行；</w:t>
            </w:r>
          </w:p>
          <w:p w14:paraId="2B5370F4">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7 </w:t>
            </w:r>
            <w:r>
              <w:rPr>
                <w:rFonts w:hint="default" w:ascii="宋体" w:hAnsi="Times New Roman" w:eastAsia="宋体" w:cs="Times New Roman"/>
                <w:color w:val="auto"/>
                <w:kern w:val="0"/>
                <w:sz w:val="21"/>
                <w:szCs w:val="21"/>
              </w:rPr>
              <w:t>设置于CNG设备、LNG设备和氢气设备上方的罩棚应采用避免天然气和氢气积聚的结构形式；</w:t>
            </w:r>
          </w:p>
          <w:p w14:paraId="50745432">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8 </w:t>
            </w:r>
            <w:r>
              <w:rPr>
                <w:rFonts w:hint="default" w:ascii="宋体" w:hAnsi="Times New Roman" w:eastAsia="宋体" w:cs="Times New Roman"/>
                <w:color w:val="auto"/>
                <w:kern w:val="0"/>
                <w:sz w:val="21"/>
                <w:szCs w:val="21"/>
              </w:rPr>
              <w:t>罩棚柱应有防止车辆碰撞的技术措施。</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5CB0F6">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罩棚采用不燃材料建造；高度大于4.5m；遮盖加油机平面投影距离大于2m；有防止车辆碰撞的技术措施；抗震设计等均按国家标准执行</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005E3DF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2049B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A03D3A1">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5D6E41">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14.2.3 </w:t>
            </w:r>
            <w:r>
              <w:rPr>
                <w:rFonts w:hint="default" w:ascii="宋体" w:hAnsi="Times New Roman" w:eastAsia="宋体" w:cs="Times New Roman"/>
                <w:color w:val="auto"/>
                <w:kern w:val="0"/>
                <w:sz w:val="21"/>
                <w:szCs w:val="21"/>
              </w:rPr>
              <w:t>加油岛、加气岛、加氢岛的设计应符合下列规定：</w:t>
            </w:r>
          </w:p>
          <w:p w14:paraId="74CB1B9C">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加油岛、加气岛、加氢岛应高出停车位的地坪0.15m～</w:t>
            </w:r>
            <w:r>
              <w:rPr>
                <w:rFonts w:hint="default" w:ascii="Times New Roman" w:hAnsi="Times New Roman" w:eastAsia="宋体" w:cs="Times New Roman"/>
                <w:color w:val="auto"/>
                <w:kern w:val="0"/>
                <w:sz w:val="21"/>
                <w:szCs w:val="21"/>
              </w:rPr>
              <w:t>0.2m</w:t>
            </w:r>
            <w:r>
              <w:rPr>
                <w:rFonts w:hint="default" w:ascii="宋体" w:hAnsi="Times New Roman" w:eastAsia="宋体" w:cs="Times New Roman"/>
                <w:color w:val="auto"/>
                <w:kern w:val="0"/>
                <w:sz w:val="21"/>
                <w:szCs w:val="21"/>
              </w:rPr>
              <w:t>；</w:t>
            </w:r>
          </w:p>
          <w:p w14:paraId="530344DA">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加油岛、加气岛、加氢岛两端的宽度不应小于1.2m；</w:t>
            </w:r>
          </w:p>
          <w:p w14:paraId="735ABEA9">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加油岛、加气岛、加氢岛上的罩棚立柱边缘距岛端部不应小于0.6m；</w:t>
            </w:r>
          </w:p>
          <w:p w14:paraId="5C6C0938">
            <w:pPr>
              <w:autoSpaceDE w:val="0"/>
              <w:autoSpaceDN w:val="0"/>
              <w:adjustRightInd w:val="0"/>
              <w:spacing w:beforeLines="0" w:afterLines="0" w:line="260" w:lineRule="exact"/>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4 </w:t>
            </w:r>
            <w:r>
              <w:rPr>
                <w:rFonts w:hint="default" w:ascii="宋体" w:hAnsi="Times New Roman" w:eastAsia="宋体" w:cs="Times New Roman"/>
                <w:color w:val="auto"/>
                <w:kern w:val="0"/>
                <w:sz w:val="21"/>
                <w:szCs w:val="21"/>
              </w:rPr>
              <w:t>靠近岛端部的加油机、加气机、加氢机等岛上的工艺设备应有防止车辆误碰撞的措施和警示标识。采用钢管防撞柱（栏）时，其钢管的直径不应小于100mm，高度不应小于</w:t>
            </w:r>
            <w:r>
              <w:rPr>
                <w:rFonts w:hint="default" w:ascii="Times New Roman" w:hAnsi="Times New Roman" w:eastAsia="宋体" w:cs="Times New Roman"/>
                <w:color w:val="auto"/>
                <w:kern w:val="0"/>
                <w:sz w:val="21"/>
                <w:szCs w:val="21"/>
              </w:rPr>
              <w:t>0.5m</w:t>
            </w:r>
            <w:r>
              <w:rPr>
                <w:rFonts w:hint="default" w:ascii="宋体" w:hAnsi="Times New Roman" w:eastAsia="宋体" w:cs="Times New Roman"/>
                <w:color w:val="auto"/>
                <w:kern w:val="0"/>
                <w:sz w:val="21"/>
                <w:szCs w:val="21"/>
              </w:rPr>
              <w:t>，并应设置牢固。</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7A868B">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加油岛高0.2m，宽1.2m，伸出立柱0.6m；加油机端部设防撞柱</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157D631">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7FFB7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0705B0A">
            <w:pPr>
              <w:tabs>
                <w:tab w:val="left" w:pos="0"/>
              </w:tabs>
              <w:autoSpaceDE w:val="0"/>
              <w:autoSpaceDN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702CD2">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14.2.4 </w:t>
            </w:r>
            <w:r>
              <w:rPr>
                <w:rFonts w:hint="default" w:ascii="宋体" w:hAnsi="Times New Roman" w:eastAsia="宋体" w:cs="Times New Roman"/>
                <w:color w:val="auto"/>
                <w:kern w:val="0"/>
                <w:sz w:val="21"/>
                <w:szCs w:val="21"/>
              </w:rPr>
              <w:t>布置有可燃液体或可燃气体设备的建筑物的门、窗应向外开启，并应按现行国家标准《建筑设计防火规范》GB 50016的有关规定采取泄压措施。</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8B9B4">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F9C8852">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06A39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2527CC6">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65EAF0">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14.2.7</w:t>
            </w:r>
            <w:r>
              <w:rPr>
                <w:rFonts w:hint="default" w:ascii="宋体" w:hAnsi="Times New Roman" w:eastAsia="宋体" w:cs="Times New Roman"/>
                <w:color w:val="auto"/>
                <w:kern w:val="0"/>
                <w:sz w:val="21"/>
                <w:szCs w:val="21"/>
              </w:rPr>
              <w:t>汽车加油加气加氢站内的工艺设备不宜布置在封闭的房间或箱体内；工艺设备需要布置在封闭的房间或箱体内时，房间或箱体内应设置可燃气体检测报警器和强制通风设备，并应符合本标准第14.1.4条的规定。</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273746">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工艺设备未布置在封闭的房间或箱体内</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9DB6773">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21B14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E8CD721">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538AE4">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14.2.9 </w:t>
            </w:r>
            <w:r>
              <w:rPr>
                <w:rFonts w:hint="default" w:ascii="宋体" w:hAnsi="Times New Roman" w:eastAsia="宋体" w:cs="Times New Roman"/>
                <w:color w:val="auto"/>
                <w:kern w:val="0"/>
                <w:sz w:val="21"/>
                <w:szCs w:val="21"/>
              </w:rPr>
              <w:t>站房可由办公室、值班室、营业室、控制室、变配电间、卫生间和便利店等组成，站房内可设非明火餐厨设备。</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D3B7E5">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站房由办公室、便利店等组成，无明火餐厨设备</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0FB1A32">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59548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7D79B605">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A22EF3">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14.2.10 </w:t>
            </w:r>
            <w:r>
              <w:rPr>
                <w:rFonts w:hint="default" w:ascii="宋体" w:hAnsi="Times New Roman" w:eastAsia="宋体" w:cs="Times New Roman"/>
                <w:color w:val="auto"/>
                <w:kern w:val="0"/>
                <w:sz w:val="21"/>
                <w:szCs w:val="21"/>
              </w:rPr>
              <w:t>站房的一部分位于作业区内时，该站房的建筑面积不宜超过300m</w:t>
            </w:r>
            <w:r>
              <w:rPr>
                <w:rFonts w:hint="default" w:ascii="Times New Roman" w:hAnsi="Times New Roman" w:eastAsia="宋体" w:cs="Times New Roman"/>
                <w:color w:val="auto"/>
                <w:kern w:val="0"/>
                <w:sz w:val="21"/>
                <w:szCs w:val="21"/>
                <w:vertAlign w:val="superscript"/>
              </w:rPr>
              <w:t>2</w:t>
            </w:r>
            <w:r>
              <w:rPr>
                <w:rFonts w:hint="default" w:ascii="宋体" w:hAnsi="Times New Roman" w:eastAsia="宋体" w:cs="Times New Roman"/>
                <w:color w:val="auto"/>
                <w:kern w:val="0"/>
                <w:sz w:val="21"/>
                <w:szCs w:val="21"/>
              </w:rPr>
              <w:t>，且该站房内不得有明火设备。</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6ACF9B">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站房的建筑面积符合标准，且站房内无明火设备。</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5ABC5D71">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2CBAB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FD0194F">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E05C1B">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14.2.11 </w:t>
            </w:r>
            <w:r>
              <w:rPr>
                <w:rFonts w:hint="default" w:ascii="宋体" w:hAnsi="Times New Roman" w:eastAsia="宋体" w:cs="Times New Roman"/>
                <w:color w:val="auto"/>
                <w:kern w:val="0"/>
                <w:sz w:val="21"/>
                <w:szCs w:val="21"/>
              </w:rPr>
              <w:t>辅助服务区内建筑物的面积不应超过本标准附录B中三类保护物标准，其消防设计应符合现行国家标准《建筑设计防火规范))GB50016的有关规定。</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321DD7">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符合要求</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6A01A390">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1E11D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3F017E23">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E5495F">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14.2.12 </w:t>
            </w:r>
            <w:r>
              <w:rPr>
                <w:rFonts w:hint="default" w:ascii="宋体" w:hAnsi="Times New Roman" w:eastAsia="宋体" w:cs="Times New Roman"/>
                <w:color w:val="auto"/>
                <w:kern w:val="0"/>
                <w:sz w:val="21"/>
                <w:szCs w:val="21"/>
              </w:rPr>
              <w:t>站房可与设置在辅助服务区内的餐厅、汽车服务、锅炉房、厨房、员工宿舍、司机休息室等设施合建，但站房与餐厅、汽车服务、锅炉房、厨房、员工宿舍、司机休息室等设施之间应设置无门窗洞口且耐火极限不低于3.00h的实体墙。</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B557B0">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AEB21F9">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49D23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4423085F">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B6255">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14.2.13 </w:t>
            </w:r>
            <w:r>
              <w:rPr>
                <w:rFonts w:hint="default" w:ascii="宋体" w:hAnsi="Times New Roman" w:eastAsia="宋体" w:cs="Times New Roman"/>
                <w:color w:val="auto"/>
                <w:kern w:val="0"/>
                <w:sz w:val="21"/>
                <w:szCs w:val="21"/>
              </w:rPr>
              <w:t>站房可设在站外民用建筑物内或与站外民用建筑物合建，并应符合下列规定；</w:t>
            </w:r>
          </w:p>
          <w:p w14:paraId="5CF3E618">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 </w:t>
            </w:r>
            <w:r>
              <w:rPr>
                <w:rFonts w:hint="default" w:ascii="宋体" w:hAnsi="Times New Roman" w:eastAsia="宋体" w:cs="Times New Roman"/>
                <w:color w:val="auto"/>
                <w:kern w:val="0"/>
                <w:sz w:val="21"/>
                <w:szCs w:val="21"/>
              </w:rPr>
              <w:t>站房与民用建筑物之间不得有连接通道。</w:t>
            </w:r>
          </w:p>
          <w:p w14:paraId="0001405C">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2 </w:t>
            </w:r>
            <w:r>
              <w:rPr>
                <w:rFonts w:hint="default" w:ascii="宋体" w:hAnsi="Times New Roman" w:eastAsia="宋体" w:cs="Times New Roman"/>
                <w:color w:val="auto"/>
                <w:kern w:val="0"/>
                <w:sz w:val="21"/>
                <w:szCs w:val="21"/>
              </w:rPr>
              <w:t>站房应单独开设通向加油加气加氢站的出入口。</w:t>
            </w:r>
          </w:p>
          <w:p w14:paraId="5940DA16">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3 </w:t>
            </w:r>
            <w:r>
              <w:rPr>
                <w:rFonts w:hint="default" w:ascii="宋体" w:hAnsi="Times New Roman" w:eastAsia="宋体" w:cs="Times New Roman"/>
                <w:color w:val="auto"/>
                <w:kern w:val="0"/>
                <w:sz w:val="21"/>
                <w:szCs w:val="21"/>
              </w:rPr>
              <w:t>民用建筑物不得有直接通向加油加气加氢站的出入口。</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EFBA4D">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8C3825C">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3BEDC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206DC239">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FAC08E">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14.2.14 </w:t>
            </w:r>
            <w:r>
              <w:rPr>
                <w:rFonts w:hint="default" w:ascii="宋体" w:hAnsi="Times New Roman" w:eastAsia="宋体" w:cs="Times New Roman"/>
                <w:color w:val="auto"/>
                <w:kern w:val="0"/>
                <w:sz w:val="21"/>
                <w:szCs w:val="21"/>
              </w:rPr>
              <w:t>站内的锅炉房、厨房等有明火设备的房间与工艺设备之间的距离符合表5.0.13的规定，但小于或等于25m时，朝向作业区的外墙应为无门窗洞口且耐火极限不低于3.00h的实体墙。</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DBCBBC">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无明火设备的房间</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2CF213B">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35BD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833E0CA">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6FD589">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14.2.15 </w:t>
            </w:r>
            <w:r>
              <w:rPr>
                <w:rFonts w:hint="default" w:ascii="宋体" w:hAnsi="Times New Roman" w:eastAsia="宋体" w:cs="Times New Roman"/>
                <w:color w:val="auto"/>
                <w:kern w:val="0"/>
                <w:sz w:val="21"/>
                <w:szCs w:val="21"/>
              </w:rPr>
              <w:t>加油站LPG加气站、LNG加气站和L-CNG加气站内不应建地下和半地下室，消防水池应具有通风条件。</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D79E23">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6FB5159">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451B2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0640B7E3">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36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8E9854">
            <w:pPr>
              <w:autoSpaceDE w:val="0"/>
              <w:autoSpaceDN w:val="0"/>
              <w:adjustRightInd w:val="0"/>
              <w:spacing w:beforeLines="0" w:afterLines="0" w:line="26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14.2.16 </w:t>
            </w:r>
            <w:r>
              <w:rPr>
                <w:rFonts w:hint="default" w:ascii="宋体" w:hAnsi="Times New Roman" w:eastAsia="宋体" w:cs="Times New Roman"/>
                <w:color w:val="auto"/>
                <w:kern w:val="0"/>
                <w:sz w:val="21"/>
                <w:szCs w:val="21"/>
              </w:rPr>
              <w:t>埋地油罐和埋地LPG储罐的操作井、位于作业区的排水井应采取防渗漏措施，位于爆炸危险区域内的操作井和排水井应有防止产生火花的措施。</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2D7159">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采取防渗漏措施</w:t>
            </w:r>
          </w:p>
        </w:tc>
        <w:tc>
          <w:tcPr>
            <w:tcW w:w="413"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B065F09">
            <w:pPr>
              <w:autoSpaceDE w:val="0"/>
              <w:autoSpaceDN w:val="0"/>
              <w:adjustRightInd w:val="0"/>
              <w:spacing w:beforeLines="0" w:afterLines="0" w:line="26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r w14:paraId="47B23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90" w:type="pct"/>
            <w:tcBorders>
              <w:top w:val="single" w:color="auto" w:sz="4" w:space="0"/>
              <w:left w:val="single" w:color="auto" w:sz="12" w:space="0"/>
              <w:bottom w:val="single" w:color="auto" w:sz="12" w:space="0"/>
              <w:right w:val="single" w:color="auto" w:sz="4" w:space="0"/>
              <w:tl2br w:val="nil"/>
              <w:tr2bl w:val="nil"/>
            </w:tcBorders>
            <w:noWrap w:val="0"/>
            <w:vAlign w:val="center"/>
          </w:tcPr>
          <w:p w14:paraId="1E976FEB">
            <w:pPr>
              <w:tabs>
                <w:tab w:val="left" w:pos="0"/>
              </w:tabs>
              <w:autoSpaceDE w:val="0"/>
              <w:autoSpaceDN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3609"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66E14845">
            <w:pPr>
              <w:autoSpaceDE w:val="0"/>
              <w:autoSpaceDN w:val="0"/>
              <w:adjustRightInd w:val="0"/>
              <w:spacing w:beforeLines="0" w:afterLines="0" w:line="240" w:lineRule="exact"/>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14.3.1 </w:t>
            </w:r>
            <w:r>
              <w:rPr>
                <w:rFonts w:hint="default" w:ascii="宋体" w:hAnsi="Times New Roman" w:eastAsia="宋体" w:cs="Times New Roman"/>
                <w:color w:val="auto"/>
                <w:kern w:val="0"/>
                <w:sz w:val="21"/>
                <w:szCs w:val="21"/>
              </w:rPr>
              <w:t>汽车加油加气加氢站作业区内不得种植油性植物。</w:t>
            </w:r>
          </w:p>
        </w:tc>
        <w:tc>
          <w:tcPr>
            <w:tcW w:w="586"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770842A3">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无油性植物</w:t>
            </w:r>
          </w:p>
        </w:tc>
        <w:tc>
          <w:tcPr>
            <w:tcW w:w="413" w:type="pct"/>
            <w:tcBorders>
              <w:top w:val="single" w:color="auto" w:sz="4" w:space="0"/>
              <w:left w:val="single" w:color="auto" w:sz="4" w:space="0"/>
              <w:bottom w:val="single" w:color="auto" w:sz="12" w:space="0"/>
              <w:right w:val="single" w:color="auto" w:sz="12" w:space="0"/>
              <w:tl2br w:val="nil"/>
              <w:tr2bl w:val="nil"/>
            </w:tcBorders>
            <w:noWrap w:val="0"/>
            <w:vAlign w:val="center"/>
          </w:tcPr>
          <w:p w14:paraId="178F5D0A">
            <w:pPr>
              <w:autoSpaceDE w:val="0"/>
              <w:autoSpaceDN w:val="0"/>
              <w:adjustRightInd w:val="0"/>
              <w:spacing w:beforeLines="0" w:afterLines="0" w:line="240" w:lineRule="exact"/>
              <w:jc w:val="center"/>
              <w:rPr>
                <w:rFonts w:hint="default" w:ascii="Times New Roman" w:hAnsi="Times New Roman" w:eastAsia="宋体" w:cs="Times New Roman"/>
                <w:color w:val="auto"/>
                <w:kern w:val="0"/>
                <w:sz w:val="21"/>
                <w:szCs w:val="21"/>
              </w:rPr>
            </w:pPr>
            <w:r>
              <w:rPr>
                <w:rFonts w:hint="default" w:ascii="宋体" w:hAnsi="Times New Roman" w:eastAsia="宋体" w:cs="Times New Roman"/>
                <w:color w:val="auto"/>
                <w:kern w:val="0"/>
                <w:sz w:val="21"/>
                <w:szCs w:val="21"/>
              </w:rPr>
              <w:t>合格</w:t>
            </w:r>
          </w:p>
        </w:tc>
      </w:tr>
    </w:tbl>
    <w:p w14:paraId="360A6AD2">
      <w:pPr>
        <w:adjustRightInd w:val="0"/>
        <w:snapToGrid w:val="0"/>
        <w:spacing w:line="600" w:lineRule="exact"/>
        <w:textAlignment w:val="center"/>
        <w:outlineLvl w:val="1"/>
        <w:rPr>
          <w:b/>
          <w:color w:val="000000"/>
          <w:sz w:val="28"/>
          <w:szCs w:val="28"/>
        </w:rPr>
      </w:pPr>
      <w:bookmarkStart w:id="259" w:name="_Toc9230"/>
      <w:bookmarkStart w:id="260" w:name="_Toc21352"/>
      <w:bookmarkStart w:id="261" w:name="_Toc517950410"/>
      <w:bookmarkStart w:id="262" w:name="_Toc120957350"/>
      <w:bookmarkStart w:id="263" w:name="_Toc517950600"/>
      <w:bookmarkStart w:id="264" w:name="_Toc12952"/>
      <w:bookmarkStart w:id="265" w:name="_Toc29987"/>
      <w:r>
        <w:rPr>
          <w:b/>
          <w:color w:val="000000"/>
          <w:sz w:val="28"/>
          <w:szCs w:val="28"/>
        </w:rPr>
        <w:t>5.</w:t>
      </w:r>
      <w:r>
        <w:rPr>
          <w:rFonts w:hint="eastAsia"/>
          <w:b/>
          <w:color w:val="000000"/>
          <w:sz w:val="28"/>
          <w:szCs w:val="28"/>
          <w:lang w:val="en-US" w:eastAsia="zh-CN"/>
        </w:rPr>
        <w:t>6</w:t>
      </w:r>
      <w:r>
        <w:rPr>
          <w:b/>
          <w:color w:val="000000"/>
          <w:sz w:val="28"/>
          <w:szCs w:val="28"/>
        </w:rPr>
        <w:t>危险度评价</w:t>
      </w:r>
      <w:bookmarkEnd w:id="259"/>
      <w:bookmarkEnd w:id="260"/>
      <w:bookmarkEnd w:id="261"/>
      <w:bookmarkEnd w:id="262"/>
      <w:bookmarkEnd w:id="263"/>
      <w:bookmarkEnd w:id="264"/>
      <w:bookmarkEnd w:id="265"/>
    </w:p>
    <w:p w14:paraId="002B6AED">
      <w:pPr>
        <w:adjustRightInd w:val="0"/>
        <w:snapToGrid w:val="0"/>
        <w:spacing w:line="600" w:lineRule="exact"/>
        <w:ind w:firstLine="570"/>
        <w:textAlignment w:val="center"/>
        <w:rPr>
          <w:color w:val="000000"/>
          <w:sz w:val="28"/>
          <w:szCs w:val="28"/>
        </w:rPr>
      </w:pPr>
      <w:r>
        <w:rPr>
          <w:color w:val="000000"/>
          <w:sz w:val="28"/>
          <w:szCs w:val="28"/>
        </w:rPr>
        <w:t>本评价单元分为油储罐区。</w:t>
      </w:r>
    </w:p>
    <w:p w14:paraId="3B0BBBF2">
      <w:pPr>
        <w:adjustRightInd w:val="0"/>
        <w:snapToGrid w:val="0"/>
        <w:spacing w:line="600" w:lineRule="exact"/>
        <w:ind w:firstLine="570"/>
        <w:textAlignment w:val="center"/>
        <w:rPr>
          <w:rFonts w:hint="eastAsia"/>
          <w:color w:val="000000"/>
          <w:sz w:val="28"/>
          <w:szCs w:val="28"/>
        </w:rPr>
      </w:pPr>
      <w:r>
        <w:rPr>
          <w:rFonts w:hint="eastAsia"/>
          <w:color w:val="000000"/>
          <w:sz w:val="28"/>
          <w:szCs w:val="28"/>
        </w:rPr>
        <w:t>油罐区设置有汽油储罐和柴油储罐。</w:t>
      </w:r>
    </w:p>
    <w:p w14:paraId="52BFBB42">
      <w:pPr>
        <w:adjustRightInd w:val="0"/>
        <w:snapToGrid w:val="0"/>
        <w:spacing w:line="600" w:lineRule="exact"/>
        <w:ind w:firstLine="570"/>
        <w:textAlignment w:val="center"/>
        <w:rPr>
          <w:rFonts w:hint="eastAsia"/>
          <w:color w:val="000000"/>
          <w:sz w:val="28"/>
          <w:szCs w:val="28"/>
        </w:rPr>
      </w:pPr>
      <w:r>
        <w:rPr>
          <w:rFonts w:hint="eastAsia"/>
          <w:color w:val="000000"/>
          <w:sz w:val="28"/>
          <w:szCs w:val="28"/>
        </w:rPr>
        <w:t>油储罐区的危险度评价见表5.3-1所示。</w:t>
      </w:r>
    </w:p>
    <w:p w14:paraId="26F810A3">
      <w:pPr>
        <w:adjustRightInd w:val="0"/>
        <w:snapToGrid w:val="0"/>
        <w:spacing w:line="600" w:lineRule="exact"/>
        <w:jc w:val="center"/>
        <w:textAlignment w:val="center"/>
        <w:rPr>
          <w:color w:val="000000"/>
          <w:sz w:val="24"/>
          <w:szCs w:val="24"/>
        </w:rPr>
      </w:pPr>
      <w:r>
        <w:rPr>
          <w:rFonts w:hint="eastAsia"/>
          <w:color w:val="000000"/>
          <w:sz w:val="24"/>
          <w:szCs w:val="24"/>
        </w:rPr>
        <w:t>表5.3-1储罐区单元危险度取值表</w:t>
      </w:r>
    </w:p>
    <w:tbl>
      <w:tblPr>
        <w:tblStyle w:val="20"/>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985"/>
        <w:gridCol w:w="1784"/>
        <w:gridCol w:w="1413"/>
        <w:gridCol w:w="1837"/>
        <w:gridCol w:w="1413"/>
        <w:gridCol w:w="679"/>
      </w:tblGrid>
      <w:tr w14:paraId="2BEA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76510F1C">
            <w:pPr>
              <w:spacing w:line="320" w:lineRule="exact"/>
              <w:jc w:val="center"/>
              <w:rPr>
                <w:color w:val="000000"/>
                <w:sz w:val="21"/>
                <w:szCs w:val="21"/>
              </w:rPr>
            </w:pPr>
            <w:r>
              <w:rPr>
                <w:color w:val="000000"/>
                <w:sz w:val="21"/>
                <w:szCs w:val="21"/>
              </w:rPr>
              <w:t>序号</w:t>
            </w:r>
          </w:p>
        </w:tc>
        <w:tc>
          <w:tcPr>
            <w:tcW w:w="568" w:type="pct"/>
            <w:noWrap w:val="0"/>
            <w:vAlign w:val="center"/>
          </w:tcPr>
          <w:p w14:paraId="188EAC88">
            <w:pPr>
              <w:spacing w:line="320" w:lineRule="exact"/>
              <w:jc w:val="center"/>
              <w:rPr>
                <w:color w:val="000000"/>
                <w:sz w:val="21"/>
                <w:szCs w:val="21"/>
              </w:rPr>
            </w:pPr>
            <w:r>
              <w:rPr>
                <w:color w:val="000000"/>
                <w:sz w:val="21"/>
                <w:szCs w:val="21"/>
              </w:rPr>
              <w:t>项目</w:t>
            </w:r>
          </w:p>
        </w:tc>
        <w:tc>
          <w:tcPr>
            <w:tcW w:w="1030" w:type="pct"/>
            <w:noWrap w:val="0"/>
            <w:vAlign w:val="center"/>
          </w:tcPr>
          <w:p w14:paraId="4C4D48A9">
            <w:pPr>
              <w:spacing w:line="320" w:lineRule="exact"/>
              <w:jc w:val="center"/>
              <w:rPr>
                <w:color w:val="000000"/>
                <w:sz w:val="21"/>
                <w:szCs w:val="21"/>
              </w:rPr>
            </w:pPr>
            <w:r>
              <w:rPr>
                <w:color w:val="000000"/>
                <w:sz w:val="21"/>
                <w:szCs w:val="21"/>
              </w:rPr>
              <w:t>情况描述</w:t>
            </w:r>
          </w:p>
        </w:tc>
        <w:tc>
          <w:tcPr>
            <w:tcW w:w="816" w:type="pct"/>
            <w:noWrap w:val="0"/>
            <w:vAlign w:val="center"/>
          </w:tcPr>
          <w:p w14:paraId="70E28F4C">
            <w:pPr>
              <w:spacing w:line="320" w:lineRule="exact"/>
              <w:jc w:val="center"/>
              <w:rPr>
                <w:color w:val="000000"/>
                <w:sz w:val="21"/>
                <w:szCs w:val="21"/>
              </w:rPr>
            </w:pPr>
            <w:r>
              <w:rPr>
                <w:color w:val="000000"/>
                <w:sz w:val="21"/>
                <w:szCs w:val="21"/>
              </w:rPr>
              <w:t>危险度取值分数</w:t>
            </w:r>
          </w:p>
        </w:tc>
        <w:tc>
          <w:tcPr>
            <w:tcW w:w="1060" w:type="pct"/>
            <w:noWrap w:val="0"/>
            <w:vAlign w:val="center"/>
          </w:tcPr>
          <w:p w14:paraId="697C1A06">
            <w:pPr>
              <w:spacing w:line="320" w:lineRule="exact"/>
              <w:jc w:val="center"/>
              <w:rPr>
                <w:color w:val="000000"/>
                <w:sz w:val="21"/>
                <w:szCs w:val="21"/>
              </w:rPr>
            </w:pPr>
            <w:r>
              <w:rPr>
                <w:color w:val="000000"/>
                <w:sz w:val="21"/>
                <w:szCs w:val="21"/>
              </w:rPr>
              <w:t>情况描述</w:t>
            </w:r>
          </w:p>
        </w:tc>
        <w:tc>
          <w:tcPr>
            <w:tcW w:w="816" w:type="pct"/>
            <w:noWrap w:val="0"/>
            <w:vAlign w:val="center"/>
          </w:tcPr>
          <w:p w14:paraId="1890195E">
            <w:pPr>
              <w:spacing w:line="320" w:lineRule="exact"/>
              <w:jc w:val="center"/>
              <w:rPr>
                <w:color w:val="000000"/>
                <w:sz w:val="21"/>
                <w:szCs w:val="21"/>
              </w:rPr>
            </w:pPr>
            <w:r>
              <w:rPr>
                <w:color w:val="000000"/>
                <w:sz w:val="21"/>
                <w:szCs w:val="21"/>
              </w:rPr>
              <w:t>危险度取值分数</w:t>
            </w:r>
          </w:p>
        </w:tc>
        <w:tc>
          <w:tcPr>
            <w:tcW w:w="392" w:type="pct"/>
            <w:noWrap w:val="0"/>
            <w:vAlign w:val="center"/>
          </w:tcPr>
          <w:p w14:paraId="2F319280">
            <w:pPr>
              <w:spacing w:line="320" w:lineRule="exact"/>
              <w:jc w:val="center"/>
              <w:rPr>
                <w:color w:val="000000"/>
                <w:sz w:val="21"/>
                <w:szCs w:val="21"/>
              </w:rPr>
            </w:pPr>
            <w:r>
              <w:rPr>
                <w:color w:val="000000"/>
                <w:sz w:val="21"/>
                <w:szCs w:val="21"/>
              </w:rPr>
              <w:t>备注</w:t>
            </w:r>
          </w:p>
        </w:tc>
      </w:tr>
      <w:tr w14:paraId="126C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3ED49B80">
            <w:pPr>
              <w:spacing w:line="320" w:lineRule="exact"/>
              <w:jc w:val="center"/>
              <w:rPr>
                <w:color w:val="000000"/>
                <w:sz w:val="21"/>
                <w:szCs w:val="21"/>
              </w:rPr>
            </w:pPr>
            <w:r>
              <w:rPr>
                <w:color w:val="000000"/>
                <w:sz w:val="21"/>
                <w:szCs w:val="21"/>
              </w:rPr>
              <w:t>1</w:t>
            </w:r>
          </w:p>
        </w:tc>
        <w:tc>
          <w:tcPr>
            <w:tcW w:w="568" w:type="pct"/>
            <w:noWrap w:val="0"/>
            <w:vAlign w:val="center"/>
          </w:tcPr>
          <w:p w14:paraId="0CB7D864">
            <w:pPr>
              <w:spacing w:line="320" w:lineRule="exact"/>
              <w:jc w:val="center"/>
              <w:rPr>
                <w:color w:val="000000"/>
                <w:sz w:val="21"/>
                <w:szCs w:val="21"/>
              </w:rPr>
            </w:pPr>
            <w:r>
              <w:rPr>
                <w:color w:val="000000"/>
                <w:sz w:val="21"/>
                <w:szCs w:val="21"/>
              </w:rPr>
              <w:t>物质</w:t>
            </w:r>
          </w:p>
        </w:tc>
        <w:tc>
          <w:tcPr>
            <w:tcW w:w="1030" w:type="pct"/>
            <w:noWrap w:val="0"/>
            <w:vAlign w:val="center"/>
          </w:tcPr>
          <w:p w14:paraId="7C7719BA">
            <w:pPr>
              <w:spacing w:line="320" w:lineRule="exact"/>
              <w:jc w:val="center"/>
              <w:rPr>
                <w:color w:val="000000"/>
                <w:sz w:val="21"/>
                <w:szCs w:val="21"/>
              </w:rPr>
            </w:pPr>
            <w:r>
              <w:rPr>
                <w:rFonts w:hint="eastAsia"/>
                <w:color w:val="000000"/>
                <w:sz w:val="21"/>
                <w:szCs w:val="21"/>
              </w:rPr>
              <w:t>汽油</w:t>
            </w:r>
            <w:r>
              <w:rPr>
                <w:color w:val="000000"/>
                <w:sz w:val="21"/>
                <w:szCs w:val="21"/>
              </w:rPr>
              <w:t>属甲B类易燃液体</w:t>
            </w:r>
          </w:p>
        </w:tc>
        <w:tc>
          <w:tcPr>
            <w:tcW w:w="816" w:type="pct"/>
            <w:noWrap w:val="0"/>
            <w:vAlign w:val="center"/>
          </w:tcPr>
          <w:p w14:paraId="1474376B">
            <w:pPr>
              <w:spacing w:line="320" w:lineRule="exact"/>
              <w:jc w:val="center"/>
              <w:rPr>
                <w:color w:val="000000"/>
                <w:sz w:val="21"/>
                <w:szCs w:val="21"/>
              </w:rPr>
            </w:pPr>
            <w:r>
              <w:rPr>
                <w:color w:val="000000"/>
                <w:sz w:val="21"/>
                <w:szCs w:val="21"/>
              </w:rPr>
              <w:t>5</w:t>
            </w:r>
          </w:p>
        </w:tc>
        <w:tc>
          <w:tcPr>
            <w:tcW w:w="1060" w:type="pct"/>
            <w:noWrap w:val="0"/>
            <w:vAlign w:val="center"/>
          </w:tcPr>
          <w:p w14:paraId="047512E9">
            <w:pPr>
              <w:spacing w:line="320" w:lineRule="exact"/>
              <w:jc w:val="center"/>
              <w:rPr>
                <w:color w:val="000000"/>
                <w:sz w:val="21"/>
                <w:szCs w:val="21"/>
              </w:rPr>
            </w:pPr>
            <w:r>
              <w:rPr>
                <w:rFonts w:hint="eastAsia"/>
                <w:color w:val="000000"/>
                <w:sz w:val="21"/>
                <w:szCs w:val="21"/>
              </w:rPr>
              <w:t>柴油</w:t>
            </w:r>
            <w:r>
              <w:rPr>
                <w:color w:val="000000"/>
                <w:sz w:val="21"/>
                <w:szCs w:val="21"/>
              </w:rPr>
              <w:t>属</w:t>
            </w:r>
            <w:r>
              <w:rPr>
                <w:rFonts w:hint="eastAsia"/>
                <w:color w:val="000000"/>
                <w:sz w:val="21"/>
                <w:szCs w:val="21"/>
              </w:rPr>
              <w:t>丙A</w:t>
            </w:r>
            <w:r>
              <w:rPr>
                <w:color w:val="000000"/>
                <w:sz w:val="21"/>
                <w:szCs w:val="21"/>
              </w:rPr>
              <w:t>类易燃液体</w:t>
            </w:r>
          </w:p>
        </w:tc>
        <w:tc>
          <w:tcPr>
            <w:tcW w:w="816" w:type="pct"/>
            <w:noWrap w:val="0"/>
            <w:vAlign w:val="center"/>
          </w:tcPr>
          <w:p w14:paraId="7E283F93">
            <w:pPr>
              <w:spacing w:line="320" w:lineRule="exact"/>
              <w:jc w:val="center"/>
              <w:rPr>
                <w:color w:val="000000"/>
                <w:sz w:val="21"/>
                <w:szCs w:val="21"/>
              </w:rPr>
            </w:pPr>
            <w:r>
              <w:rPr>
                <w:rFonts w:hint="eastAsia"/>
                <w:color w:val="000000"/>
                <w:sz w:val="21"/>
                <w:szCs w:val="21"/>
              </w:rPr>
              <w:t>2</w:t>
            </w:r>
          </w:p>
        </w:tc>
        <w:tc>
          <w:tcPr>
            <w:tcW w:w="392" w:type="pct"/>
            <w:noWrap w:val="0"/>
            <w:vAlign w:val="center"/>
          </w:tcPr>
          <w:p w14:paraId="4A06F1DA">
            <w:pPr>
              <w:spacing w:line="320" w:lineRule="exact"/>
              <w:jc w:val="center"/>
              <w:rPr>
                <w:color w:val="000000"/>
                <w:sz w:val="21"/>
                <w:szCs w:val="21"/>
              </w:rPr>
            </w:pPr>
          </w:p>
        </w:tc>
      </w:tr>
      <w:tr w14:paraId="3A74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02FC991E">
            <w:pPr>
              <w:spacing w:line="320" w:lineRule="exact"/>
              <w:jc w:val="center"/>
              <w:rPr>
                <w:color w:val="000000"/>
                <w:sz w:val="21"/>
                <w:szCs w:val="21"/>
              </w:rPr>
            </w:pPr>
            <w:r>
              <w:rPr>
                <w:color w:val="000000"/>
                <w:sz w:val="21"/>
                <w:szCs w:val="21"/>
              </w:rPr>
              <w:t>2</w:t>
            </w:r>
          </w:p>
        </w:tc>
        <w:tc>
          <w:tcPr>
            <w:tcW w:w="568" w:type="pct"/>
            <w:noWrap w:val="0"/>
            <w:vAlign w:val="center"/>
          </w:tcPr>
          <w:p w14:paraId="4E21FE60">
            <w:pPr>
              <w:spacing w:line="320" w:lineRule="exact"/>
              <w:jc w:val="center"/>
              <w:rPr>
                <w:color w:val="000000"/>
                <w:sz w:val="21"/>
                <w:szCs w:val="21"/>
              </w:rPr>
            </w:pPr>
            <w:r>
              <w:rPr>
                <w:color w:val="000000"/>
                <w:sz w:val="21"/>
                <w:szCs w:val="21"/>
              </w:rPr>
              <w:t>容量</w:t>
            </w:r>
          </w:p>
        </w:tc>
        <w:tc>
          <w:tcPr>
            <w:tcW w:w="1030" w:type="pct"/>
            <w:noWrap w:val="0"/>
            <w:vAlign w:val="center"/>
          </w:tcPr>
          <w:p w14:paraId="49ACA2D8">
            <w:pPr>
              <w:spacing w:line="320" w:lineRule="exact"/>
              <w:jc w:val="center"/>
              <w:rPr>
                <w:color w:val="000000"/>
                <w:sz w:val="21"/>
                <w:szCs w:val="21"/>
              </w:rPr>
            </w:pPr>
            <w:r>
              <w:rPr>
                <w:rFonts w:hint="eastAsia" w:ascii="宋体" w:hAnsi="宋体" w:eastAsia="宋体" w:cs="宋体"/>
                <w:color w:val="000000"/>
                <w:sz w:val="21"/>
                <w:szCs w:val="21"/>
              </w:rPr>
              <w:t>液体</w:t>
            </w:r>
            <w:r>
              <w:rPr>
                <w:color w:val="000000"/>
                <w:sz w:val="21"/>
                <w:szCs w:val="21"/>
              </w:rPr>
              <w:t>50~100 m</w:t>
            </w:r>
            <w:r>
              <w:rPr>
                <w:color w:val="000000"/>
                <w:sz w:val="21"/>
                <w:szCs w:val="21"/>
                <w:vertAlign w:val="superscript"/>
              </w:rPr>
              <w:t>3</w:t>
            </w:r>
          </w:p>
        </w:tc>
        <w:tc>
          <w:tcPr>
            <w:tcW w:w="816" w:type="pct"/>
            <w:noWrap w:val="0"/>
            <w:vAlign w:val="center"/>
          </w:tcPr>
          <w:p w14:paraId="0C8CB55F">
            <w:pPr>
              <w:spacing w:line="320" w:lineRule="exact"/>
              <w:jc w:val="center"/>
              <w:rPr>
                <w:rFonts w:hint="eastAsia" w:eastAsia="宋体"/>
                <w:color w:val="000000"/>
                <w:sz w:val="21"/>
                <w:szCs w:val="21"/>
              </w:rPr>
            </w:pPr>
            <w:r>
              <w:rPr>
                <w:rFonts w:hint="eastAsia" w:eastAsia="宋体"/>
                <w:color w:val="000000"/>
                <w:sz w:val="21"/>
                <w:szCs w:val="21"/>
              </w:rPr>
              <w:t>5</w:t>
            </w:r>
          </w:p>
        </w:tc>
        <w:tc>
          <w:tcPr>
            <w:tcW w:w="1060" w:type="pct"/>
            <w:noWrap w:val="0"/>
            <w:vAlign w:val="center"/>
          </w:tcPr>
          <w:p w14:paraId="2E3DC2B8">
            <w:pPr>
              <w:spacing w:line="320" w:lineRule="exact"/>
              <w:jc w:val="center"/>
              <w:rPr>
                <w:color w:val="000000"/>
                <w:sz w:val="21"/>
                <w:szCs w:val="21"/>
              </w:rPr>
            </w:pPr>
            <w:r>
              <w:rPr>
                <w:rFonts w:hint="eastAsia" w:ascii="宋体" w:hAnsi="宋体" w:eastAsia="宋体" w:cs="宋体"/>
                <w:color w:val="000000"/>
                <w:sz w:val="21"/>
                <w:szCs w:val="21"/>
              </w:rPr>
              <w:t>液体</w:t>
            </w:r>
            <w:r>
              <w:rPr>
                <w:color w:val="000000"/>
                <w:sz w:val="21"/>
                <w:szCs w:val="21"/>
              </w:rPr>
              <w:t>50~100 m</w:t>
            </w:r>
            <w:r>
              <w:rPr>
                <w:color w:val="000000"/>
                <w:sz w:val="21"/>
                <w:szCs w:val="21"/>
                <w:vertAlign w:val="superscript"/>
              </w:rPr>
              <w:t>3</w:t>
            </w:r>
          </w:p>
        </w:tc>
        <w:tc>
          <w:tcPr>
            <w:tcW w:w="816" w:type="pct"/>
            <w:noWrap w:val="0"/>
            <w:vAlign w:val="center"/>
          </w:tcPr>
          <w:p w14:paraId="53C41690">
            <w:pPr>
              <w:spacing w:line="320" w:lineRule="exact"/>
              <w:jc w:val="center"/>
              <w:rPr>
                <w:rFonts w:hint="eastAsia" w:eastAsia="宋体"/>
                <w:color w:val="000000"/>
                <w:sz w:val="21"/>
                <w:szCs w:val="21"/>
              </w:rPr>
            </w:pPr>
            <w:r>
              <w:rPr>
                <w:rFonts w:hint="eastAsia" w:eastAsia="宋体"/>
                <w:color w:val="000000"/>
                <w:sz w:val="21"/>
                <w:szCs w:val="21"/>
              </w:rPr>
              <w:t>5</w:t>
            </w:r>
          </w:p>
        </w:tc>
        <w:tc>
          <w:tcPr>
            <w:tcW w:w="392" w:type="pct"/>
            <w:noWrap w:val="0"/>
            <w:vAlign w:val="center"/>
          </w:tcPr>
          <w:p w14:paraId="0780B58F">
            <w:pPr>
              <w:spacing w:line="320" w:lineRule="exact"/>
              <w:jc w:val="center"/>
              <w:rPr>
                <w:color w:val="000000"/>
                <w:sz w:val="21"/>
                <w:szCs w:val="21"/>
              </w:rPr>
            </w:pPr>
          </w:p>
        </w:tc>
      </w:tr>
      <w:tr w14:paraId="454A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252CCFC2">
            <w:pPr>
              <w:spacing w:line="320" w:lineRule="exact"/>
              <w:jc w:val="center"/>
              <w:rPr>
                <w:color w:val="000000"/>
                <w:sz w:val="21"/>
                <w:szCs w:val="21"/>
              </w:rPr>
            </w:pPr>
            <w:r>
              <w:rPr>
                <w:color w:val="000000"/>
                <w:sz w:val="21"/>
                <w:szCs w:val="21"/>
              </w:rPr>
              <w:t>3</w:t>
            </w:r>
          </w:p>
        </w:tc>
        <w:tc>
          <w:tcPr>
            <w:tcW w:w="568" w:type="pct"/>
            <w:noWrap w:val="0"/>
            <w:vAlign w:val="center"/>
          </w:tcPr>
          <w:p w14:paraId="339CE76E">
            <w:pPr>
              <w:spacing w:line="320" w:lineRule="exact"/>
              <w:jc w:val="center"/>
              <w:rPr>
                <w:color w:val="000000"/>
                <w:sz w:val="21"/>
                <w:szCs w:val="21"/>
              </w:rPr>
            </w:pPr>
            <w:r>
              <w:rPr>
                <w:color w:val="000000"/>
                <w:sz w:val="21"/>
                <w:szCs w:val="21"/>
              </w:rPr>
              <w:t>温度</w:t>
            </w:r>
          </w:p>
        </w:tc>
        <w:tc>
          <w:tcPr>
            <w:tcW w:w="1030" w:type="pct"/>
            <w:noWrap w:val="0"/>
            <w:vAlign w:val="center"/>
          </w:tcPr>
          <w:p w14:paraId="2600BEFB">
            <w:pPr>
              <w:spacing w:line="320" w:lineRule="exact"/>
              <w:jc w:val="center"/>
              <w:rPr>
                <w:color w:val="000000"/>
                <w:sz w:val="21"/>
                <w:szCs w:val="21"/>
              </w:rPr>
            </w:pPr>
            <w:r>
              <w:rPr>
                <w:color w:val="000000"/>
                <w:sz w:val="21"/>
                <w:szCs w:val="21"/>
              </w:rPr>
              <w:t>常温储存</w:t>
            </w:r>
          </w:p>
        </w:tc>
        <w:tc>
          <w:tcPr>
            <w:tcW w:w="816" w:type="pct"/>
            <w:noWrap w:val="0"/>
            <w:vAlign w:val="center"/>
          </w:tcPr>
          <w:p w14:paraId="5820F81D">
            <w:pPr>
              <w:spacing w:line="320" w:lineRule="exact"/>
              <w:jc w:val="center"/>
              <w:rPr>
                <w:color w:val="000000"/>
                <w:sz w:val="21"/>
                <w:szCs w:val="21"/>
              </w:rPr>
            </w:pPr>
            <w:r>
              <w:rPr>
                <w:color w:val="000000"/>
                <w:sz w:val="21"/>
                <w:szCs w:val="21"/>
              </w:rPr>
              <w:t>0</w:t>
            </w:r>
          </w:p>
        </w:tc>
        <w:tc>
          <w:tcPr>
            <w:tcW w:w="1060" w:type="pct"/>
            <w:noWrap w:val="0"/>
            <w:vAlign w:val="center"/>
          </w:tcPr>
          <w:p w14:paraId="39BDC7BE">
            <w:pPr>
              <w:spacing w:line="320" w:lineRule="exact"/>
              <w:jc w:val="center"/>
              <w:rPr>
                <w:color w:val="000000"/>
                <w:sz w:val="21"/>
                <w:szCs w:val="21"/>
              </w:rPr>
            </w:pPr>
            <w:r>
              <w:rPr>
                <w:color w:val="000000"/>
                <w:sz w:val="21"/>
                <w:szCs w:val="21"/>
              </w:rPr>
              <w:t>常温储存</w:t>
            </w:r>
          </w:p>
        </w:tc>
        <w:tc>
          <w:tcPr>
            <w:tcW w:w="816" w:type="pct"/>
            <w:noWrap w:val="0"/>
            <w:vAlign w:val="center"/>
          </w:tcPr>
          <w:p w14:paraId="60E6BFAF">
            <w:pPr>
              <w:spacing w:line="320" w:lineRule="exact"/>
              <w:jc w:val="center"/>
              <w:rPr>
                <w:color w:val="000000"/>
                <w:sz w:val="21"/>
                <w:szCs w:val="21"/>
              </w:rPr>
            </w:pPr>
            <w:r>
              <w:rPr>
                <w:color w:val="000000"/>
                <w:sz w:val="21"/>
                <w:szCs w:val="21"/>
              </w:rPr>
              <w:t>0</w:t>
            </w:r>
          </w:p>
        </w:tc>
        <w:tc>
          <w:tcPr>
            <w:tcW w:w="392" w:type="pct"/>
            <w:noWrap w:val="0"/>
            <w:vAlign w:val="center"/>
          </w:tcPr>
          <w:p w14:paraId="0DD5D981">
            <w:pPr>
              <w:spacing w:line="320" w:lineRule="exact"/>
              <w:jc w:val="center"/>
              <w:rPr>
                <w:color w:val="000000"/>
                <w:sz w:val="21"/>
                <w:szCs w:val="21"/>
              </w:rPr>
            </w:pPr>
          </w:p>
        </w:tc>
      </w:tr>
      <w:tr w14:paraId="7BAC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320EA20B">
            <w:pPr>
              <w:spacing w:line="320" w:lineRule="exact"/>
              <w:jc w:val="center"/>
              <w:rPr>
                <w:color w:val="000000"/>
                <w:sz w:val="21"/>
                <w:szCs w:val="21"/>
              </w:rPr>
            </w:pPr>
            <w:r>
              <w:rPr>
                <w:color w:val="000000"/>
                <w:sz w:val="21"/>
                <w:szCs w:val="21"/>
              </w:rPr>
              <w:t>4</w:t>
            </w:r>
          </w:p>
        </w:tc>
        <w:tc>
          <w:tcPr>
            <w:tcW w:w="568" w:type="pct"/>
            <w:noWrap w:val="0"/>
            <w:vAlign w:val="center"/>
          </w:tcPr>
          <w:p w14:paraId="5E02DCBB">
            <w:pPr>
              <w:spacing w:line="320" w:lineRule="exact"/>
              <w:jc w:val="center"/>
              <w:rPr>
                <w:color w:val="000000"/>
                <w:sz w:val="21"/>
                <w:szCs w:val="21"/>
              </w:rPr>
            </w:pPr>
            <w:r>
              <w:rPr>
                <w:color w:val="000000"/>
                <w:sz w:val="21"/>
                <w:szCs w:val="21"/>
              </w:rPr>
              <w:t>压力</w:t>
            </w:r>
          </w:p>
        </w:tc>
        <w:tc>
          <w:tcPr>
            <w:tcW w:w="1030" w:type="pct"/>
            <w:noWrap w:val="0"/>
            <w:vAlign w:val="center"/>
          </w:tcPr>
          <w:p w14:paraId="385D79A3">
            <w:pPr>
              <w:spacing w:line="320" w:lineRule="exact"/>
              <w:jc w:val="center"/>
              <w:rPr>
                <w:color w:val="000000"/>
                <w:sz w:val="21"/>
                <w:szCs w:val="21"/>
              </w:rPr>
            </w:pPr>
            <w:r>
              <w:rPr>
                <w:color w:val="000000"/>
                <w:sz w:val="21"/>
                <w:szCs w:val="21"/>
              </w:rPr>
              <w:t>常压储存</w:t>
            </w:r>
          </w:p>
        </w:tc>
        <w:tc>
          <w:tcPr>
            <w:tcW w:w="816" w:type="pct"/>
            <w:noWrap w:val="0"/>
            <w:vAlign w:val="center"/>
          </w:tcPr>
          <w:p w14:paraId="6D0E04F4">
            <w:pPr>
              <w:spacing w:line="320" w:lineRule="exact"/>
              <w:jc w:val="center"/>
              <w:rPr>
                <w:color w:val="000000"/>
                <w:sz w:val="21"/>
                <w:szCs w:val="21"/>
              </w:rPr>
            </w:pPr>
            <w:r>
              <w:rPr>
                <w:color w:val="000000"/>
                <w:sz w:val="21"/>
                <w:szCs w:val="21"/>
              </w:rPr>
              <w:t>0</w:t>
            </w:r>
          </w:p>
        </w:tc>
        <w:tc>
          <w:tcPr>
            <w:tcW w:w="1060" w:type="pct"/>
            <w:noWrap w:val="0"/>
            <w:vAlign w:val="center"/>
          </w:tcPr>
          <w:p w14:paraId="7C3B433F">
            <w:pPr>
              <w:spacing w:line="320" w:lineRule="exact"/>
              <w:jc w:val="center"/>
              <w:rPr>
                <w:color w:val="000000"/>
                <w:sz w:val="21"/>
                <w:szCs w:val="21"/>
              </w:rPr>
            </w:pPr>
            <w:r>
              <w:rPr>
                <w:color w:val="000000"/>
                <w:sz w:val="21"/>
                <w:szCs w:val="21"/>
              </w:rPr>
              <w:t>常压储存</w:t>
            </w:r>
          </w:p>
        </w:tc>
        <w:tc>
          <w:tcPr>
            <w:tcW w:w="816" w:type="pct"/>
            <w:noWrap w:val="0"/>
            <w:vAlign w:val="center"/>
          </w:tcPr>
          <w:p w14:paraId="73369918">
            <w:pPr>
              <w:spacing w:line="320" w:lineRule="exact"/>
              <w:jc w:val="center"/>
              <w:rPr>
                <w:color w:val="000000"/>
                <w:sz w:val="21"/>
                <w:szCs w:val="21"/>
              </w:rPr>
            </w:pPr>
            <w:r>
              <w:rPr>
                <w:color w:val="000000"/>
                <w:sz w:val="21"/>
                <w:szCs w:val="21"/>
              </w:rPr>
              <w:t>0</w:t>
            </w:r>
          </w:p>
        </w:tc>
        <w:tc>
          <w:tcPr>
            <w:tcW w:w="392" w:type="pct"/>
            <w:noWrap w:val="0"/>
            <w:vAlign w:val="center"/>
          </w:tcPr>
          <w:p w14:paraId="7265A42D">
            <w:pPr>
              <w:spacing w:line="320" w:lineRule="exact"/>
              <w:jc w:val="center"/>
              <w:rPr>
                <w:color w:val="000000"/>
                <w:sz w:val="21"/>
                <w:szCs w:val="21"/>
              </w:rPr>
            </w:pPr>
          </w:p>
        </w:tc>
      </w:tr>
      <w:tr w14:paraId="1230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4AE0E20B">
            <w:pPr>
              <w:spacing w:line="320" w:lineRule="exact"/>
              <w:jc w:val="center"/>
              <w:rPr>
                <w:color w:val="000000"/>
                <w:sz w:val="21"/>
                <w:szCs w:val="21"/>
              </w:rPr>
            </w:pPr>
            <w:r>
              <w:rPr>
                <w:color w:val="000000"/>
                <w:sz w:val="21"/>
                <w:szCs w:val="21"/>
              </w:rPr>
              <w:t>5</w:t>
            </w:r>
          </w:p>
        </w:tc>
        <w:tc>
          <w:tcPr>
            <w:tcW w:w="568" w:type="pct"/>
            <w:noWrap w:val="0"/>
            <w:vAlign w:val="center"/>
          </w:tcPr>
          <w:p w14:paraId="6428201D">
            <w:pPr>
              <w:spacing w:line="320" w:lineRule="exact"/>
              <w:jc w:val="center"/>
              <w:rPr>
                <w:color w:val="000000"/>
                <w:sz w:val="21"/>
                <w:szCs w:val="21"/>
              </w:rPr>
            </w:pPr>
            <w:r>
              <w:rPr>
                <w:color w:val="000000"/>
                <w:sz w:val="21"/>
                <w:szCs w:val="21"/>
              </w:rPr>
              <w:t>操作</w:t>
            </w:r>
          </w:p>
        </w:tc>
        <w:tc>
          <w:tcPr>
            <w:tcW w:w="1030" w:type="pct"/>
            <w:noWrap w:val="0"/>
            <w:vAlign w:val="center"/>
          </w:tcPr>
          <w:p w14:paraId="603D2F26">
            <w:pPr>
              <w:spacing w:line="320" w:lineRule="exact"/>
              <w:jc w:val="center"/>
              <w:rPr>
                <w:color w:val="000000"/>
                <w:sz w:val="21"/>
                <w:szCs w:val="21"/>
              </w:rPr>
            </w:pPr>
            <w:r>
              <w:rPr>
                <w:color w:val="000000"/>
                <w:sz w:val="21"/>
                <w:szCs w:val="21"/>
              </w:rPr>
              <w:t>有一定危险的操作</w:t>
            </w:r>
          </w:p>
        </w:tc>
        <w:tc>
          <w:tcPr>
            <w:tcW w:w="816" w:type="pct"/>
            <w:noWrap w:val="0"/>
            <w:vAlign w:val="center"/>
          </w:tcPr>
          <w:p w14:paraId="42732A13">
            <w:pPr>
              <w:spacing w:line="320" w:lineRule="exact"/>
              <w:jc w:val="center"/>
              <w:rPr>
                <w:color w:val="000000"/>
                <w:sz w:val="21"/>
                <w:szCs w:val="21"/>
              </w:rPr>
            </w:pPr>
            <w:r>
              <w:rPr>
                <w:rFonts w:hint="eastAsia"/>
                <w:color w:val="000000"/>
                <w:sz w:val="21"/>
                <w:szCs w:val="21"/>
              </w:rPr>
              <w:t>2</w:t>
            </w:r>
          </w:p>
        </w:tc>
        <w:tc>
          <w:tcPr>
            <w:tcW w:w="1060" w:type="pct"/>
            <w:noWrap w:val="0"/>
            <w:vAlign w:val="center"/>
          </w:tcPr>
          <w:p w14:paraId="5C330B10">
            <w:pPr>
              <w:spacing w:line="320" w:lineRule="exact"/>
              <w:jc w:val="center"/>
              <w:rPr>
                <w:color w:val="000000"/>
                <w:sz w:val="21"/>
                <w:szCs w:val="21"/>
              </w:rPr>
            </w:pPr>
            <w:r>
              <w:rPr>
                <w:color w:val="000000"/>
                <w:sz w:val="21"/>
                <w:szCs w:val="21"/>
              </w:rPr>
              <w:t>有一定危险的操作</w:t>
            </w:r>
          </w:p>
        </w:tc>
        <w:tc>
          <w:tcPr>
            <w:tcW w:w="816" w:type="pct"/>
            <w:noWrap w:val="0"/>
            <w:vAlign w:val="center"/>
          </w:tcPr>
          <w:p w14:paraId="2F60A0DB">
            <w:pPr>
              <w:spacing w:line="320" w:lineRule="exact"/>
              <w:jc w:val="center"/>
              <w:rPr>
                <w:color w:val="000000"/>
                <w:sz w:val="21"/>
                <w:szCs w:val="21"/>
              </w:rPr>
            </w:pPr>
            <w:r>
              <w:rPr>
                <w:rFonts w:hint="eastAsia"/>
                <w:color w:val="000000"/>
                <w:sz w:val="21"/>
                <w:szCs w:val="21"/>
              </w:rPr>
              <w:t>2</w:t>
            </w:r>
          </w:p>
        </w:tc>
        <w:tc>
          <w:tcPr>
            <w:tcW w:w="392" w:type="pct"/>
            <w:noWrap w:val="0"/>
            <w:vAlign w:val="center"/>
          </w:tcPr>
          <w:p w14:paraId="408E8FC3">
            <w:pPr>
              <w:spacing w:line="320" w:lineRule="exact"/>
              <w:jc w:val="center"/>
              <w:rPr>
                <w:color w:val="000000"/>
                <w:sz w:val="21"/>
                <w:szCs w:val="21"/>
              </w:rPr>
            </w:pPr>
          </w:p>
        </w:tc>
      </w:tr>
      <w:tr w14:paraId="0D12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53FA937E">
            <w:pPr>
              <w:spacing w:line="320" w:lineRule="exact"/>
              <w:jc w:val="center"/>
              <w:rPr>
                <w:color w:val="000000"/>
                <w:sz w:val="21"/>
                <w:szCs w:val="21"/>
              </w:rPr>
            </w:pPr>
            <w:r>
              <w:rPr>
                <w:color w:val="000000"/>
                <w:sz w:val="21"/>
                <w:szCs w:val="21"/>
              </w:rPr>
              <w:t>6</w:t>
            </w:r>
          </w:p>
        </w:tc>
        <w:tc>
          <w:tcPr>
            <w:tcW w:w="568" w:type="pct"/>
            <w:noWrap w:val="0"/>
            <w:vAlign w:val="center"/>
          </w:tcPr>
          <w:p w14:paraId="67031B5F">
            <w:pPr>
              <w:spacing w:line="320" w:lineRule="exact"/>
              <w:jc w:val="center"/>
              <w:rPr>
                <w:color w:val="000000"/>
                <w:sz w:val="21"/>
                <w:szCs w:val="21"/>
              </w:rPr>
            </w:pPr>
            <w:r>
              <w:rPr>
                <w:color w:val="000000"/>
                <w:sz w:val="21"/>
                <w:szCs w:val="21"/>
              </w:rPr>
              <w:t>总计</w:t>
            </w:r>
          </w:p>
        </w:tc>
        <w:tc>
          <w:tcPr>
            <w:tcW w:w="1030" w:type="pct"/>
            <w:noWrap w:val="0"/>
            <w:vAlign w:val="center"/>
          </w:tcPr>
          <w:p w14:paraId="11079D64">
            <w:pPr>
              <w:spacing w:line="320" w:lineRule="exact"/>
              <w:jc w:val="center"/>
              <w:rPr>
                <w:color w:val="000000"/>
                <w:sz w:val="21"/>
                <w:szCs w:val="21"/>
              </w:rPr>
            </w:pPr>
          </w:p>
        </w:tc>
        <w:tc>
          <w:tcPr>
            <w:tcW w:w="816" w:type="pct"/>
            <w:noWrap w:val="0"/>
            <w:vAlign w:val="center"/>
          </w:tcPr>
          <w:p w14:paraId="7267EA26">
            <w:pPr>
              <w:spacing w:line="320" w:lineRule="exact"/>
              <w:jc w:val="center"/>
              <w:rPr>
                <w:rFonts w:eastAsia="宋体"/>
                <w:color w:val="000000"/>
                <w:sz w:val="21"/>
                <w:szCs w:val="21"/>
              </w:rPr>
            </w:pPr>
            <w:r>
              <w:rPr>
                <w:rFonts w:hint="eastAsia" w:eastAsia="宋体"/>
                <w:color w:val="000000"/>
                <w:sz w:val="21"/>
                <w:szCs w:val="21"/>
              </w:rPr>
              <w:t>12</w:t>
            </w:r>
          </w:p>
        </w:tc>
        <w:tc>
          <w:tcPr>
            <w:tcW w:w="1060" w:type="pct"/>
            <w:noWrap w:val="0"/>
            <w:vAlign w:val="center"/>
          </w:tcPr>
          <w:p w14:paraId="79B1E645">
            <w:pPr>
              <w:spacing w:line="320" w:lineRule="exact"/>
              <w:jc w:val="center"/>
              <w:rPr>
                <w:color w:val="000000"/>
                <w:sz w:val="21"/>
                <w:szCs w:val="21"/>
              </w:rPr>
            </w:pPr>
          </w:p>
        </w:tc>
        <w:tc>
          <w:tcPr>
            <w:tcW w:w="816" w:type="pct"/>
            <w:noWrap w:val="0"/>
            <w:vAlign w:val="center"/>
          </w:tcPr>
          <w:p w14:paraId="0CDB0F9E">
            <w:pPr>
              <w:spacing w:line="320" w:lineRule="exact"/>
              <w:jc w:val="center"/>
              <w:rPr>
                <w:rFonts w:eastAsia="宋体"/>
                <w:color w:val="000000"/>
                <w:sz w:val="21"/>
                <w:szCs w:val="21"/>
              </w:rPr>
            </w:pPr>
            <w:r>
              <w:rPr>
                <w:rFonts w:hint="eastAsia" w:eastAsia="宋体"/>
                <w:color w:val="000000"/>
                <w:sz w:val="21"/>
                <w:szCs w:val="21"/>
              </w:rPr>
              <w:t>9</w:t>
            </w:r>
          </w:p>
        </w:tc>
        <w:tc>
          <w:tcPr>
            <w:tcW w:w="392" w:type="pct"/>
            <w:noWrap w:val="0"/>
            <w:vAlign w:val="center"/>
          </w:tcPr>
          <w:p w14:paraId="65B38E1C">
            <w:pPr>
              <w:spacing w:line="320" w:lineRule="exact"/>
              <w:jc w:val="center"/>
              <w:rPr>
                <w:color w:val="000000"/>
                <w:sz w:val="21"/>
                <w:szCs w:val="21"/>
              </w:rPr>
            </w:pPr>
          </w:p>
        </w:tc>
      </w:tr>
      <w:tr w14:paraId="4E52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315" w:type="pct"/>
            <w:noWrap w:val="0"/>
            <w:vAlign w:val="center"/>
          </w:tcPr>
          <w:p w14:paraId="310031B6">
            <w:pPr>
              <w:spacing w:line="320" w:lineRule="exact"/>
              <w:jc w:val="center"/>
              <w:rPr>
                <w:color w:val="000000"/>
                <w:sz w:val="21"/>
                <w:szCs w:val="21"/>
              </w:rPr>
            </w:pPr>
            <w:r>
              <w:rPr>
                <w:color w:val="000000"/>
                <w:sz w:val="21"/>
                <w:szCs w:val="21"/>
              </w:rPr>
              <w:t>7</w:t>
            </w:r>
          </w:p>
        </w:tc>
        <w:tc>
          <w:tcPr>
            <w:tcW w:w="568" w:type="pct"/>
            <w:noWrap w:val="0"/>
            <w:vAlign w:val="center"/>
          </w:tcPr>
          <w:p w14:paraId="62DB3132">
            <w:pPr>
              <w:spacing w:line="320" w:lineRule="exact"/>
              <w:jc w:val="center"/>
              <w:rPr>
                <w:color w:val="000000"/>
                <w:sz w:val="21"/>
                <w:szCs w:val="21"/>
              </w:rPr>
            </w:pPr>
            <w:r>
              <w:rPr>
                <w:color w:val="000000"/>
                <w:sz w:val="21"/>
                <w:szCs w:val="21"/>
              </w:rPr>
              <w:t>危险程度</w:t>
            </w:r>
          </w:p>
        </w:tc>
        <w:tc>
          <w:tcPr>
            <w:tcW w:w="1030" w:type="pct"/>
            <w:noWrap w:val="0"/>
            <w:vAlign w:val="center"/>
          </w:tcPr>
          <w:p w14:paraId="59413274">
            <w:pPr>
              <w:spacing w:line="320" w:lineRule="exact"/>
              <w:jc w:val="center"/>
              <w:rPr>
                <w:color w:val="000000"/>
                <w:sz w:val="21"/>
                <w:szCs w:val="21"/>
              </w:rPr>
            </w:pPr>
          </w:p>
        </w:tc>
        <w:tc>
          <w:tcPr>
            <w:tcW w:w="816" w:type="pct"/>
            <w:noWrap w:val="0"/>
            <w:vAlign w:val="center"/>
          </w:tcPr>
          <w:p w14:paraId="443E4BD8">
            <w:pPr>
              <w:spacing w:line="320" w:lineRule="exact"/>
              <w:jc w:val="center"/>
              <w:rPr>
                <w:color w:val="000000"/>
                <w:sz w:val="21"/>
                <w:szCs w:val="21"/>
              </w:rPr>
            </w:pPr>
            <w:r>
              <w:rPr>
                <w:rFonts w:hint="eastAsia" w:eastAsia="宋体"/>
                <w:color w:val="000000"/>
                <w:sz w:val="21"/>
                <w:szCs w:val="21"/>
              </w:rPr>
              <w:t>中度</w:t>
            </w:r>
            <w:r>
              <w:rPr>
                <w:rFonts w:hint="eastAsia" w:ascii="宋体" w:hAnsi="宋体" w:eastAsia="宋体" w:cs="宋体"/>
                <w:color w:val="000000"/>
                <w:sz w:val="21"/>
                <w:szCs w:val="21"/>
              </w:rPr>
              <w:t>危险</w:t>
            </w:r>
          </w:p>
        </w:tc>
        <w:tc>
          <w:tcPr>
            <w:tcW w:w="1060" w:type="pct"/>
            <w:noWrap w:val="0"/>
            <w:vAlign w:val="center"/>
          </w:tcPr>
          <w:p w14:paraId="0F459D0A">
            <w:pPr>
              <w:spacing w:line="320" w:lineRule="exact"/>
              <w:jc w:val="center"/>
              <w:rPr>
                <w:color w:val="000000"/>
                <w:sz w:val="21"/>
                <w:szCs w:val="21"/>
              </w:rPr>
            </w:pPr>
          </w:p>
        </w:tc>
        <w:tc>
          <w:tcPr>
            <w:tcW w:w="816" w:type="pct"/>
            <w:noWrap w:val="0"/>
            <w:vAlign w:val="center"/>
          </w:tcPr>
          <w:p w14:paraId="6C6B6161">
            <w:pPr>
              <w:spacing w:line="320" w:lineRule="exact"/>
              <w:jc w:val="center"/>
              <w:rPr>
                <w:color w:val="000000"/>
                <w:sz w:val="21"/>
                <w:szCs w:val="21"/>
              </w:rPr>
            </w:pPr>
            <w:r>
              <w:rPr>
                <w:rFonts w:hint="eastAsia"/>
                <w:color w:val="000000"/>
                <w:sz w:val="21"/>
                <w:szCs w:val="21"/>
              </w:rPr>
              <w:t>低</w:t>
            </w:r>
            <w:r>
              <w:rPr>
                <w:color w:val="000000"/>
                <w:sz w:val="21"/>
                <w:szCs w:val="21"/>
              </w:rPr>
              <w:t>度危险</w:t>
            </w:r>
          </w:p>
        </w:tc>
        <w:tc>
          <w:tcPr>
            <w:tcW w:w="392" w:type="pct"/>
            <w:noWrap w:val="0"/>
            <w:vAlign w:val="center"/>
          </w:tcPr>
          <w:p w14:paraId="696C7A1C">
            <w:pPr>
              <w:spacing w:line="320" w:lineRule="exact"/>
              <w:jc w:val="center"/>
              <w:rPr>
                <w:color w:val="000000"/>
                <w:sz w:val="21"/>
                <w:szCs w:val="21"/>
              </w:rPr>
            </w:pPr>
          </w:p>
        </w:tc>
      </w:tr>
    </w:tbl>
    <w:p w14:paraId="1808636A">
      <w:pPr>
        <w:adjustRightInd w:val="0"/>
        <w:snapToGrid w:val="0"/>
        <w:spacing w:line="600" w:lineRule="exact"/>
        <w:ind w:firstLine="570"/>
        <w:textAlignment w:val="center"/>
        <w:rPr>
          <w:b/>
          <w:bCs/>
          <w:color w:val="000000"/>
          <w:sz w:val="28"/>
          <w:szCs w:val="28"/>
        </w:rPr>
      </w:pPr>
      <w:r>
        <w:rPr>
          <w:color w:val="000000"/>
          <w:sz w:val="28"/>
          <w:szCs w:val="28"/>
        </w:rPr>
        <w:t>综上所述，油储罐区得分为</w:t>
      </w:r>
      <w:r>
        <w:rPr>
          <w:rFonts w:hint="eastAsia"/>
          <w:color w:val="000000"/>
          <w:sz w:val="28"/>
          <w:szCs w:val="28"/>
        </w:rPr>
        <w:t>12</w:t>
      </w:r>
      <w:r>
        <w:rPr>
          <w:color w:val="000000"/>
          <w:sz w:val="28"/>
          <w:szCs w:val="28"/>
        </w:rPr>
        <w:t>分，为</w:t>
      </w:r>
      <w:r>
        <w:rPr>
          <w:rFonts w:hint="eastAsia" w:ascii="宋体" w:hAnsi="宋体" w:cs="宋体"/>
          <w:color w:val="000000"/>
          <w:sz w:val="28"/>
          <w:szCs w:val="28"/>
        </w:rPr>
        <w:t>Ⅱ</w:t>
      </w:r>
      <w:r>
        <w:rPr>
          <w:rFonts w:hint="eastAsia"/>
          <w:color w:val="000000"/>
          <w:sz w:val="28"/>
          <w:szCs w:val="28"/>
        </w:rPr>
        <w:t>级</w:t>
      </w:r>
      <w:r>
        <w:rPr>
          <w:color w:val="000000"/>
          <w:sz w:val="28"/>
          <w:szCs w:val="28"/>
        </w:rPr>
        <w:t>，属</w:t>
      </w:r>
      <w:r>
        <w:rPr>
          <w:rFonts w:hint="eastAsia"/>
          <w:color w:val="000000"/>
          <w:sz w:val="28"/>
          <w:szCs w:val="28"/>
        </w:rPr>
        <w:t>中度</w:t>
      </w:r>
      <w:r>
        <w:rPr>
          <w:color w:val="000000"/>
          <w:sz w:val="28"/>
          <w:szCs w:val="28"/>
        </w:rPr>
        <w:t>危险</w:t>
      </w:r>
      <w:r>
        <w:rPr>
          <w:rFonts w:hint="eastAsia"/>
          <w:color w:val="000000"/>
          <w:sz w:val="28"/>
          <w:szCs w:val="28"/>
        </w:rPr>
        <w:t>。</w:t>
      </w:r>
    </w:p>
    <w:p w14:paraId="77638B20">
      <w:pPr>
        <w:adjustRightInd w:val="0"/>
        <w:snapToGrid w:val="0"/>
        <w:spacing w:line="600" w:lineRule="exact"/>
        <w:textAlignment w:val="center"/>
        <w:outlineLvl w:val="1"/>
        <w:rPr>
          <w:b/>
          <w:color w:val="000000"/>
          <w:sz w:val="28"/>
          <w:szCs w:val="28"/>
        </w:rPr>
      </w:pPr>
      <w:bookmarkStart w:id="266" w:name="_Toc11511"/>
      <w:bookmarkStart w:id="267" w:name="_Toc120957351"/>
      <w:bookmarkStart w:id="268" w:name="_Toc19276"/>
      <w:bookmarkStart w:id="269" w:name="_Toc700"/>
      <w:r>
        <w:rPr>
          <w:b/>
          <w:color w:val="000000"/>
          <w:sz w:val="28"/>
          <w:szCs w:val="28"/>
        </w:rPr>
        <w:t>5.</w:t>
      </w:r>
      <w:r>
        <w:rPr>
          <w:rFonts w:hint="eastAsia"/>
          <w:b/>
          <w:color w:val="000000"/>
          <w:sz w:val="28"/>
          <w:szCs w:val="28"/>
          <w:lang w:val="en-US" w:eastAsia="zh-CN"/>
        </w:rPr>
        <w:t>7</w:t>
      </w:r>
      <w:r>
        <w:rPr>
          <w:b/>
          <w:color w:val="000000"/>
          <w:sz w:val="28"/>
          <w:szCs w:val="28"/>
        </w:rPr>
        <w:t>综合安全评价</w:t>
      </w:r>
      <w:bookmarkEnd w:id="266"/>
      <w:bookmarkEnd w:id="267"/>
      <w:bookmarkEnd w:id="268"/>
      <w:bookmarkEnd w:id="269"/>
    </w:p>
    <w:p w14:paraId="6BDB40FC">
      <w:pPr>
        <w:pStyle w:val="4"/>
        <w:spacing w:before="0" w:beforeLines="0" w:after="0" w:afterLines="0" w:line="560" w:lineRule="exact"/>
        <w:rPr>
          <w:rFonts w:hint="default" w:ascii="Times New Roman" w:hAnsi="Times New Roman" w:eastAsia="宋体" w:cs="Times New Roman"/>
          <w:color w:val="auto"/>
          <w:sz w:val="28"/>
          <w:szCs w:val="28"/>
        </w:rPr>
      </w:pPr>
      <w:bookmarkStart w:id="270" w:name="_Toc14403"/>
      <w:bookmarkStart w:id="271" w:name="_Toc19428"/>
      <w:bookmarkStart w:id="272" w:name="_Toc8053"/>
      <w:bookmarkStart w:id="273" w:name="_Toc10581"/>
      <w:bookmarkStart w:id="274" w:name="_Toc120957356"/>
      <w:bookmarkStart w:id="275" w:name="_Toc11726"/>
      <w:bookmarkStart w:id="276" w:name="_Toc19106"/>
      <w:r>
        <w:rPr>
          <w:rFonts w:hint="default" w:ascii="Times New Roman" w:hAnsi="Times New Roman" w:eastAsia="宋体" w:cs="Times New Roman"/>
          <w:color w:val="auto"/>
          <w:sz w:val="28"/>
          <w:szCs w:val="28"/>
        </w:rPr>
        <w:t>5.</w:t>
      </w:r>
      <w:r>
        <w:rPr>
          <w:rFonts w:hint="default" w:ascii="宋体" w:hAnsi="Times New Roman" w:eastAsia="宋体" w:cs="Times New Roman"/>
          <w:color w:val="auto"/>
          <w:sz w:val="28"/>
          <w:szCs w:val="28"/>
        </w:rPr>
        <w:t>7.1 重大生产安全事故隐患判定分析</w:t>
      </w:r>
      <w:bookmarkEnd w:id="270"/>
      <w:bookmarkEnd w:id="271"/>
    </w:p>
    <w:p w14:paraId="2A4DD2BA">
      <w:pPr>
        <w:spacing w:beforeLines="0" w:afterLines="0" w:line="560" w:lineRule="exact"/>
        <w:ind w:firstLine="536" w:firstLineChars="200"/>
        <w:rPr>
          <w:rFonts w:hint="default" w:ascii="Times New Roman" w:hAnsi="Times New Roman" w:eastAsia="宋体" w:cs="Times New Roman"/>
          <w:color w:val="auto"/>
          <w:sz w:val="28"/>
          <w:szCs w:val="28"/>
        </w:rPr>
      </w:pPr>
      <w:r>
        <w:rPr>
          <w:rFonts w:hint="default" w:ascii="宋体" w:hAnsi="Times New Roman" w:eastAsia="宋体" w:cs="Times New Roman"/>
          <w:color w:val="auto"/>
          <w:spacing w:val="-6"/>
          <w:sz w:val="28"/>
          <w:szCs w:val="28"/>
        </w:rPr>
        <w:t>为准确判定、及时整改该加油站的重大生产安全事故隐患，有效防范遏制重特大生产安全事故，根据国家安全监管总局关于印发《化工和危险化学品生产经营单位重大生产安全事故隐患判定标准（试行）》的通知（安监总管三〔2017〕121号）的要求，对该加油站进行重大生产安全事故隐患判定如下：</w:t>
      </w:r>
    </w:p>
    <w:p w14:paraId="66846B66">
      <w:pPr>
        <w:pStyle w:val="43"/>
        <w:spacing w:before="156"/>
        <w:rPr>
          <w:rFonts w:hint="default" w:ascii="Times New Roman" w:hAnsi="Times New Roman" w:cs="Times New Roman"/>
          <w:color w:val="auto"/>
          <w:sz w:val="24"/>
          <w:szCs w:val="20"/>
        </w:rPr>
      </w:pPr>
      <w:r>
        <w:rPr>
          <w:rFonts w:hint="default" w:ascii="Times New Roman" w:hAnsi="Times New Roman" w:cs="Times New Roman"/>
          <w:color w:val="auto"/>
          <w:sz w:val="24"/>
          <w:szCs w:val="20"/>
        </w:rPr>
        <w:t>5.</w:t>
      </w:r>
      <w:r>
        <w:rPr>
          <w:rFonts w:hint="default" w:hAnsi="Times New Roman" w:cs="Times New Roman"/>
          <w:color w:val="auto"/>
          <w:sz w:val="24"/>
          <w:szCs w:val="20"/>
        </w:rPr>
        <w:t>7</w:t>
      </w:r>
      <w:r>
        <w:rPr>
          <w:rFonts w:hint="default" w:ascii="Times New Roman" w:hAnsi="Times New Roman" w:cs="Times New Roman"/>
          <w:color w:val="auto"/>
          <w:sz w:val="24"/>
          <w:szCs w:val="20"/>
        </w:rPr>
        <w:t>-1</w:t>
      </w:r>
      <w:r>
        <w:rPr>
          <w:rFonts w:hint="default" w:hAnsi="Times New Roman" w:cs="Times New Roman"/>
          <w:color w:val="auto"/>
          <w:sz w:val="24"/>
          <w:szCs w:val="20"/>
        </w:rPr>
        <w:t>重大生产安全事故隐患检查表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4786"/>
        <w:gridCol w:w="2328"/>
        <w:gridCol w:w="697"/>
      </w:tblGrid>
      <w:tr w14:paraId="0F5B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B0E98">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序号</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C37158">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检查内容</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C69F8D">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检查记录</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F72DA6">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结论</w:t>
            </w:r>
          </w:p>
        </w:tc>
      </w:tr>
      <w:tr w14:paraId="20D8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890A3B">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D80A46">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危险化学品生产、经营单位主要负责人和安全生产管理人员未依法经考核合格。</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AD9B6F">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主要负责人和安全生产管理人员依法考核合格</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7B8E56">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5113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051575">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7570E4">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特种作业人员未持证上岗。</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498F2C">
            <w:pPr>
              <w:pStyle w:val="42"/>
              <w:spacing w:beforeLines="0" w:afterLines="0" w:line="240" w:lineRule="atLeas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不涉及</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0CE3F5">
            <w:pPr>
              <w:pStyle w:val="42"/>
              <w:spacing w:beforeLines="0" w:afterLines="0" w:line="240" w:lineRule="atLeas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w:t>
            </w:r>
          </w:p>
        </w:tc>
      </w:tr>
      <w:tr w14:paraId="766A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D32F40">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26D942">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涉及“两重点一重大”的生产装置、储存设施外部安全防护距离不符合国家标准要求。</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007C08">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外部距离符合标准规范要求</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9C2A76">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2E8F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AEE08A">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21F9DA">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涉及重点监管危险化工工艺的装置未实现自动化控制，系统未实现紧急停车功能，装备的自动化控制系统、紧急停车系统未投入使用。</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77FCD2">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加油机有紧急切断功能</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11AD32">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6B44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158143">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69DF00">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构成一级、二级重大危险源的危险化学品罐区未实现紧急切断功能；涉及毒性气体、液化气体、剧毒液体的一级、二级重大危险源的危险化学品罐区未配备独立的安全仪表系统。</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2CD3EC">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不涉及重大危险源</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2EC57D">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DC1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AF1606">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84CA64">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全压力式液化烃储罐未按国家标准设置注水措施。</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8380D6">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不涉及全压力式液化烃储罐</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46446C">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D2C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3F0BF1">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D95F8A">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液化烃、液氨、液氯等易燃易爆、有毒有害液化气体的充装未使用万向管道充装系统。</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0D81BC">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不涉及液化烃、液氨、液氯等易燃易爆、有毒有害液化气体的充装</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925CE7">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75E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9F5E31">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E409FE">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光气、氯气等剧毒气体及硫化氢气体管道穿越除厂区(包括化工园区、工业园区）外的公共区域。</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D9B010">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无光气、氯气等剧毒气体及硫化氢气体管道穿越加油站</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6E05DD">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06AD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DF1736">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03DE40">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地区架空电力线路穿越生产区且不符合国家标准要求。</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7C9740">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无架空电力线路穿越加油站</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DD6E75">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2C08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A3CCBC">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66846A">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在役化工装置未经正规设计且未进行安全设计诊断。</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040C95">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不涉及在役化工装置</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DB454D">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69A7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41D86C">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8D1514">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使用淘汰落后安全技术工艺、设备目录列出的工艺、设备。</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9CEFDA">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未使用淘汰落后安全技术工艺、设备目录列出的工艺、设备。</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38363A">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146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5F429">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BB97BB">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涉及可燃和有毒有害气体泄漏的场所未按国家标准设置检测报警装置，爆炸危险场所未按国家标准安装使用防爆电气设备。</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735F4F">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爆炸危险场所按国家标准安装使用防爆电气设备。</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C536ED">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1CF6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9379D4">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654F3">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控制室或机柜间面向具有火灾、爆炸危险性装置一侧不满足国家标准关于防火防爆的要求。</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3A3E0A">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不涉及控制室。</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03D361">
            <w:pPr>
              <w:pStyle w:val="42"/>
              <w:spacing w:beforeLines="0" w:afterLines="0" w:line="240" w:lineRule="atLeas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w:t>
            </w:r>
          </w:p>
        </w:tc>
      </w:tr>
      <w:tr w14:paraId="3B6C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7A2178">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1A312F">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化工生产装置未按国家标准要求设置双重电源供电，自动化控制系统未设置不间断电源。</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216478">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不涉及化工生产装置</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C34BC2">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D32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F39FD3">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CBA03B">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安全阀、爆破片等安全附件未正常投用。</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987960">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不涉及安全阀、爆破片</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FB3195">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F5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8628BA">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1FF841">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未建立与岗位相匹配的全员安全生产责任制或者未制定实施生产安全事故隐患排查治理制度。</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037883">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建立全员安全生产责任制、制定生产安全事故隐患排查治理制度</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409248">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1BF0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87DD6">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5A85C2">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未制定操作规程和工艺控制指标。</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8F482F">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制定操作规程</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C34E4D">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7120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A47586">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2AA20B">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未按照国家标准制定动火、进入受限空间等特殊作业管理制度，或者制度未有效执行。</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BF618A">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制定动火、进入受限空间等特殊作业管理制度</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C176AC">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r w14:paraId="4CD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ABEE4F">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29EFBE">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DF05D8">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不涉及危险化学品生产工艺</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50AD02">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F93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8E2553">
            <w:pPr>
              <w:pStyle w:val="42"/>
              <w:spacing w:beforeLines="0" w:afterLines="0"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2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D759FA">
            <w:pPr>
              <w:pStyle w:val="42"/>
              <w:spacing w:beforeLines="0" w:afterLines="0" w:line="240" w:lineRule="atLeast"/>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未按国家标准分区分类储存危险化学品，超量、超品种储存危险化学品，相互禁配物质混放混存。</w:t>
            </w:r>
          </w:p>
        </w:tc>
        <w:tc>
          <w:tcPr>
            <w:tcW w:w="2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FA4301">
            <w:pPr>
              <w:pStyle w:val="42"/>
              <w:spacing w:beforeLines="0" w:afterLines="0" w:line="240" w:lineRule="atLeas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按国家标准分区分类储存汽油、柴油</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C0F4C4">
            <w:pPr>
              <w:pStyle w:val="42"/>
              <w:spacing w:beforeLines="0" w:afterLines="0" w:line="240" w:lineRule="atLeas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合格</w:t>
            </w:r>
          </w:p>
        </w:tc>
      </w:tr>
    </w:tbl>
    <w:p w14:paraId="6B57A6EF">
      <w:pPr>
        <w:spacing w:beforeLines="0" w:afterLines="0" w:line="560" w:lineRule="exact"/>
        <w:ind w:firstLine="560" w:firstLineChars="20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由上表可知，该加油站不存在重大生产安全事故隐患。</w:t>
      </w:r>
    </w:p>
    <w:p w14:paraId="3AE7BDAC">
      <w:pPr>
        <w:pStyle w:val="4"/>
        <w:keepNext w:val="0"/>
        <w:keepLines w:val="0"/>
        <w:spacing w:before="156" w:after="156" w:line="560" w:lineRule="exact"/>
        <w:rPr>
          <w:rFonts w:hint="default" w:ascii="Times New Roman" w:hAnsi="Times New Roman" w:eastAsia="宋体" w:cs="Times New Roman"/>
          <w:color w:val="auto"/>
          <w:sz w:val="28"/>
          <w:szCs w:val="28"/>
        </w:rPr>
      </w:pPr>
      <w:bookmarkStart w:id="277" w:name="_Toc21002"/>
      <w:bookmarkStart w:id="278" w:name="_Toc260"/>
      <w:bookmarkStart w:id="279" w:name="_Toc3227"/>
      <w:bookmarkStart w:id="280" w:name="_Toc11644"/>
      <w:bookmarkStart w:id="281" w:name="_Toc5831"/>
      <w:bookmarkStart w:id="282" w:name="_Toc15365"/>
      <w:r>
        <w:rPr>
          <w:rFonts w:hint="default" w:ascii="Times New Roman" w:hAnsi="Times New Roman" w:eastAsia="宋体" w:cs="Times New Roman"/>
          <w:color w:val="auto"/>
          <w:sz w:val="28"/>
          <w:szCs w:val="28"/>
        </w:rPr>
        <w:t>5.</w:t>
      </w:r>
      <w:r>
        <w:rPr>
          <w:rFonts w:hint="default" w:ascii="宋体" w:hAnsi="Times New Roman" w:eastAsia="宋体" w:cs="Times New Roman"/>
          <w:color w:val="auto"/>
          <w:sz w:val="28"/>
          <w:szCs w:val="28"/>
        </w:rPr>
        <w:t>7.2重点监管的危险化学品安全检查表</w:t>
      </w:r>
      <w:bookmarkEnd w:id="277"/>
      <w:bookmarkEnd w:id="278"/>
      <w:bookmarkEnd w:id="279"/>
      <w:bookmarkEnd w:id="280"/>
      <w:bookmarkEnd w:id="281"/>
    </w:p>
    <w:p w14:paraId="0E14CF94">
      <w:pPr>
        <w:spacing w:beforeLines="0" w:afterLines="0" w:line="360" w:lineRule="auto"/>
        <w:ind w:firstLine="560" w:firstLineChars="200"/>
        <w:rPr>
          <w:rFonts w:hint="default" w:ascii="Times New Roman" w:hAnsi="Times New Roman" w:eastAsia="宋体"/>
          <w:color w:val="auto"/>
          <w:sz w:val="28"/>
          <w:szCs w:val="24"/>
        </w:rPr>
      </w:pPr>
      <w:r>
        <w:rPr>
          <w:rFonts w:hint="default" w:ascii="宋体" w:eastAsia="宋体"/>
          <w:color w:val="auto"/>
          <w:sz w:val="28"/>
          <w:szCs w:val="24"/>
        </w:rPr>
        <w:t>依据《国家安全监管总局办公厅关于印发首批重点监管的危险化学品安全措施和应急处置原则的通知》（安监总厅管三〔2011〕142号）、《第二批重点监管的危险化学品安全措施和应急处置原则》，对重点监管的危险化学品汽油的安全措施和应急处置检查如下表：</w:t>
      </w:r>
    </w:p>
    <w:p w14:paraId="2A04DF77">
      <w:pPr>
        <w:pStyle w:val="43"/>
        <w:spacing w:before="156"/>
        <w:rPr>
          <w:rFonts w:hint="default" w:hAnsi="Times New Roman" w:cs="Times New Roman"/>
          <w:color w:val="auto"/>
          <w:sz w:val="24"/>
          <w:szCs w:val="20"/>
        </w:rPr>
      </w:pPr>
      <w:r>
        <w:rPr>
          <w:rFonts w:hint="default" w:ascii="Times New Roman" w:hAnsi="Times New Roman" w:cs="Times New Roman"/>
          <w:color w:val="auto"/>
          <w:sz w:val="24"/>
          <w:szCs w:val="20"/>
        </w:rPr>
        <w:t>5.</w:t>
      </w:r>
      <w:r>
        <w:rPr>
          <w:rFonts w:hint="default" w:hAnsi="Times New Roman" w:cs="Times New Roman"/>
          <w:color w:val="auto"/>
          <w:sz w:val="24"/>
          <w:szCs w:val="20"/>
        </w:rPr>
        <w:t>7</w:t>
      </w:r>
      <w:r>
        <w:rPr>
          <w:rFonts w:hint="default" w:ascii="Times New Roman" w:hAnsi="Times New Roman" w:cs="Times New Roman"/>
          <w:color w:val="auto"/>
          <w:sz w:val="24"/>
          <w:szCs w:val="20"/>
        </w:rPr>
        <w:t>-</w:t>
      </w:r>
      <w:r>
        <w:rPr>
          <w:rFonts w:hint="default" w:hAnsi="Times New Roman" w:cs="Times New Roman"/>
          <w:color w:val="auto"/>
          <w:sz w:val="24"/>
          <w:szCs w:val="20"/>
        </w:rPr>
        <w:t>2</w:t>
      </w:r>
      <w:r>
        <w:rPr>
          <w:rFonts w:hint="default" w:ascii="Times New Roman" w:hAnsi="Times New Roman" w:cs="Times New Roman"/>
          <w:color w:val="auto"/>
          <w:sz w:val="24"/>
          <w:szCs w:val="20"/>
        </w:rPr>
        <w:t xml:space="preserve"> </w:t>
      </w:r>
      <w:r>
        <w:rPr>
          <w:rFonts w:hint="default" w:hAnsi="Times New Roman" w:cs="Times New Roman"/>
          <w:color w:val="auto"/>
          <w:sz w:val="24"/>
          <w:szCs w:val="20"/>
        </w:rPr>
        <w:t>重点监管的危险化学品安全检查表</w:t>
      </w:r>
    </w:p>
    <w:tbl>
      <w:tblPr>
        <w:tblStyle w:val="20"/>
        <w:tblW w:w="50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4788"/>
        <w:gridCol w:w="2172"/>
        <w:gridCol w:w="857"/>
      </w:tblGrid>
      <w:tr w14:paraId="2D373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FD0F1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名称</w:t>
            </w: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4C659B">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检查内容</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65F7E2">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检查结果</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C9333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符合性</w:t>
            </w:r>
          </w:p>
        </w:tc>
      </w:tr>
      <w:tr w14:paraId="7B512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8F51F1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汽油</w:t>
            </w: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894C88">
            <w:pPr>
              <w:pStyle w:val="42"/>
              <w:spacing w:beforeLines="0" w:afterLines="0"/>
              <w:jc w:val="left"/>
              <w:rPr>
                <w:rFonts w:hint="default" w:ascii="Times New Roman" w:hAnsi="Times New Roman" w:eastAsia="宋体"/>
                <w:color w:val="auto"/>
                <w:sz w:val="21"/>
                <w:szCs w:val="24"/>
              </w:rPr>
            </w:pPr>
            <w:r>
              <w:rPr>
                <w:rFonts w:hint="default" w:ascii="宋体" w:eastAsia="宋体"/>
                <w:color w:val="auto"/>
                <w:sz w:val="21"/>
                <w:szCs w:val="24"/>
              </w:rPr>
              <w:t>一般要求</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70E2BD">
            <w:pPr>
              <w:pStyle w:val="42"/>
              <w:spacing w:beforeLines="0" w:afterLines="0"/>
              <w:rPr>
                <w:rFonts w:hint="default" w:ascii="Times New Roman" w:hAnsi="Times New Roman" w:eastAsia="宋体" w:cs="Times New Roman"/>
                <w:color w:val="auto"/>
                <w:sz w:val="21"/>
                <w:szCs w:val="21"/>
              </w:rPr>
            </w:pP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EDA127">
            <w:pPr>
              <w:pStyle w:val="42"/>
              <w:spacing w:beforeLines="0" w:afterLines="0"/>
              <w:rPr>
                <w:rFonts w:hint="default" w:ascii="宋体" w:hAnsi="Times New Roman" w:eastAsia="宋体" w:cs="Times New Roman"/>
                <w:color w:val="auto"/>
                <w:sz w:val="21"/>
                <w:szCs w:val="21"/>
              </w:rPr>
            </w:pPr>
          </w:p>
        </w:tc>
      </w:tr>
      <w:tr w14:paraId="6353D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A7AF31">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674BC3">
            <w:pPr>
              <w:pStyle w:val="42"/>
              <w:spacing w:beforeLines="0" w:afterLines="0"/>
              <w:jc w:val="left"/>
              <w:rPr>
                <w:rFonts w:hint="default"/>
                <w:color w:val="auto"/>
                <w:sz w:val="21"/>
                <w:szCs w:val="24"/>
              </w:rPr>
            </w:pPr>
            <w:r>
              <w:rPr>
                <w:rFonts w:hint="default" w:ascii="宋体" w:eastAsia="宋体"/>
                <w:color w:val="auto"/>
                <w:sz w:val="21"/>
                <w:szCs w:val="24"/>
              </w:rPr>
              <w:t>操作人员必须经过专门培训，严格遵守操作规程，熟练掌握操作技能，具备应急处置知识。</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2EADC9">
            <w:pPr>
              <w:pStyle w:val="42"/>
              <w:spacing w:beforeLines="0" w:afterLines="0"/>
              <w:rPr>
                <w:rFonts w:hint="default" w:ascii="Times New Roman" w:hAnsi="Times New Roman" w:eastAsia="宋体" w:cs="Times New Roman"/>
                <w:color w:val="auto"/>
                <w:sz w:val="21"/>
                <w:szCs w:val="21"/>
              </w:rPr>
            </w:pPr>
            <w:r>
              <w:rPr>
                <w:rFonts w:hint="default" w:ascii="宋体" w:eastAsia="宋体"/>
                <w:color w:val="auto"/>
                <w:sz w:val="21"/>
                <w:szCs w:val="24"/>
              </w:rPr>
              <w:t>操作人员经过专门培训</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5A4DC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43B5B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7B0D9B8">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52CF18">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密闭操作，防止泄漏，工作场所全面通风。远离火种、热源，工作场所严禁吸烟。配备易燃气体泄漏监测报警仪，使用防爆型通风系统和设备，配备两套以上重型防护服。操作人员穿防静电工作服，戴耐油橡胶手套。</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EDDF16">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密闭操作，穿防静电工作服，戴耐油橡胶手套等。</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33464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450EF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A507A56">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80A19C">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储罐等容器和设备应设置液位计、温度计，并应装有带液位、温度远传记录和报警功能的安全装置。</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255753">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储罐装有带液位远传记录的安全装置。</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E4850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545B7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5DF7E26">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8F3AE4">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避免与氧化剂接触。</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28882E">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不涉及氧化剂。</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67E2E4">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w:t>
            </w:r>
          </w:p>
        </w:tc>
      </w:tr>
      <w:tr w14:paraId="68A64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9F287E4">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47ECE4">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生产、储存区域应设置安全警示标志。灌装时应控制流速，且有接地装置，防止静电积聚。搬运时要轻装轻卸，防止包装及容器损坏。配备相应品种和数量的消防器材及泄漏应急处理设备。</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647FAA">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生产、储存区域设有安全警示标志。</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B7311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56847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61445F">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CA5C07">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操作安全</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E69A73">
            <w:pPr>
              <w:pStyle w:val="42"/>
              <w:spacing w:beforeLines="0" w:afterLines="0"/>
              <w:jc w:val="left"/>
              <w:rPr>
                <w:rFonts w:hint="default" w:ascii="宋体" w:hAnsi="Times New Roman" w:eastAsia="宋体" w:cs="Times New Roman"/>
                <w:color w:val="auto"/>
                <w:sz w:val="21"/>
                <w:szCs w:val="21"/>
              </w:rPr>
            </w:pP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DA3F38">
            <w:pPr>
              <w:pStyle w:val="42"/>
              <w:spacing w:beforeLines="0" w:afterLines="0"/>
              <w:rPr>
                <w:rFonts w:hint="default" w:ascii="宋体" w:hAnsi="Times New Roman" w:eastAsia="宋体" w:cs="Times New Roman"/>
                <w:color w:val="auto"/>
                <w:sz w:val="21"/>
                <w:szCs w:val="21"/>
              </w:rPr>
            </w:pPr>
          </w:p>
        </w:tc>
      </w:tr>
      <w:tr w14:paraId="37CD2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7C9AB2D">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0D31D6">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（1）油罐及贮存桶装汽油附近要严禁烟火。禁止将汽油与其他易燃物放在一起。</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629CF9">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油罐附近严禁烟火。未将汽油与其他易燃物放在一起。</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140CF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084A7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00FB485">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283A40">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9C9539">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加油操作符合相关规定。</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59A9F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3A6AF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0E7FFAA">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902A5C">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（3）当进行灌装汽油时，邻近的汽车、拖拉机的排气管要戴上防火帽后才能发动，存汽油地点附近严禁检修车辆。</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934F62">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存汽油地点附近严禁检修车辆。</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88243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48704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D06C745">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379842">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（4）汽油油罐和贮存汽油区的上空，不应有电线通过。油罐、库房与电线的距离要为电杆长度的1.5倍以上。</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6C8940">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油罐区和作业区的上空，没有电线通过。</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21FB9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300CC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54B0FE">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CAC3C3">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（5）注意仓库及操作场所的通风，使油蒸气容易逸散。</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531648">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操作场所通风良好。</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19022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0005F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8A7DFF">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DC43E7">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储存安全</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1AE651">
            <w:pPr>
              <w:pStyle w:val="42"/>
              <w:spacing w:beforeLines="0" w:afterLines="0"/>
              <w:jc w:val="left"/>
              <w:rPr>
                <w:rFonts w:hint="default" w:ascii="宋体" w:hAnsi="Times New Roman" w:eastAsia="宋体" w:cs="Times New Roman"/>
                <w:color w:val="auto"/>
                <w:sz w:val="21"/>
                <w:szCs w:val="21"/>
              </w:rPr>
            </w:pP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97DE84">
            <w:pPr>
              <w:pStyle w:val="42"/>
              <w:spacing w:beforeLines="0" w:afterLines="0"/>
              <w:rPr>
                <w:rFonts w:hint="default" w:ascii="宋体" w:hAnsi="Times New Roman" w:eastAsia="宋体" w:cs="Times New Roman"/>
                <w:color w:val="auto"/>
                <w:sz w:val="21"/>
                <w:szCs w:val="21"/>
              </w:rPr>
            </w:pPr>
          </w:p>
        </w:tc>
      </w:tr>
      <w:tr w14:paraId="3FE48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CDFF567">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B55A09">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（1）储存于阴凉、通风的库房。远离火种、热源。库房温度不宜超过30</w:t>
            </w:r>
            <w:r>
              <w:rPr>
                <w:rFonts w:hint="default" w:ascii="Times New Roman" w:hAnsi="Times New Roman" w:eastAsia="宋体" w:cs="Times New Roman"/>
                <w:color w:val="auto"/>
                <w:sz w:val="21"/>
                <w:szCs w:val="21"/>
              </w:rPr>
              <w:t>℃</w:t>
            </w:r>
            <w:r>
              <w:rPr>
                <w:rFonts w:hint="default" w:ascii="宋体" w:hAnsi="Times New Roman" w:eastAsia="宋体" w:cs="Times New Roman"/>
                <w:color w:val="auto"/>
                <w:sz w:val="21"/>
                <w:szCs w:val="21"/>
              </w:rPr>
              <w:t>。炎热季节应采取喷淋、通风等降温措施。</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1D4CE">
            <w:pPr>
              <w:pStyle w:val="42"/>
              <w:spacing w:beforeLines="0" w:afterLines="0"/>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储存在</w:t>
            </w:r>
            <w:r>
              <w:rPr>
                <w:rFonts w:hint="eastAsia" w:ascii="宋体" w:cs="Times New Roman"/>
                <w:color w:val="auto"/>
                <w:sz w:val="21"/>
                <w:szCs w:val="21"/>
                <w:lang w:val="en-US" w:eastAsia="zh-CN"/>
              </w:rPr>
              <w:t>单层</w:t>
            </w:r>
            <w:r>
              <w:rPr>
                <w:rFonts w:hint="default" w:ascii="宋体" w:hAnsi="Times New Roman" w:eastAsia="宋体" w:cs="Times New Roman"/>
                <w:color w:val="auto"/>
                <w:sz w:val="21"/>
                <w:szCs w:val="21"/>
              </w:rPr>
              <w:t>埋地油罐</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06412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2F797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B2F885">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D0AF40">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（2）应与氧化剂分开存放，切忌混储。用储罐、铁桶等容器盛装，不要用塑料桶来存放汽油。盛装时，切不可充满，要留出必要的安全空间。</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1F6E7B">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不涉及氧化剂。</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8C6D2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w:t>
            </w:r>
          </w:p>
        </w:tc>
      </w:tr>
      <w:tr w14:paraId="4AB0D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79CFC9">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3DA154">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（3）采用防爆型照明、通风设施。禁止使用易产生火花的机械设备和工具。储存区应备有泄漏应急处理设备和合适的收容材料。罐储时要有防火防爆技术措施。对于1000m</w:t>
            </w:r>
            <w:r>
              <w:rPr>
                <w:rFonts w:hint="default" w:ascii="Times New Roman" w:hAnsi="Times New Roman" w:eastAsia="宋体" w:cs="Times New Roman"/>
                <w:color w:val="auto"/>
                <w:sz w:val="21"/>
                <w:szCs w:val="21"/>
                <w:vertAlign w:val="superscript"/>
              </w:rPr>
              <w:t>3</w:t>
            </w:r>
            <w:r>
              <w:rPr>
                <w:rFonts w:hint="default" w:ascii="宋体" w:hAnsi="Times New Roman" w:eastAsia="宋体" w:cs="Times New Roman"/>
                <w:color w:val="auto"/>
                <w:sz w:val="21"/>
                <w:szCs w:val="21"/>
              </w:rPr>
              <w:t>及以上的储罐顶部应有泡沫灭火设施等。</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ADE7D5">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爆炸区域内采用防爆设备。</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9ED08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38569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CB23F11">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DD2177">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运输安全</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5ACA20">
            <w:pPr>
              <w:pStyle w:val="42"/>
              <w:spacing w:beforeLines="0" w:afterLines="0"/>
              <w:jc w:val="left"/>
              <w:rPr>
                <w:rFonts w:hint="default" w:ascii="宋体" w:hAnsi="Times New Roman" w:eastAsia="宋体" w:cs="Times New Roman"/>
                <w:color w:val="auto"/>
                <w:sz w:val="21"/>
                <w:szCs w:val="21"/>
              </w:rPr>
            </w:pP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DF81FC">
            <w:pPr>
              <w:pStyle w:val="42"/>
              <w:spacing w:beforeLines="0" w:afterLines="0"/>
              <w:rPr>
                <w:rFonts w:hint="default" w:ascii="宋体" w:hAnsi="Times New Roman" w:eastAsia="宋体" w:cs="Times New Roman"/>
                <w:color w:val="auto"/>
                <w:sz w:val="21"/>
                <w:szCs w:val="21"/>
              </w:rPr>
            </w:pPr>
          </w:p>
        </w:tc>
      </w:tr>
      <w:tr w14:paraId="5E709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1401FFB">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2FF220">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（1）运输车辆应有危险货物运输标志、安装具有行驶记录功能的卫星定位装置。未经公安机关批准，运输车辆不得进入危险化学品运输车辆限制通行的区域。</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E1AC65">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运输车辆有危险货物运输标志。</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5B2F1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78083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79814B">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2E99AF">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2）汽油装于专用的槽车(船)内运输，槽车(船)应定期清理；用其他包装容器运输时，容器须用盖密封。运送汽油的油罐汽车，必须有导静电拖线。对有每分钟0.5m</w:t>
            </w:r>
            <w:r>
              <w:rPr>
                <w:rFonts w:hint="default" w:ascii="Times New Roman" w:hAnsi="Times New Roman" w:eastAsia="宋体" w:cs="Times New Roman"/>
                <w:color w:val="auto"/>
                <w:sz w:val="21"/>
                <w:szCs w:val="21"/>
              </w:rPr>
              <w:t>3</w:t>
            </w:r>
            <w:r>
              <w:rPr>
                <w:rFonts w:hint="default" w:ascii="宋体" w:hAnsi="Times New Roman" w:eastAsia="宋体" w:cs="Times New Roman"/>
                <w:color w:val="auto"/>
                <w:sz w:val="21"/>
                <w:szCs w:val="21"/>
              </w:rPr>
              <w:t>以上的快速装卸油设备的油罐汽车，在装卸油时，除了保证铁链接地外，更要将车上油罐的接地线插入地下并不得浅于100mm。运输时运输车辆应配备相应品种和数量的消防器材。装运该物品的车辆排气管必须配备阻火装置，禁止使用易产生火花的机械设备和工具装卸。汽车槽罐内可设孔隔板以减少震荡产生静电。</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C38511">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运输时运输车辆配备相应品种和数量的消防器材。</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329EA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75ECD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13C4BC">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F81D04">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（3）严禁与氧化剂等混装混运。夏季最好早晚运输，运输途中应防暴晒、防雨淋、防高温。中途停留时应远离火种、热源、高温区及人口密集地段。</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A275F3">
            <w:pPr>
              <w:pStyle w:val="42"/>
              <w:spacing w:beforeLines="0" w:afterLines="0"/>
              <w:jc w:val="lef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不涉及氧化剂。</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495C5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w:t>
            </w:r>
          </w:p>
        </w:tc>
      </w:tr>
      <w:tr w14:paraId="65433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7D9292A">
            <w:pPr>
              <w:pStyle w:val="42"/>
              <w:spacing w:beforeLines="0" w:afterLines="0"/>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A4FE2F">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4）输送汽油的管道不应靠近热源敷设；管道采用地上敷设时，应在人员活动较多和易遭车辆、外来物撞击的地段，采取保护措施并设置明显的警示标志；汽油管道架空敷设时，管道应敷设在非燃烧体的支架或栈桥上。在已敷设的汽油管道下面，不得修建与汽油管道无关的建筑物和堆放易燃物品；汽油管道外壁颜色、标志应执行《工业管道的基本识别色、识别符号和安全标识》（GB 7231）的规定。</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0B7C48">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输送汽油的管道未靠近热源敷设。</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DA812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66EE3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FAE6AFB">
            <w:pPr>
              <w:pStyle w:val="42"/>
              <w:spacing w:beforeLines="0" w:afterLines="0"/>
              <w:jc w:val="left"/>
              <w:rPr>
                <w:rFonts w:hint="default" w:ascii="宋体" w:hAnsi="Times New Roman" w:eastAsia="宋体" w:cs="Times New Roman"/>
                <w:color w:val="auto"/>
                <w:sz w:val="21"/>
                <w:szCs w:val="21"/>
              </w:rPr>
            </w:pPr>
          </w:p>
        </w:tc>
        <w:tc>
          <w:tcPr>
            <w:tcW w:w="52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73A2BD">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（5）输油管道地下铺设时，沿线应设置里程桩、转角桩、标志桩和测试桩，并设警示标志。运行应符合有关法律法规规定。</w:t>
            </w:r>
          </w:p>
        </w:tc>
        <w:tc>
          <w:tcPr>
            <w:tcW w:w="23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A80E02">
            <w:pPr>
              <w:pStyle w:val="42"/>
              <w:spacing w:beforeLines="0" w:afterLines="0"/>
              <w:jc w:val="left"/>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不涉及。</w:t>
            </w:r>
          </w:p>
        </w:tc>
        <w:tc>
          <w:tcPr>
            <w:tcW w:w="9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F5AA8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w:t>
            </w:r>
          </w:p>
        </w:tc>
      </w:tr>
    </w:tbl>
    <w:p w14:paraId="24AF9991">
      <w:pPr>
        <w:spacing w:beforeLines="0" w:afterLines="0" w:line="520" w:lineRule="exact"/>
        <w:ind w:firstLine="560" w:firstLineChars="200"/>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由上表可知，该加油站重点监管的危险化学品汽油的安全措施和应急处置符合要求。</w:t>
      </w:r>
    </w:p>
    <w:p w14:paraId="31A6A8F6">
      <w:pPr>
        <w:pStyle w:val="4"/>
        <w:keepNext w:val="0"/>
        <w:keepLines w:val="0"/>
        <w:spacing w:before="156" w:after="156" w:line="560" w:lineRule="exact"/>
        <w:rPr>
          <w:rFonts w:hint="default" w:ascii="Times New Roman" w:hAnsi="Times New Roman" w:eastAsia="宋体" w:cs="Times New Roman"/>
          <w:color w:val="auto"/>
          <w:sz w:val="28"/>
          <w:szCs w:val="28"/>
        </w:rPr>
      </w:pPr>
      <w:bookmarkStart w:id="283" w:name="_Toc3705"/>
      <w:r>
        <w:rPr>
          <w:rFonts w:hint="default" w:ascii="Times New Roman" w:hAnsi="Times New Roman" w:eastAsia="宋体" w:cs="Times New Roman"/>
          <w:color w:val="auto"/>
          <w:sz w:val="28"/>
          <w:szCs w:val="28"/>
        </w:rPr>
        <w:t>5.</w:t>
      </w:r>
      <w:r>
        <w:rPr>
          <w:rFonts w:hint="default" w:ascii="宋体" w:hAnsi="Times New Roman" w:eastAsia="宋体" w:cs="Times New Roman"/>
          <w:color w:val="auto"/>
          <w:sz w:val="28"/>
          <w:szCs w:val="28"/>
        </w:rPr>
        <w:t>7.3</w:t>
      </w:r>
      <w:r>
        <w:rPr>
          <w:rFonts w:hint="default" w:ascii="Times New Roman" w:hAnsi="Times New Roman" w:eastAsia="宋体" w:cs="Times New Roman"/>
          <w:color w:val="auto"/>
          <w:sz w:val="28"/>
          <w:szCs w:val="28"/>
        </w:rPr>
        <w:t xml:space="preserve"> </w:t>
      </w:r>
      <w:r>
        <w:rPr>
          <w:rFonts w:hint="default" w:ascii="宋体" w:hAnsi="Times New Roman" w:eastAsia="宋体" w:cs="Times New Roman"/>
          <w:color w:val="auto"/>
          <w:sz w:val="28"/>
          <w:szCs w:val="28"/>
        </w:rPr>
        <w:t>加油站安全检查表</w:t>
      </w:r>
      <w:bookmarkEnd w:id="282"/>
      <w:bookmarkEnd w:id="283"/>
    </w:p>
    <w:p w14:paraId="7F2993EC">
      <w:pPr>
        <w:spacing w:beforeLines="0" w:afterLines="0" w:line="560" w:lineRule="exact"/>
        <w:ind w:firstLine="560" w:firstLineChars="200"/>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8"/>
          <w:szCs w:val="24"/>
        </w:rPr>
        <w:t>根据江西省应急管理厅办公室关于印发《加油站安全检查表》的通知（赣应急办字〔2023〕111号）的要求，对加油站安全检查如下表：</w:t>
      </w:r>
    </w:p>
    <w:p w14:paraId="30B0508B">
      <w:pPr>
        <w:pStyle w:val="43"/>
        <w:spacing w:before="156"/>
        <w:rPr>
          <w:rFonts w:hint="default" w:ascii="Times New Roman" w:hAnsi="Times New Roman" w:cs="Times New Roman"/>
          <w:color w:val="auto"/>
          <w:sz w:val="24"/>
          <w:szCs w:val="20"/>
        </w:rPr>
      </w:pPr>
      <w:r>
        <w:rPr>
          <w:rFonts w:hint="default" w:ascii="Times New Roman" w:hAnsi="Times New Roman" w:cs="Times New Roman"/>
          <w:color w:val="auto"/>
          <w:sz w:val="24"/>
          <w:szCs w:val="20"/>
        </w:rPr>
        <w:t>5.</w:t>
      </w:r>
      <w:r>
        <w:rPr>
          <w:rFonts w:hint="default" w:hAnsi="Times New Roman" w:cs="Times New Roman"/>
          <w:color w:val="auto"/>
          <w:sz w:val="24"/>
          <w:szCs w:val="20"/>
        </w:rPr>
        <w:t>7</w:t>
      </w:r>
      <w:r>
        <w:rPr>
          <w:rFonts w:hint="default" w:ascii="Times New Roman" w:hAnsi="Times New Roman" w:cs="Times New Roman"/>
          <w:color w:val="auto"/>
          <w:sz w:val="24"/>
          <w:szCs w:val="20"/>
        </w:rPr>
        <w:t>-</w:t>
      </w:r>
      <w:r>
        <w:rPr>
          <w:rFonts w:hint="default" w:hAnsi="Times New Roman" w:cs="Times New Roman"/>
          <w:color w:val="auto"/>
          <w:sz w:val="24"/>
          <w:szCs w:val="20"/>
        </w:rPr>
        <w:t>3</w:t>
      </w:r>
      <w:r>
        <w:rPr>
          <w:rFonts w:hint="default" w:ascii="Times New Roman" w:hAnsi="Times New Roman" w:cs="Times New Roman"/>
          <w:color w:val="auto"/>
          <w:sz w:val="24"/>
          <w:szCs w:val="20"/>
        </w:rPr>
        <w:t xml:space="preserve"> </w:t>
      </w:r>
      <w:r>
        <w:rPr>
          <w:rFonts w:hint="default" w:hAnsi="Times New Roman" w:cs="Times New Roman"/>
          <w:color w:val="auto"/>
          <w:sz w:val="24"/>
          <w:szCs w:val="20"/>
        </w:rPr>
        <w:t>加油站安全检查表</w:t>
      </w:r>
    </w:p>
    <w:tbl>
      <w:tblPr>
        <w:tblStyle w:val="20"/>
        <w:tblW w:w="50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101"/>
        <w:gridCol w:w="4287"/>
        <w:gridCol w:w="2030"/>
        <w:gridCol w:w="676"/>
      </w:tblGrid>
      <w:tr w14:paraId="54197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tcBorders>
              <w:top w:val="single" w:color="auto" w:sz="12" w:space="0"/>
              <w:left w:val="single" w:color="auto" w:sz="12" w:space="0"/>
              <w:bottom w:val="single" w:color="auto" w:sz="4" w:space="0"/>
              <w:right w:val="single" w:color="auto" w:sz="4" w:space="0"/>
              <w:tl2br w:val="nil"/>
              <w:tr2bl w:val="nil"/>
            </w:tcBorders>
            <w:noWrap w:val="0"/>
            <w:vAlign w:val="center"/>
          </w:tcPr>
          <w:p w14:paraId="725CA1A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序号</w:t>
            </w:r>
          </w:p>
        </w:tc>
        <w:tc>
          <w:tcPr>
            <w:tcW w:w="1101"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456F4C1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检查项目</w:t>
            </w:r>
          </w:p>
        </w:tc>
        <w:tc>
          <w:tcPr>
            <w:tcW w:w="4287"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1EA0B5A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检查内容</w:t>
            </w:r>
          </w:p>
        </w:tc>
        <w:tc>
          <w:tcPr>
            <w:tcW w:w="2030"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3692165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检查记录</w:t>
            </w:r>
          </w:p>
        </w:tc>
        <w:tc>
          <w:tcPr>
            <w:tcW w:w="676"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55A1C5F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结论</w:t>
            </w:r>
          </w:p>
        </w:tc>
      </w:tr>
      <w:tr w14:paraId="7CEE6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189EBC33">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C5BB13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证照文书</w:t>
            </w:r>
          </w:p>
          <w:p w14:paraId="438F2A2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2308FF">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（1）营业执照。</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D0A5E0E">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有营业执照</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D95C3E1">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0454B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D9BB098">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C3186E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8FAC8E">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（2）成品油零售经营批准证书，是否在有效期内。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0181461">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在有效期内</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24CF3E8">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57F59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040E8E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C79303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E4714A">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（3）危险化学品经营许可证，是否在有效期内。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2E90E9A">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在有效期内</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71B1DA8">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4EBCA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A593F22">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93BCF6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514597">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（4）合规的立项文件或备案证明，加油站实际建设是否与立项文件一致。</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90FB04A">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有立项文件</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94E6575">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53E7C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8DCF9E2">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DC06EC">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F27984">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（5）加油站用地证明文件、用地红线等，站址建设是否在用地红线范围内。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E00C582">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在用地红线范围内</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301CCD8">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129C3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9DDDC9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A8E7BE4">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11A7C8">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（6）新建、改建、扩建加油站是否有审查手续和批复文件。</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F091E6">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有审查手续和批复文件</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4C88488">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6D013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7E7A82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B3B5DB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70C91D">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（7）是否经过正规设计或诊断设计。</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B4BDED">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经正规设计。</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0D66B8B">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0D350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2C7389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FA585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AB32EE">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（8）设计单位是否具备相应的资质。</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555545">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设计单位有相应资质。</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7B8E32A">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6B509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95A0D1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592E7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F28B5C">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（9）是否出具合格的设计图纸，设计图纸是否与现场一致。</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258FC2">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有设计图纸。</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7B821C6">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5321C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914D19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429DE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CE6EB8">
            <w:pPr>
              <w:pStyle w:val="42"/>
              <w:spacing w:beforeLines="0" w:afterLines="0" w:line="32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（10）加油站是否经过消防验收，取得消防验收。</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DCC954">
            <w:pPr>
              <w:pStyle w:val="42"/>
              <w:spacing w:beforeLines="0" w:afterLines="0" w:line="32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已取得消防验收意见书。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C5FB8F2">
            <w:pPr>
              <w:spacing w:beforeLines="0" w:afterLines="0" w:line="320" w:lineRule="exact"/>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2744C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3283ADF9">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6AB199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安全管理机构</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3C517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（1）是否成立安全管理机构，配置安全管理人员。</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C3BC1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有安全管理人员。</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74748B8">
            <w:pPr>
              <w:spacing w:beforeLines="0" w:afterLines="0"/>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5676C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DDCEDF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47C69A7">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D97C2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（2）专职安全管理人员是否经过正式任命。</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68192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有任命文件。</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D3BB51C">
            <w:pPr>
              <w:spacing w:beforeLines="0" w:afterLines="0"/>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71610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F0CABB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B8C467A">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9D923C">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（3）主要负责人、安全生产管理人员是否取得安全资格证书，证书是否在有效期内。</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88083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主要负责人、安全管理人员已取证，证件在有效期内。</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4E4024C">
            <w:pPr>
              <w:spacing w:beforeLines="0" w:afterLines="0"/>
              <w:jc w:val="center"/>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r>
      <w:tr w14:paraId="0281D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49132595">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4FC5B8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安全生产</w:t>
            </w:r>
          </w:p>
          <w:p w14:paraId="11F4D6C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责任制</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C56293">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（1）是否建立安全生产责任制,明确规定主要负责人、安全管理人员、有关部门等的安全生产职责。</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69FCB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建立安全生产责任制，明确各人员职责。</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26DBEFC">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7866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358A597">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9BEA1C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B3DF27">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（2）是否签订安全责任书。</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D93EB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签订责任书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B76B441">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2456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4F0B93B0">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4284DE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安全规章制度和操作规程</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AAFBD9">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是否建立安全教育培训制度、消防/防火安全制度、设备管理制度、用电安全管理制度、交接班制度、巡检制度、设备维护保养制度、安全投入保障制度、安全生产奖惩制度、安全生产教育培训制度、隐患排查治理制度、安全风险管理制度、事故管理制度等。</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24F14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有教育培训、消防安全、设备管理、交接班、巡检、设备维保、安全投入保障、奖惩、隐患排查、风险管理等制度。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C5C38BB">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6E77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6B0DD6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1C92A6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45B6D6">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 xml:space="preserve">（2）是否建立制定加油、卸油、计量操作规程等。 </w:t>
            </w:r>
          </w:p>
        </w:tc>
        <w:tc>
          <w:tcPr>
            <w:tcW w:w="20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2B812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有加油、量油、卸油操作规程。</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471B09C">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43E3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12" w:space="0"/>
              <w:left w:val="single" w:color="auto" w:sz="12" w:space="0"/>
              <w:bottom w:val="single" w:color="auto" w:sz="4" w:space="0"/>
              <w:right w:val="single" w:color="auto" w:sz="4" w:space="0"/>
              <w:tl2br w:val="nil"/>
              <w:tr2bl w:val="nil"/>
            </w:tcBorders>
            <w:noWrap w:val="0"/>
            <w:vAlign w:val="center"/>
          </w:tcPr>
          <w:p w14:paraId="51F42AB7">
            <w:pPr>
              <w:pStyle w:val="42"/>
              <w:spacing w:beforeLines="0" w:afterLine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1101" w:type="dxa"/>
            <w:vMerge w:val="restart"/>
            <w:tcBorders>
              <w:top w:val="single" w:color="auto" w:sz="12" w:space="0"/>
              <w:left w:val="single" w:color="auto" w:sz="4" w:space="0"/>
              <w:bottom w:val="single" w:color="auto" w:sz="4" w:space="0"/>
              <w:right w:val="single" w:color="auto" w:sz="4" w:space="0"/>
              <w:tl2br w:val="nil"/>
              <w:tr2bl w:val="nil"/>
            </w:tcBorders>
            <w:noWrap w:val="0"/>
            <w:vAlign w:val="center"/>
          </w:tcPr>
          <w:p w14:paraId="2451611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安全教育培训</w:t>
            </w:r>
          </w:p>
        </w:tc>
        <w:tc>
          <w:tcPr>
            <w:tcW w:w="4287"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60CF641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（1）主要负责人、安全管理人员是否定期参加安全教育培训。</w:t>
            </w:r>
          </w:p>
        </w:tc>
        <w:tc>
          <w:tcPr>
            <w:tcW w:w="2030"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24E7457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有安全培训记录。</w:t>
            </w:r>
          </w:p>
        </w:tc>
        <w:tc>
          <w:tcPr>
            <w:tcW w:w="676"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0B760CD8">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107C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105F75C">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3B041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6AC0BB">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（2）加油站人员是否定期参加日常安全教育培训。</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7EE85A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定期组织人员参加教育培训。</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DD61AC6">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0080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C95EFA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7514EF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6343F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（3)新入职人员上岗前是否经过安全操作规程及应急处置等有关安全知识的培训，并建立教育培训档案。</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D19DDF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有相关规定。</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F4C7133">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4A70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2BE196C6">
            <w:pPr>
              <w:pStyle w:val="42"/>
              <w:spacing w:beforeLines="0" w:afterLine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6</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5065E3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隐患排查治理</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3A186D">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（1）是否建立定期安全检查及隐患排查治理制度。</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FDDA06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有隐患排查治理制度。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C92F56B">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4006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677D43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4235912">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4FFF5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（2）是否按照计划和要求进行相应的安全检查并保存记录。</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67D328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按要求定期进行检查</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AD1BCF6">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8DE0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CE8492C">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57D6EB5">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B45E3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（3）安全检查出的事故隐患是否闭合。</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89B675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隐患排查有闭环</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D46D57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FA18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15E57ECE">
            <w:pPr>
              <w:pStyle w:val="42"/>
              <w:spacing w:beforeLines="0" w:afterLine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7</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23CF5A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风险分级及管控措施</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26379E">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是否建立健全安全风险分级管控管理制度。</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BF4529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建立安全风险分级管控管理制度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93AABE5">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6590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A3A1D4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02B3F75">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E2B3D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是否组织全员参与风险分级辨识。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006454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全员参与</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B8781F3">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C0FF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50E6E68">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7113F4">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1A39FA">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是否制定安全风险分布图、风险识别管控及应急措施，即“一图一牌三清单”。</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C48456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现场设有</w:t>
            </w:r>
            <w:r>
              <w:rPr>
                <w:rFonts w:hint="default" w:ascii="Times New Roman" w:hAnsi="Times New Roman" w:eastAsia="宋体" w:cs="Times New Roman"/>
                <w:color w:val="auto"/>
                <w:sz w:val="21"/>
                <w:szCs w:val="21"/>
              </w:rPr>
              <w:t>“</w:t>
            </w:r>
            <w:r>
              <w:rPr>
                <w:rFonts w:hint="default" w:ascii="宋体" w:hAnsi="Times New Roman" w:eastAsia="宋体" w:cs="Times New Roman"/>
                <w:color w:val="auto"/>
                <w:sz w:val="21"/>
                <w:szCs w:val="21"/>
              </w:rPr>
              <w:t>一图一牌三清单”</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EAE51DD">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3ED9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29500C24">
            <w:pPr>
              <w:pStyle w:val="42"/>
              <w:spacing w:beforeLines="0" w:afterLine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8</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CA336C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应急管理</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ABEA0D">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（1)是否制定加油站事故应急救援预案，应急预案是否按要求进行备案。</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7ED6D7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有应急预案，预案已备案</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D30DDA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6F49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3D83FB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C9B9C1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AB302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（2）是否组织应急演练，并保存演练记录材料。</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49DEEC6">
            <w:pPr>
              <w:pStyle w:val="42"/>
              <w:spacing w:beforeLines="0" w:afterLines="0"/>
              <w:rPr>
                <w:rFonts w:hint="default" w:ascii="Times New Roman" w:hAnsi="Times New Roman" w:eastAsia="宋体" w:cs="Times New Roman"/>
                <w:color w:val="auto"/>
                <w:sz w:val="21"/>
                <w:szCs w:val="21"/>
              </w:rPr>
            </w:pPr>
            <w:r>
              <w:rPr>
                <w:rFonts w:hint="eastAsia" w:ascii="宋体" w:cs="Times New Roman"/>
                <w:color w:val="auto"/>
                <w:sz w:val="21"/>
                <w:szCs w:val="21"/>
                <w:lang w:val="en-US" w:eastAsia="zh-CN"/>
              </w:rPr>
              <w:t>无</w:t>
            </w:r>
            <w:r>
              <w:rPr>
                <w:rFonts w:hint="default" w:ascii="宋体" w:hAnsi="Times New Roman" w:eastAsia="宋体" w:cs="Times New Roman"/>
                <w:color w:val="auto"/>
                <w:sz w:val="21"/>
                <w:szCs w:val="21"/>
              </w:rPr>
              <w:t>应急演练记录</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FB44E16">
            <w:pPr>
              <w:spacing w:beforeLines="0" w:afterLines="0"/>
              <w:jc w:val="center"/>
              <w:rPr>
                <w:rFonts w:hint="default" w:ascii="Times New Roman" w:hAnsi="Times New Roman" w:eastAsia="宋体" w:cs="Times New Roman"/>
                <w:color w:val="auto"/>
                <w:sz w:val="28"/>
                <w:szCs w:val="24"/>
              </w:rPr>
            </w:pPr>
            <w:r>
              <w:rPr>
                <w:rFonts w:hint="eastAsia" w:ascii="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540AD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151656A2">
            <w:pPr>
              <w:pStyle w:val="42"/>
              <w:spacing w:beforeLines="0" w:afterLine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9</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5F891B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检维修作业、危险作业</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BFAE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（1）是否制定检维修管理制度。</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78CC14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有检维修制度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37481A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3EFF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7F6108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95B867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D2983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（2)是否制定动火作业、受限空间作业等危险作业管理制度。</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E562F2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有动火、受限空间作业等危险作业管理制度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812F8A4">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E0A7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34838D9">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89831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A4A8C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（3）危险作业是否按要求履行审批手续，危险作业是否按要求执行作业票管理。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1F20CC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有相关规定</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DFAFDFF">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1628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8CEB01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D6CC39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B60A8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（4）危险作业现场管理是否按要求执行。</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802737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按要求执行</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20777EB">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CA0F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606" w:type="dxa"/>
            <w:gridSpan w:val="5"/>
            <w:tcBorders>
              <w:top w:val="single" w:color="auto" w:sz="4" w:space="0"/>
              <w:left w:val="single" w:color="auto" w:sz="12" w:space="0"/>
              <w:bottom w:val="single" w:color="auto" w:sz="4" w:space="0"/>
              <w:right w:val="single" w:color="auto" w:sz="12" w:space="0"/>
              <w:tl2br w:val="nil"/>
              <w:tr2bl w:val="nil"/>
            </w:tcBorders>
            <w:shd w:val="clear" w:color="auto" w:fill="C0C0C0"/>
            <w:noWrap w:val="0"/>
            <w:vAlign w:val="center"/>
          </w:tcPr>
          <w:p w14:paraId="1AB558A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现 场 安 全 检 查 内 容</w:t>
            </w:r>
          </w:p>
        </w:tc>
      </w:tr>
      <w:tr w14:paraId="34978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409C8C7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序号</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0FBAB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检查项目</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0D563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检查内容</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C48D96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主要问题</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DD326D8">
            <w:pPr>
              <w:pStyle w:val="42"/>
              <w:spacing w:beforeLines="0" w:afterLines="0"/>
              <w:rPr>
                <w:rFonts w:hint="default" w:ascii="Times New Roman" w:hAnsi="Times New Roman" w:eastAsia="宋体" w:cs="Times New Roman"/>
                <w:color w:val="auto"/>
                <w:sz w:val="21"/>
                <w:szCs w:val="21"/>
              </w:rPr>
            </w:pPr>
          </w:p>
        </w:tc>
      </w:tr>
      <w:tr w14:paraId="4B931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4466BDAA">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BE3E6B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加油加气站选址与总平面布置</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E1D9E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（1）站址选择应符合有关规划、环境保护和防火安全的要求，并应选在交通便利、用户使用方便的地点。</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F3C5B0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符合规划、环保、防火安全要求，交通便利。</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063868C">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E03F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647C582">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FACA4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0EE16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（2）在城市建成区不应建一级加油站。</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493A1F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未在城市建成区</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63D566E">
            <w:pPr>
              <w:spacing w:beforeLines="0" w:afterLines="0"/>
              <w:jc w:val="center"/>
              <w:rPr>
                <w:rFonts w:hint="default" w:ascii="Times New Roman" w:hAnsi="Times New Roman" w:eastAsia="宋体" w:cs="Times New Roman"/>
                <w:color w:val="auto"/>
                <w:sz w:val="28"/>
                <w:szCs w:val="24"/>
                <w:highlight w:val="yellow"/>
              </w:rPr>
            </w:pPr>
            <w:r>
              <w:rPr>
                <w:rFonts w:hint="default" w:ascii="宋体" w:hAnsi="Times New Roman" w:eastAsia="宋体" w:cs="Times New Roman"/>
                <w:color w:val="auto"/>
                <w:sz w:val="21"/>
                <w:szCs w:val="21"/>
              </w:rPr>
              <w:t>符合</w:t>
            </w:r>
          </w:p>
        </w:tc>
      </w:tr>
      <w:tr w14:paraId="5B97C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006EDD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0C36E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80DF6E">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（3）城市建成区内的加油站宜靠近城市道路，但不宜选在城市干道的交叉路口附近。</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2AA6D4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不在城市干道交叉路口</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21809D8">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C960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5D154C9">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A41B7C">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DF354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（4）加油站的油罐、加油机和通气管管口与站外建、构筑物的防火距离，不应小于《汽车加油加气加氢站技术标准》表4.0.4-表4.0.8的规定。</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918F83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防火间距符合规定</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EEE81BC">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3D96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B6C880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F9DB66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91D0A9">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（5）架空电力线路是否跨越加油站的作业区。</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445550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无架空电力线路跨越加油站作业区</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6B4996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501B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957D65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054F05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AFCD6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（6）与加油站无关的可燃介质管道是否穿越加油站用地范围。</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E541D6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不涉及无关的可燃介质管道穿越加油站</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6399C8">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6454E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56B4C9D7">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4DD24FC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000000" w:sz="12" w:space="0"/>
              <w:right w:val="single" w:color="auto" w:sz="4" w:space="0"/>
              <w:tl2br w:val="nil"/>
              <w:tr2bl w:val="nil"/>
            </w:tcBorders>
            <w:noWrap w:val="0"/>
            <w:vAlign w:val="center"/>
          </w:tcPr>
          <w:p w14:paraId="69B183A1">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（7）加油站内设施、装置之间的防火距离，不应小于《汽车加油加气加氢站技术标准》表5.0.13规定。</w:t>
            </w:r>
          </w:p>
        </w:tc>
        <w:tc>
          <w:tcPr>
            <w:tcW w:w="2030"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193D2B9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防火间距符合规定</w:t>
            </w:r>
          </w:p>
        </w:tc>
        <w:tc>
          <w:tcPr>
            <w:tcW w:w="676"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10C946E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902E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000000" w:sz="12" w:space="0"/>
              <w:left w:val="single" w:color="auto" w:sz="12" w:space="0"/>
              <w:bottom w:val="single" w:color="auto" w:sz="4" w:space="0"/>
              <w:right w:val="single" w:color="auto" w:sz="4" w:space="0"/>
              <w:tl2br w:val="nil"/>
              <w:tr2bl w:val="nil"/>
            </w:tcBorders>
            <w:noWrap w:val="0"/>
            <w:vAlign w:val="center"/>
          </w:tcPr>
          <w:p w14:paraId="2757E8F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000000" w:sz="12" w:space="0"/>
              <w:left w:val="single" w:color="auto" w:sz="4" w:space="0"/>
              <w:bottom w:val="single" w:color="auto" w:sz="4" w:space="0"/>
              <w:right w:val="single" w:color="auto" w:sz="4" w:space="0"/>
              <w:tl2br w:val="nil"/>
              <w:tr2bl w:val="nil"/>
            </w:tcBorders>
            <w:noWrap w:val="0"/>
            <w:vAlign w:val="center"/>
          </w:tcPr>
          <w:p w14:paraId="4B4781C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000000" w:sz="12" w:space="0"/>
              <w:left w:val="single" w:color="auto" w:sz="4" w:space="0"/>
              <w:bottom w:val="single" w:color="auto" w:sz="4" w:space="0"/>
              <w:right w:val="single" w:color="auto" w:sz="4" w:space="0"/>
              <w:tl2br w:val="nil"/>
              <w:tr2bl w:val="nil"/>
            </w:tcBorders>
            <w:noWrap w:val="0"/>
            <w:vAlign w:val="center"/>
          </w:tcPr>
          <w:p w14:paraId="3D8A754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（8）加油工艺设施与站外建、构筑物之间，宜设置高度不低于2.2m的不燃烧实体围墙。当加油站的工艺设备与站外建、构筑物之间的距离大于《汽车加油加气加氢站技术标准》中表4.0.4</w:t>
            </w:r>
            <w:r>
              <w:rPr>
                <w:rFonts w:hint="default" w:ascii="宋体" w:hAnsi="Times New Roman" w:eastAsia="宋体" w:cs="Times New Roman"/>
                <w:color w:val="auto"/>
                <w:sz w:val="21"/>
                <w:szCs w:val="21"/>
              </w:rPr>
              <w:softHyphen/>
            </w:r>
            <w:r>
              <w:rPr>
                <w:rFonts w:hint="default" w:ascii="宋体" w:hAnsi="Times New Roman" w:eastAsia="宋体" w:cs="Times New Roman"/>
                <w:color w:val="auto"/>
                <w:sz w:val="21"/>
                <w:szCs w:val="21"/>
              </w:rPr>
              <w:t>-表4.0.8中安全间距的1.5倍时,且大于25m时，可设置非实体围墙。面入口和出口道路的一侧可设非实体围墙或不设围墙。</w:t>
            </w:r>
          </w:p>
        </w:tc>
        <w:tc>
          <w:tcPr>
            <w:tcW w:w="2030"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555945E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面向道路未设围墙</w:t>
            </w:r>
          </w:p>
        </w:tc>
        <w:tc>
          <w:tcPr>
            <w:tcW w:w="676"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7DDEC1F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9F3B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38B0B07">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4B50C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EFD77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（9）加油站现场总平面布置是否与设计总图一致</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0DED638">
            <w:pPr>
              <w:pStyle w:val="42"/>
              <w:spacing w:beforeLines="0" w:afterLines="0"/>
              <w:rPr>
                <w:rFonts w:hint="default" w:ascii="Times New Roman" w:hAnsi="Times New Roman" w:eastAsia="宋体" w:cs="Times New Roman"/>
                <w:color w:val="auto"/>
                <w:sz w:val="21"/>
                <w:szCs w:val="21"/>
              </w:rPr>
            </w:pPr>
            <w:r>
              <w:rPr>
                <w:rFonts w:hint="default" w:ascii="宋体" w:eastAsia="宋体"/>
                <w:color w:val="auto"/>
                <w:sz w:val="21"/>
                <w:szCs w:val="24"/>
              </w:rPr>
              <w:t>与现有平面图一致</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8B3DA4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D708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C1B166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3E03D4">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BCDBF2">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（10）车辆入口和出口应分开设置。</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510AF8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出入口分开设置</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205686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DED4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62F7DAC">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CDE70C2">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C580E6">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（11） 站区内停车位和道路应符合下列规定：</w:t>
            </w:r>
          </w:p>
          <w:p w14:paraId="4F3323F5">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宋体" w:hAnsi="Times New Roman" w:eastAsia="宋体" w:cs="Times New Roman"/>
                <w:color w:val="auto"/>
                <w:sz w:val="21"/>
                <w:szCs w:val="21"/>
              </w:rPr>
              <w:t>站内车道或停车位宽度应按车辆类型确定。CNG加气母站内单车道或单车停车位宽度不应小于4.5m，双车道或双车停车位宽度不应小于9m；其他类型汽车加油加气加氢站的车道或停车位，单车道或单车停车位宽度不应小于4m，双车道或双车停车位宽度不应小于6m。</w:t>
            </w:r>
          </w:p>
          <w:p w14:paraId="1DF2E0D5">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宋体" w:hAnsi="Times New Roman" w:eastAsia="宋体" w:cs="Times New Roman"/>
                <w:color w:val="auto"/>
                <w:sz w:val="21"/>
                <w:szCs w:val="21"/>
              </w:rPr>
              <w:t>站内的道路转弯半径应按行驶车型确定，且不宜小于9m。</w:t>
            </w:r>
          </w:p>
          <w:p w14:paraId="55EEBB8A">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宋体" w:hAnsi="Times New Roman" w:eastAsia="宋体" w:cs="Times New Roman"/>
                <w:color w:val="auto"/>
                <w:sz w:val="21"/>
                <w:szCs w:val="21"/>
              </w:rPr>
              <w:t>站内停车位应为平坡，道路坡度不应大于8%，且宜坡向站外。</w:t>
            </w:r>
          </w:p>
          <w:p w14:paraId="37B6650E">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宋体" w:hAnsi="Times New Roman" w:eastAsia="宋体" w:cs="Times New Roman"/>
                <w:color w:val="auto"/>
                <w:sz w:val="21"/>
                <w:szCs w:val="21"/>
              </w:rPr>
              <w:t>作业区内的停车场和道路路面不应采用沥青路面。</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192CD1A">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道路宽度不小于6m，站内道路为砼路面</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F3D5593">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588B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8270A9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F61A07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181F1E">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（12）电动汽车充电设施应布置在辅助服务区内。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AD9877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D4F2BAB">
            <w:pPr>
              <w:spacing w:beforeLines="0" w:afterLines="0"/>
              <w:jc w:val="center"/>
              <w:rPr>
                <w:rFonts w:hint="default" w:ascii="Times New Roman" w:hAnsi="Times New Roman" w:eastAsia="宋体" w:cs="Times New Roman"/>
                <w:color w:val="auto"/>
                <w:sz w:val="28"/>
                <w:szCs w:val="24"/>
              </w:rPr>
            </w:pPr>
            <w:r>
              <w:rPr>
                <w:rFonts w:hint="default" w:ascii="Times New Roman" w:hAnsi="Times New Roman" w:eastAsia="宋体" w:cs="Times New Roman"/>
                <w:color w:val="auto"/>
                <w:sz w:val="21"/>
                <w:szCs w:val="21"/>
              </w:rPr>
              <w:t>/</w:t>
            </w:r>
          </w:p>
        </w:tc>
      </w:tr>
      <w:tr w14:paraId="0FFD8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905D0D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93E6BE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298221">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（13）加油站的变配电间或室外变压器应布置在作业区之外。</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710BB5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配电间在作业区外</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3647301">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63D2C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909A547">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7E10D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5CF7D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（14）加油作业区内不得有“明火地点”或“散发火花地点"。</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F1B1D6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加油作业区无明火</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8C30AF7">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AA18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349A802">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92234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BAED6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（15）站房不应布置在爆炸危险区域。站房部分位于作业区内时，建筑面积等应符合《汽车加油加气加氢站技术标准》第14.2.10条的规定。</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9EC9228">
            <w:pPr>
              <w:pStyle w:val="42"/>
              <w:spacing w:beforeLines="0" w:afterLines="0"/>
              <w:rPr>
                <w:rFonts w:hint="default" w:ascii="宋体" w:hAnsi="Times New Roman" w:eastAsia="宋体" w:cs="Times New Roman"/>
                <w:color w:val="auto"/>
                <w:sz w:val="21"/>
                <w:szCs w:val="21"/>
              </w:rPr>
            </w:pPr>
            <w:r>
              <w:rPr>
                <w:rFonts w:hint="default" w:ascii="宋体" w:hAnsi="Times New Roman" w:eastAsia="宋体" w:cs="Times New Roman"/>
                <w:color w:val="auto"/>
                <w:sz w:val="21"/>
                <w:szCs w:val="21"/>
              </w:rPr>
              <w:t>站房不在爆炸危险区域内，建筑面积等符合《汽车加油加气加氢站技术标准》第14.2.10条的规定</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0820F1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C233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0F4A4F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1B912B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C4F05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16）当加油站内设置非油品业务建筑物或设施时，不应布置在作业区内，与站内可燃液体或可燃气体设备的防火间距应符合《汽车加油加气加氢站技术标准》第4.0.4条~第4.0.8条有关三类保护物的规定。当站内经营性餐饮、汽车服务、司机休息室等设施内设置明火设备时，应等同于“明火地点”或“散发火花地点”。</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AF458C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非油品业务建筑物和设施未布置在作业区内</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7078085">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9FA0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E80C7B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C4ECE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825E1E">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（17）汽车加油加气加氢站内的爆炸危险区域，不应超出站区围墙和可用地界线。</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C7681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未超出站区围墙和可用地界线</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F6D094D">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D4FC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84E527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16AECC">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B8F9B9">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（18）架空电力线路不应跨越加油站的加油作业区。</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E54A06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无架空电力线跨越加油站加油作业区</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AFB64B0">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0C5B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0C4D27F3">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BB01A4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建筑与</w:t>
            </w:r>
          </w:p>
          <w:p w14:paraId="7865061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设施</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EF177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（1)加油作业区内的站房及其他附属建筑物的耐火等级不应低于二级。</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FAC8D3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站房为二级耐火等级</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B95924C">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CE9A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DECB1FB">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6EB7C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2106B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（2）站内建筑防雷防静电设施是否按要求设置，是否经过定期防雷检测，并出具了检测合格报告。</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B5BA18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经过防雷检测，有检测报告，见附件。</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C4B035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CB30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5C544A3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60C828C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000000" w:sz="12" w:space="0"/>
              <w:right w:val="single" w:color="auto" w:sz="4" w:space="0"/>
              <w:tl2br w:val="nil"/>
              <w:tr2bl w:val="nil"/>
            </w:tcBorders>
            <w:noWrap w:val="0"/>
            <w:vAlign w:val="center"/>
          </w:tcPr>
          <w:p w14:paraId="285BC5C2">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（3)加油站内设置的经营性餐饮、汽车服务等非站房所属建筑物和设施不应布置在加油作业区内。</w:t>
            </w:r>
          </w:p>
        </w:tc>
        <w:tc>
          <w:tcPr>
            <w:tcW w:w="2030"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6DADD56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加油作业区内未设置餐饮、汽服等建筑和设施</w:t>
            </w:r>
          </w:p>
        </w:tc>
        <w:tc>
          <w:tcPr>
            <w:tcW w:w="676"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4FE0D368">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478A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000000" w:sz="12" w:space="0"/>
              <w:left w:val="single" w:color="auto" w:sz="12" w:space="0"/>
              <w:bottom w:val="single" w:color="auto" w:sz="4" w:space="0"/>
              <w:right w:val="single" w:color="auto" w:sz="4" w:space="0"/>
              <w:tl2br w:val="nil"/>
              <w:tr2bl w:val="nil"/>
            </w:tcBorders>
            <w:noWrap w:val="0"/>
            <w:vAlign w:val="center"/>
          </w:tcPr>
          <w:p w14:paraId="3F2CC5B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000000" w:sz="12" w:space="0"/>
              <w:left w:val="single" w:color="auto" w:sz="4" w:space="0"/>
              <w:bottom w:val="single" w:color="auto" w:sz="4" w:space="0"/>
              <w:right w:val="single" w:color="auto" w:sz="4" w:space="0"/>
              <w:tl2br w:val="nil"/>
              <w:tr2bl w:val="nil"/>
            </w:tcBorders>
            <w:noWrap w:val="0"/>
            <w:vAlign w:val="center"/>
          </w:tcPr>
          <w:p w14:paraId="6B40DC52">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000000" w:sz="12" w:space="0"/>
              <w:left w:val="single" w:color="auto" w:sz="4" w:space="0"/>
              <w:bottom w:val="single" w:color="auto" w:sz="4" w:space="0"/>
              <w:right w:val="single" w:color="auto" w:sz="4" w:space="0"/>
              <w:tl2br w:val="nil"/>
              <w:tr2bl w:val="nil"/>
            </w:tcBorders>
            <w:noWrap w:val="0"/>
            <w:vAlign w:val="center"/>
          </w:tcPr>
          <w:p w14:paraId="76D0EA21">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（4）加油站内厨房等有明火设备的房间与工艺设备之间的距离符合《汽车加油加气加氢站技术标准》表5.0.13的规定但小于或等于25m时,其朝向加油作业区的外墙应为无门窗洞口且耐火极限不低于3h的实体墙。</w:t>
            </w:r>
          </w:p>
        </w:tc>
        <w:tc>
          <w:tcPr>
            <w:tcW w:w="2030"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63909F9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无明火设施</w:t>
            </w:r>
          </w:p>
        </w:tc>
        <w:tc>
          <w:tcPr>
            <w:tcW w:w="676"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012AA57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2267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4A4401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DD2006">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5879A9">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（5）加油站内不应建地下室和半地下室。</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17BFAA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位于地上</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555CA90">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ABF9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C92CE8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1B767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7D720E">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（6）加油站作业区内不得种植油性植物。</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3A72F2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作业区无油性植物</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B34F787">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F8B2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D7DC572">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91A96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F6DD2A">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（7)加油场地宜设罩棚,罩棚应采用非燃烧材料建造,其有效高度不应小于4.5m，罩棚遮盖加油机的平面投影距离不宜小于2m。</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608734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加油站罩棚净空高度不小于4.5m，遮盖加油机平面投影距离不小于2m</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E224FD">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447A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5A39DBE6">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AF5412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加油工艺与设施</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B9926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（1）除撬装式加油装置所配置的防火防爆油罐外，加油站的汽油罐和柴油罐应埋地设置，严禁设在室内或地下室内。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7E66F1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油罐采用埋地</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BBD24D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6D24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2EEA08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88185F0">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BCEBA6">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（2）埋地油罐是否采用双层罐，埋地油罐是否为合格产品，是否有生产厂商出具的合格证书或技术说明书等</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050BBF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采用</w:t>
            </w:r>
            <w:r>
              <w:rPr>
                <w:rFonts w:hint="eastAsia" w:ascii="宋体" w:cs="Times New Roman"/>
                <w:color w:val="auto"/>
                <w:sz w:val="21"/>
                <w:szCs w:val="21"/>
                <w:lang w:val="en-US" w:eastAsia="zh-CN"/>
              </w:rPr>
              <w:t>单层</w:t>
            </w:r>
            <w:r>
              <w:rPr>
                <w:rFonts w:hint="default" w:ascii="宋体" w:hAnsi="Times New Roman" w:eastAsia="宋体" w:cs="Times New Roman"/>
                <w:color w:val="auto"/>
                <w:sz w:val="21"/>
                <w:szCs w:val="21"/>
              </w:rPr>
              <w:t>油罐，有合格证。</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E2F75D4">
            <w:pPr>
              <w:spacing w:beforeLines="0" w:afterLines="0"/>
              <w:jc w:val="center"/>
              <w:rPr>
                <w:rFonts w:hint="default" w:ascii="Times New Roman" w:hAnsi="Times New Roman" w:eastAsia="宋体" w:cs="Times New Roman"/>
                <w:color w:val="auto"/>
                <w:sz w:val="28"/>
                <w:szCs w:val="24"/>
              </w:rPr>
            </w:pPr>
            <w:r>
              <w:rPr>
                <w:rFonts w:hint="eastAsia" w:ascii="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08C38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698F8F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AC99914">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DF21B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（3）安装在罐内的静电消除物体是否有接地，接地电阻应符合《汽车加油加气加氢站技术标准》第13.2节的有关规定。</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ADA963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静电消除物体已接地</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824E973">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6100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43D514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3A1457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853CDE">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（4）双层油罐内壁与外壁之间是否有满足渗漏检测要求的贯通间隙。是否设渗漏检测装置。</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03D401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不涉及</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528882D">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C275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681E48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9480C2">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DB6936">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（5）油罐底部应配置积水排除设备。</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248A89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有积水排出设施</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0B332D1">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0CB7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3B416B3">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C5304A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8F4B3B">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（6）油罐的人孔，应设操作井.油罐操作井口应有防雨盖板;储罐人孔、量油孔、卸油快速接头、管线法兰等处应密封良好，不得造成水汽侵入。</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64AB15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有操作井</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B641AA9">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62A9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CD4BE6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F668DE">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3F43CA">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（7）加油机不得设置在室内。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19AF1F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加油机位于站房外</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543BA5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F51C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39DC8D3">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BF495B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8ED2BE">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（8）以潜油泵供油的加油机,其底部的供油管道上应设剪切阀。</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9617AC1">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供油管道上有剪切阀</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40CD420">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F669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0AB78D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734F6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231BB8">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（9）加油枪应采用自封式加油枪，汽油加油枪的流量不应大于50L/min。</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F1DA07D">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汽油加油枪流量不大于50L/min</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1CF27AE">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B375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C57FA2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40E05E7">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A8FAEF">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（10）加油软管上宜设安全拉断阀。</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9347C24">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加油软管有拉断阀</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6F642A1">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0B5B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797CF79">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CE6F5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ABAFAD">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（11）油罐车卸油须采用密闭卸油方式。各油罐应各自设置卸油管道和卸油口。各卸油口应有明显标识。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E954F68">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采用密闭卸油，卸油口设有油品标识。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0B023BF">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B30C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C1234A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BA1047">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78CED7">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（12）汽油油罐车应具有卸油油气回收系统。</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9616DAB">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有油气回收系统</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BE05F15">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456F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7C67C3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A01F8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EF5E0E">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（13）卸油接口应装快速接头及密封盖。</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748C8DF">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卸油口有快速接头及密封盖</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B1F5730">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4EF6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CA52BE8">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459391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C2ABA1">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w:t>
            </w:r>
            <w:r>
              <w:rPr>
                <w:rFonts w:hint="default" w:ascii="宋体" w:hAnsi="Times New Roman" w:eastAsia="宋体" w:cs="Times New Roman"/>
                <w:color w:val="auto"/>
                <w:sz w:val="21"/>
                <w:szCs w:val="21"/>
              </w:rPr>
              <w:t>（14）油罐卸油是否采取防满溢措施，是否设置液位超高报警、高高联锁装置。油料达到油罐容量的90%时，应能触动高液位报警装置；油料达到油罐容量的95%时，应能自动停止油料继续进罐。高液位报警装置应位于工作人员便于觉察的地点。</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3489350">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有油罐液位监测和报警装置</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DB6BB25">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0A2B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1440CC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B8D6F0C">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E52CE5">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（15）汽油罐与柴油罐的通气管，应分开设置，管口应高出地面4m及以上。</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9A529A1">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汽油罐与柴油罐的通气管分开设置，通气管管口高出地面4m</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FE86CA0">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2C78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A11FA1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AE020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B18475">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（16）通气管的公称直径不应小于50mm；通气管管口应安装阻火器。</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ADBB822">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通气管直径50mm</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D21C991">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ED90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42D975A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3E2A5744">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000000" w:sz="12" w:space="0"/>
              <w:right w:val="single" w:color="auto" w:sz="4" w:space="0"/>
              <w:tl2br w:val="nil"/>
              <w:tr2bl w:val="nil"/>
            </w:tcBorders>
            <w:noWrap w:val="0"/>
            <w:vAlign w:val="center"/>
          </w:tcPr>
          <w:p w14:paraId="76163699">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（17）加油站应采用加油油气回收系统。当加油站采用油气回收系统时，汽油罐的通气管管口除应装设阻火器外，尚应装设呼吸阀。呼吸阀的工作正压宜为2kPa～3kPa，工作负压宜为1.5kPa~2kPa。</w:t>
            </w:r>
          </w:p>
        </w:tc>
        <w:tc>
          <w:tcPr>
            <w:tcW w:w="2030"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235830D4">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通气管装设有阻火器，汽油通气管额外设置呼吸阀</w:t>
            </w:r>
          </w:p>
        </w:tc>
        <w:tc>
          <w:tcPr>
            <w:tcW w:w="676"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129C8AF3">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2124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000000" w:sz="12" w:space="0"/>
              <w:left w:val="single" w:color="auto" w:sz="12" w:space="0"/>
              <w:bottom w:val="single" w:color="auto" w:sz="4" w:space="0"/>
              <w:right w:val="single" w:color="auto" w:sz="4" w:space="0"/>
              <w:tl2br w:val="nil"/>
              <w:tr2bl w:val="nil"/>
            </w:tcBorders>
            <w:noWrap w:val="0"/>
            <w:vAlign w:val="center"/>
          </w:tcPr>
          <w:p w14:paraId="38125F3C">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000000" w:sz="12" w:space="0"/>
              <w:left w:val="single" w:color="auto" w:sz="4" w:space="0"/>
              <w:bottom w:val="single" w:color="auto" w:sz="4" w:space="0"/>
              <w:right w:val="single" w:color="auto" w:sz="4" w:space="0"/>
              <w:tl2br w:val="nil"/>
              <w:tr2bl w:val="nil"/>
            </w:tcBorders>
            <w:noWrap w:val="0"/>
            <w:vAlign w:val="center"/>
          </w:tcPr>
          <w:p w14:paraId="61A25865">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000000" w:sz="12" w:space="0"/>
              <w:left w:val="single" w:color="auto" w:sz="4" w:space="0"/>
              <w:bottom w:val="single" w:color="auto" w:sz="4" w:space="0"/>
              <w:right w:val="single" w:color="auto" w:sz="4" w:space="0"/>
              <w:tl2br w:val="nil"/>
              <w:tr2bl w:val="nil"/>
            </w:tcBorders>
            <w:noWrap w:val="0"/>
            <w:vAlign w:val="center"/>
          </w:tcPr>
          <w:p w14:paraId="589621DC">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（18）加油站内的工艺管道除必须露出</w:t>
            </w:r>
            <w:r>
              <w:rPr>
                <w:rFonts w:hint="eastAsia" w:ascii="宋体" w:cs="Times New Roman"/>
                <w:color w:val="auto"/>
                <w:sz w:val="21"/>
                <w:szCs w:val="21"/>
                <w:lang w:eastAsia="zh-CN"/>
              </w:rPr>
              <w:t>地面</w:t>
            </w:r>
            <w:r>
              <w:rPr>
                <w:rFonts w:hint="default" w:ascii="宋体" w:hAnsi="Times New Roman" w:eastAsia="宋体" w:cs="Times New Roman"/>
                <w:color w:val="auto"/>
                <w:sz w:val="21"/>
                <w:szCs w:val="21"/>
              </w:rPr>
              <w:t>以外，均应埋地敷设。当采用管沟敷设时，管沟必须用中性砂子或细土填满，填实。</w:t>
            </w:r>
          </w:p>
        </w:tc>
        <w:tc>
          <w:tcPr>
            <w:tcW w:w="2030"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6FD5781E">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采用埋地敷设</w:t>
            </w:r>
          </w:p>
        </w:tc>
        <w:tc>
          <w:tcPr>
            <w:tcW w:w="676"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5228BEBE">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647D3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714AD6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9BD536">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9A37CD">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（19）工艺管道不应穿过或跨越站房等与其无直接关系的建（构）筑物；与管沟、电缆沟和排水沟相交叉时，应采取相应的防护措施。</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166290C">
            <w:pPr>
              <w:pStyle w:val="42"/>
              <w:spacing w:beforeLines="0" w:afterLines="0" w:line="26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未穿过无关建构筑物</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CEEA618">
            <w:pPr>
              <w:spacing w:beforeLines="0" w:afterLines="0" w:line="26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8826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2F4CC5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4CE635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0FC3F3">
            <w:pPr>
              <w:pStyle w:val="42"/>
              <w:spacing w:beforeLines="0" w:afterLines="0" w:line="26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20）撬装式加油装置不得用于企业自用、临时或特定场所之外的场所，并应单独建站。采用橇装式加油装置的加油站，其设计与安装应符合现行行业标准《采用橇装式加油装置的汽车加油站技术规范》SH/T3134和《汽车加油加气加氢站技术标准》第6.4节的有关规定。</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E7F4823">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42A2C46">
            <w:pPr>
              <w:spacing w:beforeLines="0" w:afterLines="0"/>
              <w:jc w:val="center"/>
              <w:rPr>
                <w:rFonts w:hint="default" w:ascii="Times New Roman" w:hAnsi="Times New Roman" w:eastAsia="宋体" w:cs="Times New Roman"/>
                <w:color w:val="auto"/>
                <w:sz w:val="28"/>
                <w:szCs w:val="24"/>
                <w:highlight w:val="yellow"/>
              </w:rPr>
            </w:pPr>
            <w:r>
              <w:rPr>
                <w:rFonts w:hint="default" w:ascii="Times New Roman" w:hAnsi="Times New Roman" w:eastAsia="宋体" w:cs="Times New Roman"/>
                <w:color w:val="auto"/>
                <w:sz w:val="21"/>
                <w:szCs w:val="21"/>
              </w:rPr>
              <w:t>/</w:t>
            </w:r>
          </w:p>
        </w:tc>
      </w:tr>
      <w:tr w14:paraId="3A0C5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1AD416FC">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54DEEE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电气安全</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31CC4B">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（1）加油站的消防泵房、罩棚、营业室、LPG泵房、压缩机间等处均应设应急照明，连续供电时间不应少于90min。</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50241A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按要求设置应急照明</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A3A92F9">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BF7E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ACA894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F15FF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FED56D">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（2）用外电源有困难时，加油站可设置小型内燃发电机组，内燃机的排烟管口，应安装阻火器。</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765437F">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1757E83">
            <w:pPr>
              <w:spacing w:beforeLines="0" w:afterLines="0"/>
              <w:jc w:val="center"/>
              <w:rPr>
                <w:rFonts w:hint="default" w:ascii="宋体" w:hAnsi="Times New Roman" w:eastAsia="宋体" w:cs="Times New Roman"/>
                <w:color w:val="auto"/>
                <w:sz w:val="28"/>
                <w:szCs w:val="24"/>
                <w:highlight w:val="yellow"/>
              </w:rPr>
            </w:pPr>
            <w:r>
              <w:rPr>
                <w:rFonts w:hint="default" w:ascii="宋体" w:hAnsi="Times New Roman" w:eastAsia="宋体" w:cs="Times New Roman"/>
                <w:color w:val="auto"/>
                <w:sz w:val="21"/>
                <w:szCs w:val="21"/>
              </w:rPr>
              <w:t>/</w:t>
            </w:r>
          </w:p>
        </w:tc>
      </w:tr>
      <w:tr w14:paraId="08475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1E9299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083BC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67B93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（3）内燃机的排烟口高出地面4.5m以下时,排烟管口到各爆炸危险区域边界的水平距离不应小于5m；排烟口高出地面4.5m及以上时不应小于3m。</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77113AD">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7AB17B0">
            <w:pPr>
              <w:spacing w:beforeLines="0" w:afterLines="0"/>
              <w:jc w:val="center"/>
              <w:rPr>
                <w:rFonts w:hint="default" w:ascii="宋体" w:hAnsi="Times New Roman" w:eastAsia="宋体" w:cs="Times New Roman"/>
                <w:color w:val="auto"/>
                <w:sz w:val="28"/>
                <w:szCs w:val="24"/>
                <w:highlight w:val="yellow"/>
              </w:rPr>
            </w:pPr>
            <w:r>
              <w:rPr>
                <w:rFonts w:hint="default" w:ascii="宋体" w:hAnsi="Times New Roman" w:eastAsia="宋体" w:cs="Times New Roman"/>
                <w:color w:val="auto"/>
                <w:sz w:val="21"/>
                <w:szCs w:val="21"/>
              </w:rPr>
              <w:t>/</w:t>
            </w:r>
          </w:p>
        </w:tc>
      </w:tr>
      <w:tr w14:paraId="21A3F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5BB44EC">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9B1786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D2EA9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（4）汽油罐车卸车场地，应设罐车卸车时用的防静电接地装置。</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0FE381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卸车区有静电夹</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07F1FD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E759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D95C5A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D6112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C6021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（5）在爆炸危险区域工艺管道上的法兰、胶管两端等连接处，应用金属线跨接。当法兰的连接螺栓不少于5根时，在非腐蚀环境下可不跨接。</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0A3BE9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管道法兰有静电跨接线</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DA045D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E1FF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CCD91B9">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B8C701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B4A94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（6）爆炸危险区域内的电气设备选型、安装、电力线路敷设应符合现行国家标准《爆炸危险环境电力装置设计规范》GB50058的有关规定。</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150E09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C14CF20">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77F7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166939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31559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CA7AA6">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（7）加油站内爆炸危险区域以外的照明灯具可选用非防爆型。罩棚下处于非爆炸危险区域的灯具应选用防护等级不低于IP44级的照明灯具。</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B54A80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按要求选用灯具</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0A1BD26">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7F33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3A2D17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561595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14061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（8）当采用电缆沟敷设电缆时，加油作业区内的电缆沟内必须充沙填实，电缆不得与油品管道及压力管道敷设在同一沟内。</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672FCE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电缆沟填充沙子</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52F5587">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6A24F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6EAE5A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B09F536">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4E8376">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（9）钢质油罐必须进行防雷接地，接地点不应少于两处。</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AF1DF1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油罐有防雷接地</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C6D9CEF">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B526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C00F29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7F40F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0FE3D1">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（10）加油站的防雷接地、防静电接地、电气设备的工作接地、保护接地及信息系统的接地等宜共用接地装置，接地电阻不应大于4Ω。</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0D6039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防雷检测合格</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97D3B4B">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696E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77E637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B61A30">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6854A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（11）埋地钢制油罐的金属部件和罐内的各金属部件，必须与非埋地部分的工艺金属管道相互做电气连接并接地。</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550CC7D">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均可靠接地</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3E35346">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8B30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6DC42D2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1297800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000000" w:sz="12" w:space="0"/>
              <w:right w:val="single" w:color="auto" w:sz="4" w:space="0"/>
              <w:tl2br w:val="nil"/>
              <w:tr2bl w:val="nil"/>
            </w:tcBorders>
            <w:noWrap w:val="0"/>
            <w:vAlign w:val="center"/>
          </w:tcPr>
          <w:p w14:paraId="462D713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（12）当加油站内的站房和罩棚等建筑物需要防直击雷时，应采用接闪带（网）保护。当罩棚采用金属屋面时，宜利用屋面作为接闪器，但应符合下列规定：</w:t>
            </w:r>
          </w:p>
          <w:p w14:paraId="1BF0B60C">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pacing w:val="-6"/>
                <w:sz w:val="21"/>
                <w:szCs w:val="21"/>
              </w:rPr>
              <w:t>.</w:t>
            </w:r>
            <w:r>
              <w:rPr>
                <w:rFonts w:hint="default" w:ascii="宋体" w:hAnsi="Times New Roman" w:eastAsia="宋体" w:cs="Times New Roman"/>
                <w:color w:val="auto"/>
                <w:spacing w:val="-6"/>
                <w:sz w:val="21"/>
                <w:szCs w:val="21"/>
              </w:rPr>
              <w:t>板间的连接应是持久的电气贯通，可采用铜锌合金焊、熔焊、卷边压接、缝接、螺钉或螺栓连接；</w:t>
            </w:r>
          </w:p>
          <w:p w14:paraId="008C1FF6">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宋体" w:hAnsi="Times New Roman" w:eastAsia="宋体" w:cs="Times New Roman"/>
                <w:color w:val="auto"/>
                <w:sz w:val="21"/>
                <w:szCs w:val="21"/>
              </w:rPr>
              <w:t>金属板下面不应有易燃物品，热镀锌钢板的厚度不应小于0.5mm，铝板的厚度不应小于0.65mm，锌板的厚度不应小于0.7mm；3.金属板应无绝缘被覆层。</w:t>
            </w:r>
          </w:p>
        </w:tc>
        <w:tc>
          <w:tcPr>
            <w:tcW w:w="2030"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7CC9CAF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罩棚采用金属面作为接闪带。</w:t>
            </w:r>
          </w:p>
        </w:tc>
        <w:tc>
          <w:tcPr>
            <w:tcW w:w="676"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4C76090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3561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000000" w:sz="12" w:space="0"/>
              <w:left w:val="single" w:color="auto" w:sz="12" w:space="0"/>
              <w:bottom w:val="single" w:color="auto" w:sz="4" w:space="0"/>
              <w:right w:val="single" w:color="auto" w:sz="4" w:space="0"/>
              <w:tl2br w:val="nil"/>
              <w:tr2bl w:val="nil"/>
            </w:tcBorders>
            <w:noWrap w:val="0"/>
            <w:vAlign w:val="center"/>
          </w:tcPr>
          <w:p w14:paraId="0635E8E3">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000000" w:sz="12" w:space="0"/>
              <w:left w:val="single" w:color="auto" w:sz="4" w:space="0"/>
              <w:bottom w:val="single" w:color="auto" w:sz="4" w:space="0"/>
              <w:right w:val="single" w:color="auto" w:sz="4" w:space="0"/>
              <w:tl2br w:val="nil"/>
              <w:tr2bl w:val="nil"/>
            </w:tcBorders>
            <w:noWrap w:val="0"/>
            <w:vAlign w:val="center"/>
          </w:tcPr>
          <w:p w14:paraId="267843B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000000" w:sz="12" w:space="0"/>
              <w:left w:val="single" w:color="auto" w:sz="4" w:space="0"/>
              <w:bottom w:val="single" w:color="auto" w:sz="4" w:space="0"/>
              <w:right w:val="single" w:color="auto" w:sz="4" w:space="0"/>
              <w:tl2br w:val="nil"/>
              <w:tr2bl w:val="nil"/>
            </w:tcBorders>
            <w:noWrap w:val="0"/>
            <w:vAlign w:val="center"/>
          </w:tcPr>
          <w:p w14:paraId="6A9B7D7D">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13）加油站的信息系统应采用铠装电缆或导线穿钢管配线。配线电缆铠装金属层两端、保护钢管两端均应接地。该信息系统的配电线路首、末端与电子器件连接时，应装设与电子器件耐压水平相适应的过电压（电涌）保护器。</w:t>
            </w:r>
          </w:p>
        </w:tc>
        <w:tc>
          <w:tcPr>
            <w:tcW w:w="2030"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7EEAB293">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按设计要求设置</w:t>
            </w:r>
          </w:p>
        </w:tc>
        <w:tc>
          <w:tcPr>
            <w:tcW w:w="676"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77013250">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015C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ED7FCA7">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549866">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71115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14）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BBF409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采用TN-S系统，设置过电压保护器</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FF88ABB">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69C10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BD1FD2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832438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CFFF83">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（15）加油站应设置紧急切断系统，该系统应能在事故状态下实现紧急停车和关闭紧急切断阀的保护功能。</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280686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站房外墙和营业厅设置有紧急停车按钮</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C34F883">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7FF11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695058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26CD4C7">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C4709C">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（16）紧急切断系统应至少在下列位置设置紧急切断开关：</w:t>
            </w:r>
          </w:p>
          <w:p w14:paraId="23FCDFCE">
            <w:pPr>
              <w:pStyle w:val="42"/>
              <w:spacing w:beforeLines="0" w:afterLine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宋体" w:hAnsi="Times New Roman" w:eastAsia="宋体" w:cs="Times New Roman"/>
                <w:color w:val="auto"/>
                <w:sz w:val="21"/>
                <w:szCs w:val="21"/>
              </w:rPr>
              <w:t>在加油站现场工作人员容易接近且较为安全的位置；2.在控制室、值班室内或站房收银台等有人员值守的位置。</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072E481">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站房外墙和营业厅安装紧急切断按钮</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37A363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9ABE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13568F8">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E8D0F8">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5971B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（17）工艺设备的电源和工艺管道上的紧急切断阀应能由手动启动的远程控制切断系统操纵关闭。</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EA9226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可以由手动启动</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59C5C9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49C1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2F884017">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786BFA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消防设施</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9FDC6A">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（1）加油站每2台加油机设置不少于2只5kg手提式干粉灭火器或1只5kg手提式干粉灭火器和1只6L泡沫灭火器。加油机不足2台按2台计算。</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AE6EDC0">
            <w:pPr>
              <w:pStyle w:val="42"/>
              <w:spacing w:beforeLines="0" w:afterLines="0"/>
              <w:rPr>
                <w:rFonts w:hint="eastAsia" w:ascii="Times New Roman" w:hAnsi="Times New Roman" w:eastAsia="宋体" w:cs="Times New Roman"/>
                <w:color w:val="auto"/>
                <w:sz w:val="21"/>
                <w:szCs w:val="21"/>
                <w:lang w:eastAsia="zh-CN"/>
              </w:rPr>
            </w:pPr>
            <w:r>
              <w:rPr>
                <w:rFonts w:hint="eastAsia" w:ascii="宋体" w:hAnsi="Times New Roman" w:eastAsia="宋体" w:cs="Times New Roman"/>
                <w:color w:val="auto"/>
                <w:sz w:val="21"/>
                <w:szCs w:val="21"/>
                <w:lang w:val="en-US" w:eastAsia="zh-CN"/>
              </w:rPr>
              <w:t>未见灭火器</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5916865">
            <w:pPr>
              <w:spacing w:beforeLines="0" w:afterLines="0"/>
              <w:jc w:val="center"/>
              <w:rPr>
                <w:rFonts w:hint="default" w:ascii="Times New Roman" w:hAnsi="Times New Roman" w:eastAsia="宋体" w:cs="Times New Roman"/>
                <w:color w:val="auto"/>
                <w:sz w:val="28"/>
                <w:szCs w:val="24"/>
              </w:rPr>
            </w:pPr>
            <w:r>
              <w:rPr>
                <w:rFonts w:hint="eastAsia" w:ascii="宋体" w:hAnsi="Times New Roman" w:eastAsia="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6A4BD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93E997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48CE30">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D2CEF9">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（2）地下储罐应设不小于35kg推车式干粉灭火器1个。当两种介质储罐之间的距离超过15m时,应分别设置。</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A0914D8">
            <w:pPr>
              <w:pStyle w:val="42"/>
              <w:spacing w:beforeLines="0" w:afterLines="0" w:line="310" w:lineRule="exact"/>
              <w:rPr>
                <w:rFonts w:hint="default" w:ascii="Times New Roman" w:hAnsi="Times New Roman" w:eastAsia="宋体" w:cs="Times New Roman"/>
                <w:color w:val="auto"/>
                <w:sz w:val="21"/>
                <w:szCs w:val="21"/>
              </w:rPr>
            </w:pPr>
            <w:r>
              <w:rPr>
                <w:rFonts w:hint="eastAsia" w:ascii="宋体" w:hAnsi="Times New Roman" w:eastAsia="宋体" w:cs="Times New Roman"/>
                <w:color w:val="auto"/>
                <w:sz w:val="21"/>
                <w:szCs w:val="21"/>
                <w:lang w:val="en-US" w:eastAsia="zh-CN"/>
              </w:rPr>
              <w:t>未见灭火器</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DC1EB77">
            <w:pPr>
              <w:spacing w:beforeLines="0" w:afterLines="0" w:line="310" w:lineRule="exact"/>
              <w:jc w:val="center"/>
              <w:rPr>
                <w:rFonts w:hint="default" w:ascii="Times New Roman" w:hAnsi="Times New Roman" w:eastAsia="宋体" w:cs="Times New Roman"/>
                <w:color w:val="auto"/>
                <w:sz w:val="28"/>
                <w:szCs w:val="24"/>
              </w:rPr>
            </w:pPr>
            <w:r>
              <w:rPr>
                <w:rFonts w:hint="eastAsia" w:ascii="宋体" w:hAnsi="Times New Roman" w:eastAsia="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2C2B1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F5BBF4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52D711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940C2B">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（3）一、二级加油站应配置灭火毯5块，沙子2m</w:t>
            </w:r>
            <w:r>
              <w:rPr>
                <w:rFonts w:hint="default" w:ascii="Times New Roman" w:hAnsi="Times New Roman" w:eastAsia="宋体" w:cs="Times New Roman"/>
                <w:color w:val="auto"/>
                <w:sz w:val="21"/>
                <w:szCs w:val="21"/>
                <w:vertAlign w:val="superscript"/>
              </w:rPr>
              <w:t>3</w:t>
            </w:r>
            <w:r>
              <w:rPr>
                <w:rFonts w:hint="default" w:ascii="宋体" w:hAnsi="Times New Roman" w:eastAsia="宋体" w:cs="Times New Roman"/>
                <w:color w:val="auto"/>
                <w:sz w:val="21"/>
                <w:szCs w:val="21"/>
              </w:rPr>
              <w:t>。三级加油站应配置灭火毯不少于2块,沙子2m</w:t>
            </w:r>
            <w:r>
              <w:rPr>
                <w:rFonts w:hint="default" w:ascii="Times New Roman" w:hAnsi="Times New Roman" w:eastAsia="宋体" w:cs="Times New Roman"/>
                <w:color w:val="auto"/>
                <w:sz w:val="21"/>
                <w:szCs w:val="21"/>
                <w:vertAlign w:val="superscript"/>
              </w:rPr>
              <w:t>3</w:t>
            </w:r>
            <w:r>
              <w:rPr>
                <w:rFonts w:hint="default" w:ascii="宋体" w:hAnsi="Times New Roman" w:eastAsia="宋体" w:cs="Times New Roman"/>
                <w:color w:val="auto"/>
                <w:sz w:val="21"/>
                <w:szCs w:val="21"/>
              </w:rPr>
              <w:t>。</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2D0F817">
            <w:pPr>
              <w:pStyle w:val="42"/>
              <w:spacing w:beforeLines="0" w:afterLines="0" w:line="310" w:lineRule="exact"/>
              <w:rPr>
                <w:rFonts w:hint="default" w:ascii="Times New Roman" w:hAnsi="Times New Roman" w:eastAsia="宋体" w:cs="Times New Roman"/>
                <w:color w:val="auto"/>
                <w:sz w:val="21"/>
                <w:szCs w:val="21"/>
                <w:vertAlign w:val="baseline"/>
                <w:lang w:val="en-US" w:eastAsia="zh-CN"/>
              </w:rPr>
            </w:pPr>
            <w:r>
              <w:rPr>
                <w:rFonts w:hint="default" w:ascii="宋体" w:hAnsi="Times New Roman" w:eastAsia="宋体" w:cs="Times New Roman"/>
                <w:color w:val="auto"/>
                <w:sz w:val="21"/>
                <w:szCs w:val="21"/>
              </w:rPr>
              <w:t>消防沙2m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未见灭火毯</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E0EF5EB">
            <w:pPr>
              <w:spacing w:beforeLines="0" w:afterLines="0" w:line="310" w:lineRule="exact"/>
              <w:jc w:val="center"/>
              <w:rPr>
                <w:rFonts w:hint="default" w:ascii="Times New Roman" w:hAnsi="Times New Roman" w:eastAsia="宋体" w:cs="Times New Roman"/>
                <w:color w:val="auto"/>
                <w:sz w:val="28"/>
                <w:szCs w:val="24"/>
              </w:rPr>
            </w:pPr>
            <w:r>
              <w:rPr>
                <w:rFonts w:hint="eastAsia" w:ascii="宋体" w:hAnsi="Times New Roman" w:eastAsia="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14E13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7FEDBA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4232E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EA5792">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（4)发、配电室应设置磷酸铵盐干粉灭火器或碳酸氢钠干粉灭火器或卤代烷灭火器或二氧化碳灭火器，数量不少于2具。</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9B4E9FC">
            <w:pPr>
              <w:pStyle w:val="42"/>
              <w:spacing w:beforeLines="0" w:afterLines="0" w:line="310" w:lineRule="exact"/>
              <w:rPr>
                <w:rFonts w:hint="default" w:ascii="Times New Roman" w:hAnsi="Times New Roman" w:eastAsia="宋体" w:cs="Times New Roman"/>
                <w:color w:val="auto"/>
                <w:sz w:val="21"/>
                <w:szCs w:val="21"/>
                <w:lang w:val="en-US" w:eastAsia="zh-CN"/>
              </w:rPr>
            </w:pPr>
            <w:r>
              <w:rPr>
                <w:rFonts w:hint="eastAsia" w:ascii="宋体" w:hAnsi="Times New Roman" w:eastAsia="宋体" w:cs="Times New Roman"/>
                <w:color w:val="auto"/>
                <w:sz w:val="21"/>
                <w:szCs w:val="21"/>
                <w:lang w:val="en-US" w:eastAsia="zh-CN"/>
              </w:rPr>
              <w:t>未见灭火器</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E5CBEED">
            <w:pPr>
              <w:spacing w:beforeLines="0" w:afterLines="0" w:line="310" w:lineRule="exact"/>
              <w:jc w:val="center"/>
              <w:rPr>
                <w:rFonts w:hint="default" w:ascii="Times New Roman" w:hAnsi="Times New Roman" w:eastAsia="宋体" w:cs="Times New Roman"/>
                <w:color w:val="auto"/>
                <w:sz w:val="28"/>
                <w:szCs w:val="24"/>
              </w:rPr>
            </w:pPr>
            <w:r>
              <w:rPr>
                <w:rFonts w:hint="eastAsia" w:ascii="宋体" w:hAnsi="Times New Roman" w:eastAsia="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19E6B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ACD6CA8">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6F44BC">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C6081D">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加油站应制定以下消防安全制度：a）防火检查、巡查制度；b）消防安全教育、培训制度；c）用火、用电安全管理制度；d）电气设备、电气线路的检查和管理制度：e）输油、输气线路的检查和管理制度；f）灭火和应急疏散预案演练制度；g）火灾隐患整改制度；h）其他必要的消防安全制度。</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E0D073">
            <w:pPr>
              <w:pStyle w:val="42"/>
              <w:spacing w:beforeLines="0" w:afterLines="0" w:line="31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符合，有相关制度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6BD672C">
            <w:pPr>
              <w:spacing w:beforeLines="0" w:afterLines="0" w:line="31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017A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A0B15E9">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3EA231">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5F4F2E">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（6）加油加气站罩棚顶棚的承重构件为钢结构时，其耐火极限可为0.25h。</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8E62813">
            <w:pPr>
              <w:pStyle w:val="42"/>
              <w:spacing w:beforeLines="0" w:afterLines="0" w:line="31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罩棚顶棚为螺栓球网架结构</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B21055D">
            <w:pPr>
              <w:spacing w:beforeLines="0" w:afterLines="0" w:line="31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09AB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3C377DD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57B02D65">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000000" w:sz="12" w:space="0"/>
              <w:right w:val="single" w:color="auto" w:sz="4" w:space="0"/>
              <w:tl2br w:val="nil"/>
              <w:tr2bl w:val="nil"/>
            </w:tcBorders>
            <w:noWrap w:val="0"/>
            <w:vAlign w:val="center"/>
          </w:tcPr>
          <w:p w14:paraId="342E3ACD">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（7）站内不应设置住宿、餐饮和娱乐等场所（设施）。</w:t>
            </w:r>
          </w:p>
        </w:tc>
        <w:tc>
          <w:tcPr>
            <w:tcW w:w="2030"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36357605">
            <w:pPr>
              <w:pStyle w:val="42"/>
              <w:spacing w:beforeLines="0" w:afterLines="0" w:line="31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无住宿、餐饮和娱乐场所</w:t>
            </w:r>
          </w:p>
        </w:tc>
        <w:tc>
          <w:tcPr>
            <w:tcW w:w="676" w:type="dxa"/>
            <w:tcBorders>
              <w:top w:val="single" w:color="auto" w:sz="4" w:space="0"/>
              <w:left w:val="single" w:color="auto" w:sz="4" w:space="0"/>
              <w:bottom w:val="single" w:color="000000" w:sz="12" w:space="0"/>
              <w:right w:val="single" w:color="auto" w:sz="12" w:space="0"/>
              <w:tl2br w:val="nil"/>
              <w:tr2bl w:val="nil"/>
            </w:tcBorders>
            <w:noWrap w:val="0"/>
            <w:vAlign w:val="center"/>
          </w:tcPr>
          <w:p w14:paraId="735F1FAF">
            <w:pPr>
              <w:spacing w:beforeLines="0" w:afterLines="0" w:line="31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86B4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000000" w:sz="12" w:space="0"/>
              <w:left w:val="single" w:color="auto" w:sz="12" w:space="0"/>
              <w:bottom w:val="single" w:color="auto" w:sz="4" w:space="0"/>
              <w:right w:val="single" w:color="auto" w:sz="4" w:space="0"/>
              <w:tl2br w:val="nil"/>
              <w:tr2bl w:val="nil"/>
            </w:tcBorders>
            <w:noWrap w:val="0"/>
            <w:vAlign w:val="center"/>
          </w:tcPr>
          <w:p w14:paraId="1FF755C7">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000000" w:sz="12" w:space="0"/>
              <w:left w:val="single" w:color="auto" w:sz="4" w:space="0"/>
              <w:bottom w:val="single" w:color="auto" w:sz="4" w:space="0"/>
              <w:right w:val="single" w:color="auto" w:sz="4" w:space="0"/>
              <w:tl2br w:val="nil"/>
              <w:tr2bl w:val="nil"/>
            </w:tcBorders>
            <w:noWrap w:val="0"/>
            <w:vAlign w:val="center"/>
          </w:tcPr>
          <w:p w14:paraId="28776B67">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000000" w:sz="12" w:space="0"/>
              <w:left w:val="single" w:color="auto" w:sz="4" w:space="0"/>
              <w:bottom w:val="single" w:color="auto" w:sz="4" w:space="0"/>
              <w:right w:val="single" w:color="auto" w:sz="4" w:space="0"/>
              <w:tl2br w:val="nil"/>
              <w:tr2bl w:val="nil"/>
            </w:tcBorders>
            <w:noWrap w:val="0"/>
            <w:vAlign w:val="center"/>
          </w:tcPr>
          <w:p w14:paraId="481F4A13">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（8）站内不应设置建筑面积大于</w:t>
            </w:r>
            <w:r>
              <w:rPr>
                <w:rFonts w:hint="default" w:ascii="Times New Roman" w:hAnsi="Times New Roman" w:eastAsia="宋体" w:cs="Times New Roman"/>
                <w:color w:val="auto"/>
                <w:sz w:val="21"/>
                <w:szCs w:val="21"/>
              </w:rPr>
              <w:t>50</w:t>
            </w:r>
            <w:r>
              <w:rPr>
                <w:rFonts w:hint="default" w:ascii="宋体" w:hAnsi="Times New Roman" w:eastAsia="宋体" w:cs="Times New Roman"/>
                <w:color w:val="auto"/>
                <w:sz w:val="21"/>
                <w:szCs w:val="21"/>
              </w:rPr>
              <w:t>m</w:t>
            </w:r>
            <w:r>
              <w:rPr>
                <w:rFonts w:hint="default" w:ascii="宋体" w:hAnsi="Times New Roman" w:eastAsia="宋体" w:cs="Times New Roman"/>
                <w:color w:val="auto"/>
                <w:sz w:val="21"/>
                <w:szCs w:val="21"/>
                <w:vertAlign w:val="superscript"/>
              </w:rPr>
              <w:t>2</w:t>
            </w:r>
            <w:r>
              <w:rPr>
                <w:rFonts w:hint="default" w:ascii="宋体" w:hAnsi="Times New Roman" w:eastAsia="宋体" w:cs="Times New Roman"/>
                <w:color w:val="auto"/>
                <w:sz w:val="21"/>
                <w:szCs w:val="21"/>
              </w:rPr>
              <w:t>的商店。商店内不应经营易燃易爆危险品。</w:t>
            </w:r>
          </w:p>
        </w:tc>
        <w:tc>
          <w:tcPr>
            <w:tcW w:w="2030"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77E3F108">
            <w:pPr>
              <w:pStyle w:val="42"/>
              <w:spacing w:beforeLines="0" w:afterLines="0" w:line="31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营业厅商店未经营易燃易爆危险品</w:t>
            </w:r>
          </w:p>
        </w:tc>
        <w:tc>
          <w:tcPr>
            <w:tcW w:w="676" w:type="dxa"/>
            <w:tcBorders>
              <w:top w:val="single" w:color="000000" w:sz="12" w:space="0"/>
              <w:left w:val="single" w:color="auto" w:sz="4" w:space="0"/>
              <w:bottom w:val="single" w:color="auto" w:sz="4" w:space="0"/>
              <w:right w:val="single" w:color="auto" w:sz="12" w:space="0"/>
              <w:tl2br w:val="nil"/>
              <w:tr2bl w:val="nil"/>
            </w:tcBorders>
            <w:noWrap w:val="0"/>
            <w:vAlign w:val="center"/>
          </w:tcPr>
          <w:p w14:paraId="47EEDF19">
            <w:pPr>
              <w:spacing w:beforeLines="0" w:afterLines="0" w:line="31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65DE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EE44D7D">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5C931EB">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CB969F">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（9）是否按要求进行消防设施、器材管理</w:t>
            </w:r>
          </w:p>
          <w:p w14:paraId="7D67CDA7">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宋体" w:hAnsi="Times New Roman" w:eastAsia="宋体" w:cs="Times New Roman"/>
                <w:color w:val="auto"/>
                <w:sz w:val="21"/>
                <w:szCs w:val="21"/>
              </w:rPr>
              <w:t>对消防设施、器材应加强日常管理和维护，建立消防设施、器材的巡查、检测、维修保养等管理档案，记明配置类型、数量、设置位置、检查维修单位（人员）、更换药剂的时间等有关情况，严禁损坏、挪用或擅自拆除、停用。</w:t>
            </w:r>
          </w:p>
          <w:p w14:paraId="552DFFEF">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宋体" w:hAnsi="Times New Roman" w:eastAsia="宋体" w:cs="Times New Roman"/>
                <w:color w:val="auto"/>
                <w:sz w:val="21"/>
                <w:szCs w:val="21"/>
              </w:rPr>
              <w:t>消火栓、灭火器、灭火毯、消防沙箱或沙池等消防设施、器材应设置消防安全标志。</w:t>
            </w:r>
          </w:p>
          <w:p w14:paraId="5D6135C0">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宋体" w:hAnsi="Times New Roman" w:eastAsia="宋体" w:cs="Times New Roman"/>
                <w:color w:val="auto"/>
                <w:sz w:val="21"/>
                <w:szCs w:val="21"/>
              </w:rPr>
              <w:t>灭火器、灭火毯应放置于醒目且便于取用位置。灭火器应保持标识清晰，各种部件不应有严重损伤、变形、锈蚀等缺陷，存放地点及环境应符合要求，并定期进行检查、维保。</w:t>
            </w:r>
          </w:p>
          <w:p w14:paraId="1B860534">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宋体" w:hAnsi="Times New Roman" w:eastAsia="宋体" w:cs="Times New Roman"/>
                <w:color w:val="auto"/>
                <w:sz w:val="21"/>
                <w:szCs w:val="21"/>
              </w:rPr>
              <w:t>消防沙箱或沙池内应保持沙量充足，不应存放杂物，沙子应保持干燥不结块，不含树叶、石子等杂质，附近应配置沙铲、沙桶、推车等灭火和应急处置辅助器材。</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3E378F4">
            <w:pPr>
              <w:pStyle w:val="42"/>
              <w:spacing w:beforeLines="0" w:afterLines="0" w:line="310" w:lineRule="exact"/>
              <w:rPr>
                <w:rFonts w:hint="default" w:ascii="Times New Roman" w:hAnsi="Times New Roman" w:eastAsia="宋体" w:cs="Times New Roman"/>
                <w:color w:val="auto"/>
                <w:sz w:val="21"/>
                <w:szCs w:val="21"/>
                <w:lang w:val="en-US" w:eastAsia="zh-CN"/>
              </w:rPr>
            </w:pPr>
            <w:r>
              <w:rPr>
                <w:rFonts w:hint="eastAsia" w:ascii="宋体" w:hAnsi="Times New Roman" w:eastAsia="宋体" w:cs="Times New Roman"/>
                <w:color w:val="auto"/>
                <w:sz w:val="21"/>
                <w:szCs w:val="21"/>
                <w:lang w:val="en-US" w:eastAsia="zh-CN"/>
              </w:rPr>
              <w:t>未见灭火器、灭火毯</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6C187CF">
            <w:pPr>
              <w:spacing w:beforeLines="0" w:afterLines="0" w:line="310" w:lineRule="exact"/>
              <w:jc w:val="center"/>
              <w:rPr>
                <w:rFonts w:hint="default" w:ascii="Times New Roman" w:hAnsi="Times New Roman" w:eastAsia="宋体" w:cs="Times New Roman"/>
                <w:color w:val="auto"/>
                <w:sz w:val="28"/>
                <w:szCs w:val="24"/>
              </w:rPr>
            </w:pPr>
            <w:r>
              <w:rPr>
                <w:rFonts w:hint="eastAsia" w:ascii="宋体" w:hAnsi="Times New Roman" w:eastAsia="宋体" w:cs="Times New Roman"/>
                <w:color w:val="auto"/>
                <w:sz w:val="21"/>
                <w:szCs w:val="21"/>
                <w:lang w:val="en-US" w:eastAsia="zh-CN"/>
              </w:rPr>
              <w:t>不</w:t>
            </w:r>
            <w:r>
              <w:rPr>
                <w:rFonts w:hint="default" w:ascii="宋体" w:hAnsi="Times New Roman" w:eastAsia="宋体" w:cs="Times New Roman"/>
                <w:color w:val="auto"/>
                <w:sz w:val="21"/>
                <w:szCs w:val="21"/>
              </w:rPr>
              <w:t>符合</w:t>
            </w:r>
          </w:p>
        </w:tc>
      </w:tr>
      <w:tr w14:paraId="2D42F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209031F">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472DE5">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2EC780">
            <w:pPr>
              <w:pStyle w:val="42"/>
              <w:spacing w:beforeLines="0" w:afterLines="0" w:line="310" w:lineRule="exact"/>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（10）加油站对每名员工应至少每年进行1次消防安全教育培训，新员工经消防安全教育培训合格后方可上岗。组织开展消防安全教育培训的情况应记录存档。</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BFB8069">
            <w:pPr>
              <w:pStyle w:val="42"/>
              <w:spacing w:beforeLines="0" w:afterLines="0" w:line="310" w:lineRule="exact"/>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定期进行教育培训，有培训记录，见附件</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E469E0B">
            <w:pPr>
              <w:spacing w:beforeLines="0" w:afterLines="0" w:line="310" w:lineRule="exact"/>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6189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2261552B">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27413C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标识</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FB2961">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（1）加油站的车辆及人员进出口处应设置醒目的“进站消防安全须知”标识，明确进入加油站的要求和注意事项。</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CC4EF8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加油站进出口有安全警示标识和进站须知</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197DBB3">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EC6A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D485E0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F972E0">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065F9C">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（2）加油机上应有油品标识。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E2D09D9">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加油枪设置油品标识。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0AB479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2359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949D84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D7FC55">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5FC092">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（3）加油区、油罐区应有“禁止吸烟”、“禁止打手机"等安全标识。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2BF2D0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有相关安全标识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F15323F">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020D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6D479E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77B280">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8B895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（4）站房、变配电间等火灾危险区的明显部位应设置“火灾危险区域”等标识。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C03CB06">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有“火灾危险区域”标识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4B95AEF">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3DB5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5684019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698114">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1DAD00">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（5）油品运输车辆应划定固定车位并设置明显标识。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B2C89C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卸车区有固定车位停车标识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4DB2DB">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A4BA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C10B57E">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C99917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0443B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（6）卫生间墙面上应设置“严禁烟火”“禁止吸烟”标识。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E7E339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卫生间有“严禁烟火”“禁止吸烟”标识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2E5DFC9">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365F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D1B9ADB">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90204A">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427129">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（7）加油站作业区与辅助服务区之间应有明显的界限标识。</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89B2B3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有界限标识</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4C03AF6">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5DDD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6E4D2646">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F722EA">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51AC4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（8）加油站应加强对消防安全标识的维护管理，如有损坏、缺失的，应及时更换。</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5228514">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有维护保养制度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E4501A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DCD7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7B0E8244">
            <w:pPr>
              <w:pStyle w:val="42"/>
              <w:spacing w:beforeLines="0" w:after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E21AC60">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企业经营情况</w:t>
            </w: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D88E02">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（1）企业经营进、销台账的明细、随货通行单（明确车牌号、提货人、开票人、时间地点、货品数量和质量，可溯源）。</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ECE4A27">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符合要求</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777946E">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38BBB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364EAA0">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8979E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CE6F64">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（2）企业运输车辆相关资质、信息。</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74CFA2C">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经有资质单位运输</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4D2CF10">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6777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5C64583">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424F91D">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1695E5">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（3）企业对货物的信息、数量、品种等工作的安全管理台账。</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56F5868">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有台账</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E975FB2">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1E687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4801434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14693009">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7B792">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（4）企业进货发票、售出发票资料等</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540DDEB">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有进货发票、售出发票等资料</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A5957BF">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52341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000000" w:sz="12" w:space="0"/>
              <w:left w:val="single" w:color="auto" w:sz="12" w:space="0"/>
              <w:bottom w:val="single" w:color="auto" w:sz="4" w:space="0"/>
              <w:right w:val="single" w:color="auto" w:sz="4" w:space="0"/>
              <w:tl2br w:val="nil"/>
              <w:tr2bl w:val="nil"/>
            </w:tcBorders>
            <w:noWrap w:val="0"/>
            <w:vAlign w:val="center"/>
          </w:tcPr>
          <w:p w14:paraId="0B5AC175">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000000" w:sz="12" w:space="0"/>
              <w:left w:val="single" w:color="auto" w:sz="4" w:space="0"/>
              <w:bottom w:val="single" w:color="auto" w:sz="4" w:space="0"/>
              <w:right w:val="single" w:color="auto" w:sz="4" w:space="0"/>
              <w:tl2br w:val="nil"/>
              <w:tr2bl w:val="nil"/>
            </w:tcBorders>
            <w:noWrap w:val="0"/>
            <w:vAlign w:val="center"/>
          </w:tcPr>
          <w:p w14:paraId="45DF0D2F">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DC09BF">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（5）企业是否存在租赁，租赁单位是否获得相关资质（营业执照、危化品经营许可等相关同等资质）</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594DB72">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加油站为自有，不涉及</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D8AEF22">
            <w:pPr>
              <w:spacing w:beforeLines="0" w:afterLines="0"/>
              <w:jc w:val="center"/>
              <w:rPr>
                <w:rFonts w:hint="default" w:ascii="Times New Roman" w:hAnsi="Times New Roman" w:eastAsia="宋体" w:cs="Times New Roman"/>
                <w:color w:val="auto"/>
                <w:sz w:val="28"/>
                <w:szCs w:val="24"/>
              </w:rPr>
            </w:pPr>
            <w:r>
              <w:rPr>
                <w:rFonts w:hint="default" w:ascii="Times New Roman" w:hAnsi="Times New Roman" w:eastAsia="宋体" w:cs="Times New Roman"/>
                <w:color w:val="auto"/>
                <w:sz w:val="21"/>
                <w:szCs w:val="21"/>
              </w:rPr>
              <w:t>-</w:t>
            </w:r>
          </w:p>
        </w:tc>
      </w:tr>
      <w:tr w14:paraId="0A0B4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813ECC1">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6D70693">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7F889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（6）是否存在买卖、转让、出租、出借或伪造安全生产或经营许可证的行为</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65FC00E">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不存在以上行为</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321BF80">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2F16D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FE82794">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7D6187">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5C0D3D">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（7）是否存在非法将生产经营项目、场所、设备发包或者出租给不具备安全生产条件或者相应资质的单位或者个人的行为</w:t>
            </w:r>
          </w:p>
        </w:tc>
        <w:tc>
          <w:tcPr>
            <w:tcW w:w="203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093FD05">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不存在以上行为</w:t>
            </w:r>
          </w:p>
        </w:tc>
        <w:tc>
          <w:tcPr>
            <w:tcW w:w="676"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3095F12A">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r w14:paraId="44624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Merge w:val="continue"/>
            <w:tcBorders>
              <w:top w:val="single" w:color="auto" w:sz="4" w:space="0"/>
              <w:left w:val="single" w:color="auto" w:sz="12" w:space="0"/>
              <w:bottom w:val="single" w:color="000000" w:sz="12" w:space="0"/>
              <w:right w:val="single" w:color="auto" w:sz="4" w:space="0"/>
              <w:tl2br w:val="nil"/>
              <w:tr2bl w:val="nil"/>
            </w:tcBorders>
            <w:noWrap w:val="0"/>
            <w:vAlign w:val="center"/>
          </w:tcPr>
          <w:p w14:paraId="4B2DFC72">
            <w:pPr>
              <w:pStyle w:val="42"/>
              <w:spacing w:beforeLines="0" w:afterLines="0"/>
              <w:rPr>
                <w:rFonts w:hint="default" w:ascii="Times New Roman" w:hAnsi="Times New Roman" w:eastAsia="宋体" w:cs="Times New Roman"/>
                <w:color w:val="auto"/>
                <w:sz w:val="21"/>
                <w:szCs w:val="21"/>
              </w:rPr>
            </w:pPr>
          </w:p>
        </w:tc>
        <w:tc>
          <w:tcPr>
            <w:tcW w:w="1101" w:type="dxa"/>
            <w:vMerge w:val="continue"/>
            <w:tcBorders>
              <w:top w:val="single" w:color="auto" w:sz="4" w:space="0"/>
              <w:left w:val="single" w:color="auto" w:sz="4" w:space="0"/>
              <w:bottom w:val="single" w:color="000000" w:sz="12" w:space="0"/>
              <w:right w:val="single" w:color="auto" w:sz="4" w:space="0"/>
              <w:tl2br w:val="nil"/>
              <w:tr2bl w:val="nil"/>
            </w:tcBorders>
            <w:noWrap w:val="0"/>
            <w:vAlign w:val="center"/>
          </w:tcPr>
          <w:p w14:paraId="3CC6C5FA">
            <w:pPr>
              <w:pStyle w:val="42"/>
              <w:spacing w:beforeLines="0" w:afterLines="0"/>
              <w:rPr>
                <w:rFonts w:hint="default" w:ascii="Times New Roman" w:hAnsi="Times New Roman" w:eastAsia="宋体" w:cs="Times New Roman"/>
                <w:color w:val="auto"/>
                <w:sz w:val="21"/>
                <w:szCs w:val="21"/>
              </w:rPr>
            </w:pPr>
          </w:p>
        </w:tc>
        <w:tc>
          <w:tcPr>
            <w:tcW w:w="4287" w:type="dxa"/>
            <w:tcBorders>
              <w:top w:val="single" w:color="auto" w:sz="4" w:space="0"/>
              <w:left w:val="single" w:color="auto" w:sz="4" w:space="0"/>
              <w:bottom w:val="single" w:color="000000" w:sz="12" w:space="0"/>
              <w:right w:val="single" w:color="auto" w:sz="4" w:space="0"/>
              <w:tl2br w:val="nil"/>
              <w:tr2bl w:val="nil"/>
            </w:tcBorders>
            <w:noWrap w:val="0"/>
            <w:vAlign w:val="center"/>
          </w:tcPr>
          <w:p w14:paraId="3C7ACB78">
            <w:pPr>
              <w:pStyle w:val="42"/>
              <w:spacing w:beforeLines="0" w:afterLines="0"/>
              <w:jc w:val="both"/>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（8）是否违规建设内部加油设施、非法储存设施、非法改装油罐车移动加油行为</w:t>
            </w:r>
          </w:p>
        </w:tc>
        <w:tc>
          <w:tcPr>
            <w:tcW w:w="2030" w:type="dxa"/>
            <w:tcBorders>
              <w:top w:val="single" w:color="auto" w:sz="4" w:space="0"/>
              <w:left w:val="single" w:color="auto" w:sz="4" w:space="0"/>
              <w:bottom w:val="single" w:color="auto" w:sz="12" w:space="0"/>
              <w:right w:val="single" w:color="auto" w:sz="12" w:space="0"/>
              <w:tl2br w:val="nil"/>
              <w:tr2bl w:val="nil"/>
            </w:tcBorders>
            <w:noWrap w:val="0"/>
            <w:vAlign w:val="center"/>
          </w:tcPr>
          <w:p w14:paraId="51F036ED">
            <w:pPr>
              <w:pStyle w:val="42"/>
              <w:spacing w:beforeLines="0" w:afterLines="0"/>
              <w:rPr>
                <w:rFonts w:hint="default" w:ascii="Times New Roman" w:hAnsi="Times New Roman" w:eastAsia="宋体" w:cs="Times New Roman"/>
                <w:color w:val="auto"/>
                <w:sz w:val="21"/>
                <w:szCs w:val="21"/>
              </w:rPr>
            </w:pPr>
            <w:r>
              <w:rPr>
                <w:rFonts w:hint="default" w:ascii="宋体" w:hAnsi="Times New Roman" w:eastAsia="宋体" w:cs="Times New Roman"/>
                <w:color w:val="auto"/>
                <w:sz w:val="21"/>
                <w:szCs w:val="21"/>
              </w:rPr>
              <w:t>不存在以上行为</w:t>
            </w:r>
          </w:p>
        </w:tc>
        <w:tc>
          <w:tcPr>
            <w:tcW w:w="676" w:type="dxa"/>
            <w:tcBorders>
              <w:top w:val="single" w:color="auto" w:sz="4" w:space="0"/>
              <w:left w:val="single" w:color="auto" w:sz="4" w:space="0"/>
              <w:bottom w:val="single" w:color="auto" w:sz="12" w:space="0"/>
              <w:right w:val="single" w:color="auto" w:sz="12" w:space="0"/>
              <w:tl2br w:val="nil"/>
              <w:tr2bl w:val="nil"/>
            </w:tcBorders>
            <w:noWrap w:val="0"/>
            <w:vAlign w:val="center"/>
          </w:tcPr>
          <w:p w14:paraId="7B4A471D">
            <w:pPr>
              <w:spacing w:beforeLines="0" w:afterLines="0"/>
              <w:jc w:val="center"/>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1"/>
                <w:szCs w:val="21"/>
              </w:rPr>
              <w:t>符合</w:t>
            </w:r>
          </w:p>
        </w:tc>
      </w:tr>
    </w:tbl>
    <w:p w14:paraId="4B25F0D6">
      <w:pPr>
        <w:spacing w:beforeLines="0" w:afterLines="0"/>
        <w:ind w:firstLine="562" w:firstLineChars="200"/>
        <w:rPr>
          <w:rFonts w:hint="default" w:ascii="Times New Roman" w:hAnsi="Times New Roman" w:eastAsia="宋体" w:cs="Times New Roman"/>
          <w:b/>
          <w:color w:val="auto"/>
          <w:sz w:val="28"/>
          <w:szCs w:val="28"/>
        </w:rPr>
      </w:pPr>
      <w:r>
        <w:rPr>
          <w:rFonts w:hint="default" w:ascii="宋体" w:hAnsi="Times New Roman" w:eastAsia="宋体" w:cs="Times New Roman"/>
          <w:b/>
          <w:color w:val="auto"/>
          <w:sz w:val="28"/>
          <w:szCs w:val="28"/>
        </w:rPr>
        <w:t>评价小结：</w:t>
      </w:r>
    </w:p>
    <w:p w14:paraId="76360461">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r>
        <w:rPr>
          <w:rFonts w:hint="default" w:ascii="宋体" w:hAnsi="Times New Roman" w:eastAsia="宋体" w:cs="Times New Roman"/>
          <w:color w:val="auto"/>
          <w:sz w:val="28"/>
          <w:szCs w:val="28"/>
        </w:rPr>
        <w:t>该检查表中存在不合格项，不符合项为现场无</w:t>
      </w:r>
      <w:r>
        <w:rPr>
          <w:rFonts w:hint="eastAsia" w:ascii="宋体" w:hAnsi="Times New Roman" w:eastAsia="宋体" w:cs="Times New Roman"/>
          <w:color w:val="auto"/>
          <w:sz w:val="28"/>
          <w:szCs w:val="28"/>
          <w:lang w:val="en-US" w:eastAsia="zh-CN"/>
        </w:rPr>
        <w:t>灭火器、灭火毯</w:t>
      </w:r>
      <w:r>
        <w:rPr>
          <w:rFonts w:hint="eastAsia" w:ascii="宋体" w:cs="Times New Roman"/>
          <w:color w:val="auto"/>
          <w:sz w:val="28"/>
          <w:szCs w:val="28"/>
          <w:lang w:val="en-US" w:eastAsia="zh-CN"/>
        </w:rPr>
        <w:t>，油罐为单层油罐，未定期应急演练</w:t>
      </w:r>
      <w:r>
        <w:rPr>
          <w:rFonts w:hint="default" w:ascii="宋体" w:hAnsi="Times New Roman" w:eastAsia="宋体" w:cs="Times New Roman"/>
          <w:color w:val="auto"/>
          <w:sz w:val="28"/>
          <w:szCs w:val="28"/>
        </w:rPr>
        <w:t>。</w:t>
      </w:r>
    </w:p>
    <w:p w14:paraId="1756659A">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23C706EF">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6635D09F">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733AC038">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7F2ED5D8">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6DBB1D91">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037E3189">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4D7B5307">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7BA43975">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6FB7E422">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27B92507">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2B7AD714">
      <w:pPr>
        <w:wordWrap w:val="0"/>
        <w:adjustRightInd w:val="0"/>
        <w:snapToGrid w:val="0"/>
        <w:spacing w:line="600" w:lineRule="exact"/>
        <w:jc w:val="left"/>
        <w:textAlignment w:val="center"/>
        <w:outlineLvl w:val="9"/>
        <w:rPr>
          <w:rFonts w:hint="default" w:ascii="宋体" w:hAnsi="Times New Roman" w:eastAsia="宋体" w:cs="Times New Roman"/>
          <w:color w:val="auto"/>
          <w:sz w:val="28"/>
          <w:szCs w:val="28"/>
        </w:rPr>
      </w:pPr>
    </w:p>
    <w:p w14:paraId="7530305D">
      <w:pPr>
        <w:pStyle w:val="27"/>
        <w:rPr>
          <w:rFonts w:hint="default"/>
        </w:rPr>
      </w:pPr>
    </w:p>
    <w:p w14:paraId="4272CE61">
      <w:pPr>
        <w:wordWrap w:val="0"/>
        <w:adjustRightInd w:val="0"/>
        <w:snapToGrid w:val="0"/>
        <w:spacing w:line="600" w:lineRule="exact"/>
        <w:jc w:val="left"/>
        <w:textAlignment w:val="center"/>
        <w:outlineLvl w:val="0"/>
        <w:rPr>
          <w:rFonts w:hint="eastAsia"/>
          <w:b/>
          <w:bCs w:val="0"/>
          <w:color w:val="000000"/>
          <w:sz w:val="28"/>
          <w:szCs w:val="28"/>
        </w:rPr>
      </w:pPr>
      <w:bookmarkStart w:id="284" w:name="_Toc31744"/>
      <w:r>
        <w:rPr>
          <w:rFonts w:hint="eastAsia"/>
          <w:b/>
          <w:bCs w:val="0"/>
          <w:color w:val="000000"/>
          <w:sz w:val="28"/>
          <w:szCs w:val="28"/>
        </w:rPr>
        <w:t>6安全对策措施</w:t>
      </w:r>
      <w:bookmarkEnd w:id="272"/>
      <w:r>
        <w:rPr>
          <w:rFonts w:hint="eastAsia"/>
          <w:b/>
          <w:bCs w:val="0"/>
          <w:color w:val="000000"/>
          <w:sz w:val="28"/>
          <w:szCs w:val="28"/>
        </w:rPr>
        <w:t>与建议</w:t>
      </w:r>
      <w:bookmarkEnd w:id="273"/>
      <w:bookmarkEnd w:id="274"/>
      <w:bookmarkEnd w:id="275"/>
      <w:bookmarkEnd w:id="276"/>
      <w:bookmarkEnd w:id="284"/>
    </w:p>
    <w:p w14:paraId="16676216">
      <w:pPr>
        <w:wordWrap w:val="0"/>
        <w:adjustRightInd w:val="0"/>
        <w:snapToGrid w:val="0"/>
        <w:spacing w:line="600" w:lineRule="exact"/>
        <w:jc w:val="left"/>
        <w:textAlignment w:val="center"/>
        <w:outlineLvl w:val="9"/>
        <w:rPr>
          <w:rFonts w:hint="eastAsia"/>
          <w:b w:val="0"/>
          <w:bCs/>
          <w:color w:val="000000"/>
          <w:sz w:val="28"/>
          <w:szCs w:val="28"/>
          <w:lang w:val="en-US" w:eastAsia="zh-CN"/>
        </w:rPr>
      </w:pPr>
      <w:r>
        <w:rPr>
          <w:rFonts w:hint="eastAsia"/>
          <w:b/>
          <w:bCs w:val="0"/>
          <w:color w:val="000000"/>
          <w:sz w:val="28"/>
          <w:szCs w:val="28"/>
          <w:lang w:val="en-US" w:eastAsia="zh-CN"/>
        </w:rPr>
        <w:tab/>
      </w:r>
      <w:r>
        <w:rPr>
          <w:rFonts w:hint="eastAsia"/>
          <w:b w:val="0"/>
          <w:bCs/>
          <w:color w:val="000000"/>
          <w:sz w:val="28"/>
          <w:szCs w:val="28"/>
          <w:lang w:val="en-US" w:eastAsia="zh-CN"/>
        </w:rPr>
        <w:t>1、由于该加油站建站后未投入使用，现处于静态管理状态，加油站仍使用单层罐，因此经营之前需完成单层罐变双层罐的改造。同时与加油站配套的消防、安全设施存在落后、老化的情况，加油站在投入使用前应当按照建设项目“三同时”进行施工改造，确保加油站投产运营后可以保障从业人员在生产过程中的安全与健康。</w:t>
      </w:r>
    </w:p>
    <w:p w14:paraId="60411916">
      <w:pPr>
        <w:pStyle w:val="29"/>
        <w:ind w:firstLine="420" w:firstLineChars="0"/>
        <w:outlineLvl w:val="9"/>
        <w:rPr>
          <w:rFonts w:hint="eastAsia"/>
          <w:b w:val="0"/>
          <w:bCs/>
          <w:color w:val="000000"/>
          <w:sz w:val="28"/>
          <w:szCs w:val="28"/>
          <w:lang w:val="en-US" w:eastAsia="zh-CN"/>
        </w:rPr>
      </w:pPr>
      <w:r>
        <w:rPr>
          <w:rFonts w:hint="eastAsia"/>
          <w:b w:val="0"/>
          <w:bCs/>
          <w:color w:val="000000"/>
          <w:sz w:val="28"/>
          <w:szCs w:val="28"/>
          <w:lang w:val="en-US" w:eastAsia="zh-CN"/>
        </w:rPr>
        <w:t>2、加油站需加强加油站应急预案内容演练。</w:t>
      </w:r>
    </w:p>
    <w:p w14:paraId="1169FA8B">
      <w:pPr>
        <w:pStyle w:val="29"/>
        <w:ind w:firstLine="420" w:firstLineChars="0"/>
        <w:outlineLvl w:val="9"/>
        <w:rPr>
          <w:rFonts w:hint="eastAsia"/>
          <w:b w:val="0"/>
          <w:bCs/>
          <w:color w:val="000000"/>
          <w:sz w:val="28"/>
          <w:szCs w:val="28"/>
          <w:lang w:val="en-US" w:eastAsia="zh-CN"/>
        </w:rPr>
      </w:pPr>
      <w:r>
        <w:rPr>
          <w:rFonts w:hint="eastAsia"/>
          <w:b w:val="0"/>
          <w:bCs/>
          <w:color w:val="000000"/>
          <w:sz w:val="28"/>
          <w:szCs w:val="28"/>
          <w:lang w:val="en-US" w:eastAsia="zh-CN"/>
        </w:rPr>
        <w:t>3、加强现场管理工作，定期对员工进行应急消防知识培训，使员工达到懂得如何预防火灾，发生火灾时如何使用消防器材。</w:t>
      </w:r>
    </w:p>
    <w:p w14:paraId="17AC49FC">
      <w:pPr>
        <w:pStyle w:val="29"/>
        <w:ind w:firstLine="420" w:firstLineChars="0"/>
        <w:outlineLvl w:val="9"/>
        <w:rPr>
          <w:rFonts w:hint="eastAsia"/>
          <w:b w:val="0"/>
          <w:bCs/>
          <w:color w:val="000000"/>
          <w:sz w:val="28"/>
          <w:szCs w:val="28"/>
          <w:lang w:val="en-US" w:eastAsia="zh-CN"/>
        </w:rPr>
      </w:pPr>
      <w:r>
        <w:rPr>
          <w:rFonts w:hint="eastAsia"/>
          <w:b w:val="0"/>
          <w:bCs/>
          <w:color w:val="000000"/>
          <w:sz w:val="28"/>
          <w:szCs w:val="28"/>
          <w:lang w:val="en-US" w:eastAsia="zh-CN"/>
        </w:rPr>
        <w:t>4、加油站重新营业前需对本单位工作的新员工要进行安全教育，并对所从事的职业进行培训考核（并进行记录），合格后，持证上岗。</w:t>
      </w:r>
    </w:p>
    <w:p w14:paraId="0E4DE4AA">
      <w:pPr>
        <w:pStyle w:val="29"/>
        <w:ind w:firstLine="420" w:firstLineChars="0"/>
        <w:outlineLvl w:val="9"/>
        <w:rPr>
          <w:rFonts w:hint="eastAsia"/>
          <w:b w:val="0"/>
          <w:bCs/>
          <w:color w:val="000000"/>
          <w:sz w:val="28"/>
          <w:szCs w:val="28"/>
          <w:lang w:val="en-US" w:eastAsia="zh-CN"/>
        </w:rPr>
      </w:pPr>
      <w:r>
        <w:rPr>
          <w:rFonts w:hint="eastAsia"/>
          <w:b w:val="0"/>
          <w:bCs/>
          <w:color w:val="000000"/>
          <w:sz w:val="28"/>
          <w:szCs w:val="28"/>
          <w:lang w:val="en-US" w:eastAsia="zh-CN"/>
        </w:rPr>
        <w:t>5、加油站区域必须禁止明火，禁止吸烟。严格检维修管理制度，营业期间不得使用电气焊、气割。站内爆炸危险区域禁用移动式和携带式电器，严禁使用手机、寻呼机、电脑等非防爆电器。应加强对站内电器使用情况的审查监督，禁止私拉乱接、违章用电。</w:t>
      </w:r>
    </w:p>
    <w:p w14:paraId="78DD8801">
      <w:pPr>
        <w:pStyle w:val="29"/>
        <w:ind w:firstLine="420" w:firstLineChars="0"/>
        <w:outlineLvl w:val="9"/>
        <w:rPr>
          <w:rFonts w:hint="eastAsia"/>
          <w:b w:val="0"/>
          <w:bCs/>
          <w:color w:val="000000"/>
          <w:sz w:val="28"/>
          <w:szCs w:val="28"/>
          <w:lang w:val="en-US" w:eastAsia="zh-CN"/>
        </w:rPr>
      </w:pPr>
      <w:r>
        <w:rPr>
          <w:rFonts w:hint="eastAsia"/>
          <w:b w:val="0"/>
          <w:bCs/>
          <w:color w:val="000000"/>
          <w:sz w:val="28"/>
          <w:szCs w:val="28"/>
          <w:lang w:val="en-US" w:eastAsia="zh-CN"/>
        </w:rPr>
        <w:t>6、进一步加强安全设施、控制设施检测，进一步提高本质安全度，达到安全生产的目的。</w:t>
      </w:r>
    </w:p>
    <w:p w14:paraId="4C9B022F">
      <w:pPr>
        <w:pStyle w:val="29"/>
        <w:ind w:firstLine="420" w:firstLineChars="0"/>
        <w:outlineLvl w:val="9"/>
        <w:rPr>
          <w:rFonts w:hint="eastAsia"/>
          <w:color w:val="000000"/>
          <w:sz w:val="28"/>
          <w:szCs w:val="28"/>
        </w:rPr>
      </w:pPr>
      <w:r>
        <w:rPr>
          <w:rFonts w:hint="eastAsia"/>
          <w:b w:val="0"/>
          <w:bCs/>
          <w:color w:val="000000"/>
          <w:sz w:val="28"/>
          <w:szCs w:val="28"/>
          <w:lang w:val="en-US" w:eastAsia="zh-CN"/>
        </w:rPr>
        <w:t>7、建议在进行投入运营前完成安全隐患整改并确认现场安全生产条件符合要求。按照加油站设备检测检验制度对油罐、加油机、通气管等进行检定。依据法律、法规完善安全生产责任制，通过风险分析更新应急预案内容。</w:t>
      </w:r>
    </w:p>
    <w:p w14:paraId="54C23388">
      <w:pPr>
        <w:outlineLvl w:val="0"/>
        <w:rPr>
          <w:b/>
          <w:color w:val="000000"/>
          <w:sz w:val="32"/>
          <w:szCs w:val="32"/>
        </w:rPr>
      </w:pPr>
      <w:bookmarkStart w:id="293" w:name="_GoBack"/>
      <w:bookmarkEnd w:id="293"/>
      <w:r>
        <w:rPr>
          <w:rFonts w:hint="eastAsia"/>
          <w:color w:val="000000"/>
          <w:sz w:val="28"/>
          <w:szCs w:val="28"/>
          <w:lang w:val="en-US" w:eastAsia="zh-CN"/>
        </w:rPr>
        <w:t xml:space="preserve"> </w:t>
      </w:r>
      <w:bookmarkStart w:id="285" w:name="_Toc120957359"/>
      <w:bookmarkStart w:id="286" w:name="_Toc9083"/>
      <w:bookmarkStart w:id="287" w:name="_Toc25327"/>
      <w:bookmarkStart w:id="288" w:name="_Toc20478"/>
      <w:bookmarkStart w:id="289" w:name="_Toc23685"/>
      <w:r>
        <w:rPr>
          <w:b/>
          <w:color w:val="000000"/>
          <w:sz w:val="28"/>
          <w:szCs w:val="28"/>
        </w:rPr>
        <w:t>7评价结论</w:t>
      </w:r>
      <w:bookmarkEnd w:id="285"/>
      <w:bookmarkEnd w:id="286"/>
      <w:bookmarkEnd w:id="287"/>
      <w:bookmarkEnd w:id="288"/>
      <w:bookmarkEnd w:id="289"/>
    </w:p>
    <w:p w14:paraId="28A36512">
      <w:pPr>
        <w:spacing w:line="600" w:lineRule="exact"/>
        <w:ind w:firstLine="560" w:firstLineChars="200"/>
        <w:rPr>
          <w:b/>
          <w:bCs/>
          <w:color w:val="auto"/>
          <w:sz w:val="28"/>
          <w:szCs w:val="28"/>
        </w:rPr>
      </w:pPr>
      <w:r>
        <w:rPr>
          <w:rFonts w:hint="eastAsia"/>
          <w:color w:val="auto"/>
          <w:sz w:val="28"/>
          <w:szCs w:val="28"/>
        </w:rPr>
        <w:t>1、该加油站为成品油零售企业，属</w:t>
      </w:r>
      <w:r>
        <w:rPr>
          <w:rFonts w:hint="eastAsia" w:ascii="Times New Roman" w:eastAsia="宋体"/>
          <w:color w:val="auto"/>
          <w:sz w:val="28"/>
          <w:szCs w:val="28"/>
          <w:lang w:val="en-US" w:eastAsia="zh-CN"/>
        </w:rPr>
        <w:t>二</w:t>
      </w:r>
      <w:r>
        <w:rPr>
          <w:rFonts w:hint="eastAsia"/>
          <w:color w:val="auto"/>
          <w:sz w:val="28"/>
          <w:szCs w:val="28"/>
        </w:rPr>
        <w:t>级加油站，成品油储罐区和加油区均不构成重大危险源。</w:t>
      </w:r>
    </w:p>
    <w:p w14:paraId="226E5288">
      <w:pPr>
        <w:spacing w:line="560" w:lineRule="exact"/>
        <w:ind w:firstLine="560" w:firstLineChars="200"/>
        <w:rPr>
          <w:color w:val="auto"/>
          <w:sz w:val="28"/>
          <w:szCs w:val="28"/>
        </w:rPr>
      </w:pPr>
      <w:r>
        <w:rPr>
          <w:color w:val="auto"/>
          <w:sz w:val="28"/>
          <w:szCs w:val="28"/>
        </w:rPr>
        <w:t>2</w:t>
      </w:r>
      <w:r>
        <w:rPr>
          <w:rFonts w:hint="eastAsia"/>
          <w:color w:val="auto"/>
          <w:sz w:val="28"/>
          <w:szCs w:val="28"/>
        </w:rPr>
        <w:t>、该加油站危险度评价，油储罐区为中度危险，</w:t>
      </w:r>
      <w:r>
        <w:rPr>
          <w:color w:val="auto"/>
          <w:sz w:val="28"/>
          <w:szCs w:val="28"/>
        </w:rPr>
        <w:t>由于加油站采用埋地油罐、密封操作、高低液位报警、防渗漏检测等措施，危险有害程度能控制在可接受的范围</w:t>
      </w:r>
      <w:r>
        <w:rPr>
          <w:rFonts w:hint="eastAsia"/>
          <w:color w:val="auto"/>
          <w:sz w:val="28"/>
          <w:szCs w:val="28"/>
        </w:rPr>
        <w:t>，符合要求。</w:t>
      </w:r>
    </w:p>
    <w:p w14:paraId="16CB51AD">
      <w:pPr>
        <w:spacing w:line="600" w:lineRule="exact"/>
        <w:ind w:firstLine="560" w:firstLineChars="200"/>
        <w:rPr>
          <w:rFonts w:hint="default" w:eastAsia="宋体"/>
          <w:color w:val="auto"/>
          <w:sz w:val="28"/>
          <w:szCs w:val="28"/>
          <w:lang w:val="en-US" w:eastAsia="zh-CN"/>
        </w:rPr>
      </w:pPr>
      <w:r>
        <w:rPr>
          <w:rFonts w:hint="eastAsia"/>
          <w:color w:val="auto"/>
          <w:sz w:val="28"/>
          <w:szCs w:val="28"/>
        </w:rPr>
        <w:t>3、该加油站平面布置、建筑结构、符合国家和行业相关标准、规范的要求。消防</w:t>
      </w:r>
      <w:r>
        <w:rPr>
          <w:rFonts w:hint="eastAsia"/>
          <w:color w:val="auto"/>
          <w:sz w:val="28"/>
          <w:szCs w:val="28"/>
          <w:lang w:val="en-US" w:eastAsia="zh-CN"/>
        </w:rPr>
        <w:t>及</w:t>
      </w:r>
      <w:r>
        <w:rPr>
          <w:rFonts w:hint="eastAsia"/>
          <w:color w:val="auto"/>
          <w:sz w:val="28"/>
          <w:szCs w:val="28"/>
        </w:rPr>
        <w:t>安全设施</w:t>
      </w:r>
      <w:r>
        <w:rPr>
          <w:rFonts w:hint="eastAsia"/>
          <w:color w:val="auto"/>
          <w:sz w:val="28"/>
          <w:szCs w:val="28"/>
          <w:lang w:val="en-US" w:eastAsia="zh-CN"/>
        </w:rPr>
        <w:t>应在经营前完成改造、升级。</w:t>
      </w:r>
    </w:p>
    <w:p w14:paraId="3158D06F">
      <w:pPr>
        <w:spacing w:line="600" w:lineRule="exact"/>
        <w:ind w:firstLine="560" w:firstLineChars="200"/>
        <w:rPr>
          <w:rFonts w:hint="default" w:eastAsia="宋体"/>
          <w:color w:val="auto"/>
          <w:sz w:val="28"/>
          <w:szCs w:val="28"/>
          <w:lang w:val="en-US" w:eastAsia="zh-CN"/>
        </w:rPr>
      </w:pPr>
      <w:r>
        <w:rPr>
          <w:rFonts w:hint="eastAsia"/>
          <w:color w:val="auto"/>
          <w:sz w:val="28"/>
          <w:szCs w:val="28"/>
        </w:rPr>
        <w:t>4、该加油站安全生产管理制度</w:t>
      </w:r>
      <w:r>
        <w:rPr>
          <w:rFonts w:hint="eastAsia"/>
          <w:color w:val="auto"/>
          <w:sz w:val="28"/>
          <w:szCs w:val="28"/>
          <w:lang w:eastAsia="zh-CN"/>
        </w:rPr>
        <w:t>、</w:t>
      </w:r>
      <w:r>
        <w:rPr>
          <w:rFonts w:hint="eastAsia"/>
          <w:color w:val="auto"/>
          <w:sz w:val="28"/>
          <w:szCs w:val="28"/>
          <w:lang w:val="en-US" w:eastAsia="zh-CN"/>
        </w:rPr>
        <w:t>应急预案等存在不足，应当按照给出的建议重新完善。</w:t>
      </w:r>
    </w:p>
    <w:p w14:paraId="7A879A28">
      <w:pPr>
        <w:spacing w:line="600" w:lineRule="exact"/>
        <w:ind w:firstLine="560" w:firstLineChars="200"/>
        <w:rPr>
          <w:rFonts w:hint="default" w:eastAsia="宋体"/>
          <w:color w:val="auto"/>
          <w:sz w:val="28"/>
          <w:szCs w:val="28"/>
          <w:lang w:val="en-US" w:eastAsia="zh-CN"/>
        </w:rPr>
      </w:pPr>
      <w:r>
        <w:rPr>
          <w:rFonts w:hint="eastAsia"/>
          <w:color w:val="auto"/>
          <w:sz w:val="28"/>
          <w:szCs w:val="28"/>
        </w:rPr>
        <w:t>5、</w:t>
      </w:r>
      <w:r>
        <w:rPr>
          <w:rFonts w:hint="eastAsia"/>
          <w:color w:val="auto"/>
          <w:sz w:val="28"/>
          <w:szCs w:val="28"/>
          <w:lang w:val="en-US" w:eastAsia="zh-CN"/>
        </w:rPr>
        <w:t>该加油站平面布置、建筑结构、消防、安全设施符合国家和行业相关标准、规范的要求。</w:t>
      </w:r>
    </w:p>
    <w:p w14:paraId="17568882">
      <w:pPr>
        <w:ind w:firstLine="420" w:firstLineChars="0"/>
        <w:rPr>
          <w:rFonts w:hint="default"/>
          <w:color w:val="auto"/>
          <w:sz w:val="28"/>
          <w:szCs w:val="28"/>
          <w:lang w:val="en-US"/>
        </w:rPr>
      </w:pPr>
      <w:r>
        <w:rPr>
          <w:rFonts w:hint="eastAsia" w:ascii="宋体" w:hAnsi="宋体"/>
          <w:b/>
          <w:bCs/>
          <w:color w:val="auto"/>
          <w:sz w:val="28"/>
          <w:szCs w:val="28"/>
        </w:rPr>
        <w:t>综合所述：</w:t>
      </w:r>
      <w:r>
        <w:rPr>
          <w:rFonts w:hint="eastAsia"/>
          <w:b/>
          <w:color w:val="auto"/>
          <w:sz w:val="28"/>
          <w:szCs w:val="28"/>
        </w:rPr>
        <w:t>该加油站</w:t>
      </w:r>
      <w:r>
        <w:rPr>
          <w:rFonts w:hint="eastAsia"/>
          <w:b/>
          <w:color w:val="auto"/>
          <w:sz w:val="28"/>
          <w:szCs w:val="28"/>
          <w:lang w:val="en-US" w:eastAsia="zh-CN"/>
        </w:rPr>
        <w:t>现有的安全风险可控，在开展生产经营活动前需按照相关法律、法规重新完成同时设计、同时施工、同时投入生产和使用的“三同时”评价的程序，同时保证该站的安全设备设施和建立健全安全管理体系、制度等，明确加油站符合危险化学品经营单位安全条件的要求方可投入运营。</w:t>
      </w:r>
    </w:p>
    <w:p w14:paraId="6CBB3F44">
      <w:pPr>
        <w:rPr>
          <w:rFonts w:hint="eastAsia"/>
          <w:color w:val="auto"/>
          <w:sz w:val="28"/>
          <w:szCs w:val="28"/>
        </w:rPr>
      </w:pPr>
      <w:r>
        <w:rPr>
          <w:rFonts w:hint="eastAsia"/>
          <w:color w:val="auto"/>
          <w:sz w:val="28"/>
          <w:szCs w:val="28"/>
        </w:rPr>
        <w:br w:type="page"/>
      </w:r>
    </w:p>
    <w:p w14:paraId="79D8C268">
      <w:pPr>
        <w:rPr>
          <w:rFonts w:hint="eastAsia"/>
          <w:b/>
          <w:bCs/>
          <w:lang w:val="en-US" w:eastAsia="zh-CN"/>
        </w:rPr>
      </w:pPr>
      <w:r>
        <w:rPr>
          <w:rFonts w:hint="eastAsia"/>
          <w:b/>
          <w:bCs/>
          <w:lang w:val="en-US" w:eastAsia="zh-CN"/>
        </w:rPr>
        <w:t>现场勘测照片</w:t>
      </w:r>
    </w:p>
    <w:p w14:paraId="00C8C45C">
      <w:pPr>
        <w:rPr>
          <w:rFonts w:hint="default"/>
          <w:lang w:val="en-US" w:eastAsia="zh-CN"/>
        </w:rPr>
      </w:pPr>
      <w:r>
        <w:rPr>
          <w:rFonts w:hint="default"/>
          <w:lang w:val="en-US" w:eastAsia="zh-CN"/>
        </w:rPr>
        <w:drawing>
          <wp:inline distT="0" distB="0" distL="114300" distR="114300">
            <wp:extent cx="5217160" cy="3926205"/>
            <wp:effectExtent l="0" t="0" r="0" b="0"/>
            <wp:docPr id="96" name="图片 96" descr="f89d6b804ca43a6c9d09af3c91362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89d6b804ca43a6c9d09af3c9136220d"/>
                    <pic:cNvPicPr>
                      <a:picLocks noChangeAspect="1"/>
                    </pic:cNvPicPr>
                  </pic:nvPicPr>
                  <pic:blipFill>
                    <a:blip r:embed="rId19"/>
                    <a:srcRect r="988" b="10882"/>
                    <a:stretch>
                      <a:fillRect/>
                    </a:stretch>
                  </pic:blipFill>
                  <pic:spPr>
                    <a:xfrm>
                      <a:off x="0" y="0"/>
                      <a:ext cx="5217160" cy="3926205"/>
                    </a:xfrm>
                    <a:prstGeom prst="rect">
                      <a:avLst/>
                    </a:prstGeom>
                  </pic:spPr>
                </pic:pic>
              </a:graphicData>
            </a:graphic>
          </wp:inline>
        </w:drawing>
      </w:r>
    </w:p>
    <w:p w14:paraId="53BFEAD7">
      <w:pPr>
        <w:rPr>
          <w:rFonts w:hint="eastAsia"/>
          <w:lang w:val="en-US" w:eastAsia="zh-CN"/>
        </w:rPr>
      </w:pPr>
    </w:p>
    <w:p w14:paraId="5CBCE3CE">
      <w:pPr>
        <w:pStyle w:val="19"/>
        <w:rPr>
          <w:rFonts w:hint="eastAsia"/>
          <w:lang w:val="en-US" w:eastAsia="zh-CN"/>
        </w:rPr>
      </w:pPr>
    </w:p>
    <w:p w14:paraId="07E2520F">
      <w:pPr>
        <w:rPr>
          <w:rFonts w:hint="eastAsia"/>
          <w:lang w:val="en-US" w:eastAsia="zh-CN"/>
        </w:rPr>
      </w:pPr>
    </w:p>
    <w:p w14:paraId="5BDEE631">
      <w:pPr>
        <w:pStyle w:val="19"/>
        <w:rPr>
          <w:rFonts w:hint="eastAsia"/>
          <w:lang w:val="en-US" w:eastAsia="zh-CN"/>
        </w:rPr>
      </w:pPr>
    </w:p>
    <w:p w14:paraId="7BA57050">
      <w:pPr>
        <w:rPr>
          <w:rFonts w:hint="eastAsia"/>
          <w:lang w:val="en-US" w:eastAsia="zh-CN"/>
        </w:rPr>
      </w:pPr>
    </w:p>
    <w:p w14:paraId="4CD85F3A">
      <w:pPr>
        <w:pStyle w:val="19"/>
        <w:rPr>
          <w:rFonts w:hint="eastAsia"/>
          <w:lang w:val="en-US" w:eastAsia="zh-CN"/>
        </w:rPr>
      </w:pPr>
    </w:p>
    <w:p w14:paraId="2ACA0D9D">
      <w:pPr>
        <w:rPr>
          <w:rFonts w:hint="eastAsia"/>
          <w:lang w:val="en-US" w:eastAsia="zh-CN"/>
        </w:rPr>
      </w:pPr>
    </w:p>
    <w:p w14:paraId="249DC30C">
      <w:pPr>
        <w:pStyle w:val="19"/>
        <w:rPr>
          <w:rFonts w:hint="eastAsia"/>
          <w:lang w:val="en-US" w:eastAsia="zh-CN"/>
        </w:rPr>
      </w:pPr>
    </w:p>
    <w:p w14:paraId="25E4C953">
      <w:pPr>
        <w:rPr>
          <w:rFonts w:hint="eastAsia"/>
          <w:lang w:val="en-US" w:eastAsia="zh-CN"/>
        </w:rPr>
      </w:pPr>
    </w:p>
    <w:p w14:paraId="30E3D1F9">
      <w:pPr>
        <w:pStyle w:val="19"/>
        <w:rPr>
          <w:rFonts w:hint="eastAsia"/>
          <w:lang w:val="en-US" w:eastAsia="zh-CN"/>
        </w:rPr>
      </w:pPr>
    </w:p>
    <w:p w14:paraId="05920616">
      <w:pPr>
        <w:pStyle w:val="2"/>
        <w:bidi w:val="0"/>
        <w:rPr>
          <w:rFonts w:hint="default" w:ascii="Times New Roman" w:hAnsi="Times New Roman" w:eastAsia="宋体" w:cs="Times New Roman"/>
          <w:lang w:val="en-US" w:eastAsia="zh-CN"/>
        </w:rPr>
      </w:pPr>
      <w:bookmarkStart w:id="290" w:name="_Toc4268"/>
      <w:bookmarkStart w:id="291" w:name="_Toc16051"/>
      <w:bookmarkStart w:id="292" w:name="_Toc2777"/>
      <w:r>
        <w:rPr>
          <w:rFonts w:hint="eastAsia" w:ascii="Times New Roman" w:hAnsi="Times New Roman" w:eastAsia="宋体" w:cs="Times New Roman"/>
          <w:lang w:val="en-US" w:eastAsia="zh-CN"/>
        </w:rPr>
        <w:t xml:space="preserve">8 </w:t>
      </w:r>
      <w:r>
        <w:rPr>
          <w:rFonts w:hint="default" w:ascii="Times New Roman" w:hAnsi="Times New Roman" w:eastAsia="宋体" w:cs="Times New Roman"/>
          <w:lang w:val="en-US" w:eastAsia="zh-CN"/>
        </w:rPr>
        <w:t>附件</w:t>
      </w:r>
      <w:bookmarkEnd w:id="290"/>
      <w:bookmarkEnd w:id="291"/>
      <w:bookmarkEnd w:id="292"/>
    </w:p>
    <w:p w14:paraId="277DEFA1">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营业执照</w:t>
      </w:r>
    </w:p>
    <w:p w14:paraId="431AEF54">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成品油零售经营批准证书</w:t>
      </w:r>
    </w:p>
    <w:p w14:paraId="49F186F4">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危险化学品经营许可证</w:t>
      </w:r>
    </w:p>
    <w:p w14:paraId="73B5236F">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土地使用证</w:t>
      </w:r>
    </w:p>
    <w:p w14:paraId="7652EF3A">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消防验收意见书</w:t>
      </w:r>
    </w:p>
    <w:p w14:paraId="20C1493B">
      <w:pPr>
        <w:numPr>
          <w:ilvl w:val="0"/>
          <w:numId w:val="3"/>
        </w:numPr>
        <w:spacing w:beforeLines="0" w:afterLines="0" w:line="560" w:lineRule="exact"/>
        <w:rPr>
          <w:rFonts w:hint="default" w:ascii="宋体" w:hAnsi="Times New Roman" w:eastAsia="宋体" w:cs="Times New Roman"/>
          <w:color w:val="auto"/>
          <w:sz w:val="28"/>
          <w:szCs w:val="28"/>
        </w:rPr>
      </w:pPr>
      <w:r>
        <w:rPr>
          <w:rFonts w:hint="default" w:ascii="宋体" w:hAnsi="Times New Roman" w:eastAsia="宋体" w:cs="Times New Roman"/>
          <w:color w:val="auto"/>
          <w:sz w:val="28"/>
          <w:szCs w:val="28"/>
        </w:rPr>
        <w:t>应急预案备案登记表</w:t>
      </w:r>
    </w:p>
    <w:p w14:paraId="7120D734">
      <w:pPr>
        <w:numPr>
          <w:ilvl w:val="0"/>
          <w:numId w:val="3"/>
        </w:numPr>
        <w:spacing w:beforeLines="0" w:afterLines="0" w:line="560" w:lineRule="exact"/>
        <w:rPr>
          <w:rFonts w:hint="default" w:ascii="宋体" w:hAnsi="Times New Roman" w:eastAsia="宋体" w:cs="Times New Roman"/>
          <w:color w:val="auto"/>
          <w:sz w:val="28"/>
          <w:szCs w:val="28"/>
        </w:rPr>
      </w:pPr>
      <w:r>
        <w:rPr>
          <w:rFonts w:hint="default" w:ascii="宋体" w:hAnsi="Times New Roman" w:eastAsia="宋体" w:cs="Times New Roman"/>
          <w:color w:val="auto"/>
          <w:sz w:val="28"/>
          <w:szCs w:val="28"/>
        </w:rPr>
        <w:t>安全生产管理制度、操作规程</w:t>
      </w:r>
    </w:p>
    <w:p w14:paraId="10361870">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default" w:ascii="宋体" w:hAnsi="Times New Roman" w:eastAsia="宋体" w:cs="Times New Roman"/>
          <w:color w:val="auto"/>
          <w:sz w:val="28"/>
          <w:szCs w:val="28"/>
        </w:rPr>
        <w:t>主要负责人和安全管理人员考核合格证</w:t>
      </w:r>
    </w:p>
    <w:p w14:paraId="53A7662A">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eastAsia" w:cs="Times New Roman"/>
          <w:color w:val="auto"/>
          <w:sz w:val="28"/>
          <w:szCs w:val="28"/>
          <w:lang w:val="en-US" w:eastAsia="zh-CN"/>
        </w:rPr>
        <w:t>教育培训记录</w:t>
      </w:r>
    </w:p>
    <w:p w14:paraId="0C840414">
      <w:pPr>
        <w:numPr>
          <w:ilvl w:val="0"/>
          <w:numId w:val="3"/>
        </w:numPr>
        <w:spacing w:beforeLines="0" w:afterLines="0" w:line="560" w:lineRule="exact"/>
        <w:rPr>
          <w:rFonts w:hint="default" w:ascii="Times New Roman" w:hAnsi="Times New Roman" w:eastAsia="宋体" w:cs="Times New Roman"/>
          <w:color w:val="auto"/>
          <w:sz w:val="28"/>
          <w:szCs w:val="28"/>
        </w:rPr>
      </w:pPr>
      <w:r>
        <w:rPr>
          <w:rFonts w:hint="eastAsia" w:cs="Times New Roman"/>
          <w:color w:val="auto"/>
          <w:sz w:val="28"/>
          <w:szCs w:val="28"/>
          <w:lang w:val="en-US" w:eastAsia="zh-CN"/>
        </w:rPr>
        <w:t>承诺书</w:t>
      </w:r>
    </w:p>
    <w:p w14:paraId="71AD4139">
      <w:pPr>
        <w:numPr>
          <w:ilvl w:val="0"/>
          <w:numId w:val="3"/>
        </w:numPr>
        <w:spacing w:beforeLines="0" w:afterLines="0" w:line="560" w:lineRule="exact"/>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8"/>
          <w:szCs w:val="28"/>
        </w:rPr>
        <w:t>防雷装置质量检测检验报告</w:t>
      </w:r>
    </w:p>
    <w:p w14:paraId="0A964A7C">
      <w:pPr>
        <w:numPr>
          <w:ilvl w:val="0"/>
          <w:numId w:val="3"/>
        </w:numPr>
        <w:spacing w:beforeLines="0" w:afterLines="0" w:line="560" w:lineRule="exact"/>
        <w:rPr>
          <w:rFonts w:hint="default" w:ascii="Times New Roman" w:hAnsi="Times New Roman" w:eastAsia="宋体" w:cs="Times New Roman"/>
          <w:color w:val="auto"/>
          <w:sz w:val="28"/>
          <w:szCs w:val="24"/>
        </w:rPr>
      </w:pPr>
      <w:r>
        <w:rPr>
          <w:rFonts w:hint="default" w:ascii="宋体" w:hAnsi="Times New Roman" w:eastAsia="宋体" w:cs="Times New Roman"/>
          <w:color w:val="auto"/>
          <w:sz w:val="28"/>
          <w:szCs w:val="28"/>
        </w:rPr>
        <w:t>总平面布置图</w:t>
      </w:r>
    </w:p>
    <w:p w14:paraId="69FE1070">
      <w:pPr>
        <w:pStyle w:val="19"/>
        <w:ind w:left="0" w:leftChars="0" w:firstLine="0" w:firstLineChars="0"/>
        <w:rPr>
          <w:rFonts w:hint="eastAsia"/>
          <w:lang w:val="en-US" w:eastAsia="zh-CN"/>
        </w:rPr>
      </w:pPr>
    </w:p>
    <w:sectPr>
      <w:headerReference r:id="rId11" w:type="default"/>
      <w:footerReference r:id="rId12"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HiddenHorzOCR">
    <w:altName w:val="MS Gothic"/>
    <w:panose1 w:val="00000000000000000000"/>
    <w:charset w:val="80"/>
    <w:family w:val="auto"/>
    <w:pitch w:val="default"/>
    <w:sig w:usb0="00000000" w:usb1="00000000" w:usb2="00000010" w:usb3="00000000" w:csb0="0002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B23E2">
    <w:pPr>
      <w:pStyle w:val="11"/>
      <w:pBdr>
        <w:top w:val="single" w:color="auto" w:sz="4" w:space="1"/>
      </w:pBdr>
      <w:jc w:val="both"/>
      <w:rPr>
        <w:rFonts w:hint="eastAsia"/>
      </w:rPr>
    </w:pPr>
    <w:r>
      <w:rPr>
        <w:rFonts w:hint="eastAsia"/>
        <w:kern w:val="0"/>
        <w:szCs w:val="21"/>
      </w:rPr>
      <w:t xml:space="preserve">江西赣安安全生产科学技术咨询服务中心                                          </w:t>
    </w:r>
    <w:r>
      <w:rPr>
        <w:kern w:val="0"/>
        <w:szCs w:val="21"/>
      </w:rPr>
      <w:t>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8271B">
    <w:pPr>
      <w:pStyle w:val="11"/>
      <w:framePr w:wrap="around" w:vAnchor="text" w:hAnchor="margin" w:xAlign="center" w:y="1"/>
      <w:rPr>
        <w:rStyle w:val="24"/>
      </w:rPr>
    </w:pPr>
    <w:r>
      <w:fldChar w:fldCharType="begin"/>
    </w:r>
    <w:r>
      <w:rPr>
        <w:rStyle w:val="24"/>
      </w:rPr>
      <w:instrText xml:space="preserve">PAGE  </w:instrText>
    </w:r>
    <w:r>
      <w:fldChar w:fldCharType="end"/>
    </w:r>
  </w:p>
  <w:p w14:paraId="2DEC8A7B">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21A66">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D424">
    <w:pPr>
      <w:pStyle w:val="11"/>
      <w:pBdr>
        <w:top w:val="single" w:color="auto" w:sz="4" w:space="1"/>
      </w:pBdr>
      <w:jc w:val="both"/>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AB8A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47AB8A8">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kern w:val="0"/>
        <w:szCs w:val="21"/>
      </w:rPr>
      <w:t xml:space="preserve">江西赣安安全生产科学技术咨询服务中心                                          </w:t>
    </w:r>
    <w:r>
      <w:rPr>
        <w:kern w:val="0"/>
        <w:szCs w:val="21"/>
      </w:rPr>
      <w:t>APJ-（赣）-002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54094">
    <w:pPr>
      <w:pStyle w:val="11"/>
      <w:pBdr>
        <w:top w:val="single" w:color="auto" w:sz="4" w:space="1"/>
      </w:pBdr>
      <w:jc w:val="both"/>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737A9">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CD737A9">
                    <w:pPr>
                      <w:pStyle w:val="11"/>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kern w:val="0"/>
        <w:szCs w:val="21"/>
      </w:rPr>
      <w:t xml:space="preserve">江西赣安安全生产科学技术咨询服务中心                                          </w:t>
    </w:r>
    <w:r>
      <w:rPr>
        <w:kern w:val="0"/>
        <w:szCs w:val="21"/>
      </w:rPr>
      <w:t>APJ-（赣）-002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0BDAB">
    <w:pPr>
      <w:pStyle w:val="13"/>
      <w:pBdr>
        <w:bottom w:val="single" w:color="auto" w:sz="6" w:space="0"/>
      </w:pBdr>
      <w:jc w:val="left"/>
      <w:rPr>
        <w:rFonts w:hint="eastAsia"/>
      </w:rPr>
    </w:pPr>
    <w:r>
      <w:rPr>
        <w:rFonts w:hint="eastAsia"/>
        <w:lang w:val="en-US" w:eastAsia="zh-CN"/>
      </w:rPr>
      <w:t xml:space="preserve">鄱阳县昌洲宏图加油站安全现状评价报告                                       GAAP[2023]0258号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14B3">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D506">
    <w:pPr>
      <w:pStyle w:val="13"/>
      <w:pBdr>
        <w:bottom w:val="none" w:color="auto" w:sz="0" w:space="0"/>
      </w:pBdr>
      <w:jc w:val="left"/>
      <w:rPr>
        <w:rFonts w:hint="eastAsia"/>
        <w:color w:val="FF0000"/>
        <w:lang w:val="en-US" w:eastAsia="zh-CN"/>
      </w:rPr>
    </w:pPr>
    <w:r>
      <w:rPr>
        <w:rFonts w:hint="eastAsia"/>
        <w:lang w:val="en-US" w:eastAsia="zh-CN"/>
      </w:rPr>
      <w:t xml:space="preserve">      </w:t>
    </w:r>
  </w:p>
  <w:p w14:paraId="2CDED8F6">
    <w:pPr>
      <w:pStyle w:val="13"/>
      <w:pBdr>
        <w:bottom w:val="none" w:color="auto" w:sz="0" w:space="0"/>
      </w:pBdr>
      <w:jc w:val="both"/>
      <w:rPr>
        <w:rFonts w:hint="eastAsia" w:eastAsia="宋体"/>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D3833">
    <w:pPr>
      <w:pStyle w:val="13"/>
      <w:pBdr>
        <w:bottom w:val="single" w:color="auto" w:sz="6" w:space="0"/>
      </w:pBdr>
      <w:jc w:val="left"/>
      <w:rPr>
        <w:rFonts w:hint="eastAsia"/>
      </w:rPr>
    </w:pPr>
    <w:r>
      <w:rPr>
        <w:rFonts w:hint="eastAsia"/>
        <w:lang w:val="en-US" w:eastAsia="zh-CN"/>
      </w:rPr>
      <w:t xml:space="preserve">鄱阳县昌洲宏图加油站安全现状评价报告                                       GAAP[2026]0124号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B5EE2">
    <w:pPr>
      <w:pStyle w:val="13"/>
      <w:pBdr>
        <w:bottom w:val="single" w:color="auto" w:sz="6" w:space="0"/>
      </w:pBdr>
      <w:jc w:val="left"/>
      <w:rPr>
        <w:rFonts w:hint="eastAsia"/>
      </w:rPr>
    </w:pPr>
    <w:r>
      <w:rPr>
        <w:rFonts w:hint="eastAsia"/>
        <w:lang w:val="en-US" w:eastAsia="zh-CN"/>
      </w:rPr>
      <w:t xml:space="preserve">鄱阳县昌洲宏图加油站安全现状评价报告                                       GAAP[2026]0124号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5AD635"/>
    <w:multiLevelType w:val="multilevel"/>
    <w:tmpl w:val="215AD635"/>
    <w:lvl w:ilvl="0" w:tentative="0">
      <w:start w:val="1"/>
      <w:numFmt w:val="decimal"/>
      <w:suff w:val="space"/>
      <w:lvlText w:val="%1."/>
      <w:lvlJc w:val="left"/>
      <w:pPr>
        <w:ind w:left="425" w:hanging="425"/>
      </w:pPr>
      <w:rPr>
        <w:rFonts w:hint="default"/>
        <w:sz w:val="28"/>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4A4EAEEA"/>
    <w:multiLevelType w:val="singleLevel"/>
    <w:tmpl w:val="4A4EAEEA"/>
    <w:lvl w:ilvl="0" w:tentative="0">
      <w:start w:val="1"/>
      <w:numFmt w:val="decimal"/>
      <w:lvlText w:val="%1."/>
      <w:lvlJc w:val="left"/>
      <w:pPr>
        <w:ind w:left="425" w:hanging="425"/>
      </w:pPr>
      <w:rPr>
        <w:rFonts w:hint="default"/>
      </w:rPr>
    </w:lvl>
  </w:abstractNum>
  <w:abstractNum w:abstractNumId="2">
    <w:nsid w:val="5E60FCAC"/>
    <w:multiLevelType w:val="multilevel"/>
    <w:tmpl w:val="5E60FCAC"/>
    <w:lvl w:ilvl="0" w:tentative="0">
      <w:start w:val="1"/>
      <w:numFmt w:val="decimal"/>
      <w:suff w:val="nothing"/>
      <w:lvlText w:val="%1"/>
      <w:lvlJc w:val="left"/>
      <w:pPr>
        <w:ind w:left="0" w:firstLine="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YWUxNGNmMmUyZTIxY2FmM2YyMWFiMjM3Y2U3MzAifQ=="/>
  </w:docVars>
  <w:rsids>
    <w:rsidRoot w:val="00172A27"/>
    <w:rsid w:val="00416146"/>
    <w:rsid w:val="029801C5"/>
    <w:rsid w:val="02AC4538"/>
    <w:rsid w:val="04A71F9A"/>
    <w:rsid w:val="04EE72A6"/>
    <w:rsid w:val="0591547A"/>
    <w:rsid w:val="068C5C42"/>
    <w:rsid w:val="06B87F7D"/>
    <w:rsid w:val="06CD7489"/>
    <w:rsid w:val="06EB43EB"/>
    <w:rsid w:val="078C5230"/>
    <w:rsid w:val="08CE427A"/>
    <w:rsid w:val="0A792655"/>
    <w:rsid w:val="0B9E6BC0"/>
    <w:rsid w:val="0C3E5407"/>
    <w:rsid w:val="0CA86EA6"/>
    <w:rsid w:val="11C90E3E"/>
    <w:rsid w:val="12635E38"/>
    <w:rsid w:val="12E8155E"/>
    <w:rsid w:val="15477425"/>
    <w:rsid w:val="15C9590B"/>
    <w:rsid w:val="17A252C5"/>
    <w:rsid w:val="18E722A0"/>
    <w:rsid w:val="1A732F49"/>
    <w:rsid w:val="1B2341A7"/>
    <w:rsid w:val="1BA710FC"/>
    <w:rsid w:val="1CF27B0C"/>
    <w:rsid w:val="1D197EDF"/>
    <w:rsid w:val="256F45CB"/>
    <w:rsid w:val="25D96410"/>
    <w:rsid w:val="261944E1"/>
    <w:rsid w:val="26664D95"/>
    <w:rsid w:val="28AF7842"/>
    <w:rsid w:val="291B2ACB"/>
    <w:rsid w:val="2955745C"/>
    <w:rsid w:val="2AFB4BDF"/>
    <w:rsid w:val="2B090037"/>
    <w:rsid w:val="2B4813D9"/>
    <w:rsid w:val="2B603075"/>
    <w:rsid w:val="2D012C77"/>
    <w:rsid w:val="2D2B1461"/>
    <w:rsid w:val="2F1C72CD"/>
    <w:rsid w:val="30077CA9"/>
    <w:rsid w:val="30423E45"/>
    <w:rsid w:val="30A9101A"/>
    <w:rsid w:val="32566F80"/>
    <w:rsid w:val="329A48F0"/>
    <w:rsid w:val="3303652C"/>
    <w:rsid w:val="331A3C93"/>
    <w:rsid w:val="339C3863"/>
    <w:rsid w:val="33A03D4C"/>
    <w:rsid w:val="34FF4267"/>
    <w:rsid w:val="37C231C6"/>
    <w:rsid w:val="37E00FFB"/>
    <w:rsid w:val="380F5C07"/>
    <w:rsid w:val="381661A1"/>
    <w:rsid w:val="393F7FC9"/>
    <w:rsid w:val="39455658"/>
    <w:rsid w:val="39DC5EA4"/>
    <w:rsid w:val="3A4D0C68"/>
    <w:rsid w:val="3B273F0F"/>
    <w:rsid w:val="3B4F19E2"/>
    <w:rsid w:val="3D4A148F"/>
    <w:rsid w:val="3E625A65"/>
    <w:rsid w:val="40240583"/>
    <w:rsid w:val="408A0203"/>
    <w:rsid w:val="419158DF"/>
    <w:rsid w:val="44580936"/>
    <w:rsid w:val="448B3038"/>
    <w:rsid w:val="451E70F3"/>
    <w:rsid w:val="463C42EF"/>
    <w:rsid w:val="46FD6304"/>
    <w:rsid w:val="471D6BB8"/>
    <w:rsid w:val="49A73839"/>
    <w:rsid w:val="4A4C0D1F"/>
    <w:rsid w:val="4B601199"/>
    <w:rsid w:val="4BE45903"/>
    <w:rsid w:val="4C746DC9"/>
    <w:rsid w:val="4D4001B9"/>
    <w:rsid w:val="4D9B1A27"/>
    <w:rsid w:val="4DB3158F"/>
    <w:rsid w:val="4EC63291"/>
    <w:rsid w:val="4F0F4F47"/>
    <w:rsid w:val="4F552FB6"/>
    <w:rsid w:val="524C5D50"/>
    <w:rsid w:val="527C37E2"/>
    <w:rsid w:val="52963E07"/>
    <w:rsid w:val="529F0F39"/>
    <w:rsid w:val="54992FD0"/>
    <w:rsid w:val="54DD1CC8"/>
    <w:rsid w:val="55C41D8A"/>
    <w:rsid w:val="56D30ED9"/>
    <w:rsid w:val="584963B9"/>
    <w:rsid w:val="5C6B44B1"/>
    <w:rsid w:val="5CD46325"/>
    <w:rsid w:val="5DF0720C"/>
    <w:rsid w:val="609234FA"/>
    <w:rsid w:val="62527017"/>
    <w:rsid w:val="628F2C23"/>
    <w:rsid w:val="62C0665A"/>
    <w:rsid w:val="63E82B17"/>
    <w:rsid w:val="65BC08CD"/>
    <w:rsid w:val="673A3EE9"/>
    <w:rsid w:val="67C955A3"/>
    <w:rsid w:val="68BB3DB9"/>
    <w:rsid w:val="690643FC"/>
    <w:rsid w:val="6B3D425E"/>
    <w:rsid w:val="6B6B51D0"/>
    <w:rsid w:val="6DA9506F"/>
    <w:rsid w:val="6E873EE3"/>
    <w:rsid w:val="6E937627"/>
    <w:rsid w:val="6EFE3D04"/>
    <w:rsid w:val="70854EF8"/>
    <w:rsid w:val="716F0EE9"/>
    <w:rsid w:val="72153D83"/>
    <w:rsid w:val="728A34DD"/>
    <w:rsid w:val="74125026"/>
    <w:rsid w:val="74206713"/>
    <w:rsid w:val="742B27F3"/>
    <w:rsid w:val="74715828"/>
    <w:rsid w:val="75685A1E"/>
    <w:rsid w:val="774C10F5"/>
    <w:rsid w:val="79586707"/>
    <w:rsid w:val="796E63D9"/>
    <w:rsid w:val="7ADE77C6"/>
    <w:rsid w:val="7B28499C"/>
    <w:rsid w:val="7BCA64C6"/>
    <w:rsid w:val="7C857813"/>
    <w:rsid w:val="7DAE3DC6"/>
    <w:rsid w:val="7EC47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47"/>
    <w:qFormat/>
    <w:uiPriority w:val="0"/>
    <w:pPr>
      <w:keepNext/>
      <w:keepLines/>
      <w:spacing w:line="580" w:lineRule="exact"/>
      <w:outlineLvl w:val="0"/>
    </w:pPr>
    <w:rPr>
      <w:rFonts w:ascii="Times New Roman" w:hAnsi="Times New Roman" w:eastAsia="宋体" w:cs="Times New Roman"/>
      <w:b/>
      <w:bCs/>
      <w:color w:val="000000"/>
      <w:kern w:val="44"/>
      <w:szCs w:val="44"/>
    </w:rPr>
  </w:style>
  <w:style w:type="paragraph" w:styleId="3">
    <w:name w:val="heading 2"/>
    <w:basedOn w:val="1"/>
    <w:next w:val="1"/>
    <w:unhideWhenUsed/>
    <w:qFormat/>
    <w:uiPriority w:val="0"/>
    <w:pPr>
      <w:keepNext/>
      <w:keepLines/>
      <w:spacing w:beforeLines="0" w:beforeAutospacing="0" w:afterLines="0" w:afterAutospacing="0" w:line="580" w:lineRule="exact"/>
      <w:outlineLvl w:val="1"/>
    </w:pPr>
    <w:rPr>
      <w:rFonts w:ascii="Times New Roman" w:hAnsi="Times New Roman" w:eastAsia="t" w:cs="Times New Roman"/>
      <w:b/>
    </w:rPr>
  </w:style>
  <w:style w:type="paragraph" w:styleId="4">
    <w:name w:val="heading 3"/>
    <w:basedOn w:val="1"/>
    <w:next w:val="1"/>
    <w:unhideWhenUsed/>
    <w:qFormat/>
    <w:uiPriority w:val="0"/>
    <w:pPr>
      <w:keepNext/>
      <w:keepLines/>
      <w:spacing w:beforeLines="0" w:beforeAutospacing="0" w:afterLines="0" w:afterAutospacing="0" w:line="580" w:lineRule="exact"/>
      <w:outlineLvl w:val="2"/>
    </w:pPr>
    <w:rPr>
      <w:rFonts w:ascii="Times New Roman" w:hAnsi="Times New Roman" w:eastAsia="宋体" w:cs="Times New Roman"/>
      <w:b/>
    </w:rPr>
  </w:style>
  <w:style w:type="paragraph" w:styleId="5">
    <w:name w:val="heading 4"/>
    <w:basedOn w:val="1"/>
    <w:next w:val="1"/>
    <w:semiHidden/>
    <w:unhideWhenUsed/>
    <w:qFormat/>
    <w:uiPriority w:val="0"/>
    <w:pPr>
      <w:keepNext/>
      <w:keepLines/>
      <w:spacing w:beforeLines="0" w:beforeAutospacing="0" w:afterLines="0" w:afterAutospacing="0" w:line="580" w:lineRule="exact"/>
      <w:outlineLvl w:val="3"/>
    </w:pPr>
    <w:rPr>
      <w:rFonts w:ascii="Times New Roman" w:hAnsi="Times New Roman" w:eastAsia="宋体" w:cs="Times New Roman"/>
      <w:b/>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widowControl w:val="0"/>
      <w:jc w:val="left"/>
    </w:pPr>
    <w:rPr>
      <w:rFonts w:ascii="Times New Roman" w:hAnsi="Times New Roman" w:eastAsia="宋体" w:cs="Times New Roman"/>
      <w:kern w:val="2"/>
      <w:sz w:val="28"/>
      <w:szCs w:val="24"/>
      <w:lang w:val="en-US" w:eastAsia="zh-CN" w:bidi="ar-SA"/>
    </w:rPr>
  </w:style>
  <w:style w:type="paragraph" w:styleId="7">
    <w:name w:val="Body Text"/>
    <w:basedOn w:val="1"/>
    <w:qFormat/>
    <w:uiPriority w:val="0"/>
    <w:pPr>
      <w:spacing w:after="120" w:afterLines="0" w:afterAutospacing="0"/>
    </w:pPr>
  </w:style>
  <w:style w:type="paragraph" w:styleId="8">
    <w:name w:val="Body Text Indent"/>
    <w:basedOn w:val="1"/>
    <w:qFormat/>
    <w:uiPriority w:val="0"/>
    <w:pPr>
      <w:widowControl w:val="0"/>
      <w:spacing w:after="120"/>
      <w:ind w:left="420" w:leftChars="200"/>
      <w:jc w:val="both"/>
    </w:pPr>
    <w:rPr>
      <w:rFonts w:ascii="Times New Roman" w:hAnsi="Times New Roman" w:eastAsia="宋体" w:cs="Times New Roman"/>
      <w:kern w:val="2"/>
      <w:sz w:val="28"/>
      <w:szCs w:val="24"/>
      <w:lang w:val="en-US" w:eastAsia="zh-CN" w:bidi="ar-SA"/>
    </w:rPr>
  </w:style>
  <w:style w:type="paragraph" w:styleId="9">
    <w:name w:val="toc 3"/>
    <w:basedOn w:val="1"/>
    <w:next w:val="1"/>
    <w:qFormat/>
    <w:uiPriority w:val="0"/>
    <w:pPr>
      <w:ind w:left="840" w:leftChars="400"/>
    </w:pPr>
  </w:style>
  <w:style w:type="paragraph" w:styleId="10">
    <w:name w:val="Plain Text"/>
    <w:basedOn w:val="1"/>
    <w:unhideWhenUsed/>
    <w:qFormat/>
    <w:uiPriority w:val="0"/>
    <w:pPr>
      <w:spacing w:beforeLines="0" w:afterLines="0"/>
    </w:pPr>
    <w:rPr>
      <w:rFonts w:hint="default" w:ascii="宋体" w:hAnsi="Courier New" w:eastAsia="宋体"/>
      <w:sz w:val="21"/>
      <w:szCs w:val="24"/>
    </w:rPr>
  </w:style>
  <w:style w:type="paragraph" w:styleId="11">
    <w:name w:val="footer"/>
    <w:basedOn w:val="1"/>
    <w:next w:val="12"/>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2">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lang w:val="en-US" w:eastAsia="zh-CN" w:bidi="ar-SA"/>
    </w:rPr>
  </w:style>
  <w:style w:type="paragraph" w:styleId="13">
    <w:name w:val="header"/>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4">
    <w:name w:val="toc 1"/>
    <w:basedOn w:val="1"/>
    <w:next w:val="1"/>
    <w:qFormat/>
    <w:uiPriority w:val="0"/>
  </w:style>
  <w:style w:type="paragraph" w:styleId="15">
    <w:name w:val="List"/>
    <w:next w:val="1"/>
    <w:qFormat/>
    <w:uiPriority w:val="0"/>
    <w:pPr>
      <w:widowControl w:val="0"/>
      <w:adjustRightInd w:val="0"/>
      <w:snapToGrid w:val="0"/>
      <w:spacing w:line="400" w:lineRule="atLeast"/>
      <w:ind w:firstLine="880" w:firstLineChars="200"/>
      <w:jc w:val="both"/>
    </w:pPr>
    <w:rPr>
      <w:rFonts w:ascii="Calibri" w:hAnsi="Calibri" w:eastAsia="宋体" w:cs="Times New Roman"/>
      <w:kern w:val="0"/>
      <w:sz w:val="24"/>
      <w:szCs w:val="20"/>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after="120" w:afterLines="0" w:afterAutospacing="0" w:line="480" w:lineRule="auto"/>
    </w:pPr>
  </w:style>
  <w:style w:type="paragraph" w:styleId="18">
    <w:name w:val="Body Text First Indent"/>
    <w:basedOn w:val="7"/>
    <w:qFormat/>
    <w:uiPriority w:val="0"/>
    <w:pPr>
      <w:tabs>
        <w:tab w:val="left" w:pos="0"/>
      </w:tabs>
      <w:autoSpaceDE w:val="0"/>
      <w:autoSpaceDN w:val="0"/>
      <w:adjustRightInd w:val="0"/>
      <w:spacing w:before="120" w:beforeLines="0" w:line="360" w:lineRule="auto"/>
      <w:ind w:firstLine="567" w:firstLineChars="0"/>
    </w:pPr>
    <w:rPr>
      <w:rFonts w:ascii="宋体"/>
      <w:szCs w:val="20"/>
    </w:rPr>
  </w:style>
  <w:style w:type="paragraph" w:styleId="19">
    <w:name w:val="Body Text First Indent 2"/>
    <w:basedOn w:val="7"/>
    <w:next w:val="1"/>
    <w:qFormat/>
    <w:uiPriority w:val="0"/>
    <w:pPr>
      <w:widowControl w:val="0"/>
      <w:spacing w:after="120"/>
      <w:ind w:left="420" w:leftChars="200" w:firstLine="420" w:firstLineChars="200"/>
      <w:jc w:val="both"/>
    </w:pPr>
    <w:rPr>
      <w:rFonts w:ascii="Times New Roman" w:hAnsi="Times New Roman" w:eastAsia="宋体" w:cs="Times New Roman"/>
      <w:kern w:val="2"/>
      <w:sz w:val="28"/>
      <w:szCs w:val="24"/>
      <w:lang w:val="en-US" w:eastAsia="zh-CN" w:bidi="ar-SA"/>
    </w:rPr>
  </w:style>
  <w:style w:type="table" w:styleId="2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qFormat/>
    <w:uiPriority w:val="0"/>
  </w:style>
  <w:style w:type="character" w:styleId="25">
    <w:name w:val="Hyperlink"/>
    <w:basedOn w:val="22"/>
    <w:qFormat/>
    <w:uiPriority w:val="99"/>
    <w:rPr>
      <w:color w:val="333333"/>
      <w:u w:val="none"/>
    </w:rPr>
  </w:style>
  <w:style w:type="character" w:styleId="26">
    <w:name w:val="annotation reference"/>
    <w:unhideWhenUsed/>
    <w:qFormat/>
    <w:uiPriority w:val="0"/>
    <w:rPr>
      <w:rFonts w:hint="default"/>
      <w:sz w:val="21"/>
      <w:szCs w:val="24"/>
    </w:rPr>
  </w:style>
  <w:style w:type="paragraph" w:customStyle="1" w:styleId="27">
    <w:name w:val="Default1"/>
    <w:basedOn w:val="2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常用正文样式"/>
    <w:unhideWhenUsed/>
    <w:qFormat/>
    <w:uiPriority w:val="0"/>
    <w:pPr>
      <w:widowControl w:val="0"/>
      <w:spacing w:beforeLines="0" w:afterLines="0" w:line="360" w:lineRule="auto"/>
      <w:ind w:firstLine="454"/>
      <w:jc w:val="both"/>
    </w:pPr>
    <w:rPr>
      <w:rFonts w:hint="default" w:ascii="宋体" w:hAnsi="新宋体" w:eastAsia="仿宋_GB2312" w:cs="Times New Roman"/>
      <w:kern w:val="2"/>
      <w:sz w:val="24"/>
      <w:szCs w:val="24"/>
      <w:lang w:val="en-US" w:eastAsia="zh-CN" w:bidi="ar-SA"/>
    </w:rPr>
  </w:style>
  <w:style w:type="paragraph" w:customStyle="1" w:styleId="2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0">
    <w:name w:val="第一章 Char1"/>
    <w:basedOn w:val="22"/>
    <w:link w:val="2"/>
    <w:qFormat/>
    <w:uiPriority w:val="0"/>
    <w:rPr>
      <w:rFonts w:ascii="Times New Roman" w:hAnsi="Times New Roman" w:eastAsia="宋体" w:cs="Times New Roman"/>
      <w:b/>
      <w:color w:val="000000"/>
      <w:sz w:val="28"/>
      <w:szCs w:val="21"/>
    </w:rPr>
  </w:style>
  <w:style w:type="paragraph" w:customStyle="1" w:styleId="31">
    <w:name w:val="样式 10 磅11"/>
    <w:qFormat/>
    <w:uiPriority w:val="0"/>
    <w:pPr>
      <w:widowControl w:val="0"/>
      <w:jc w:val="both"/>
    </w:pPr>
    <w:rPr>
      <w:rFonts w:ascii="Calibri" w:hAnsi="Calibri" w:eastAsia="宋体" w:cs="Times New Roman"/>
      <w:kern w:val="2"/>
      <w:sz w:val="28"/>
      <w:szCs w:val="24"/>
      <w:lang w:val="en-US" w:eastAsia="zh-CN" w:bidi="ar-SA"/>
    </w:rPr>
  </w:style>
  <w:style w:type="paragraph" w:customStyle="1" w:styleId="32">
    <w:name w:val="Default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Default"/>
    <w:basedOn w:val="34"/>
    <w:next w:val="15"/>
    <w:qFormat/>
    <w:uiPriority w:val="0"/>
    <w:pPr>
      <w:widowControl w:val="0"/>
      <w:autoSpaceDE w:val="0"/>
      <w:autoSpaceDN w:val="0"/>
      <w:adjustRightInd w:val="0"/>
    </w:pPr>
    <w:rPr>
      <w:rFonts w:ascii="宋体" w:hAnsi="宋体" w:eastAsia="宋体" w:cs="宋体"/>
      <w:color w:val="000000"/>
      <w:kern w:val="2"/>
      <w:sz w:val="28"/>
      <w:szCs w:val="24"/>
      <w:lang w:val="en-US" w:eastAsia="zh-CN" w:bidi="ar-SA"/>
    </w:rPr>
  </w:style>
  <w:style w:type="paragraph" w:customStyle="1" w:styleId="3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5">
    <w:name w:val="样式1"/>
    <w:qFormat/>
    <w:uiPriority w:val="0"/>
    <w:pPr>
      <w:widowControl w:val="0"/>
      <w:spacing w:before="0" w:after="0" w:line="400" w:lineRule="exact"/>
      <w:ind w:firstLine="562" w:firstLineChars="200"/>
      <w:jc w:val="both"/>
    </w:pPr>
    <w:rPr>
      <w:rFonts w:ascii="Times New Roman" w:hAnsi="Times New Roman" w:eastAsia="宋体" w:cs="Times New Roman"/>
      <w:color w:val="000000"/>
      <w:spacing w:val="20"/>
      <w:kern w:val="2"/>
      <w:sz w:val="28"/>
      <w:szCs w:val="24"/>
      <w:lang w:val="en-US" w:eastAsia="zh-CN" w:bidi="ar-SA"/>
    </w:rPr>
  </w:style>
  <w:style w:type="paragraph" w:customStyle="1" w:styleId="36">
    <w:name w:val="列出段落"/>
    <w:qFormat/>
    <w:uiPriority w:val="34"/>
    <w:pPr>
      <w:widowControl w:val="0"/>
      <w:ind w:firstLine="420" w:firstLineChars="200"/>
      <w:jc w:val="both"/>
    </w:pPr>
    <w:rPr>
      <w:rFonts w:ascii="Times New Roman" w:hAnsi="Times New Roman" w:eastAsia="宋体" w:cs="Times New Roman"/>
      <w:kern w:val="2"/>
      <w:sz w:val="28"/>
      <w:szCs w:val="24"/>
      <w:lang w:val="en-US" w:eastAsia="zh-CN" w:bidi="ar-SA"/>
    </w:rPr>
  </w:style>
  <w:style w:type="paragraph" w:customStyle="1" w:styleId="37">
    <w:name w:val="p0"/>
    <w:basedOn w:val="1"/>
    <w:qFormat/>
    <w:uiPriority w:val="0"/>
    <w:pPr>
      <w:widowControl/>
    </w:pPr>
    <w:rPr>
      <w:rFonts w:ascii="Calibri" w:hAnsi="Calibri" w:cs="宋体"/>
      <w:kern w:val="0"/>
      <w:szCs w:val="21"/>
    </w:rPr>
  </w:style>
  <w:style w:type="paragraph" w:customStyle="1" w:styleId="38">
    <w:name w:val="Char2"/>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customStyle="1" w:styleId="39">
    <w:name w:val="Char"/>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customStyle="1" w:styleId="40">
    <w:name w:val=" Char"/>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customStyle="1" w:styleId="41">
    <w:name w:val="图表名"/>
    <w:qFormat/>
    <w:uiPriority w:val="0"/>
    <w:pPr>
      <w:widowControl w:val="0"/>
      <w:spacing w:line="480" w:lineRule="auto"/>
      <w:jc w:val="center"/>
    </w:pPr>
    <w:rPr>
      <w:rFonts w:ascii="Calibri" w:hAnsi="Calibri" w:eastAsia="黑体" w:cs="Times New Roman"/>
      <w:kern w:val="2"/>
      <w:sz w:val="24"/>
      <w:szCs w:val="24"/>
      <w:lang w:val="en-US" w:eastAsia="zh-CN" w:bidi="ar-SA"/>
    </w:rPr>
  </w:style>
  <w:style w:type="paragraph" w:customStyle="1" w:styleId="42">
    <w:name w:val="表格中文字"/>
    <w:basedOn w:val="1"/>
    <w:qFormat/>
    <w:uiPriority w:val="0"/>
    <w:pPr>
      <w:adjustRightInd w:val="0"/>
      <w:snapToGrid w:val="0"/>
      <w:spacing w:line="240" w:lineRule="auto"/>
      <w:ind w:firstLine="0" w:firstLineChars="0"/>
      <w:jc w:val="center"/>
    </w:pPr>
    <w:rPr>
      <w:kern w:val="18"/>
      <w:sz w:val="21"/>
      <w:szCs w:val="21"/>
    </w:rPr>
  </w:style>
  <w:style w:type="paragraph" w:customStyle="1" w:styleId="43">
    <w:name w:val="表头"/>
    <w:basedOn w:val="17"/>
    <w:qFormat/>
    <w:uiPriority w:val="0"/>
    <w:pPr>
      <w:adjustRightInd w:val="0"/>
      <w:snapToGrid w:val="0"/>
      <w:spacing w:before="50" w:beforeLines="50" w:line="240" w:lineRule="auto"/>
      <w:jc w:val="center"/>
    </w:pPr>
    <w:rPr>
      <w:rFonts w:ascii="宋体" w:hAnsi="宋体"/>
      <w:b/>
      <w:color w:val="000000"/>
      <w:kern w:val="0"/>
      <w:sz w:val="24"/>
      <w:szCs w:val="20"/>
    </w:rPr>
  </w:style>
  <w:style w:type="paragraph" w:customStyle="1" w:styleId="44">
    <w:name w:val="表格"/>
    <w:basedOn w:val="1"/>
    <w:next w:val="1"/>
    <w:autoRedefine/>
    <w:qFormat/>
    <w:uiPriority w:val="0"/>
    <w:pPr>
      <w:adjustRightInd w:val="0"/>
      <w:spacing w:line="300" w:lineRule="exact"/>
      <w:jc w:val="center"/>
    </w:pPr>
    <w:rPr>
      <w:spacing w:val="-3"/>
      <w:kern w:val="0"/>
      <w:szCs w:val="20"/>
    </w:rPr>
  </w:style>
  <w:style w:type="paragraph" w:customStyle="1" w:styleId="45">
    <w:name w:val="表格表头"/>
    <w:basedOn w:val="10"/>
    <w:next w:val="42"/>
    <w:link w:val="46"/>
    <w:unhideWhenUsed/>
    <w:qFormat/>
    <w:uiPriority w:val="0"/>
    <w:pPr>
      <w:adjustRightInd w:val="0"/>
      <w:spacing w:beforeLines="0" w:afterLines="0" w:line="240" w:lineRule="atLeast"/>
      <w:jc w:val="center"/>
      <w:textAlignment w:val="baseline"/>
    </w:pPr>
    <w:rPr>
      <w:rFonts w:hint="default" w:hAnsi="宋体"/>
      <w:b/>
      <w:kern w:val="0"/>
      <w:sz w:val="21"/>
      <w:szCs w:val="24"/>
    </w:rPr>
  </w:style>
  <w:style w:type="character" w:customStyle="1" w:styleId="46">
    <w:name w:val="表格表头 Char"/>
    <w:link w:val="45"/>
    <w:unhideWhenUsed/>
    <w:qFormat/>
    <w:uiPriority w:val="0"/>
    <w:rPr>
      <w:rFonts w:hint="default" w:ascii="宋体" w:hAnsi="宋体" w:eastAsia="宋体" w:cs="宋体"/>
      <w:b/>
      <w:sz w:val="21"/>
      <w:szCs w:val="20"/>
    </w:rPr>
  </w:style>
  <w:style w:type="character" w:customStyle="1" w:styleId="47">
    <w:name w:val="标题 1 Char"/>
    <w:link w:val="2"/>
    <w:unhideWhenUsed/>
    <w:qFormat/>
    <w:uiPriority w:val="0"/>
    <w:rPr>
      <w:rFonts w:hint="default" w:ascii="Times New Roman" w:hAnsi="Times New Roman" w:eastAsia="宋体"/>
      <w:b/>
      <w:kern w:val="36"/>
      <w:sz w:val="3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wmf"/><Relationship Id="rId17" Type="http://schemas.openxmlformats.org/officeDocument/2006/relationships/image" Target="media/image3.wmf"/><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9"/>
  </customShpExts>
</s:customData>
</file>

<file path=customXml/item2.xml><?xml version="1.0" encoding="utf-8"?>
<contractReview xmlns="http://schemas.wps.cn/vas-ai-hub/contract-review">
  <reviewItems>
    <reviewItem>
      <errorID>afcd8eb5-7948-4492-ae7f-63a9e06678b8</errorID>
      <errorWord>加油站加油站</errorWord>
      <group>L1_Word</group>
      <groupName>字词问题</groupName>
      <ability>L2_Typo</ability>
      <abilityName>字词错误</abilityName>
      <candidateList>
        <item>加油站</item>
      </candidateList>
      <explain/>
      <paraID>13697F43</paraID>
      <start>7</start>
      <end>10</end>
      <status>modified</status>
      <modifiedWord>加油站</modifiedWord>
      <trackRevisions>false</trackRevisions>
    </reviewItem>
    <reviewItem>
      <errorID>dab5c291-4ed2-49ed-82b9-3213b78a17c7</errorID>
      <errorWord>《安全生产法》</errorWord>
      <group>L1_Word</group>
      <groupName>字词问题</groupName>
      <ability>L2_Typo</ability>
      <abilityName>字词错误</abilityName>
      <candidateList>
        <item>《中华人民共和国安全生产法》</item>
      </candidateList>
      <explain/>
      <paraID>33ADF387</paraID>
      <start>23</start>
      <end>30</end>
      <status>unmodified</status>
      <modifiedWord/>
      <trackRevisions>false</trackRevisions>
    </reviewItem>
    <reviewItem>
      <errorID>099be3b5-17c0-48fe-a07d-e19251b074d2</errorID>
      <errorWord>法律、法规</errorWord>
      <group>L1_Word</group>
      <groupName>字词问题</groupName>
      <ability>L2_Typo</ability>
      <abilityName>字词错误</abilityName>
      <candidateList>
        <item>法律法规</item>
      </candidateList>
      <explain/>
      <paraID>33ADF387</paraID>
      <start>33</start>
      <end>38</end>
      <status>unmodified</status>
      <modifiedWord/>
      <trackRevisions>false</trackRevisions>
    </reviewItem>
    <reviewItem>
      <errorID>00e923bb-73b8-4b1a-b5e2-8e4c9d8d11db</errorID>
      <errorWord>［2023］</errorWord>
      <group>L1_Punc</group>
      <groupName>标点问题</groupName>
      <ability>L2_Punc</ability>
      <abilityName>标点符号检查</abilityName>
      <candidateList>
        <item>〔2023〕</item>
      </candidateList>
      <explain/>
      <paraID>4747831E</paraID>
      <start>220</start>
      <end>226</end>
      <status>unmodified</status>
      <modifiedWord/>
      <trackRevisions>false</trackRevisions>
    </reviewItem>
    <reviewItem>
      <errorID>54ae746b-1ae1-4655-9166-89d2dc0e20a0</errorID>
      <errorWord>（</errorWord>
      <group>L1_Punc</group>
      <groupName>标点问题</groupName>
      <ability>L2_Punc</ability>
      <abilityName>标点符号检查</abilityName>
      <candidateList/>
      <explain>同一形式括号套用。</explain>
      <paraID>6DFA769C</paraID>
      <start>55</start>
      <end>56</end>
      <status>unmodified</status>
      <modifiedWord/>
      <trackRevisions>false</trackRevisions>
    </reviewItem>
    <reviewItem>
      <errorID>c306a303-46ca-41bc-8829-fbdcce3f177a</errorID>
      <errorWord>）</errorWord>
      <group>L1_Punc</group>
      <groupName>标点问题</groupName>
      <ability>L2_Punc</ability>
      <abilityName>标点符号检查</abilityName>
      <candidateList/>
      <explain>同一形式括号套用。</explain>
      <paraID>6DFA769C</paraID>
      <start>62</start>
      <end>63</end>
      <status>unmodified</status>
      <modifiedWord/>
      <trackRevisions>false</trackRevisions>
    </reviewItem>
    <reviewItem>
      <errorID>59bd846f-2427-4255-ac37-b150af312334</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6DFA769C</paraID>
      <start>66</start>
      <end>80</end>
      <status>unmodified</status>
      <modifiedWord/>
      <trackRevisions>false</trackRevisions>
    </reviewItem>
    <reviewItem>
      <errorID>792617ac-fa84-4a38-a47d-9e20af68c747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4F0C1576</paraID>
      <start>0</start>
      <end>2</end>
      <status>unmodified</status>
      <modifiedWord/>
      <trackRevisions>false</trackRevisions>
    </reviewItem>
    <reviewItem>
      <errorID>262bb7e9-ae20-47a0-a068-d701b182ee30</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4F0C1576</paraID>
      <start>37</start>
      <end>51</end>
      <status>unmodified</status>
      <modifiedWord/>
      <trackRevisions>false</trackRevisions>
    </reviewItem>
    <reviewItem>
      <errorID>fe03acc8-d2dc-457c-8830-1a0c46912a2b</errorID>
      <errorWord>局</errorWord>
      <group>L1_Word</group>
      <groupName>字词问题</groupName>
      <ability>L2_Typo</ability>
      <abilityName>字词错误</abilityName>
      <candidateList>
        <item>局第</item>
      </candidateList>
      <explain/>
      <paraID>4F0C1576</paraID>
      <start>57</start>
      <end>58</end>
      <status>unmodified</status>
      <modifiedWord/>
      <trackRevisions>false</trackRevisions>
    </reviewItem>
    <reviewItem>
      <errorID>ed6d259f-5e31-48f3-94da-225afa884ba5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22734F10</paraID>
      <start>0</start>
      <end>2</end>
      <status>unmodified</status>
      <modifiedWord/>
      <trackRevisions>false</trackRevisions>
    </reviewItem>
    <reviewItem>
      <errorID>422b75ed-6297-426a-b736-ab1fa2162a39</errorID>
      <errorWord>法律、法规</errorWord>
      <group>L1_Word</group>
      <groupName>字词问题</groupName>
      <ability>L2_Typo</ability>
      <abilityName>字词错误</abilityName>
      <candidateList>
        <item>法律法规</item>
      </candidateList>
      <explain/>
      <paraID>673E1D04</paraID>
      <start>30</start>
      <end>35</end>
      <status>unmodified</status>
      <modifiedWord/>
      <trackRevisions>false</trackRevisions>
    </reviewItem>
    <reviewItem>
      <errorID>e45779b3-cd68-4191-aa36-34bcd2495a36</errorID>
      <errorWord>法律、法规</errorWord>
      <group>L1_Word</group>
      <groupName>字词问题</groupName>
      <ability>L2_Typo</ability>
      <abilityName>字词错误</abilityName>
      <candidateList>
        <item>法律法规</item>
      </candidateList>
      <explain/>
      <paraID>71041542</paraID>
      <start>5</start>
      <end>10</end>
      <status>unmodified</status>
      <modifiedWord/>
      <trackRevisions>false</trackRevisions>
    </reviewItem>
    <reviewItem>
      <errorID>1fe1cfbc-60d1-4156-966f-3232605de290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4BFACBBB</paraID>
      <start>16</start>
      <end>17</end>
      <status>unmodified</status>
      <modifiedWord/>
      <trackRevisions>false</trackRevisions>
    </reviewItem>
    <reviewItem>
      <errorID>786ed816-300f-4d6b-8a89-450df50bd978</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74C7D078</paraID>
      <start>1</start>
      <end>15</end>
      <status>unmodified</status>
      <modifiedWord/>
      <trackRevisions>false</trackRevisions>
    </reviewItem>
    <reviewItem>
      <errorID>dc7f39b8-24ce-4510-8ff5-fc1ccea9eceb</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43812CC5</paraID>
      <start>1</start>
      <end>15</end>
      <status>unmodified</status>
      <modifiedWord/>
      <trackRevisions>false</trackRevisions>
    </reviewItem>
    <reviewItem>
      <errorID>03b90c53-169e-466a-a000-bfe34f18689c</errorID>
      <errorWord>)</errorWord>
      <group>L1_Format</group>
      <groupName>格式问题</groupName>
      <ability>L2_HalfPunc</ability>
      <abilityName>全半角检查</abilityName>
      <candidateList>
        <item>）</item>
      </candidateList>
      <explain>文本全半角错误。</explain>
      <paraID>4A723EF6</paraID>
      <start>13</start>
      <end>14</end>
      <status>unmodified</status>
      <modifiedWord/>
      <trackRevisions>false</trackRevisions>
    </reviewItem>
    <reviewItem>
      <errorID>38e9c303-fa9f-4aed-91a7-b88142699a9f</errorID>
      <errorWord>)</errorWord>
      <group>L1_Format</group>
      <groupName>格式问题</groupName>
      <ability>L2_HalfPunc</ability>
      <abilityName>全半角检查</abilityName>
      <candidateList>
        <item>）</item>
      </candidateList>
      <explain>文本全半角错误。</explain>
      <paraID>4A723EF6</paraID>
      <start>34</start>
      <end>35</end>
      <status>unmodified</status>
      <modifiedWord/>
      <trackRevisions>false</trackRevisions>
    </reviewItem>
    <reviewItem>
      <errorID>6190c1cb-499c-44fb-9c9e-5da2c7a27da6</errorID>
      <errorWord>)</errorWord>
      <group>L1_Format</group>
      <groupName>格式问题</groupName>
      <ability>L2_HalfPunc</ability>
      <abilityName>全半角检查</abilityName>
      <candidateList>
        <item>）</item>
      </candidateList>
      <explain>文本全半角错误。</explain>
      <paraID>4A723EF6</paraID>
      <start>51</start>
      <end>52</end>
      <status>unmodified</status>
      <modifiedWord/>
      <trackRevisions>false</trackRevisions>
    </reviewItem>
    <reviewItem>
      <errorID>d3442556-da2c-40e5-9816-d5a2da96a5e2</errorID>
      <errorWord>(</errorWord>
      <group>L1_Format</group>
      <groupName>格式问题</groupName>
      <ability>L2_HalfPunc</ability>
      <abilityName>全半角检查</abilityName>
      <candidateList>
        <item>（</item>
      </candidateList>
      <explain>文本全半角错误。</explain>
      <paraID>4A723EF6</paraID>
      <start>107</start>
      <end>108</end>
      <status>unmodified</status>
      <modifiedWord/>
      <trackRevisions>false</trackRevisions>
    </reviewItem>
    <reviewItem>
      <errorID>77c344aa-679c-421c-a020-1f5e3303665e</errorID>
      <errorWord>)</errorWord>
      <group>L1_Format</group>
      <groupName>格式问题</groupName>
      <ability>L2_HalfPunc</ability>
      <abilityName>全半角检查</abilityName>
      <candidateList>
        <item>）</item>
      </candidateList>
      <explain>文本全半角错误。</explain>
      <paraID>4A723EF6</paraID>
      <start>113</start>
      <end>114</end>
      <status>unmodified</status>
      <modifiedWord/>
      <trackRevisions>false</trackRevisions>
    </reviewItem>
    <reviewItem>
      <errorID>9864fa59-6e98-4e06-a593-f3b733568fc9</errorID>
      <errorWord>〔2020〕第3号</errorWord>
      <group>L1_Knowledge</group>
      <groupName>知识性问题</groupName>
      <ability>L2_Knowledge</ability>
      <abilityName>其他知识</abilityName>
      <candidateList>
        <item>〔2020〕3号</item>
      </candidateList>
      <explain>发文字号格式错误。</explain>
      <paraID>12B69980</paraID>
      <start>24</start>
      <end>33</end>
      <status>unmodified</status>
      <modifiedWord/>
      <trackRevisions>false</trackRevisions>
    </reviewItem>
    <reviewItem>
      <errorID>5af6c044-e923-4a7d-a129-dfd61f58fd3c</errorID>
      <errorWord>[2018]19号</errorWord>
      <group>L1_Knowledge</group>
      <groupName>知识性问题</groupName>
      <ability>L2_Knowledge</ability>
      <abilityName>其他知识</abilityName>
      <candidateList>
        <item>〔2018〕19号</item>
      </candidateList>
      <explain>发文字号格式错误。</explain>
      <paraID>69096970</paraID>
      <start>208</start>
      <end>218</end>
      <status>unmodified</status>
      <modifiedWord/>
      <trackRevisions>false</trackRevisions>
    </reviewItem>
    <reviewItem>
      <errorID>db1953b5-73c7-4f0a-86e4-befd3b728a2a</errorID>
      <errorWord>[2021]第252号</errorWord>
      <group>L1_Knowledge</group>
      <groupName>知识性问题</groupName>
      <ability>L2_Knowledge</ability>
      <abilityName>其他知识</abilityName>
      <candidateList>
        <item>〔2021〕252号</item>
      </candidateList>
      <explain>发文字号格式错误。</explain>
      <paraID>20308390</paraID>
      <start>25</start>
      <end>36</end>
      <status>unmodified</status>
      <modifiedWord/>
      <trackRevisions>false</trackRevisions>
    </reviewItem>
    <reviewItem>
      <errorID>7cee7973-14e8-4e45-afd2-9a7a91e82cfb</errorID>
      <errorWord>《</errorWord>
      <group>L1_Punc</group>
      <groupName>标点问题</groupName>
      <ability>L2_Punc</ability>
      <abilityName>标点符号检查</abilityName>
      <candidateList/>
      <explain>同一形式括号套用。</explain>
      <paraID>2A056910</paraID>
      <start>16</start>
      <end>17</end>
      <status>unmodified</status>
      <modifiedWord/>
      <trackRevisions>false</trackRevisions>
    </reviewItem>
    <reviewItem>
      <errorID>bae1a24d-130a-439a-8100-85781cbfaa4c</errorID>
      <errorWord>》</errorWord>
      <group>L1_Punc</group>
      <groupName>标点问题</groupName>
      <ability>L2_Punc</ability>
      <abilityName>标点符号检查</abilityName>
      <candidateList/>
      <explain>同一形式括号套用。</explain>
      <paraID>2A056910</paraID>
      <start>25</start>
      <end>26</end>
      <status>unmodified</status>
      <modifiedWord/>
      <trackRevisions>false</trackRevisions>
    </reviewItem>
    <reviewItem>
      <errorID>f2bb3754-4616-4a8e-8a43-a9eff58ccead</errorID>
      <errorWord>《</errorWord>
      <group>L1_Punc</group>
      <groupName>标点问题</groupName>
      <ability>L2_Punc</ability>
      <abilityName>标点符号检查</abilityName>
      <candidateList/>
      <explain>同一形式括号套用。</explain>
      <paraID>16355FDD</paraID>
      <start>15</start>
      <end>16</end>
      <status>unmodified</status>
      <modifiedWord/>
      <trackRevisions>false</trackRevisions>
    </reviewItem>
    <reviewItem>
      <errorID>2b313158-d379-4eb6-9c2f-74eb6026584c</errorID>
      <errorWord>》</errorWord>
      <group>L1_Punc</group>
      <groupName>标点问题</groupName>
      <ability>L2_Punc</ability>
      <abilityName>标点符号检查</abilityName>
      <candidateList/>
      <explain>同一形式括号套用。</explain>
      <paraID>16355FDD</paraID>
      <start>35</start>
      <end>36</end>
      <status>unmodified</status>
      <modifiedWord/>
      <trackRevisions>false</trackRevisions>
    </reviewItem>
    <reviewItem>
      <errorID>f7e14f66-837a-4245-b003-d2ae98008c88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76ECE1B3</paraID>
      <start>46</start>
      <end>47</end>
      <status>unmodified</status>
      <modifiedWord/>
      <trackRevisions>false</trackRevisions>
    </reviewItem>
    <reviewItem>
      <errorID>353349d6-a274-4aa7-9f0f-7fc45f63acc8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17426E64</paraID>
      <start>48</start>
      <end>49</end>
      <status>unmodified</status>
      <modifiedWord/>
      <trackRevisions>false</trackRevisions>
    </reviewItem>
    <reviewItem>
      <errorID>196574af-8b58-41aa-87fa-be8035d95469</errorID>
      <errorWord>规</errorWord>
      <group>L1_Word</group>
      <groupName>字词问题</groupName>
      <ability>L2_Typo</ability>
      <abilityName>字词错误</abilityName>
      <candidateList>
        <item>规和</item>
      </candidateList>
      <explain/>
      <paraID>66851671</paraID>
      <start>11</start>
      <end>12</end>
      <status>unmodified</status>
      <modifiedWord/>
      <trackRevisions>false</trackRevisions>
    </reviewItem>
    <reviewItem>
      <errorID>eb9b88c6-90ef-46c8-a91b-cea774b7d933</errorID>
      <errorWord>法律、法规</errorWord>
      <group>L1_Word</group>
      <groupName>字词问题</groupName>
      <ability>L2_Typo</ability>
      <abilityName>字词错误</abilityName>
      <candidateList>
        <item>法律法规</item>
      </candidateList>
      <explain/>
      <paraID>12DB8F86</paraID>
      <start>5</start>
      <end>10</end>
      <status>unmodified</status>
      <modifiedWord/>
      <trackRevisions>false</trackRevisions>
    </reviewItem>
    <reviewItem>
      <errorID>4385b40d-ccfb-4289-9338-0d6997fa6778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60C87A5</paraID>
      <start>16</start>
      <end>17</end>
      <status>unmodified</status>
      <modifiedWord/>
      <trackRevisions>false</trackRevisions>
    </reviewItem>
    <reviewItem>
      <errorID>01a2bdf1-1f96-4493-aeba-f7f8146af59a</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53619FAC</paraID>
      <start>1</start>
      <end>15</end>
      <status>unmodified</status>
      <modifiedWord/>
      <trackRevisions>false</trackRevisions>
    </reviewItem>
    <reviewItem>
      <errorID>188cf373-0fb7-4571-bf3d-784ab80ae68f</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285C8B41</paraID>
      <start>1</start>
      <end>15</end>
      <status>unmodified</status>
      <modifiedWord/>
      <trackRevisions>false</trackRevisions>
    </reviewItem>
    <reviewItem>
      <errorID>e06eca14-228d-4d86-9818-a7128806da93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32CC8F10</paraID>
      <start>9</start>
      <end>10</end>
      <status>unmodified</status>
      <modifiedWord/>
      <trackRevisions>false</trackRevisions>
    </reviewItem>
    <reviewItem>
      <errorID>08bf23e9-6a2c-44d0-8abc-adaf402ec5af</errorID>
      <errorWord>(</errorWord>
      <group>L1_Format</group>
      <groupName>格式问题</groupName>
      <ability>L2_HalfPunc</ability>
      <abilityName>全半角检查</abilityName>
      <candidateList>
        <item>（</item>
      </candidateList>
      <explain>文本全半角错误。</explain>
      <paraID>32CC8F10</paraID>
      <start>38</start>
      <end>39</end>
      <status>unmodified</status>
      <modifiedWord/>
      <trackRevisions>false</trackRevisions>
    </reviewItem>
    <reviewItem>
      <errorID>0f40e677-7529-498d-8b4d-12526261778e</errorID>
      <errorWord>)</errorWord>
      <group>L1_Format</group>
      <groupName>格式问题</groupName>
      <ability>L2_HalfPunc</ability>
      <abilityName>全半角检查</abilityName>
      <candidateList>
        <item>）</item>
      </candidateList>
      <explain>文本全半角错误。</explain>
      <paraID>5D984261</paraID>
      <start>13</start>
      <end>14</end>
      <status>unmodified</status>
      <modifiedWord/>
      <trackRevisions>false</trackRevisions>
    </reviewItem>
    <reviewItem>
      <errorID>44a631a0-5dcd-422b-a83a-de901a1a88eb</errorID>
      <errorWord>)</errorWord>
      <group>L1_Format</group>
      <groupName>格式问题</groupName>
      <ability>L2_HalfPunc</ability>
      <abilityName>全半角检查</abilityName>
      <candidateList>
        <item>）</item>
      </candidateList>
      <explain>文本全半角错误。</explain>
      <paraID>5D984261</paraID>
      <start>34</start>
      <end>35</end>
      <status>unmodified</status>
      <modifiedWord/>
      <trackRevisions>false</trackRevisions>
    </reviewItem>
    <reviewItem>
      <errorID>fe652266-f72e-4312-836a-991f37125330</errorID>
      <errorWord>)</errorWord>
      <group>L1_Format</group>
      <groupName>格式问题</groupName>
      <ability>L2_HalfPunc</ability>
      <abilityName>全半角检查</abilityName>
      <candidateList>
        <item>）</item>
      </candidateList>
      <explain>文本全半角错误。</explain>
      <paraID>5D984261</paraID>
      <start>51</start>
      <end>52</end>
      <status>unmodified</status>
      <modifiedWord/>
      <trackRevisions>false</trackRevisions>
    </reviewItem>
    <reviewItem>
      <errorID>332c5686-be38-4bb3-852a-0598a7e128c5</errorID>
      <errorWord>(</errorWord>
      <group>L1_Format</group>
      <groupName>格式问题</groupName>
      <ability>L2_HalfPunc</ability>
      <abilityName>全半角检查</abilityName>
      <candidateList>
        <item>（</item>
      </candidateList>
      <explain>文本全半角错误。</explain>
      <paraID>5D984261</paraID>
      <start>107</start>
      <end>108</end>
      <status>unmodified</status>
      <modifiedWord/>
      <trackRevisions>false</trackRevisions>
    </reviewItem>
    <reviewItem>
      <errorID>0ba5ad2f-0d4e-4671-aafa-08de020fd1b8</errorID>
      <errorWord>)</errorWord>
      <group>L1_Format</group>
      <groupName>格式问题</groupName>
      <ability>L2_HalfPunc</ability>
      <abilityName>全半角检查</abilityName>
      <candidateList>
        <item>）</item>
      </candidateList>
      <explain>文本全半角错误。</explain>
      <paraID>5D984261</paraID>
      <start>113</start>
      <end>114</end>
      <status>unmodified</status>
      <modifiedWord/>
      <trackRevisions>false</trackRevisions>
    </reviewItem>
    <reviewItem>
      <errorID>3a2fd100-3b12-4cef-aa91-675b9e6aecda</errorID>
      <errorWord>〔2020〕第3号</errorWord>
      <group>L1_Knowledge</group>
      <groupName>知识性问题</groupName>
      <ability>L2_Knowledge</ability>
      <abilityName>其他知识</abilityName>
      <candidateList>
        <item>〔2020〕3号</item>
      </candidateList>
      <explain>发文字号格式错误。</explain>
      <paraID>7DC2F990</paraID>
      <start>24</start>
      <end>33</end>
      <status>unmodified</status>
      <modifiedWord/>
      <trackRevisions>false</trackRevisions>
    </reviewItem>
    <reviewItem>
      <errorID>57ce32d5-8c40-4d29-8f96-7d0c91b910ad</errorID>
      <errorWord>[2018]19号</errorWord>
      <group>L1_Knowledge</group>
      <groupName>知识性问题</groupName>
      <ability>L2_Knowledge</ability>
      <abilityName>其他知识</abilityName>
      <candidateList>
        <item>〔2018〕19号</item>
      </candidateList>
      <explain>发文字号格式错误。</explain>
      <paraID>78F2B946</paraID>
      <start>43</start>
      <end>52</end>
      <status>unmodified</status>
      <modifiedWord/>
      <trackRevisions>false</trackRevisions>
    </reviewItem>
    <reviewItem>
      <errorID>249025ef-64b9-4fb0-b0e9-7bae26c780a9</errorID>
      <errorWord>[2021]第252号</errorWord>
      <group>L1_Knowledge</group>
      <groupName>知识性问题</groupName>
      <ability>L2_Knowledge</ability>
      <abilityName>其他知识</abilityName>
      <candidateList>
        <item>〔2021〕252号</item>
      </candidateList>
      <explain>发文字号格式错误。</explain>
      <paraID>6A10800A</paraID>
      <start>25</start>
      <end>36</end>
      <status>unmodified</status>
      <modifiedWord/>
      <trackRevisions>false</trackRevisions>
    </reviewItem>
    <reviewItem>
      <errorID>c3967672-6e60-43b6-83f2-e2ab7c3b7498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26C3AA77</paraID>
      <start>46</start>
      <end>47</end>
      <status>unmodified</status>
      <modifiedWord/>
      <trackRevisions>false</trackRevisions>
    </reviewItem>
    <reviewItem>
      <errorID>a69fd44d-5141-46bd-8a21-67e7ad2861a7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67763589</paraID>
      <start>48</start>
      <end>49</end>
      <status>unmodified</status>
      <modifiedWord/>
      <trackRevisions>false</trackRevisions>
    </reviewItem>
    <reviewItem>
      <errorID>473f851a-324a-4ea9-9cb3-abfe21185ece</errorID>
      <errorWord>规</errorWord>
      <group>L1_Word</group>
      <groupName>字词问题</groupName>
      <ability>L2_Typo</ability>
      <abilityName>字词错误</abilityName>
      <candidateList>
        <item>规和</item>
      </candidateList>
      <explain/>
      <paraID>19C4DE39</paraID>
      <start>11</start>
      <end>12</end>
      <status>unmodified</status>
      <modifiedWord/>
      <trackRevisions>false</trackRevisions>
    </reviewItem>
    <reviewItem>
      <errorID>ce832f45-9749-4366-a088-bd1ed7fcb489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4D2476C8</paraID>
      <start>0</start>
      <end>1</end>
      <status>unmodified</status>
      <modifiedWord/>
      <trackRevisions>false</trackRevisions>
    </reviewItem>
    <reviewItem>
      <errorID>31fc1ba4-cf50-4691-ae85-c20f072b1a12</errorID>
      <errorWord>:</errorWord>
      <group>L1_Format</group>
      <groupName>格式问题</groupName>
      <ability>L2_HalfPunc</ability>
      <abilityName>全半角检查</abilityName>
      <candidateList>
        <item>：</item>
      </candidateList>
      <explain>文本全半角错误。</explain>
      <paraID> D88586B</paraID>
      <start>52</start>
      <end>53</end>
      <status>unmodified</status>
      <modifiedWord/>
      <trackRevisions>false</trackRevisions>
    </reviewItem>
    <reviewItem>
      <errorID>5b852233-efc2-45d7-992e-44ac8262673d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658A880E</paraID>
      <start>0</start>
      <end>1</end>
      <status>unmodified</status>
      <modifiedWord/>
      <trackRevisions>false</trackRevisions>
    </reviewItem>
    <reviewItem>
      <errorID>ba150ca8-dcb6-4f95-81e4-fc6db05e5c7a</errorID>
      <errorWord>(</errorWord>
      <group>L1_Format</group>
      <groupName>格式问题</groupName>
      <ability>L2_HalfPunc</ability>
      <abilityName>全半角检查</abilityName>
      <candidateList>
        <item>（</item>
      </candidateList>
      <explain>文本全半角错误。</explain>
      <paraID>46070066</paraID>
      <start>38</start>
      <end>39</end>
      <status>unmodified</status>
      <modifiedWord/>
      <trackRevisions>false</trackRevisions>
    </reviewItem>
    <reviewItem>
      <errorID>0893b85f-caf8-47fd-86f4-82d98e8eaae2</errorID>
      <errorWord>)</errorWord>
      <group>L1_Format</group>
      <groupName>格式问题</groupName>
      <ability>L2_HalfPunc</ability>
      <abilityName>全半角检查</abilityName>
      <candidateList>
        <item>）</item>
      </candidateList>
      <explain>文本全半角错误。</explain>
      <paraID>46070066</paraID>
      <start>45</start>
      <end>46</end>
      <status>unmodified</status>
      <modifiedWord/>
      <trackRevisions>false</trackRevisions>
    </reviewItem>
    <reviewItem>
      <errorID>1e6afa88-0dcf-4c3e-a39f-b671fd199f2f</errorID>
      <errorWord>法律、法规</errorWord>
      <group>L1_Word</group>
      <groupName>字词问题</groupName>
      <ability>L2_Typo</ability>
      <abilityName>字词错误</abilityName>
      <candidateList>
        <item>法律法规</item>
      </candidateList>
      <explain/>
      <paraID> 9FE84FD</paraID>
      <start>106</start>
      <end>111</end>
      <status>unmodified</status>
      <modifiedWord/>
      <trackRevisions>false</trackRevisions>
    </reviewItem>
    <reviewItem>
      <errorID>6e2474e1-6de7-4fb4-8b11-d32982f59287</errorID>
      <errorWord>\</errorWord>
      <group>L1_Punc</group>
      <groupName>标点问题</groupName>
      <ability>L2_Punc</ability>
      <abilityName>标点符号检查</abilityName>
      <candidateList/>
      <explain/>
      <paraID>26977E6B</paraID>
      <start>0</start>
      <end>1</end>
      <status>unmodified</status>
      <modifiedWord/>
      <trackRevisions>false</trackRevisions>
    </reviewItem>
    <reviewItem>
      <errorID>dc1408c9-2ff0-4d31-b1c6-45d4a92ef381</errorID>
      <errorWord>\</errorWord>
      <group>L1_Punc</group>
      <groupName>标点问题</groupName>
      <ability>L2_Punc</ability>
      <abilityName>标点符号检查</abilityName>
      <candidateList/>
      <explain/>
      <paraID>7A09F9F4</paraID>
      <start>0</start>
      <end>1</end>
      <status>unmodified</status>
      <modifiedWord/>
      <trackRevisions>false</trackRevisions>
    </reviewItem>
    <reviewItem>
      <errorID>9b2f8347-d6a8-4aa5-9eb7-8ab67ead5c30</errorID>
      <errorWord>\</errorWord>
      <group>L1_Punc</group>
      <groupName>标点问题</groupName>
      <ability>L2_Punc</ability>
      <abilityName>标点符号检查</abilityName>
      <candidateList/>
      <explain/>
      <paraID>1F16E64F</paraID>
      <start>0</start>
      <end>1</end>
      <status>unmodified</status>
      <modifiedWord/>
      <trackRevisions>false</trackRevisions>
    </reviewItem>
    <reviewItem>
      <errorID>a2ffbf78-3bea-4e09-855a-be288de5c33d</errorID>
      <errorWord>\</errorWord>
      <group>L1_Punc</group>
      <groupName>标点问题</groupName>
      <ability>L2_Punc</ability>
      <abilityName>标点符号检查</abilityName>
      <candidateList/>
      <explain/>
      <paraID>283B42E4</paraID>
      <start>0</start>
      <end>1</end>
      <status>unmodified</status>
      <modifiedWord/>
      <trackRevisions>false</trackRevisions>
    </reviewItem>
    <reviewItem>
      <errorID>08348cca-0958-4982-9671-46f42a7b7389</errorID>
      <errorWord>\</errorWord>
      <group>L1_Punc</group>
      <groupName>标点问题</groupName>
      <ability>L2_Punc</ability>
      <abilityName>标点符号检查</abilityName>
      <candidateList/>
      <explain/>
      <paraID>525B53CE</paraID>
      <start>0</start>
      <end>1</end>
      <status>unmodified</status>
      <modifiedWord/>
      <trackRevisions>false</trackRevisions>
    </reviewItem>
    <reviewItem>
      <errorID>0efba8dd-ab34-45a7-820d-c05a138f5f2b</errorID>
      <errorWord>\</errorWord>
      <group>L1_Punc</group>
      <groupName>标点问题</groupName>
      <ability>L2_Punc</ability>
      <abilityName>标点符号检查</abilityName>
      <candidateList/>
      <explain/>
      <paraID>3701750F</paraID>
      <start>0</start>
      <end>1</end>
      <status>unmodified</status>
      <modifiedWord/>
      <trackRevisions>false</trackRevisions>
    </reviewItem>
    <reviewItem>
      <errorID>6ad8b22d-34ff-4a05-b806-9a9f8921924d</errorID>
      <errorWord>［2023］</errorWord>
      <group>L1_Punc</group>
      <groupName>标点问题</groupName>
      <ability>L2_Punc</ability>
      <abilityName>标点符号检查</abilityName>
      <candidateList>
        <item>〔2023〕</item>
      </candidateList>
      <explain/>
      <paraID>6CF29408</paraID>
      <start>19</start>
      <end>25</end>
      <status>unmodified</status>
      <modifiedWord/>
      <trackRevisions>false</trackRevisions>
    </reviewItem>
    <reviewItem>
      <errorID>4b1a6701-1b8d-48e8-9cbc-cd2d16fd7a12</errorID>
      <errorWord>（</errorWord>
      <group>L1_Punc</group>
      <groupName>标点问题</groupName>
      <ability>L2_Punc</ability>
      <abilityName>标点符号检查</abilityName>
      <candidateList/>
      <explain>同一形式括号套用。</explain>
      <paraID> 888ADBD</paraID>
      <start>11</start>
      <end>12</end>
      <status>unmodified</status>
      <modifiedWord/>
      <trackRevisions>false</trackRevisions>
    </reviewItem>
    <reviewItem>
      <errorID>04b8cb30-23bf-47db-9890-0cf2fbb09c1b</errorID>
      <errorWord>）</errorWord>
      <group>L1_Punc</group>
      <groupName>标点问题</groupName>
      <ability>L2_Punc</ability>
      <abilityName>标点符号检查</abilityName>
      <candidateList/>
      <explain>同一形式括号套用。</explain>
      <paraID> 888ADBD</paraID>
      <start>16</start>
      <end>17</end>
      <status>unmodified</status>
      <modifiedWord/>
      <trackRevisions>false</trackRevisions>
    </reviewItem>
    <reviewItem>
      <errorID>cb4efb5a-13b7-4123-9c74-2f09a2f1a475</errorID>
      <errorWord>护</errorWord>
      <group>L1_Word</group>
      <groupName>字词问题</groupName>
      <ability>L2_Typo</ability>
      <abilityName>字词错误</abilityName>
      <candidateList>
        <item>护区</item>
      </candidateList>
      <explain/>
      <paraID>25ECC276</paraID>
      <start>83</start>
      <end>84</end>
      <status>unmodified</status>
      <modifiedWord/>
      <trackRevisions>false</trackRevisions>
    </reviewItem>
    <reviewItem>
      <errorID>c8db2164-46bd-49ec-9758-3ffc03136db5</errorID>
      <errorWord>(</errorWord>
      <group>L1_Format</group>
      <groupName>格式问题</groupName>
      <ability>L2_HalfPunc</ability>
      <abilityName>全半角检查</abilityName>
      <candidateList>
        <item>（</item>
      </candidateList>
      <explain>文本全半角错误。</explain>
      <paraID>6F257134</paraID>
      <start>4</start>
      <end>5</end>
      <status>unmodified</status>
      <modifiedWord/>
      <trackRevisions>false</trackRevisions>
    </reviewItem>
    <reviewItem>
      <errorID>f00c1447-513c-4e40-9c57-b8e93101737d</errorID>
      <errorWord>)</errorWord>
      <group>L1_Format</group>
      <groupName>格式问题</groupName>
      <ability>L2_HalfPunc</ability>
      <abilityName>全半角检查</abilityName>
      <candidateList>
        <item>）</item>
      </candidateList>
      <explain>文本全半角错误。</explain>
      <paraID>6F257134</paraID>
      <start>6</start>
      <end>7</end>
      <status>unmodified</status>
      <modifiedWord/>
      <trackRevisions>false</trackRevisions>
    </reviewItem>
    <reviewItem>
      <errorID>ec52883f-7d68-4c0d-ba7b-a30dca8d8e66</errorID>
      <errorWord>（</errorWord>
      <group>L1_Format</group>
      <groupName>格式问题</groupName>
      <ability>L2_HalfPunc</ability>
      <abilityName>全半角检查</abilityName>
      <candidateList>
        <item>(</item>
      </candidateList>
      <explain>文本全半角错误。</explain>
      <paraID>2EC8DD75</paraID>
      <start>1</start>
      <end>2</end>
      <status>unmodified</status>
      <modifiedWord/>
      <trackRevisions>false</trackRevisions>
    </reviewItem>
    <reviewItem>
      <errorID>efff45e2-2332-48b9-a70e-a11925d7fe7a</errorID>
      <errorWord>）</errorWord>
      <group>L1_Format</group>
      <groupName>格式问题</groupName>
      <ability>L2_HalfPunc</ability>
      <abilityName>全半角检查</abilityName>
      <candidateList>
        <item>)</item>
      </candidateList>
      <explain>文本全半角错误。</explain>
      <paraID>2EC8DD75</paraID>
      <start>3</start>
      <end>4</end>
      <status>unmodified</status>
      <modifiedWord/>
      <trackRevisions>false</trackRevisions>
    </reviewItem>
    <reviewItem>
      <errorID>b38318fb-05ca-4bc3-9d2d-6f429146f236</errorID>
      <errorWord>（</errorWord>
      <group>L1_Format</group>
      <groupName>格式问题</groupName>
      <ability>L2_HalfPunc</ability>
      <abilityName>全半角检查</abilityName>
      <candidateList>
        <item>(</item>
      </candidateList>
      <explain>文本全半角错误。</explain>
      <paraID>7AE5901F</paraID>
      <start>4</start>
      <end>5</end>
      <status>unmodified</status>
      <modifiedWord/>
      <trackRevisions>false</trackRevisions>
    </reviewItem>
    <reviewItem>
      <errorID>3a05c8e7-b424-4fdc-ae43-bddb487beb02</errorID>
      <errorWord>）</errorWord>
      <group>L1_Format</group>
      <groupName>格式问题</groupName>
      <ability>L2_HalfPunc</ability>
      <abilityName>全半角检查</abilityName>
      <candidateList>
        <item>)</item>
      </candidateList>
      <explain>文本全半角错误。</explain>
      <paraID>7AE5901F</paraID>
      <start>9</start>
      <end>10</end>
      <status>unmodified</status>
      <modifiedWord/>
      <trackRevisions>false</trackRevisions>
    </reviewItem>
    <reviewItem>
      <errorID>f4ec7b21-1290-4d56-9cbf-12926507b47c</errorID>
      <errorWord>（</errorWord>
      <group>L1_Format</group>
      <groupName>格式问题</groupName>
      <ability>L2_HalfPunc</ability>
      <abilityName>全半角检查</abilityName>
      <candidateList>
        <item>(</item>
      </candidateList>
      <explain>文本全半角错误。</explain>
      <paraID>7DB98533</paraID>
      <start>4</start>
      <end>5</end>
      <status>unmodified</status>
      <modifiedWord/>
      <trackRevisions>false</trackRevisions>
    </reviewItem>
    <reviewItem>
      <errorID>5b57cc4e-1dd8-46e2-b8d0-b71c2474e219</errorID>
      <errorWord>）</errorWord>
      <group>L1_Format</group>
      <groupName>格式问题</groupName>
      <ability>L2_HalfPunc</ability>
      <abilityName>全半角检查</abilityName>
      <candidateList>
        <item>)</item>
      </candidateList>
      <explain>文本全半角错误。</explain>
      <paraID>7DB98533</paraID>
      <start>9</start>
      <end>10</end>
      <status>unmodified</status>
      <modifiedWord/>
      <trackRevisions>false</trackRevisions>
    </reviewItem>
    <reviewItem>
      <errorID>873337bb-cecf-4951-8cd1-3642d7166bfa</errorID>
      <errorWord>（</errorWord>
      <group>L1_Format</group>
      <groupName>格式问题</groupName>
      <ability>L2_HalfPunc</ability>
      <abilityName>全半角检查</abilityName>
      <candidateList>
        <item>(</item>
      </candidateList>
      <explain>文本全半角错误。</explain>
      <paraID>657B71EB</paraID>
      <start>1</start>
      <end>2</end>
      <status>unmodified</status>
      <modifiedWord/>
      <trackRevisions>false</trackRevisions>
    </reviewItem>
    <reviewItem>
      <errorID>ebed6df5-9781-4e86-b381-fc3ce0f03bba</errorID>
      <errorWord>）</errorWord>
      <group>L1_Format</group>
      <groupName>格式问题</groupName>
      <ability>L2_HalfPunc</ability>
      <abilityName>全半角检查</abilityName>
      <candidateList>
        <item>)</item>
      </candidateList>
      <explain>文本全半角错误。</explain>
      <paraID>657B71EB</paraID>
      <start>3</start>
      <end>4</end>
      <status>unmodified</status>
      <modifiedWord/>
      <trackRevisions>false</trackRevisions>
    </reviewItem>
    <reviewItem>
      <errorID>61a454fc-84e9-4dd0-9140-0abb7b5adcb1</errorID>
      <errorWord>（</errorWord>
      <group>L1_Format</group>
      <groupName>格式问题</groupName>
      <ability>L2_HalfPunc</ability>
      <abilityName>全半角检查</abilityName>
      <candidateList>
        <item>(</item>
      </candidateList>
      <explain>文本全半角错误。</explain>
      <paraID>63100A56</paraID>
      <start>4</start>
      <end>5</end>
      <status>unmodified</status>
      <modifiedWord/>
      <trackRevisions>false</trackRevisions>
    </reviewItem>
    <reviewItem>
      <errorID>32351757-0b5a-48a0-a78b-4d7c5f7957fc</errorID>
      <errorWord>）</errorWord>
      <group>L1_Format</group>
      <groupName>格式问题</groupName>
      <ability>L2_HalfPunc</ability>
      <abilityName>全半角检查</abilityName>
      <candidateList>
        <item>)</item>
      </candidateList>
      <explain>文本全半角错误。</explain>
      <paraID>63100A56</paraID>
      <start>9</start>
      <end>10</end>
      <status>unmodified</status>
      <modifiedWord/>
      <trackRevisions>false</trackRevisions>
    </reviewItem>
    <reviewItem>
      <errorID>6934b936-6254-401f-b4c6-4b05b78579e7</errorID>
      <errorWord>（</errorWord>
      <group>L1_Format</group>
      <groupName>格式问题</groupName>
      <ability>L2_HalfPunc</ability>
      <abilityName>全半角检查</abilityName>
      <candidateList>
        <item>(</item>
      </candidateList>
      <explain>文本全半角错误。</explain>
      <paraID>2A047B1E</paraID>
      <start>1</start>
      <end>2</end>
      <status>unmodified</status>
      <modifiedWord/>
      <trackRevisions>false</trackRevisions>
    </reviewItem>
    <reviewItem>
      <errorID>f9e3433f-70a6-47eb-aaac-616a1eb5953f</errorID>
      <errorWord>）</errorWord>
      <group>L1_Format</group>
      <groupName>格式问题</groupName>
      <ability>L2_HalfPunc</ability>
      <abilityName>全半角检查</abilityName>
      <candidateList>
        <item>)</item>
      </candidateList>
      <explain>文本全半角错误。</explain>
      <paraID>2A047B1E</paraID>
      <start>3</start>
      <end>4</end>
      <status>unmodified</status>
      <modifiedWord/>
      <trackRevisions>false</trackRevisions>
    </reviewItem>
    <reviewItem>
      <errorID>c88827f0-3a7e-47ca-a198-fe2f1f1f788e</errorID>
      <errorWord>（</errorWord>
      <group>L1_Format</group>
      <groupName>格式问题</groupName>
      <ability>L2_HalfPunc</ability>
      <abilityName>全半角检查</abilityName>
      <candidateList>
        <item>(</item>
      </candidateList>
      <explain>文本全半角错误。</explain>
      <paraID> 9F8306B</paraID>
      <start>4</start>
      <end>5</end>
      <status>unmodified</status>
      <modifiedWord/>
      <trackRevisions>false</trackRevisions>
    </reviewItem>
    <reviewItem>
      <errorID>db7bde5d-e146-464a-a146-dc31cb6139d0</errorID>
      <errorWord>）</errorWord>
      <group>L1_Format</group>
      <groupName>格式问题</groupName>
      <ability>L2_HalfPunc</ability>
      <abilityName>全半角检查</abilityName>
      <candidateList>
        <item>)</item>
      </candidateList>
      <explain>文本全半角错误。</explain>
      <paraID> 9F8306B</paraID>
      <start>7</start>
      <end>8</end>
      <status>unmodified</status>
      <modifiedWord/>
      <trackRevisions>false</trackRevisions>
    </reviewItem>
    <reviewItem>
      <errorID>bce5c4ac-a6ad-4186-9c5c-598345abc1ae</errorID>
      <errorWord>（</errorWord>
      <group>L1_Format</group>
      <groupName>格式问题</groupName>
      <ability>L2_HalfPunc</ability>
      <abilityName>全半角检查</abilityName>
      <candidateList>
        <item>(</item>
      </candidateList>
      <explain>文本全半角错误。</explain>
      <paraID>227B13BA</paraID>
      <start>1</start>
      <end>2</end>
      <status>unmodified</status>
      <modifiedWord/>
      <trackRevisions>false</trackRevisions>
    </reviewItem>
    <reviewItem>
      <errorID>0deaf38a-5b7f-4912-9872-a0ba3b4554cc</errorID>
      <errorWord>）</errorWord>
      <group>L1_Format</group>
      <groupName>格式问题</groupName>
      <ability>L2_HalfPunc</ability>
      <abilityName>全半角检查</abilityName>
      <candidateList>
        <item>)</item>
      </candidateList>
      <explain>文本全半角错误。</explain>
      <paraID>227B13BA</paraID>
      <start>3</start>
      <end>4</end>
      <status>unmodified</status>
      <modifiedWord/>
      <trackRevisions>false</trackRevisions>
    </reviewItem>
    <reviewItem>
      <errorID>891bb18a-c374-4e82-938d-4eab8c7f9781</errorID>
      <errorWord>（</errorWord>
      <group>L1_Format</group>
      <groupName>格式问题</groupName>
      <ability>L2_HalfPunc</ability>
      <abilityName>全半角检查</abilityName>
      <candidateList>
        <item>(</item>
      </candidateList>
      <explain>文本全半角错误。</explain>
      <paraID>1A36E655</paraID>
      <start>4</start>
      <end>5</end>
      <status>unmodified</status>
      <modifiedWord/>
      <trackRevisions>false</trackRevisions>
    </reviewItem>
    <reviewItem>
      <errorID>d207ea4e-e8cf-4c11-9daf-b65389fcbdb5</errorID>
      <errorWord>）</errorWord>
      <group>L1_Format</group>
      <groupName>格式问题</groupName>
      <ability>L2_HalfPunc</ability>
      <abilityName>全半角检查</abilityName>
      <candidateList>
        <item>)</item>
      </candidateList>
      <explain>文本全半角错误。</explain>
      <paraID>1A36E655</paraID>
      <start>9</start>
      <end>10</end>
      <status>unmodified</status>
      <modifiedWord/>
      <trackRevisions>false</trackRevisions>
    </reviewItem>
    <reviewItem>
      <errorID>7aaf33cd-585d-4b9e-899b-0cbe60cebed0</errorID>
      <errorWord>（</errorWord>
      <group>L1_Format</group>
      <groupName>格式问题</groupName>
      <ability>L2_HalfPunc</ability>
      <abilityName>全半角检查</abilityName>
      <candidateList>
        <item>(</item>
      </candidateList>
      <explain>文本全半角错误。</explain>
      <paraID>60298B7F</paraID>
      <start>1</start>
      <end>2</end>
      <status>unmodified</status>
      <modifiedWord/>
      <trackRevisions>false</trackRevisions>
    </reviewItem>
    <reviewItem>
      <errorID>52e27c01-c550-4ce4-a80c-6209db3b2392</errorID>
      <errorWord>）</errorWord>
      <group>L1_Format</group>
      <groupName>格式问题</groupName>
      <ability>L2_HalfPunc</ability>
      <abilityName>全半角检查</abilityName>
      <candidateList>
        <item>)</item>
      </candidateList>
      <explain>文本全半角错误。</explain>
      <paraID>60298B7F</paraID>
      <start>3</start>
      <end>4</end>
      <status>unmodified</status>
      <modifiedWord/>
      <trackRevisions>false</trackRevisions>
    </reviewItem>
    <reviewItem>
      <errorID>2eb045a6-21bb-4988-9615-ca98a0482eb4</errorID>
      <errorWord>(</errorWord>
      <group>L1_Format</group>
      <groupName>格式问题</groupName>
      <ability>L2_HalfPunc</ability>
      <abilityName>全半角检查</abilityName>
      <candidateList>
        <item>（</item>
      </candidateList>
      <explain>文本全半角错误。</explain>
      <paraID>481B4CA0</paraID>
      <start>14</start>
      <end>15</end>
      <status>unmodified</status>
      <modifiedWord/>
      <trackRevisions>false</trackRevisions>
    </reviewItem>
    <reviewItem>
      <errorID>74b3c237-6ea1-4b67-9b56-41a4d7f26f9b</errorID>
      <errorWord>)</errorWord>
      <group>L1_Format</group>
      <groupName>格式问题</groupName>
      <ability>L2_HalfPunc</ability>
      <abilityName>全半角检查</abilityName>
      <candidateList>
        <item>）</item>
      </candidateList>
      <explain>文本全半角错误。</explain>
      <paraID>481B4CA0</paraID>
      <start>29</start>
      <end>30</end>
      <status>unmodified</status>
      <modifiedWord/>
      <trackRevisions>false</trackRevisions>
    </reviewItem>
    <reviewItem>
      <errorID>ebcd911c-9621-410c-8bda-0cd8c76537d1</errorID>
      <errorWord>(</errorWord>
      <group>L1_Format</group>
      <groupName>格式问题</groupName>
      <ability>L2_HalfPunc</ability>
      <abilityName>全半角检查</abilityName>
      <candidateList>
        <item>（</item>
      </candidateList>
      <explain>文本全半角错误。</explain>
      <paraID>481B4CA0</paraID>
      <start>34</start>
      <end>35</end>
      <status>unmodified</status>
      <modifiedWord/>
      <trackRevisions>false</trackRevisions>
    </reviewItem>
    <reviewItem>
      <errorID>f1517e38-4b55-41bf-9f17-a2f828890896</errorID>
      <errorWord>)</errorWord>
      <group>L1_Format</group>
      <groupName>格式问题</groupName>
      <ability>L2_HalfPunc</ability>
      <abilityName>全半角检查</abilityName>
      <candidateList>
        <item>）</item>
      </candidateList>
      <explain>文本全半角错误。</explain>
      <paraID>481B4CA0</paraID>
      <start>36</start>
      <end>37</end>
      <status>unmodified</status>
      <modifiedWord/>
      <trackRevisions>false</trackRevisions>
    </reviewItem>
    <reviewItem>
      <errorID>41a950fa-be6a-4ef2-85f4-182739a0b10b</errorID>
      <errorWord>(</errorWord>
      <group>L1_Format</group>
      <groupName>格式问题</groupName>
      <ability>L2_HalfPunc</ability>
      <abilityName>全半角检查</abilityName>
      <candidateList>
        <item>（</item>
      </candidateList>
      <explain>文本全半角错误。</explain>
      <paraID> 73152F5</paraID>
      <start>38</start>
      <end>39</end>
      <status>unmodified</status>
      <modifiedWord/>
      <trackRevisions>false</trackRevisions>
    </reviewItem>
    <reviewItem>
      <errorID>5692f08d-a582-416f-b5a0-8f706d5effeb</errorID>
      <errorWord>)</errorWord>
      <group>L1_Format</group>
      <groupName>格式问题</groupName>
      <ability>L2_HalfPunc</ability>
      <abilityName>全半角检查</abilityName>
      <candidateList>
        <item>）</item>
      </candidateList>
      <explain>文本全半角错误。</explain>
      <paraID> 73152F5</paraID>
      <start>45</start>
      <end>46</end>
      <status>unmodified</status>
      <modifiedWord/>
      <trackRevisions>false</trackRevisions>
    </reviewItem>
    <reviewItem>
      <errorID>bb1b69f3-9b15-4760-bf02-5fcf53494eea</errorID>
      <errorWord>；</errorWord>
      <group>L1_Format</group>
      <groupName>格式问题</groupName>
      <ability>L2_HalfPunc</ability>
      <abilityName>全半角检查</abilityName>
      <candidateList>
        <item>;</item>
      </candidateList>
      <explain>文本全半角错误。</explain>
      <paraID>6B9EC980</paraID>
      <start>11</start>
      <end>12</end>
      <status>unmodified</status>
      <modifiedWord/>
      <trackRevisions>false</trackRevisions>
    </reviewItem>
    <reviewItem>
      <errorID>6f5643ab-8466-4217-a217-769af82ba102</errorID>
      <errorWord>(</errorWord>
      <group>L1_Format</group>
      <groupName>格式问题</groupName>
      <ability>L2_HalfPunc</ability>
      <abilityName>全半角检查</abilityName>
      <candidateList>
        <item>（</item>
      </candidateList>
      <explain>文本全半角错误。</explain>
      <paraID>  8F56E2</paraID>
      <start>5</start>
      <end>6</end>
      <status>unmodified</status>
      <modifiedWord/>
      <trackRevisions>false</trackRevisions>
    </reviewItem>
    <reviewItem>
      <errorID>bc3f5f7d-cda8-4874-b395-83f2ef8bac79</errorID>
      <errorWord>)</errorWord>
      <group>L1_Format</group>
      <groupName>格式问题</groupName>
      <ability>L2_HalfPunc</ability>
      <abilityName>全半角检查</abilityName>
      <candidateList>
        <item>）</item>
      </candidateList>
      <explain>文本全半角错误。</explain>
      <paraID>  8F56E2</paraID>
      <start>12</start>
      <end>13</end>
      <status>unmodified</status>
      <modifiedWord/>
      <trackRevisions>false</trackRevisions>
    </reviewItem>
    <reviewItem>
      <errorID>beee897b-eef4-4076-87ed-982966c443f9</errorID>
      <errorWord>；</errorWord>
      <group>L1_Format</group>
      <groupName>格式问题</groupName>
      <ability>L2_HalfPunc</ability>
      <abilityName>全半角检查</abilityName>
      <candidateList>
        <item>;</item>
      </candidateList>
      <explain>文本全半角错误。</explain>
      <paraID>3912662C</paraID>
      <start>11</start>
      <end>12</end>
      <status>unmodified</status>
      <modifiedWord/>
      <trackRevisions>false</trackRevisions>
    </reviewItem>
    <reviewItem>
      <errorID>36e78540-e062-4e69-8900-7844e351e67b</errorID>
      <errorWord>(</errorWord>
      <group>L1_Format</group>
      <groupName>格式问题</groupName>
      <ability>L2_HalfPunc</ability>
      <abilityName>全半角检查</abilityName>
      <candidateList>
        <item>（</item>
      </candidateList>
      <explain>文本全半角错误。</explain>
      <paraID>6124DD81</paraID>
      <start>5</start>
      <end>6</end>
      <status>unmodified</status>
      <modifiedWord/>
      <trackRevisions>false</trackRevisions>
    </reviewItem>
    <reviewItem>
      <errorID>f4155d44-6a29-4f79-8ce3-f875793fac17</errorID>
      <errorWord>)</errorWord>
      <group>L1_Format</group>
      <groupName>格式问题</groupName>
      <ability>L2_HalfPunc</ability>
      <abilityName>全半角检查</abilityName>
      <candidateList>
        <item>）</item>
      </candidateList>
      <explain>文本全半角错误。</explain>
      <paraID>6124DD81</paraID>
      <start>12</start>
      <end>13</end>
      <status>unmodified</status>
      <modifiedWord/>
      <trackRevisions>false</trackRevisions>
    </reviewItem>
    <reviewItem>
      <errorID>3c71e979-d286-495d-af3b-2e17703ae864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41FBEB60</paraID>
      <start>0</start>
      <end>2</end>
      <status>unmodified</status>
      <modifiedWord/>
      <trackRevisions>false</trackRevisions>
    </reviewItem>
    <reviewItem>
      <errorID>5f183a1f-4dc1-48c9-a26c-29837fb73d10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1F62D89D</paraID>
      <start>0</start>
      <end>2</end>
      <status>unmodified</status>
      <modifiedWord/>
      <trackRevisions>false</trackRevisions>
    </reviewItem>
    <reviewItem>
      <errorID>4fee3496-ea91-45db-8fce-8028821df7ca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546209FC</paraID>
      <start>0</start>
      <end>2</end>
      <status>unmodified</status>
      <modifiedWord/>
      <trackRevisions>false</trackRevisions>
    </reviewItem>
    <reviewItem>
      <errorID>6a6567d2-c532-4ff5-ba9f-9a73882fe69c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768B0219</paraID>
      <start>0</start>
      <end>2</end>
      <status>unmodified</status>
      <modifiedWord/>
      <trackRevisions>false</trackRevisions>
    </reviewItem>
    <reviewItem>
      <errorID>5b2c7205-7075-4323-92c9-23b53cd9ac98</errorID>
      <errorWord>穿带</errorWord>
      <group>L1_Word</group>
      <groupName>字词问题</groupName>
      <ability>L2_Typo</ability>
      <abilityName>字词错误</abilityName>
      <candidateList>
        <item>穿戴</item>
      </candidateList>
      <explain>❶〈动〉穿和戴，泛指打扮：她～得很时髦。❷〈名〉指穿的和戴的衣帽、首饰等：一身好～。</explain>
      <paraID>1B0DC453</paraID>
      <start>24</start>
      <end>26</end>
      <status>unmodified</status>
      <modifiedWord/>
      <trackRevisions>false</trackRevisions>
    </reviewItem>
    <reviewItem>
      <errorID>f319e1db-df51-4f38-b66c-355ba8145819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2956370C</paraID>
      <start>0</start>
      <end>2</end>
      <status>unmodified</status>
      <modifiedWord/>
      <trackRevisions>false</trackRevisions>
    </reviewItem>
    <reviewItem>
      <errorID>de117cc4-5334-42ad-8bcf-320ba388d7f4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6EB91E7</paraID>
      <start>0</start>
      <end>2</end>
      <status>unmodified</status>
      <modifiedWord/>
      <trackRevisions>false</trackRevisions>
    </reviewItem>
    <reviewItem>
      <errorID>17073a9d-5022-434a-b5c1-b1253c32f1b9</errorID>
      <errorWord>出出</errorWord>
      <group>L1_Word</group>
      <groupName>字词问题</groupName>
      <ability>L2_Typo</ability>
      <abilityName>字词错误</abilityName>
      <candidateList>
        <item>出</item>
      </candidateList>
      <explain>〈动〉趋向动词。用在动词后表示向外、显露或完成：看得～｜看不～｜拿～一张纸｜跑～大门｜看～问题｜做～成绩。</explain>
      <paraID>66453CAA</paraID>
      <start>46</start>
      <end>47</end>
      <status>modified</status>
      <modifiedWord>出</modifiedWord>
      <trackRevisions>false</trackRevisions>
    </reviewItem>
    <reviewItem>
      <errorID>d1a0809a-8a10-4c52-9ff7-b6bd70577a59</errorID>
      <errorWord>见</errorWord>
      <group>L1_Word</group>
      <groupName>字词问题</groupName>
      <ability>L2_Typo</ability>
      <abilityName>字词错误</abilityName>
      <candidateList>
        <item>见下</item>
      </candidateList>
      <explain/>
      <paraID>68164C03</paraID>
      <start>49</start>
      <end>50</end>
      <status>unmodified</status>
      <modifiedWord/>
      <trackRevisions>false</trackRevisions>
    </reviewItem>
    <reviewItem>
      <errorID>077ca605-86bf-49f0-a45e-f4d64768af26</errorID>
      <errorWord>间</errorWord>
      <group>L1_Word</group>
      <groupName>字词问题</groupName>
      <ability>L2_Typo</ability>
      <abilityName>字词错误</abilityName>
      <candidateList>
        <item>间为</item>
      </candidateList>
      <explain/>
      <paraID>44746398</paraID>
      <start>34</start>
      <end>36</end>
      <status>modified</status>
      <modifiedWord>间为</modifiedWord>
      <trackRevisions>false</trackRevisions>
    </reviewItem>
    <reviewItem>
      <errorID>3fd4fa5e-155f-4b8f-a9f1-a8badf266039</errorID>
      <errorWord>～</errorWord>
      <group>L1_Format</group>
      <groupName>格式问题</groupName>
      <ability>L2_HalfPunc</ability>
      <abilityName>全半角检查</abilityName>
      <candidateList>
        <item>~</item>
      </candidateList>
      <explain>文本全半角错误。</explain>
      <paraID>2737566A</paraID>
      <start>2</start>
      <end>3</end>
      <status>unmodified</status>
      <modifiedWord/>
      <trackRevisions>false</trackRevisions>
    </reviewItem>
    <reviewItem>
      <errorID>75dd0d7c-f6e6-421a-a66d-79dbf02ef747</errorID>
      <errorWord>～</errorWord>
      <group>L1_Format</group>
      <groupName>格式问题</groupName>
      <ability>L2_HalfPunc</ability>
      <abilityName>全半角检查</abilityName>
      <candidateList>
        <item>~</item>
      </candidateList>
      <explain>文本全半角错误。</explain>
      <paraID>48F66B72</paraID>
      <start>3</start>
      <end>4</end>
      <status>unmodified</status>
      <modifiedWord/>
      <trackRevisions>false</trackRevisions>
    </reviewItem>
    <reviewItem>
      <errorID>97178722-f706-42ae-b974-72b59335d953</errorID>
      <errorWord>-</errorWord>
      <group>L1_Format</group>
      <groupName>格式问题</groupName>
      <ability>L2_HalfPunc</ability>
      <abilityName>全半角检查</abilityName>
      <candidateList>
        <item>－</item>
      </candidateList>
      <explain>文本全半角错误。</explain>
      <paraID>74BF863B</paraID>
      <start>6</start>
      <end>7</end>
      <status>unmodified</status>
      <modifiedWord/>
      <trackRevisions>false</trackRevisions>
    </reviewItem>
    <reviewItem>
      <errorID>7cebd977-5e14-452c-826a-5a25c354a6c9</errorID>
      <errorWord>-</errorWord>
      <group>L1_Format</group>
      <groupName>格式问题</groupName>
      <ability>L2_HalfPunc</ability>
      <abilityName>全半角检查</abilityName>
      <candidateList>
        <item>－</item>
      </candidateList>
      <explain>文本全半角错误。</explain>
      <paraID>50B90F1F</paraID>
      <start>6</start>
      <end>7</end>
      <status>unmodified</status>
      <modifiedWord/>
      <trackRevisions>false</trackRevisions>
    </reviewItem>
    <reviewItem>
      <errorID>1f51c8cc-81f2-44e3-a38b-6f40db9fc523</errorID>
      <errorWord>～</errorWord>
      <group>L1_Format</group>
      <groupName>格式问题</groupName>
      <ability>L2_HalfPunc</ability>
      <abilityName>全半角检查</abilityName>
      <candidateList>
        <item>~</item>
      </candidateList>
      <explain>文本全半角错误。</explain>
      <paraID>3014A87A</paraID>
      <start>3</start>
      <end>4</end>
      <status>unmodified</status>
      <modifiedWord/>
      <trackRevisions>false</trackRevisions>
    </reviewItem>
    <reviewItem>
      <errorID>496c1694-20b4-40df-918f-3a307b0f9b44</errorID>
      <errorWord>～</errorWord>
      <group>L1_Format</group>
      <groupName>格式问题</groupName>
      <ability>L2_HalfPunc</ability>
      <abilityName>全半角检查</abilityName>
      <candidateList>
        <item>~</item>
      </candidateList>
      <explain>文本全半角错误。</explain>
      <paraID> 94DE198</paraID>
      <start>3</start>
      <end>4</end>
      <status>unmodified</status>
      <modifiedWord/>
      <trackRevisions>false</trackRevisions>
    </reviewItem>
    <reviewItem>
      <errorID>49a08ee9-0913-463d-9188-225b53c87c53</errorID>
      <errorWord>：</errorWord>
      <group>L1_Format</group>
      <groupName>格式问题</groupName>
      <ability>L2_HalfPunc</ability>
      <abilityName>全半角检查</abilityName>
      <candidateList>
        <item>:</item>
      </candidateList>
      <explain>文本全半角错误。</explain>
      <paraID>52D6859E</paraID>
      <start>3</start>
      <end>4</end>
      <status>unmodified</status>
      <modifiedWord/>
      <trackRevisions>false</trackRevisions>
    </reviewItem>
    <reviewItem>
      <errorID>5d546b74-2d13-422a-9e88-366838b1ff0a</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  CA7E3E</paraID>
      <start>215</start>
      <end>219</end>
      <status>unmodified</status>
      <modifiedWord/>
      <trackRevisions>false</trackRevisions>
    </reviewItem>
    <reviewItem>
      <errorID>2f7db9ae-f5b3-4971-b1c7-96c7758b1216</errorID>
      <errorWord>其它</errorWord>
      <group>L1_Word</group>
      <groupName>字词问题</groupName>
      <ability>L2_Alias</ability>
      <abilityName>也作/曾用词</abilityName>
      <candidateList>
        <item>其他</item>
      </candidateList>
      <explain>词汇[其它]为不规范表述或旧称，其规范书面表述为[其他]。</explain>
      <paraID>3E314530</paraID>
      <start>99</start>
      <end>101</end>
      <status>modified</status>
      <modifiedWord>其他</modifiedWord>
      <trackRevisions>false</trackRevisions>
    </reviewItem>
    <reviewItem>
      <errorID>96644cb5-7d4e-4d5f-bc72-9740ea30f3d3</errorID>
      <errorWord>)</errorWord>
      <group>L1_Format</group>
      <groupName>格式问题</groupName>
      <ability>L2_HalfPunc</ability>
      <abilityName>全半角检查</abilityName>
      <candidateList>
        <item>）</item>
      </candidateList>
      <explain>文本全半角错误。</explain>
      <paraID> 41A421A</paraID>
      <start>11</start>
      <end>12</end>
      <status>unmodified</status>
      <modifiedWord/>
      <trackRevisions>false</trackRevisions>
    </reviewItem>
    <reviewItem>
      <errorID>3331bacc-a77a-47f6-accb-6fab20b98291</errorID>
      <errorWord>)</errorWord>
      <group>L1_Format</group>
      <groupName>格式问题</groupName>
      <ability>L2_HalfPunc</ability>
      <abilityName>全半角检查</abilityName>
      <candidateList>
        <item>）</item>
      </candidateList>
      <explain>文本全半角错误。</explain>
      <paraID> 4C83AAF</paraID>
      <start>12</start>
      <end>13</end>
      <status>unmodified</status>
      <modifiedWord/>
      <trackRevisions>false</trackRevisions>
    </reviewItem>
    <reviewItem>
      <errorID>c06342e1-2039-4714-abcc-21dcd564c0a4</errorID>
      <errorWord>：</errorWord>
      <group>L1_Format</group>
      <groupName>格式问题</groupName>
      <ability>L2_HalfPunc</ability>
      <abilityName>全半角检查</abilityName>
      <candidateList>
        <item>:</item>
      </candidateList>
      <explain>文本全半角错误。</explain>
      <paraID>2A6B7B6E</paraID>
      <start>5</start>
      <end>6</end>
      <status>unmodified</status>
      <modifiedWord/>
      <trackRevisions>false</trackRevisions>
    </reviewItem>
    <reviewItem>
      <errorID>81155b7d-6805-4ba0-9428-0dbef8ffc407</errorID>
      <errorWord>：</errorWord>
      <group>L1_Format</group>
      <groupName>格式问题</groupName>
      <ability>L2_HalfPunc</ability>
      <abilityName>全半角检查</abilityName>
      <candidateList>
        <item>:</item>
      </candidateList>
      <explain>文本全半角错误。</explain>
      <paraID>216C3C2F</paraID>
      <start>5</start>
      <end>6</end>
      <status>unmodified</status>
      <modifiedWord/>
      <trackRevisions>false</trackRevisions>
    </reviewItem>
    <reviewItem>
      <errorID>8f16f32a-77f6-4637-831d-d834e2b7d1d3</errorID>
      <errorWord>,</errorWord>
      <group>L1_Format</group>
      <groupName>格式问题</groupName>
      <ability>L2_HalfPunc</ability>
      <abilityName>全半角检查</abilityName>
      <candidateList>
        <item>，</item>
      </candidateList>
      <explain>文本全半角错误。</explain>
      <paraID>3016E230</paraID>
      <start>11</start>
      <end>12</end>
      <status>unmodified</status>
      <modifiedWord/>
      <trackRevisions>false</trackRevisions>
    </reviewItem>
    <reviewItem>
      <errorID>6569e290-fde1-40e1-bcf3-499680dcb015</errorID>
      <errorWord>(</errorWord>
      <group>L1_Format</group>
      <groupName>格式问题</groupName>
      <ability>L2_HalfPunc</ability>
      <abilityName>全半角检查</abilityName>
      <candidateList>
        <item>（</item>
      </candidateList>
      <explain>文本全半角错误。</explain>
      <paraID>1EC9FE19</paraID>
      <start>2</start>
      <end>3</end>
      <status>unmodified</status>
      <modifiedWord/>
      <trackRevisions>false</trackRevisions>
    </reviewItem>
    <reviewItem>
      <errorID>c335fc98-6442-4949-85f7-a60c485b69ac</errorID>
      <errorWord>)</errorWord>
      <group>L1_Format</group>
      <groupName>格式问题</groupName>
      <ability>L2_HalfPunc</ability>
      <abilityName>全半角检查</abilityName>
      <candidateList>
        <item>）</item>
      </candidateList>
      <explain>文本全半角错误。</explain>
      <paraID>1EC9FE19</paraID>
      <start>4</start>
      <end>5</end>
      <status>unmodified</status>
      <modifiedWord/>
      <trackRevisions>false</trackRevisions>
    </reviewItem>
    <reviewItem>
      <errorID>eb5eccca-cdff-413d-9820-a30c846f1410</errorID>
      <errorWord>(</errorWord>
      <group>L1_Format</group>
      <groupName>格式问题</groupName>
      <ability>L2_HalfPunc</ability>
      <abilityName>全半角检查</abilityName>
      <candidateList>
        <item>（</item>
      </candidateList>
      <explain>文本全半角错误。</explain>
      <paraID> 748410C</paraID>
      <start>2</start>
      <end>3</end>
      <status>unmodified</status>
      <modifiedWord/>
      <trackRevisions>false</trackRevisions>
    </reviewItem>
    <reviewItem>
      <errorID>ef0badf4-3ccc-4551-b46b-69022a721378</errorID>
      <errorWord>)</errorWord>
      <group>L1_Format</group>
      <groupName>格式问题</groupName>
      <ability>L2_HalfPunc</ability>
      <abilityName>全半角检查</abilityName>
      <candidateList>
        <item>）</item>
      </candidateList>
      <explain>文本全半角错误。</explain>
      <paraID> 748410C</paraID>
      <start>4</start>
      <end>5</end>
      <status>unmodified</status>
      <modifiedWord/>
      <trackRevisions>false</trackRevisions>
    </reviewItem>
    <reviewItem>
      <errorID>b0c815f4-fffb-4776-b758-e2b234917c10</errorID>
      <errorWord>～</errorWord>
      <group>L1_Format</group>
      <groupName>格式问题</groupName>
      <ability>L2_HalfPunc</ability>
      <abilityName>全半角检查</abilityName>
      <candidateList>
        <item>~</item>
      </candidateList>
      <explain>文本全半角错误。</explain>
      <paraID>3AA0713B</paraID>
      <start>2</start>
      <end>3</end>
      <status>unmodified</status>
      <modifiedWord/>
      <trackRevisions>false</trackRevisions>
    </reviewItem>
    <reviewItem>
      <errorID>093eb768-a05a-4e27-84ca-b44963afad8c</errorID>
      <errorWord>(</errorWord>
      <group>L1_Format</group>
      <groupName>格式问题</groupName>
      <ability>L2_HalfPunc</ability>
      <abilityName>全半角检查</abilityName>
      <candidateList>
        <item>（</item>
      </candidateList>
      <explain>文本全半角错误。</explain>
      <paraID> DE18DCF</paraID>
      <start>4</start>
      <end>5</end>
      <status>unmodified</status>
      <modifiedWord/>
      <trackRevisions>false</trackRevisions>
    </reviewItem>
    <reviewItem>
      <errorID>6e2b8c8a-daed-43c7-9368-497e05f73261</errorID>
      <errorWord>)</errorWord>
      <group>L1_Format</group>
      <groupName>格式问题</groupName>
      <ability>L2_HalfPunc</ability>
      <abilityName>全半角检查</abilityName>
      <candidateList>
        <item>）</item>
      </candidateList>
      <explain>文本全半角错误。</explain>
      <paraID> DE18DCF</paraID>
      <start>8</start>
      <end>9</end>
      <status>unmodified</status>
      <modifiedWord/>
      <trackRevisions>false</trackRevisions>
    </reviewItem>
    <reviewItem>
      <errorID>77c34fd6-57dc-4bbb-9ae6-b97c2a9302a6</errorID>
      <errorWord>～</errorWord>
      <group>L1_Format</group>
      <groupName>格式问题</groupName>
      <ability>L2_HalfPunc</ability>
      <abilityName>全半角检查</abilityName>
      <candidateList>
        <item>~</item>
      </candidateList>
      <explain>文本全半角错误。</explain>
      <paraID>30CA84F2</paraID>
      <start>4</start>
      <end>5</end>
      <status>unmodified</status>
      <modifiedWord/>
      <trackRevisions>false</trackRevisions>
    </reviewItem>
    <reviewItem>
      <errorID>2702e85d-2fea-4979-a3c1-d97eed91af1c</errorID>
      <errorWord>(</errorWord>
      <group>L1_Format</group>
      <groupName>格式问题</groupName>
      <ability>L2_HalfPunc</ability>
      <abilityName>全半角检查</abilityName>
      <candidateList>
        <item>（</item>
      </candidateList>
      <explain>文本全半角错误。</explain>
      <paraID> CF95B9B</paraID>
      <start>6</start>
      <end>7</end>
      <status>unmodified</status>
      <modifiedWord/>
      <trackRevisions>false</trackRevisions>
    </reviewItem>
    <reviewItem>
      <errorID>df928a47-ad3d-4e7f-81a3-792e49b7cc59</errorID>
      <errorWord>)</errorWord>
      <group>L1_Format</group>
      <groupName>格式问题</groupName>
      <ability>L2_HalfPunc</ability>
      <abilityName>全半角检查</abilityName>
      <candidateList>
        <item>）</item>
      </candidateList>
      <explain>文本全半角错误。</explain>
      <paraID> CF95B9B</paraID>
      <start>11</start>
      <end>12</end>
      <status>unmodified</status>
      <modifiedWord/>
      <trackRevisions>false</trackRevisions>
    </reviewItem>
    <reviewItem>
      <errorID>16755352-324b-46fb-ac6e-37d1d0bf15bb</errorID>
      <errorWord>(</errorWord>
      <group>L1_Format</group>
      <groupName>格式问题</groupName>
      <ability>L2_HalfPunc</ability>
      <abilityName>全半角检查</abilityName>
      <candidateList>
        <item>（</item>
      </candidateList>
      <explain>文本全半角错误。</explain>
      <paraID>607638AB</paraID>
      <start>2</start>
      <end>3</end>
      <status>unmodified</status>
      <modifiedWord/>
      <trackRevisions>false</trackRevisions>
    </reviewItem>
    <reviewItem>
      <errorID>b0eb94ac-8e71-4af0-8c75-65e003226266</errorID>
      <errorWord>)</errorWord>
      <group>L1_Format</group>
      <groupName>格式问题</groupName>
      <ability>L2_HalfPunc</ability>
      <abilityName>全半角检查</abilityName>
      <candidateList>
        <item>）</item>
      </candidateList>
      <explain>文本全半角错误。</explain>
      <paraID>607638AB</paraID>
      <start>4</start>
      <end>5</end>
      <status>unmodified</status>
      <modifiedWord/>
      <trackRevisions>false</trackRevisions>
    </reviewItem>
    <reviewItem>
      <errorID>e990ae25-bf16-4d07-aede-1f5cccca17c5</errorID>
      <errorWord>(</errorWord>
      <group>L1_Format</group>
      <groupName>格式问题</groupName>
      <ability>L2_HalfPunc</ability>
      <abilityName>全半角检查</abilityName>
      <candidateList>
        <item>（</item>
      </candidateList>
      <explain>文本全半角错误。</explain>
      <paraID> 6D89AB9</paraID>
      <start>4</start>
      <end>5</end>
      <status>unmodified</status>
      <modifiedWord/>
      <trackRevisions>false</trackRevisions>
    </reviewItem>
    <reviewItem>
      <errorID>554c3449-ebee-4f8b-993c-5254a3d580f5</errorID>
      <errorWord>)</errorWord>
      <group>L1_Format</group>
      <groupName>格式问题</groupName>
      <ability>L2_HalfPunc</ability>
      <abilityName>全半角检查</abilityName>
      <candidateList>
        <item>）</item>
      </candidateList>
      <explain>文本全半角错误。</explain>
      <paraID> 6D89AB9</paraID>
      <start>6</start>
      <end>7</end>
      <status>unmodified</status>
      <modifiedWord/>
      <trackRevisions>false</trackRevisions>
    </reviewItem>
    <reviewItem>
      <errorID>1e86dac4-6b5e-45d3-876b-fde27d521b1e</errorID>
      <errorWord>～</errorWord>
      <group>L1_Format</group>
      <groupName>格式问题</groupName>
      <ability>L2_HalfPunc</ability>
      <abilityName>全半角检查</abilityName>
      <candidateList>
        <item>~</item>
      </candidateList>
      <explain>文本全半角错误。</explain>
      <paraID>7F3DC770</paraID>
      <start>3</start>
      <end>4</end>
      <status>unmodified</status>
      <modifiedWord/>
      <trackRevisions>false</trackRevisions>
    </reviewItem>
    <reviewItem>
      <errorID>a2540130-ebd2-469a-8b14-756c6459fcdb</errorID>
      <errorWord>)</errorWord>
      <group>L1_Format</group>
      <groupName>格式问题</groupName>
      <ability>L2_HalfPunc</ability>
      <abilityName>全半角检查</abilityName>
      <candidateList>
        <item>）</item>
      </candidateList>
      <explain>文本全半角错误。</explain>
      <paraID>78134DAB</paraID>
      <start>9</start>
      <end>10</end>
      <status>unmodified</status>
      <modifiedWord/>
      <trackRevisions>false</trackRevisions>
    </reviewItem>
    <reviewItem>
      <errorID>546989e9-8d45-475c-88bd-f874928bc8cd</errorID>
      <errorWord>)</errorWord>
      <group>L1_Format</group>
      <groupName>格式问题</groupName>
      <ability>L2_HalfPunc</ability>
      <abilityName>全半角检查</abilityName>
      <candidateList>
        <item>）</item>
      </candidateList>
      <explain>文本全半角错误。</explain>
      <paraID>7BABCB8C</paraID>
      <start>9</start>
      <end>10</end>
      <status>unmodified</status>
      <modifiedWord/>
      <trackRevisions>false</trackRevisions>
    </reviewItem>
    <reviewItem>
      <errorID>b196afb8-9b03-4e2b-b27b-b74aad6d00fa</errorID>
      <errorWord>,</errorWord>
      <group>L1_Format</group>
      <groupName>格式问题</groupName>
      <ability>L2_HalfPunc</ability>
      <abilityName>全半角检查</abilityName>
      <candidateList>
        <item>，</item>
      </candidateList>
      <explain>文本全半角错误。</explain>
      <paraID> E6E6F72</paraID>
      <start>10</start>
      <end>11</end>
      <status>unmodified</status>
      <modifiedWord/>
      <trackRevisions>false</trackRevisions>
    </reviewItem>
    <reviewItem>
      <errorID>438eef1e-a910-48ba-a5c1-48715c19f4b5</errorID>
      <errorWord>,</errorWord>
      <group>L1_Format</group>
      <groupName>格式问题</groupName>
      <ability>L2_HalfPunc</ability>
      <abilityName>全半角检查</abilityName>
      <candidateList>
        <item>，</item>
      </candidateList>
      <explain>文本全半角错误。</explain>
      <paraID> E6E6F72</paraID>
      <start>31</start>
      <end>32</end>
      <status>unmodified</status>
      <modifiedWord/>
      <trackRevisions>false</trackRevisions>
    </reviewItem>
    <reviewItem>
      <errorID>fc079b41-24f9-4a85-baef-2164e4f236ce</errorID>
      <errorWord>：</errorWord>
      <group>L1_Format</group>
      <groupName>格式问题</groupName>
      <ability>L2_HalfPunc</ability>
      <abilityName>全半角检查</abilityName>
      <candidateList>
        <item>:</item>
      </candidateList>
      <explain>文本全半角错误。</explain>
      <paraID>3699323A</paraID>
      <start>4</start>
      <end>5</end>
      <status>unmodified</status>
      <modifiedWord/>
      <trackRevisions>false</trackRevisions>
    </reviewItem>
    <reviewItem>
      <errorID>26948fbe-094a-47b4-9a80-4fe92c4a0aa6</errorID>
      <errorWord>(</errorWord>
      <group>L1_Format</group>
      <groupName>格式问题</groupName>
      <ability>L2_HalfPunc</ability>
      <abilityName>全半角检查</abilityName>
      <candidateList>
        <item>（</item>
      </candidateList>
      <explain>文本全半角错误。</explain>
      <paraID>3699323A</paraID>
      <start>16</start>
      <end>17</end>
      <status>unmodified</status>
      <modifiedWord/>
      <trackRevisions>false</trackRevisions>
    </reviewItem>
    <reviewItem>
      <errorID>1c675817-9268-4a59-a325-a95aa3a12dc9</errorID>
      <errorWord>)</errorWord>
      <group>L1_Format</group>
      <groupName>格式问题</groupName>
      <ability>L2_HalfPunc</ability>
      <abilityName>全半角检查</abilityName>
      <candidateList>
        <item>）</item>
      </candidateList>
      <explain>文本全半角错误。</explain>
      <paraID>3699323A</paraID>
      <start>21</start>
      <end>22</end>
      <status>unmodified</status>
      <modifiedWord/>
      <trackRevisions>false</trackRevisions>
    </reviewItem>
    <reviewItem>
      <errorID>0cdc34d9-6a35-49d7-8250-f4042d6646ca</errorID>
      <errorWord>)</errorWord>
      <group>L1_Format</group>
      <groupName>格式问题</groupName>
      <ability>L2_HalfPunc</ability>
      <abilityName>全半角检查</abilityName>
      <candidateList>
        <item>）</item>
      </candidateList>
      <explain>文本全半角错误。</explain>
      <paraID>3699323A</paraID>
      <start>31</start>
      <end>32</end>
      <status>unmodified</status>
      <modifiedWord/>
      <trackRevisions>false</trackRevisions>
    </reviewItem>
    <reviewItem>
      <errorID>8a6be97b-04c3-4d9d-8c25-358427985262</errorID>
      <errorWord>：</errorWord>
      <group>L1_Format</group>
      <groupName>格式问题</groupName>
      <ability>L2_HalfPunc</ability>
      <abilityName>全半角检查</abilityName>
      <candidateList>
        <item>:</item>
      </candidateList>
      <explain>文本全半角错误。</explain>
      <paraID>3699323A</paraID>
      <start>37</start>
      <end>38</end>
      <status>unmodified</status>
      <modifiedWord/>
      <trackRevisions>false</trackRevisions>
    </reviewItem>
    <reviewItem>
      <errorID>2b9dc798-7b5a-467d-a21e-f2757712bf6d</errorID>
      <errorWord>(</errorWord>
      <group>L1_Format</group>
      <groupName>格式问题</groupName>
      <ability>L2_HalfPunc</ability>
      <abilityName>全半角检查</abilityName>
      <candidateList>
        <item>（</item>
      </candidateList>
      <explain>文本全半角错误。</explain>
      <paraID>3699323A</paraID>
      <start>53</start>
      <end>54</end>
      <status>unmodified</status>
      <modifiedWord/>
      <trackRevisions>false</trackRevisions>
    </reviewItem>
    <reviewItem>
      <errorID>62193cf9-df65-426c-826a-04e5390096df</errorID>
      <errorWord>)</errorWord>
      <group>L1_Format</group>
      <groupName>格式问题</groupName>
      <ability>L2_HalfPunc</ability>
      <abilityName>全半角检查</abilityName>
      <candidateList>
        <item>）</item>
      </candidateList>
      <explain>文本全半角错误。</explain>
      <paraID>3699323A</paraID>
      <start>58</start>
      <end>59</end>
      <status>unmodified</status>
      <modifiedWord/>
      <trackRevisions>false</trackRevisions>
    </reviewItem>
    <reviewItem>
      <errorID>bec827d9-aff1-4f58-9e1b-8a461e31e283</errorID>
      <errorWord>)</errorWord>
      <group>L1_Format</group>
      <groupName>格式问题</groupName>
      <ability>L2_HalfPunc</ability>
      <abilityName>全半角检查</abilityName>
      <candidateList>
        <item>）</item>
      </candidateList>
      <explain>文本全半角错误。</explain>
      <paraID>3699323A</paraID>
      <start>68</start>
      <end>69</end>
      <status>unmodified</status>
      <modifiedWord/>
      <trackRevisions>false</trackRevisions>
    </reviewItem>
    <reviewItem>
      <errorID>22e5301c-c9d4-443e-88bd-87b068df79b3</errorID>
      <errorWord>其它有害</errorWord>
      <group>L1_Word</group>
      <groupName>字词问题</groupName>
      <ability>L2_Alias</ability>
      <abilityName>也作/曾用词</abilityName>
      <candidateList>
        <item>其他有害</item>
      </candidateList>
      <explain>词汇[其它有害]为不规范表述或旧称，其规范书面表述为[其他有害]。</explain>
      <paraID>15154474</paraID>
      <start>0</start>
      <end>4</end>
      <status>modified</status>
      <modifiedWord>其他有害</modifiedWord>
      <trackRevisions>false</trackRevisions>
    </reviewItem>
    <reviewItem>
      <errorID>d31182d5-0cdf-4386-9a6d-e8c51d450ddf</errorID>
      <errorWord>曝晒</errorWord>
      <group>L1_Word</group>
      <groupName>字词问题</groupName>
      <ability>L2_Typo</ability>
      <abilityName>字词错误</abilityName>
      <candidateList>
        <item>暴晒</item>
      </candidateList>
      <explain>〈动〉在强烈的阳光下久晒：烈日～｜洗好的丝绸衣服不宜～。</explain>
      <paraID>552252C8</paraID>
      <start>126</start>
      <end>128</end>
      <status>modified</status>
      <modifiedWord>暴晒</modifiedWord>
      <trackRevisions>false</trackRevisions>
    </reviewItem>
    <reviewItem>
      <errorID>abe9f727-b1da-4b5b-9c57-952aedc1ab44</errorID>
      <errorWord>：</errorWord>
      <group>L1_Format</group>
      <groupName>格式问题</groupName>
      <ability>L2_HalfPunc</ability>
      <abilityName>全半角检查</abilityName>
      <candidateList>
        <item>:</item>
      </candidateList>
      <explain>文本全半角错误。</explain>
      <paraID>727EB14F</paraID>
      <start>3</start>
      <end>4</end>
      <status>unmodified</status>
      <modifiedWord/>
      <trackRevisions>false</trackRevisions>
    </reviewItem>
    <reviewItem>
      <errorID>77676676-e981-4f2d-8ebf-c5a828e43272</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4437699F</paraID>
      <start>78</start>
      <end>81</end>
      <status>unmodified</status>
      <modifiedWord/>
      <trackRevisions>false</trackRevisions>
    </reviewItem>
    <reviewItem>
      <errorID>d6c60ee3-d2f1-4ae8-b4db-56c617c4c9ca</errorID>
      <errorWord>具</errorWord>
      <group>L1_Word</group>
      <groupName>字词问题</groupName>
      <ability>L2_Typo</ability>
      <abilityName>字词错误</abilityName>
      <candidateList>
        <item>具有</item>
      </candidateList>
      <explain>〈动〉有（多用于抽象事物）：～信心｜～伟大的意义。</explain>
      <paraID>4B24DEF1</paraID>
      <start>5</start>
      <end>7</end>
      <status>modified</status>
      <modifiedWord>具有</modifiedWord>
      <trackRevisions>false</trackRevisions>
    </reviewItem>
    <reviewItem>
      <errorID>d5e607fb-6f29-4c75-9d11-0771cd1b92e3</errorID>
      <errorWord>：：</errorWord>
      <group>L1_Punc</group>
      <groupName>标点问题</groupName>
      <ability>L2_Punc</ability>
      <abilityName>标点符号检查</abilityName>
      <candidateList>
        <item>：</item>
      </candidateList>
      <explain/>
      <paraID>1CC47F53</paraID>
      <start>6</start>
      <end>8</end>
      <status>unmodified</status>
      <modifiedWord/>
      <trackRevisions>false</trackRevisions>
    </reviewItem>
    <reviewItem>
      <errorID>6b80bb60-6ea9-4712-8d9b-46012cb4d2b8</errorID>
      <errorWord>：：</errorWord>
      <group>L1_Punc</group>
      <groupName>标点问题</groupName>
      <ability>L2_Punc</ability>
      <abilityName>标点符号检查</abilityName>
      <candidateList>
        <item>：</item>
      </candidateList>
      <explain/>
      <paraID>49F31BDB</paraID>
      <start>4</start>
      <end>6</end>
      <status>unmodified</status>
      <modifiedWord/>
      <trackRevisions>false</trackRevisions>
    </reviewItem>
    <reviewItem>
      <errorID>b454d103-8dec-4e68-b33d-3e60eb1ef499</errorID>
      <errorWord>其它</errorWord>
      <group>L1_Word</group>
      <groupName>字词问题</groupName>
      <ability>L2_Alias</ability>
      <abilityName>也作/曾用词</abilityName>
      <candidateList>
        <item>其他</item>
      </candidateList>
      <explain>词汇[其它]为不规范表述或旧称，其规范书面表述为[其他]。</explain>
      <paraID>7CA1BFDA</paraID>
      <start>98</start>
      <end>100</end>
      <status>unmodified</status>
      <modifiedWord/>
      <trackRevisions>false</trackRevisions>
    </reviewItem>
    <reviewItem>
      <errorID>e4892abb-b822-4030-8336-165bb0e048e2</errorID>
      <errorWord>：</errorWord>
      <group>L1_Format</group>
      <groupName>格式问题</groupName>
      <ability>L2_HalfPunc</ability>
      <abilityName>全半角检查</abilityName>
      <candidateList>
        <item>:</item>
      </candidateList>
      <explain>文本全半角错误。</explain>
      <paraID>7EB075BA</paraID>
      <start>5</start>
      <end>6</end>
      <status>unmodified</status>
      <modifiedWord/>
      <trackRevisions>false</trackRevisions>
    </reviewItem>
    <reviewItem>
      <errorID>7de9c48c-4768-4571-9301-a8506e1f50ac</errorID>
      <errorWord>：：</errorWord>
      <group>L1_Punc</group>
      <groupName>标点问题</groupName>
      <ability>L2_Punc</ability>
      <abilityName>标点符号检查</abilityName>
      <candidateList>
        <item>：</item>
      </candidateList>
      <explain/>
      <paraID>3844DF78</paraID>
      <start>5</start>
      <end>7</end>
      <status>unmodified</status>
      <modifiedWord/>
      <trackRevisions>false</trackRevisions>
    </reviewItem>
    <reviewItem>
      <errorID>259cddc2-4c5e-4898-aa97-000dfad25f2a</errorID>
      <errorWord>：：</errorWord>
      <group>L1_Punc</group>
      <groupName>标点问题</groupName>
      <ability>L2_Punc</ability>
      <abilityName>标点符号检查</abilityName>
      <candidateList>
        <item>：</item>
      </candidateList>
      <explain/>
      <paraID>7FC0B9B9</paraID>
      <start>4</start>
      <end>6</end>
      <status>unmodified</status>
      <modifiedWord/>
      <trackRevisions>false</trackRevisions>
    </reviewItem>
    <reviewItem>
      <errorID>be1f28dd-f995-4280-9879-c5140aa8a81b</errorID>
      <errorWord>有粘性的</errorWord>
      <group>L1_Word</group>
      <groupName>字词问题</groupName>
      <ability>L2_Alias</ability>
      <abilityName>也作/曾用词</abilityName>
      <candidateList>
        <item>有黏性的</item>
      </candidateList>
      <explain>词汇[有粘性的]为不规范表述或旧称，其规范书面表述为[有黏性的]。</explain>
      <paraID>7E66F5CF</paraID>
      <start>1</start>
      <end>5</end>
      <status>modified</status>
      <modifiedWord>有黏性的</modifiedWord>
      <trackRevisions>false</trackRevisions>
    </reviewItem>
    <reviewItem>
      <errorID>3465c1e2-ccd9-46e1-aa46-4fcc38b70e05</errorID>
      <errorWord>(</errorWord>
      <group>L1_Format</group>
      <groupName>格式问题</groupName>
      <ability>L2_HalfPunc</ability>
      <abilityName>全半角检查</abilityName>
      <candidateList>
        <item>（</item>
      </candidateList>
      <explain>文本全半角错误。</explain>
      <paraID>19BCE40E</paraID>
      <start>2</start>
      <end>3</end>
      <status>unmodified</status>
      <modifiedWord/>
      <trackRevisions>false</trackRevisions>
    </reviewItem>
    <reviewItem>
      <errorID>cb53e17d-98b3-4761-90ae-578d29d8d6d8</errorID>
      <errorWord>)</errorWord>
      <group>L1_Format</group>
      <groupName>格式问题</groupName>
      <ability>L2_HalfPunc</ability>
      <abilityName>全半角检查</abilityName>
      <candidateList>
        <item>）</item>
      </candidateList>
      <explain>文本全半角错误。</explain>
      <paraID>19BCE40E</paraID>
      <start>4</start>
      <end>5</end>
      <status>unmodified</status>
      <modifiedWord/>
      <trackRevisions>false</trackRevisions>
    </reviewItem>
    <reviewItem>
      <errorID>df767c39-3610-450b-82ab-94807490f1b7</errorID>
      <errorWord>(</errorWord>
      <group>L1_Format</group>
      <groupName>格式问题</groupName>
      <ability>L2_HalfPunc</ability>
      <abilityName>全半角检查</abilityName>
      <candidateList>
        <item>（</item>
      </candidateList>
      <explain>文本全半角错误。</explain>
      <paraID>67447E50</paraID>
      <start>2</start>
      <end>3</end>
      <status>unmodified</status>
      <modifiedWord/>
      <trackRevisions>false</trackRevisions>
    </reviewItem>
    <reviewItem>
      <errorID>bb663712-4ee8-416b-a715-179ce982aabb</errorID>
      <errorWord>)</errorWord>
      <group>L1_Format</group>
      <groupName>格式问题</groupName>
      <ability>L2_HalfPunc</ability>
      <abilityName>全半角检查</abilityName>
      <candidateList>
        <item>）</item>
      </candidateList>
      <explain>文本全半角错误。</explain>
      <paraID>67447E50</paraID>
      <start>4</start>
      <end>5</end>
      <status>unmodified</status>
      <modifiedWord/>
      <trackRevisions>false</trackRevisions>
    </reviewItem>
    <reviewItem>
      <errorID>7549d8da-bbe0-4bb3-9423-9905d943cdb5</errorID>
      <errorWord>：：</errorWord>
      <group>L1_Punc</group>
      <groupName>标点问题</groupName>
      <ability>L2_Punc</ability>
      <abilityName>标点符号检查</abilityName>
      <candidateList>
        <item>：</item>
      </candidateList>
      <explain/>
      <paraID>67447E50</paraID>
      <start>5</start>
      <end>7</end>
      <status>unmodified</status>
      <modifiedWord/>
      <trackRevisions>false</trackRevisions>
    </reviewItem>
    <reviewItem>
      <errorID>dfb6adb0-eb71-40a1-9d6c-f8d4b5535726</errorID>
      <errorWord>(</errorWord>
      <group>L1_Format</group>
      <groupName>格式问题</groupName>
      <ability>L2_HalfPunc</ability>
      <abilityName>全半角检查</abilityName>
      <candidateList>
        <item>（</item>
      </candidateList>
      <explain>文本全半角错误。</explain>
      <paraID>33AD1BCA</paraID>
      <start>4</start>
      <end>5</end>
      <status>unmodified</status>
      <modifiedWord/>
      <trackRevisions>false</trackRevisions>
    </reviewItem>
    <reviewItem>
      <errorID>f5935207-60e2-424c-9e58-de12720db79a</errorID>
      <errorWord>)</errorWord>
      <group>L1_Format</group>
      <groupName>格式问题</groupName>
      <ability>L2_HalfPunc</ability>
      <abilityName>全半角检查</abilityName>
      <candidateList>
        <item>）</item>
      </candidateList>
      <explain>文本全半角错误。</explain>
      <paraID>33AD1BCA</paraID>
      <start>8</start>
      <end>9</end>
      <status>unmodified</status>
      <modifiedWord/>
      <trackRevisions>false</trackRevisions>
    </reviewItem>
    <reviewItem>
      <errorID>8a39a7c3-09f1-42a6-aa20-79c1008655c0</errorID>
      <errorWord>(</errorWord>
      <group>L1_Format</group>
      <groupName>格式问题</groupName>
      <ability>L2_HalfPunc</ability>
      <abilityName>全半角检查</abilityName>
      <candidateList>
        <item>（</item>
      </candidateList>
      <explain>文本全半角错误。</explain>
      <paraID>1A1E93F4</paraID>
      <start>2</start>
      <end>3</end>
      <status>unmodified</status>
      <modifiedWord/>
      <trackRevisions>false</trackRevisions>
    </reviewItem>
    <reviewItem>
      <errorID>2b9f2272-655b-49fd-8c2d-12ad120569d6</errorID>
      <errorWord>)</errorWord>
      <group>L1_Format</group>
      <groupName>格式问题</groupName>
      <ability>L2_HalfPunc</ability>
      <abilityName>全半角检查</abilityName>
      <candidateList>
        <item>）</item>
      </candidateList>
      <explain>文本全半角错误。</explain>
      <paraID>1A1E93F4</paraID>
      <start>4</start>
      <end>5</end>
      <status>unmodified</status>
      <modifiedWord/>
      <trackRevisions>false</trackRevisions>
    </reviewItem>
    <reviewItem>
      <errorID>556fdb16-4889-4580-bae0-2ec5b0236f2a</errorID>
      <errorWord>(</errorWord>
      <group>L1_Format</group>
      <groupName>格式问题</groupName>
      <ability>L2_HalfPunc</ability>
      <abilityName>全半角检查</abilityName>
      <candidateList>
        <item>（</item>
      </candidateList>
      <explain>文本全半角错误。</explain>
      <paraID>411B7385</paraID>
      <start>4</start>
      <end>5</end>
      <status>unmodified</status>
      <modifiedWord/>
      <trackRevisions>false</trackRevisions>
    </reviewItem>
    <reviewItem>
      <errorID>7904c4c3-c59f-49c9-aec5-b02a2aebe702</errorID>
      <errorWord>)</errorWord>
      <group>L1_Format</group>
      <groupName>格式问题</groupName>
      <ability>L2_HalfPunc</ability>
      <abilityName>全半角检查</abilityName>
      <candidateList>
        <item>）</item>
      </candidateList>
      <explain>文本全半角错误。</explain>
      <paraID>411B7385</paraID>
      <start>6</start>
      <end>7</end>
      <status>unmodified</status>
      <modifiedWord/>
      <trackRevisions>false</trackRevisions>
    </reviewItem>
    <reviewItem>
      <errorID>2f881446-2ab9-48b7-8613-bdc055fbdb5a</errorID>
      <errorWord>)</errorWord>
      <group>L1_Format</group>
      <groupName>格式问题</groupName>
      <ability>L2_HalfPunc</ability>
      <abilityName>全半角检查</abilityName>
      <candidateList>
        <item>）</item>
      </candidateList>
      <explain>文本全半角错误。</explain>
      <paraID>64E40059</paraID>
      <start>9</start>
      <end>10</end>
      <status>unmodified</status>
      <modifiedWord/>
      <trackRevisions>false</trackRevisions>
    </reviewItem>
    <reviewItem>
      <errorID>31e88b8e-ee2a-4714-895d-7046de4e9cc2</errorID>
      <errorWord>)</errorWord>
      <group>L1_Format</group>
      <groupName>格式问题</groupName>
      <ability>L2_HalfPunc</ability>
      <abilityName>全半角检查</abilityName>
      <candidateList>
        <item>）</item>
      </candidateList>
      <explain>文本全半角错误。</explain>
      <paraID>47765734</paraID>
      <start>9</start>
      <end>10</end>
      <status>unmodified</status>
      <modifiedWord/>
      <trackRevisions>false</trackRevisions>
    </reviewItem>
    <reviewItem>
      <errorID>e5220af3-d957-4851-8ea1-04109729a1c3</errorID>
      <errorWord>其它有害</errorWord>
      <group>L1_Word</group>
      <groupName>字词问题</groupName>
      <ability>L2_Alias</ability>
      <abilityName>也作/曾用词</abilityName>
      <candidateList>
        <item>其他有害</item>
      </candidateList>
      <explain>词汇[其它有害]为不规范表述或旧称，其规范书面表述为[其他有害]。</explain>
      <paraID>612144BE</paraID>
      <start>0</start>
      <end>4</end>
      <status>modified</status>
      <modifiedWord>其他有害</modifiedWord>
      <trackRevisions>false</trackRevisions>
    </reviewItem>
    <reviewItem>
      <errorID>b8972513-16ef-40b2-96c2-eb338d0aa2d0</errorID>
      <errorWord>曝晒</errorWord>
      <group>L1_Word</group>
      <groupName>字词问题</groupName>
      <ability>L2_Typo</ability>
      <abilityName>字词错误</abilityName>
      <candidateList>
        <item>暴晒</item>
      </candidateList>
      <explain>〈动〉在强烈的阳光下久晒：烈日～｜洗好的丝绸衣服不宜～。</explain>
      <paraID>36D838BD</paraID>
      <start>147</start>
      <end>149</end>
      <status>modified</status>
      <modifiedWord>暴晒</modifiedWord>
      <trackRevisions>false</trackRevisions>
    </reviewItem>
    <reviewItem>
      <errorID>0b701a44-00fa-4df2-8eb2-b3b09dc6c0fc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49A90F80</paraID>
      <start>0</start>
      <end>2</end>
      <status>unmodified</status>
      <modifiedWord/>
      <trackRevisions>false</trackRevisions>
    </reviewItem>
    <reviewItem>
      <errorID>3091e767-ca9d-4df4-9611-08ec5e17b36e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2CD01BA0</paraID>
      <start>0</start>
      <end>2</end>
      <status>unmodified</status>
      <modifiedWord/>
      <trackRevisions>false</trackRevisions>
    </reviewItem>
    <reviewItem>
      <errorID>05499393-3145-4fee-baed-1718e5aea5e0</errorID>
      <errorWord>[2003]142号</errorWord>
      <group>L1_Knowledge</group>
      <groupName>知识性问题</groupName>
      <ability>L2_Knowledge</ability>
      <abilityName>其他知识</abilityName>
      <candidateList>
        <item>〔2003〕142号</item>
      </candidateList>
      <explain>发文字号格式错误。</explain>
      <paraID> 1B59965</paraID>
      <start>15</start>
      <end>25</end>
      <status>unmodified</status>
      <modifiedWord/>
      <trackRevisions>false</trackRevisions>
    </reviewItem>
    <reviewItem>
      <errorID>0fcf853e-5fe1-43ec-bd1d-619575b3e953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56318B02</paraID>
      <start>0</start>
      <end>2</end>
      <status>unmodified</status>
      <modifiedWord/>
      <trackRevisions>false</trackRevisions>
    </reviewItem>
    <reviewItem>
      <errorID>e6ed8e1c-40c9-41af-8401-d3774f5dcbd1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3BAA000</paraID>
      <start>0</start>
      <end>2</end>
      <status>unmodified</status>
      <modifiedWord/>
      <trackRevisions>false</trackRevisions>
    </reviewItem>
    <reviewItem>
      <errorID>cfe95c07-bb06-4109-95fb-517efa7444aa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288AAC29</paraID>
      <start>0</start>
      <end>2</end>
      <status>unmodified</status>
      <modifiedWord/>
      <trackRevisions>false</trackRevisions>
    </reviewItem>
    <reviewItem>
      <errorID>07b24959-5c30-4964-adf6-abfe4e02fe9b</errorID>
      <errorWord>【2020】第52号</errorWord>
      <group>L1_Knowledge</group>
      <groupName>知识性问题</groupName>
      <ability>L2_Knowledge</ability>
      <abilityName>其他知识</abilityName>
      <candidateList>
        <item>〔2020〕52号</item>
      </candidateList>
      <explain>发文字号格式错误。</explain>
      <paraID>75D02CFB</paraID>
      <start>16</start>
      <end>26</end>
      <status>unmodified</status>
      <modifiedWord/>
      <trackRevisions>false</trackRevisions>
    </reviewItem>
    <reviewItem>
      <errorID>025f751f-f40b-4db2-aefb-9ee5d100940e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5896A9DD</paraID>
      <start>0</start>
      <end>2</end>
      <status>unmodified</status>
      <modifiedWord/>
      <trackRevisions>false</trackRevisions>
    </reviewItem>
    <reviewItem>
      <errorID>246d4ea2-3c25-41ff-8f1a-5f3bc23dd8cf</errorID>
      <errorWord>[2020]第3号</errorWord>
      <group>L1_Knowledge</group>
      <groupName>知识性问题</groupName>
      <ability>L2_Knowledge</ability>
      <abilityName>其他知识</abilityName>
      <candidateList>
        <item>〔2020〕3号</item>
      </candidateList>
      <explain>发文字号格式错误。</explain>
      <paraID> 84251B2</paraID>
      <start>26</start>
      <end>35</end>
      <status>unmodified</status>
      <modifiedWord/>
      <trackRevisions>false</trackRevisions>
    </reviewItem>
    <reviewItem>
      <errorID>aa400c79-1b0f-4fc0-a7fc-47b85066ca81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2F4C0011</paraID>
      <start>0</start>
      <end>2</end>
      <status>unmodified</status>
      <modifiedWord/>
      <trackRevisions>false</trackRevisions>
    </reviewItem>
    <reviewItem>
      <errorID>68c9a112-c72d-449e-b540-b8afa8c7a9ab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6BC5D6BD</paraID>
      <start>0</start>
      <end>2</end>
      <status>unmodified</status>
      <modifiedWord/>
      <trackRevisions>false</trackRevisions>
    </reviewItem>
    <reviewItem>
      <errorID>48dd4910-776a-43f2-ac2f-fc30bfdf376a</errorID>
      <errorWord>等的装置及设施，当</errorWord>
      <group>L1_Word</group>
      <groupName>字词问题</groupName>
      <ability>L2_Typo</ability>
      <abilityName>字词错误</abilityName>
      <candidateList>
        <item>等装置及设施，当</item>
      </candidateList>
      <explain/>
      <paraID> 3BC272C</paraID>
      <start>19</start>
      <end>28</end>
      <status>unmodified</status>
      <modifiedWord/>
      <trackRevisions>false</trackRevisions>
    </reviewItem>
    <reviewItem>
      <errorID>760a5cc7-049f-4838-96b6-a363c0d4f7e8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41A8E8F3</paraID>
      <start>59</start>
      <end>60</end>
      <status>unmodified</status>
      <modifiedWord/>
      <trackRevisions>false</trackRevisions>
    </reviewItem>
    <reviewItem>
      <errorID>01d28e2f-f74f-4d46-a90b-ea8ee226feeb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41A8E8F3</paraID>
      <start>65</start>
      <end>66</end>
      <status>unmodified</status>
      <modifiedWord/>
      <trackRevisions>false</trackRevisions>
    </reviewItem>
    <reviewItem>
      <errorID>91684883-85a1-48a2-9e06-fc2cb841dfd0</errorID>
      <errorWord>＋</errorWord>
      <group>L1_Format</group>
      <groupName>格式问题</groupName>
      <ability>L2_HalfPunc</ability>
      <abilityName>全半角检查</abilityName>
      <candidateList>
        <item>+</item>
      </candidateList>
      <explain>文本全半角错误。</explain>
      <paraID>17FF79F6</paraID>
      <start>13</start>
      <end>14</end>
      <status>unmodified</status>
      <modifiedWord/>
      <trackRevisions>false</trackRevisions>
    </reviewItem>
    <reviewItem>
      <errorID>0fd2f3c9-a37f-482c-ba28-699be13b239f</errorID>
      <errorWord>＋</errorWord>
      <group>L1_Format</group>
      <groupName>格式问题</groupName>
      <ability>L2_HalfPunc</ability>
      <abilityName>全半角检查</abilityName>
      <candidateList>
        <item>+</item>
      </candidateList>
      <explain>文本全半角错误。</explain>
      <paraID>17FF79F6</paraID>
      <start>15</start>
      <end>16</end>
      <status>unmodified</status>
      <modifiedWord/>
      <trackRevisions>false</trackRevisions>
    </reviewItem>
    <reviewItem>
      <errorID>50580418-5a33-446e-b8a8-fcc7d2afc516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72E50AE1</paraID>
      <start>0</start>
      <end>2</end>
      <status>unmodified</status>
      <modifiedWord/>
      <trackRevisions>false</trackRevisions>
    </reviewItem>
    <reviewItem>
      <errorID>041cb6b8-d436-41df-a2d4-1fa48ea175a3</errorID>
      <errorWord>共</errorWord>
      <group>L1_Word</group>
      <groupName>字词问题</groupName>
      <ability>L2_Typo</ability>
      <abilityName>字词错误</abilityName>
      <candidateList>
        <item>共有</item>
      </candidateList>
      <explain/>
      <paraID> 31145E5</paraID>
      <start>9</start>
      <end>10</end>
      <status>unmodified</status>
      <modifiedWord/>
      <trackRevisions>false</trackRevisions>
    </reviewItem>
    <reviewItem>
      <errorID>21fd168a-e5fb-44c6-9a36-cee9fd22cfd9</errorID>
      <errorWord>共</errorWord>
      <group>L1_Word</group>
      <groupName>字词问题</groupName>
      <ability>L2_Typo</ability>
      <abilityName>字词错误</abilityName>
      <candidateList>
        <item>共有</item>
      </candidateList>
      <explain/>
      <paraID> 31145E5</paraID>
      <start>88</start>
      <end>89</end>
      <status>unmodified</status>
      <modifiedWord/>
      <trackRevisions>false</trackRevisions>
    </reviewItem>
    <reviewItem>
      <errorID>2bed36b8-2700-45ec-8863-360d922f3b89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28A1D3D8</paraID>
      <start>0</start>
      <end>2</end>
      <status>unmodified</status>
      <modifiedWord/>
      <trackRevisions>false</trackRevisions>
    </reviewItem>
    <reviewItem>
      <errorID>0d74f95f-7547-4181-a833-e697be540033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1DD94C72</paraID>
      <start>0</start>
      <end>2</end>
      <status>unmodified</status>
      <modifiedWord/>
      <trackRevisions>false</trackRevisions>
    </reviewItem>
    <reviewItem>
      <errorID>e67aad2b-9ba2-4012-903e-3a568a9470f5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1F59FC6B</paraID>
      <start>0</start>
      <end>2</end>
      <status>unmodified</status>
      <modifiedWord/>
      <trackRevisions>false</trackRevisions>
    </reviewItem>
    <reviewItem>
      <errorID>4838829b-976f-4f16-b95d-61f60544b639</errorID>
      <errorWord>(</errorWord>
      <group>L1_Format</group>
      <groupName>格式问题</groupName>
      <ability>L2_HalfPunc</ability>
      <abilityName>全半角检查</abilityName>
      <candidateList>
        <item>（</item>
      </candidateList>
      <explain>文本全半角错误。</explain>
      <paraID>41607741</paraID>
      <start>6</start>
      <end>7</end>
      <status>unmodified</status>
      <modifiedWord/>
      <trackRevisions>false</trackRevisions>
    </reviewItem>
    <reviewItem>
      <errorID>1e30ac0b-adb3-45a6-a08a-d4c973c47ee2</errorID>
      <errorWord>)</errorWord>
      <group>L1_Format</group>
      <groupName>格式问题</groupName>
      <ability>L2_HalfPunc</ability>
      <abilityName>全半角检查</abilityName>
      <candidateList>
        <item>）</item>
      </candidateList>
      <explain>文本全半角错误。</explain>
      <paraID>41607741</paraID>
      <start>8</start>
      <end>9</end>
      <status>unmodified</status>
      <modifiedWord/>
      <trackRevisions>false</trackRevisions>
    </reviewItem>
    <reviewItem>
      <errorID>48f0a2a4-1464-4569-9295-123b81c12a53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30E50C79</paraID>
      <start>0</start>
      <end>3</end>
      <status>unmodified</status>
      <modifiedWord/>
      <trackRevisions>false</trackRevisions>
    </reviewItem>
    <reviewItem>
      <errorID>e60ec10a-4281-4588-a95e-737d4b283846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62A3B122</paraID>
      <start>0</start>
      <end>3</end>
      <status>unmodified</status>
      <modifiedWord/>
      <trackRevisions>false</trackRevisions>
    </reviewItem>
    <reviewItem>
      <errorID>f7734275-27f8-4ba4-9d48-02d2fb238906</errorID>
      <errorWord>(</errorWord>
      <group>L1_Format</group>
      <groupName>格式问题</groupName>
      <ability>L2_HalfPunc</ability>
      <abilityName>全半角检查</abilityName>
      <candidateList>
        <item>（</item>
      </candidateList>
      <explain>文本全半角错误。</explain>
      <paraID>76D5F6EA</paraID>
      <start>1</start>
      <end>2</end>
      <status>unmodified</status>
      <modifiedWord/>
      <trackRevisions>false</trackRevisions>
    </reviewItem>
    <reviewItem>
      <errorID>e2c93c84-38c1-408a-8378-b4b395c5605a</errorID>
      <errorWord>)</errorWord>
      <group>L1_Format</group>
      <groupName>格式问题</groupName>
      <ability>L2_HalfPunc</ability>
      <abilityName>全半角检查</abilityName>
      <candidateList>
        <item>）</item>
      </candidateList>
      <explain>文本全半角错误。</explain>
      <paraID>76D5F6EA</paraID>
      <start>3</start>
      <end>4</end>
      <status>unmodified</status>
      <modifiedWord/>
      <trackRevisions>false</trackRevisions>
    </reviewItem>
    <reviewItem>
      <errorID>70c69ede-9be0-4076-9528-857cb9b17779</errorID>
      <errorWord>噪音</errorWord>
      <group>L1_Word</group>
      <groupName>字词问题</groupName>
      <ability>L2_Alias</ability>
      <abilityName>也作/曾用词</abilityName>
      <candidateList>
        <item>噪声</item>
      </candidateList>
      <explain>词汇[噪音]为不规范表述或旧称，其规范书面表述为[噪声]。</explain>
      <paraID> E91F6F5</paraID>
      <start>0</start>
      <end>2</end>
      <status>unmodified</status>
      <modifiedWord/>
      <trackRevisions>false</trackRevisions>
    </reviewItem>
    <reviewItem>
      <errorID>9c326e83-8401-4921-bc6a-821f81a6b728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6250DF77</paraID>
      <start>0</start>
      <end>2</end>
      <status>unmodified</status>
      <modifiedWord/>
      <trackRevisions>false</trackRevisions>
    </reviewItem>
    <reviewItem>
      <errorID>2cf593ee-c4be-4fb1-bba5-3b900eb51142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2C6D5FFC</paraID>
      <start>2</start>
      <end>4</end>
      <status>unmodified</status>
      <modifiedWord/>
      <trackRevisions>false</trackRevisions>
    </reviewItem>
    <reviewItem>
      <errorID>5ace6f3c-b906-4b06-afc3-2a599d0991ca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39C2E9AC</paraID>
      <start>2</start>
      <end>4</end>
      <status>unmodified</status>
      <modifiedWord/>
      <trackRevisions>false</trackRevisions>
    </reviewItem>
    <reviewItem>
      <errorID>608a74fc-cd94-4bfe-8123-e31225eee557</errorID>
      <errorWord>人</errorWord>
      <group>L1_Word</group>
      <groupName>字词问题</groupName>
      <ability>L2_Typo</ability>
      <abilityName>字词错误</abilityName>
      <candidateList>
        <item>入</item>
      </candidateList>
      <explain>存在字形相近字词的误用。</explain>
      <paraID>39C2E9AC</paraID>
      <start>5</start>
      <end>6</end>
      <status>unmodified</status>
      <modifiedWord/>
      <trackRevisions>false</trackRevisions>
    </reviewItem>
    <reviewItem>
      <errorID>e4306f58-d885-4231-b339-c45b41107fc2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53A6BFC8</paraID>
      <start>2</start>
      <end>4</end>
      <status>unmodified</status>
      <modifiedWord/>
      <trackRevisions>false</trackRevisions>
    </reviewItem>
    <reviewItem>
      <errorID>9ff1af5d-e94d-4f16-8073-36d8b64a33de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75374FE7</paraID>
      <start>0</start>
      <end>2</end>
      <status>unmodified</status>
      <modifiedWord/>
      <trackRevisions>false</trackRevisions>
    </reviewItem>
    <reviewItem>
      <errorID>f2a22b70-f263-419e-9ded-6bfb23fa24bb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7CAE8668</paraID>
      <start>0</start>
      <end>2</end>
      <status>unmodified</status>
      <modifiedWord/>
      <trackRevisions>false</trackRevisions>
    </reviewItem>
    <reviewItem>
      <errorID>b219ed3d-b3c4-4bcd-9328-2104b813174f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13D6983D</paraID>
      <start>0</start>
      <end>2</end>
      <status>unmodified</status>
      <modifiedWord/>
      <trackRevisions>false</trackRevisions>
    </reviewItem>
    <reviewItem>
      <errorID>06bee5b0-3ed4-4177-94b1-530b249ad50b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6174553F</paraID>
      <start>0</start>
      <end>2</end>
      <status>unmodified</status>
      <modifiedWord/>
      <trackRevisions>false</trackRevisions>
    </reviewItem>
    <reviewItem>
      <errorID>3fd1c8bf-9746-4769-9fda-e4279e70c861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178F2B97</paraID>
      <start>0</start>
      <end>2</end>
      <status>unmodified</status>
      <modifiedWord/>
      <trackRevisions>false</trackRevisions>
    </reviewItem>
    <reviewItem>
      <errorID>0d092bac-889b-4ed0-b5fe-ac29baab07d7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5C7B1782</paraID>
      <start>0</start>
      <end>2</end>
      <status>unmodified</status>
      <modifiedWord/>
      <trackRevisions>false</trackRevisions>
    </reviewItem>
    <reviewItem>
      <errorID>57fc9c19-5c43-4fd7-a543-8edb94784cfc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3D9AE63D</paraID>
      <start>0</start>
      <end>2</end>
      <status>unmodified</status>
      <modifiedWord/>
      <trackRevisions>false</trackRevisions>
    </reviewItem>
    <reviewItem>
      <errorID>eba1ae8a-80db-4daf-b4d7-983ad613ce3a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6532AEC0</paraID>
      <start>0</start>
      <end>2</end>
      <status>unmodified</status>
      <modifiedWord/>
      <trackRevisions>false</trackRevisions>
    </reviewItem>
    <reviewItem>
      <errorID>15a528bc-675a-4c5d-8855-9a15b3f030da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7A144A3F</paraID>
      <start>0</start>
      <end>2</end>
      <status>unmodified</status>
      <modifiedWord/>
      <trackRevisions>false</trackRevisions>
    </reviewItem>
    <reviewItem>
      <errorID>f65d637f-0df4-4aca-8add-c55a3e2af67b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7C99C5E9</paraID>
      <start>0</start>
      <end>2</end>
      <status>unmodified</status>
      <modifiedWord/>
      <trackRevisions>false</trackRevisions>
    </reviewItem>
    <reviewItem>
      <errorID>4e93c03d-8316-43a7-abea-45dc135a2acc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115942A</paraID>
      <start>0</start>
      <end>2</end>
      <status>unmodified</status>
      <modifiedWord/>
      <trackRevisions>false</trackRevisions>
    </reviewItem>
    <reviewItem>
      <errorID>9c374c99-da92-4308-9731-be781cc7d043</errorID>
      <errorWord>提高</errorWord>
      <group>L1_Grammar</group>
      <groupName>语法问题</groupName>
      <ability>L2_Grammar</ability>
      <abilityName>语法错误</abilityName>
      <candidateList>
        <item>增强</item>
      </candidateList>
      <explain>“提高～意识”搭配不当，建议修改为“增强～意识”。</explain>
      <paraID>15A2208E</paraID>
      <start>67</start>
      <end>69</end>
      <status>unmodified</status>
      <modifiedWord/>
      <trackRevisions>false</trackRevisions>
    </reviewItem>
    <reviewItem>
      <errorID>23839592-718c-4b44-a990-a2c6f77460a2</errorID>
      <errorWord>：</errorWord>
      <group>L1_Format</group>
      <groupName>格式问题</groupName>
      <ability>L2_HalfPunc</ability>
      <abilityName>全半角检查</abilityName>
      <candidateList>
        <item>:</item>
      </candidateList>
      <explain>文本全半角错误。</explain>
      <paraID>1E6D578E</paraID>
      <start>3</start>
      <end>4</end>
      <status>unmodified</status>
      <modifiedWord/>
      <trackRevisions>false</trackRevisions>
    </reviewItem>
    <reviewItem>
      <errorID>52574e76-34a5-4435-b469-bf5f6a0ce8e9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48FA361F</paraID>
      <start>0</start>
      <end>2</end>
      <status>unmodified</status>
      <modifiedWord/>
      <trackRevisions>false</trackRevisions>
    </reviewItem>
    <reviewItem>
      <errorID>f7b59277-b196-4c23-877b-2cb43efdfb07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3C887175</paraID>
      <start>0</start>
      <end>2</end>
      <status>unmodified</status>
      <modifiedWord/>
      <trackRevisions>false</trackRevisions>
    </reviewItem>
    <reviewItem>
      <errorID>22ceacf5-3f9c-451a-9194-19cfe3728f1a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199D0602</paraID>
      <start>0</start>
      <end>2</end>
      <status>unmodified</status>
      <modifiedWord/>
      <trackRevisions>false</trackRevisions>
    </reviewItem>
    <reviewItem>
      <errorID>089beb83-e1e9-4be6-8956-e99ca913edb4</errorID>
      <errorWord>细致地</errorWord>
      <group>L1_Word</group>
      <groupName>字词问题</groupName>
      <ability>L2_Typo</ability>
      <abilityName>字词错误</abilityName>
      <candidateList>
        <item>细致</item>
      </candidateList>
      <explain/>
      <paraID>3EC3A561</paraID>
      <start>132</start>
      <end>135</end>
      <status>unmodified</status>
      <modifiedWord/>
      <trackRevisions>false</trackRevisions>
    </reviewItem>
    <reviewItem>
      <errorID>c5f0d883-1763-4f07-9ebd-e995ccd0fca5</errorID>
      <errorWord>低于在</errorWord>
      <group>L1_Word</group>
      <groupName>字词问题</groupName>
      <ability>L2_Typo</ability>
      <abilityName>字词错误</abilityName>
      <candidateList>
        <item>低于</item>
      </candidateList>
      <explain/>
      <paraID> 27C5A1D</paraID>
      <start>1</start>
      <end>4</end>
      <status>unmodified</status>
      <modifiedWord/>
      <trackRevisions>false</trackRevisions>
    </reviewItem>
    <reviewItem>
      <errorID>c704c882-0645-4607-9534-149847934a5a</errorID>
      <errorWord>低于在</errorWord>
      <group>L1_Word</group>
      <groupName>字词问题</groupName>
      <ability>L2_Typo</ability>
      <abilityName>字词错误</abilityName>
      <candidateList>
        <item>低于</item>
      </candidateList>
      <explain/>
      <paraID>19552D06</paraID>
      <start>1</start>
      <end>4</end>
      <status>unmodified</status>
      <modifiedWord/>
      <trackRevisions>false</trackRevisions>
    </reviewItem>
    <reviewItem>
      <errorID>a57635b8-a0ad-4304-92c9-a19d3633ae7a</errorID>
      <errorWord>~</errorWord>
      <group>L1_Format</group>
      <groupName>格式问题</groupName>
      <ability>L2_HalfPunc</ability>
      <abilityName>全半角检查</abilityName>
      <candidateList>
        <item>～</item>
      </candidateList>
      <explain>文本全半角错误。</explain>
      <paraID>36410EEB</paraID>
      <start>2</start>
      <end>3</end>
      <status>unmodified</status>
      <modifiedWord/>
      <trackRevisions>false</trackRevisions>
    </reviewItem>
    <reviewItem>
      <errorID>6b14e590-41e3-4989-a44c-69d0b63bf2ab</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7F7FFC6F</paraID>
      <start>10</start>
      <end>17</end>
      <status>unmodified</status>
      <modifiedWord/>
      <trackRevisions>false</trackRevisions>
    </reviewItem>
    <reviewItem>
      <errorID>a6612304-6ca5-43c9-9c5c-71ef46a915a4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3438D031</paraID>
      <start>0</start>
      <end>2</end>
      <status>unmodified</status>
      <modifiedWord/>
      <trackRevisions>false</trackRevisions>
    </reviewItem>
    <reviewItem>
      <errorID>d4e13852-67da-41fc-8ec5-612337bf73bf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769979E7</paraID>
      <start>0</start>
      <end>2</end>
      <status>unmodified</status>
      <modifiedWord/>
      <trackRevisions>false</trackRevisions>
    </reviewItem>
    <reviewItem>
      <errorID>9e164e30-9ecc-4dcf-81bb-c9ccc9547a96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2EC734B3</paraID>
      <start>0</start>
      <end>2</end>
      <status>unmodified</status>
      <modifiedWord/>
      <trackRevisions>false</trackRevisions>
    </reviewItem>
    <reviewItem>
      <errorID>82100a56-7710-4611-8901-0039dd4be669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BB83625</paraID>
      <start>0</start>
      <end>2</end>
      <status>unmodified</status>
      <modifiedWord/>
      <trackRevisions>false</trackRevisions>
    </reviewItem>
    <reviewItem>
      <errorID>701a6b92-bb3e-4273-878c-7599e67b2bb4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3B9BA90B</paraID>
      <start>0</start>
      <end>2</end>
      <status>unmodified</status>
      <modifiedWord/>
      <trackRevisions>false</trackRevisions>
    </reviewItem>
    <reviewItem>
      <errorID>fd9cacd6-c671-4113-b611-6ffed54509d0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860994E</paraID>
      <start>0</start>
      <end>2</end>
      <status>unmodified</status>
      <modifiedWord/>
      <trackRevisions>false</trackRevisions>
    </reviewItem>
    <reviewItem>
      <errorID>a4c4d3d6-85fc-4167-b4e3-98f5d27a6b85</errorID>
      <errorWord>(</errorWord>
      <group>L1_Format</group>
      <groupName>格式问题</groupName>
      <ability>L2_HalfPunc</ability>
      <abilityName>全半角检查</abilityName>
      <candidateList>
        <item>（</item>
      </candidateList>
      <explain>文本全半角错误。</explain>
      <paraID>56B8901B</paraID>
      <start>31</start>
      <end>32</end>
      <status>unmodified</status>
      <modifiedWord/>
      <trackRevisions>false</trackRevisions>
    </reviewItem>
    <reviewItem>
      <errorID>2dc7f672-6455-466c-946b-a20966e7a620</errorID>
      <errorWord>),</errorWord>
      <group>L1_Format</group>
      <groupName>格式问题</groupName>
      <ability>L2_HalfPunc</ability>
      <abilityName>全半角检查</abilityName>
      <candidateList>
        <item>），</item>
      </candidateList>
      <explain>文本全半角错误。</explain>
      <paraID>56B8901B</paraID>
      <start>43</start>
      <end>45</end>
      <status>unmodified</status>
      <modifiedWord/>
      <trackRevisions>false</trackRevisions>
    </reviewItem>
    <reviewItem>
      <errorID>82a7b8fa-0503-4464-b636-24f74de6fec9</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3A899564</paraID>
      <start>0</start>
      <end>2</end>
      <status>unmodified</status>
      <modifiedWord/>
      <trackRevisions>false</trackRevisions>
    </reviewItem>
    <reviewItem>
      <errorID>68819fd3-9df1-4c0b-b528-784e7c2b0551</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3E7D2111</paraID>
      <start>0</start>
      <end>2</end>
      <status>unmodified</status>
      <modifiedWord/>
      <trackRevisions>false</trackRevisions>
    </reviewItem>
    <reviewItem>
      <errorID>8c86d9cd-e82c-45cc-99b7-d41c5aba94e2</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14466D54</paraID>
      <start>0</start>
      <end>2</end>
      <status>unmodified</status>
      <modifiedWord/>
      <trackRevisions>false</trackRevisions>
    </reviewItem>
    <reviewItem>
      <errorID>3b1981e7-cc34-41f2-b739-f65b419196b0</errorID>
      <errorWord>行证许可</errorWord>
      <group>L1_Word</group>
      <groupName>字词问题</groupName>
      <ability>L2_Typo</ability>
      <abilityName>字词错误</abilityName>
      <candidateList>
        <item>行政许可</item>
      </candidateList>
      <explain/>
      <paraID>4F17CD8C</paraID>
      <start>4</start>
      <end>8</end>
      <status>modified</status>
      <modifiedWord>行政许可</modifiedWord>
      <trackRevisions>false</trackRevisions>
    </reviewItem>
    <reviewItem>
      <errorID>55608b44-9658-46d4-9b74-ef5723aa9dde</errorID>
      <errorWord>(</errorWord>
      <group>L1_Format</group>
      <groupName>格式问题</groupName>
      <ability>L2_HalfPunc</ability>
      <abilityName>全半角检查</abilityName>
      <candidateList>
        <item>（</item>
      </candidateList>
      <explain>文本全半角错误。</explain>
      <paraID>40B331D4</paraID>
      <start>24</start>
      <end>25</end>
      <status>unmodified</status>
      <modifiedWord/>
      <trackRevisions>false</trackRevisions>
    </reviewItem>
    <reviewItem>
      <errorID>13aa09d2-47b6-4539-a725-451268091b1b</errorID>
      <errorWord>)</errorWord>
      <group>L1_Format</group>
      <groupName>格式问题</groupName>
      <ability>L2_HalfPunc</ability>
      <abilityName>全半角检查</abilityName>
      <candidateList>
        <item>）</item>
      </candidateList>
      <explain>文本全半角错误。</explain>
      <paraID>40B331D4</paraID>
      <start>26</start>
      <end>27</end>
      <status>unmodified</status>
      <modifiedWord/>
      <trackRevisions>false</trackRevisions>
    </reviewItem>
    <reviewItem>
      <errorID>ef1f2e60-f5a9-4da6-93ee-19652d08475b</errorID>
      <errorWord>上</errorWord>
      <group>L1_Word</group>
      <groupName>字词问题</groupName>
      <ability>L2_Typo</ability>
      <abilityName>字词错误</abilityName>
      <candidateList>
        <item>上述</item>
      </candidateList>
      <explain>〈形〉属性词。上面所说的：～各条，望切实执行。</explain>
      <paraID>33DD23BF</paraID>
      <start>2</start>
      <end>3</end>
      <status>unmodified</status>
      <modifiedWord/>
      <trackRevisions>false</trackRevisions>
    </reviewItem>
    <reviewItem>
      <errorID>faf6ba16-f523-48b1-b078-0196f3d73dbc</errorID>
      <errorWord>\</errorWord>
      <group>L1_Punc</group>
      <groupName>标点问题</groupName>
      <ability>L2_Punc</ability>
      <abilityName>标点符号检查</abilityName>
      <candidateList/>
      <explain/>
      <paraID>66464094</paraID>
      <start>0</start>
      <end>1</end>
      <status>unmodified</status>
      <modifiedWord/>
      <trackRevisions>false</trackRevisions>
    </reviewItem>
    <reviewItem>
      <errorID>1cad4eeb-09f3-412e-b394-c07bbba25da4</errorID>
      <errorWord>\</errorWord>
      <group>L1_Punc</group>
      <groupName>标点问题</groupName>
      <ability>L2_Punc</ability>
      <abilityName>标点符号检查</abilityName>
      <candidateList/>
      <explain/>
      <paraID>40ACC19E</paraID>
      <start>0</start>
      <end>1</end>
      <status>unmodified</status>
      <modifiedWord/>
      <trackRevisions>false</trackRevisions>
    </reviewItem>
    <reviewItem>
      <errorID>7f424efc-7c04-4a1e-b8c4-6ba833625e61</errorID>
      <errorWord>\</errorWord>
      <group>L1_Punc</group>
      <groupName>标点问题</groupName>
      <ability>L2_Punc</ability>
      <abilityName>标点符号检查</abilityName>
      <candidateList/>
      <explain/>
      <paraID>1AD197E8</paraID>
      <start>0</start>
      <end>1</end>
      <status>unmodified</status>
      <modifiedWord/>
      <trackRevisions>false</trackRevisions>
    </reviewItem>
    <reviewItem>
      <errorID>00de97ca-a9f3-492a-909e-3177799a94df</errorID>
      <errorWord>\</errorWord>
      <group>L1_Punc</group>
      <groupName>标点问题</groupName>
      <ability>L2_Punc</ability>
      <abilityName>标点符号检查</abilityName>
      <candidateList/>
      <explain/>
      <paraID>148F3DBF</paraID>
      <start>0</start>
      <end>1</end>
      <status>unmodified</status>
      <modifiedWord/>
      <trackRevisions>false</trackRevisions>
    </reviewItem>
    <reviewItem>
      <errorID>f87963be-f1a9-4804-8659-b385f839c848</errorID>
      <errorWord>\</errorWord>
      <group>L1_Punc</group>
      <groupName>标点问题</groupName>
      <ability>L2_Punc</ability>
      <abilityName>标点符号检查</abilityName>
      <candidateList/>
      <explain/>
      <paraID>4C2C5340</paraID>
      <start>0</start>
      <end>1</end>
      <status>unmodified</status>
      <modifiedWord/>
      <trackRevisions>false</trackRevisions>
    </reviewItem>
    <reviewItem>
      <errorID>3d0d2bc6-70af-453f-88a6-a8ae19f0ed16</errorID>
      <errorWord>\</errorWord>
      <group>L1_Punc</group>
      <groupName>标点问题</groupName>
      <ability>L2_Punc</ability>
      <abilityName>标点符号检查</abilityName>
      <candidateList/>
      <explain/>
      <paraID>6D8D4416</paraID>
      <start>0</start>
      <end>1</end>
      <status>unmodified</status>
      <modifiedWord/>
      <trackRevisions>false</trackRevisions>
    </reviewItem>
    <reviewItem>
      <errorID>b74d5c88-f4e6-4fc6-a4e5-7c20274a5dea</errorID>
      <errorWord>\</errorWord>
      <group>L1_Punc</group>
      <groupName>标点问题</groupName>
      <ability>L2_Punc</ability>
      <abilityName>标点符号检查</abilityName>
      <candidateList/>
      <explain/>
      <paraID>412ED8D5</paraID>
      <start>0</start>
      <end>1</end>
      <status>unmodified</status>
      <modifiedWord/>
      <trackRevisions>false</trackRevisions>
    </reviewItem>
    <reviewItem>
      <errorID>e8dd8eb9-1b68-445a-a5a0-1e09a0d4a753</errorID>
      <errorWord>\</errorWord>
      <group>L1_Punc</group>
      <groupName>标点问题</groupName>
      <ability>L2_Punc</ability>
      <abilityName>标点符号检查</abilityName>
      <candidateList/>
      <explain/>
      <paraID>404AB885</paraID>
      <start>0</start>
      <end>1</end>
      <status>unmodified</status>
      <modifiedWord/>
      <trackRevisions>false</trackRevisions>
    </reviewItem>
    <reviewItem>
      <errorID>70c0b5cd-674f-4a2c-a547-c2f20df7b271</errorID>
      <errorWord>\</errorWord>
      <group>L1_Punc</group>
      <groupName>标点问题</groupName>
      <ability>L2_Punc</ability>
      <abilityName>标点符号检查</abilityName>
      <candidateList/>
      <explain/>
      <paraID> 9EF4ED9</paraID>
      <start>0</start>
      <end>1</end>
      <status>unmodified</status>
      <modifiedWord/>
      <trackRevisions>false</trackRevisions>
    </reviewItem>
    <reviewItem>
      <errorID>12f60616-b290-49d4-834d-a074fbb211fe</errorID>
      <errorWord>\</errorWord>
      <group>L1_Punc</group>
      <groupName>标点问题</groupName>
      <ability>L2_Punc</ability>
      <abilityName>标点符号检查</abilityName>
      <candidateList/>
      <explain/>
      <paraID>34795AA6</paraID>
      <start>0</start>
      <end>1</end>
      <status>unmodified</status>
      <modifiedWord/>
      <trackRevisions>false</trackRevisions>
    </reviewItem>
    <reviewItem>
      <errorID>d7c437f5-2721-42c0-9085-70f967a89111</errorID>
      <errorWord>\</errorWord>
      <group>L1_Punc</group>
      <groupName>标点问题</groupName>
      <ability>L2_Punc</ability>
      <abilityName>标点符号检查</abilityName>
      <candidateList/>
      <explain/>
      <paraID>25ACDEC6</paraID>
      <start>0</start>
      <end>1</end>
      <status>unmodified</status>
      <modifiedWord/>
      <trackRevisions>false</trackRevisions>
    </reviewItem>
    <reviewItem>
      <errorID>963bb408-2d3e-4fcf-943d-1f0373755124</errorID>
      <errorWord>\</errorWord>
      <group>L1_Punc</group>
      <groupName>标点问题</groupName>
      <ability>L2_Punc</ability>
      <abilityName>标点符号检查</abilityName>
      <candidateList/>
      <explain/>
      <paraID>476F55E5</paraID>
      <start>0</start>
      <end>1</end>
      <status>unmodified</status>
      <modifiedWord/>
      <trackRevisions>false</trackRevisions>
    </reviewItem>
    <reviewItem>
      <errorID>3db960e7-cad6-4db2-941a-6d5509d97e5d</errorID>
      <errorWord>\</errorWord>
      <group>L1_Punc</group>
      <groupName>标点问题</groupName>
      <ability>L2_Punc</ability>
      <abilityName>标点符号检查</abilityName>
      <candidateList/>
      <explain/>
      <paraID>2FA681C8</paraID>
      <start>0</start>
      <end>1</end>
      <status>unmodified</status>
      <modifiedWord/>
      <trackRevisions>false</trackRevisions>
    </reviewItem>
    <reviewItem>
      <errorID>f1fc3a35-7206-44a4-acb5-6682dfffe513</errorID>
      <errorWord>\</errorWord>
      <group>L1_Punc</group>
      <groupName>标点问题</groupName>
      <ability>L2_Punc</ability>
      <abilityName>标点符号检查</abilityName>
      <candidateList/>
      <explain/>
      <paraID>2DA92B64</paraID>
      <start>0</start>
      <end>1</end>
      <status>unmodified</status>
      <modifiedWord/>
      <trackRevisions>false</trackRevisions>
    </reviewItem>
    <reviewItem>
      <errorID>7e41a598-d477-470e-8834-7b471cd4a905</errorID>
      <errorWord>\</errorWord>
      <group>L1_Punc</group>
      <groupName>标点问题</groupName>
      <ability>L2_Punc</ability>
      <abilityName>标点符号检查</abilityName>
      <candidateList/>
      <explain/>
      <paraID>347FD09C</paraID>
      <start>0</start>
      <end>1</end>
      <status>unmodified</status>
      <modifiedWord/>
      <trackRevisions>false</trackRevisions>
    </reviewItem>
    <reviewItem>
      <errorID>b4347622-37a6-452d-a183-93feb8791674</errorID>
      <errorWord>\</errorWord>
      <group>L1_Punc</group>
      <groupName>标点问题</groupName>
      <ability>L2_Punc</ability>
      <abilityName>标点符号检查</abilityName>
      <candidateList/>
      <explain/>
      <paraID>5DB8CD0E</paraID>
      <start>0</start>
      <end>1</end>
      <status>unmodified</status>
      <modifiedWord/>
      <trackRevisions>false</trackRevisions>
    </reviewItem>
    <reviewItem>
      <errorID>ab494dcf-4a64-443d-aa84-ad55994e65a2</errorID>
      <errorWord>\</errorWord>
      <group>L1_Punc</group>
      <groupName>标点问题</groupName>
      <ability>L2_Punc</ability>
      <abilityName>标点符号检查</abilityName>
      <candidateList/>
      <explain/>
      <paraID>38BE88E7</paraID>
      <start>0</start>
      <end>1</end>
      <status>unmodified</status>
      <modifiedWord/>
      <trackRevisions>false</trackRevisions>
    </reviewItem>
    <reviewItem>
      <errorID>baba58fd-f34b-4e96-914d-f5de6b063599</errorID>
      <errorWord>\</errorWord>
      <group>L1_Punc</group>
      <groupName>标点问题</groupName>
      <ability>L2_Punc</ability>
      <abilityName>标点符号检查</abilityName>
      <candidateList/>
      <explain/>
      <paraID>79B1A3FE</paraID>
      <start>0</start>
      <end>1</end>
      <status>unmodified</status>
      <modifiedWord/>
      <trackRevisions>false</trackRevisions>
    </reviewItem>
    <reviewItem>
      <errorID>f5759785-18c9-4128-bd7f-995dddfb933c</errorID>
      <errorWord>\</errorWord>
      <group>L1_Punc</group>
      <groupName>标点问题</groupName>
      <ability>L2_Punc</ability>
      <abilityName>标点符号检查</abilityName>
      <candidateList/>
      <explain/>
      <paraID>6D1C7843</paraID>
      <start>0</start>
      <end>1</end>
      <status>unmodified</status>
      <modifiedWord/>
      <trackRevisions>false</trackRevisions>
    </reviewItem>
    <reviewItem>
      <errorID>cb4b89d2-ae9f-45a9-8b60-c3857c691bd0</errorID>
      <errorWord>\</errorWord>
      <group>L1_Punc</group>
      <groupName>标点问题</groupName>
      <ability>L2_Punc</ability>
      <abilityName>标点符号检查</abilityName>
      <candidateList/>
      <explain/>
      <paraID>346AD36E</paraID>
      <start>0</start>
      <end>1</end>
      <status>unmodified</status>
      <modifiedWord/>
      <trackRevisions>false</trackRevisions>
    </reviewItem>
    <reviewItem>
      <errorID>b6a299e8-3a1e-4ecc-b062-e57257649c49</errorID>
      <errorWord>\</errorWord>
      <group>L1_Punc</group>
      <groupName>标点问题</groupName>
      <ability>L2_Punc</ability>
      <abilityName>标点符号检查</abilityName>
      <candidateList/>
      <explain/>
      <paraID>5682DA70</paraID>
      <start>0</start>
      <end>1</end>
      <status>unmodified</status>
      <modifiedWord/>
      <trackRevisions>false</trackRevisions>
    </reviewItem>
    <reviewItem>
      <errorID>b371d1e4-5ee8-40fb-b759-01e3828aa04b</errorID>
      <errorWord>\</errorWord>
      <group>L1_Punc</group>
      <groupName>标点问题</groupName>
      <ability>L2_Punc</ability>
      <abilityName>标点符号检查</abilityName>
      <candidateList/>
      <explain/>
      <paraID> CAC9AE9</paraID>
      <start>0</start>
      <end>1</end>
      <status>unmodified</status>
      <modifiedWord/>
      <trackRevisions>false</trackRevisions>
    </reviewItem>
    <reviewItem>
      <errorID>6d3d33b8-2c5f-4085-868d-7224628ed9d3</errorID>
      <errorWord>\</errorWord>
      <group>L1_Punc</group>
      <groupName>标点问题</groupName>
      <ability>L2_Punc</ability>
      <abilityName>标点符号检查</abilityName>
      <candidateList/>
      <explain/>
      <paraID>53169180</paraID>
      <start>0</start>
      <end>1</end>
      <status>unmodified</status>
      <modifiedWord/>
      <trackRevisions>false</trackRevisions>
    </reviewItem>
    <reviewItem>
      <errorID>5f0f179d-bec1-4601-a42a-9b1cacec8ef7</errorID>
      <errorWord>\</errorWord>
      <group>L1_Punc</group>
      <groupName>标点问题</groupName>
      <ability>L2_Punc</ability>
      <abilityName>标点符号检查</abilityName>
      <candidateList/>
      <explain/>
      <paraID>36C4C61D</paraID>
      <start>0</start>
      <end>1</end>
      <status>unmodified</status>
      <modifiedWord/>
      <trackRevisions>false</trackRevisions>
    </reviewItem>
    <reviewItem>
      <errorID>31b42bb8-c8b0-482b-85f7-cf5081db2382</errorID>
      <errorWord>\</errorWord>
      <group>L1_Punc</group>
      <groupName>标点问题</groupName>
      <ability>L2_Punc</ability>
      <abilityName>标点符号检查</abilityName>
      <candidateList/>
      <explain/>
      <paraID>71D1D5F8</paraID>
      <start>0</start>
      <end>1</end>
      <status>unmodified</status>
      <modifiedWord/>
      <trackRevisions>false</trackRevisions>
    </reviewItem>
    <reviewItem>
      <errorID>36251537-337a-4228-b346-02c42899d7a6</errorID>
      <errorWord>\</errorWord>
      <group>L1_Punc</group>
      <groupName>标点问题</groupName>
      <ability>L2_Punc</ability>
      <abilityName>标点符号检查</abilityName>
      <candidateList/>
      <explain/>
      <paraID>5D4813EF</paraID>
      <start>0</start>
      <end>1</end>
      <status>unmodified</status>
      <modifiedWord/>
      <trackRevisions>false</trackRevisions>
    </reviewItem>
    <reviewItem>
      <errorID>5d86b9c3-8a56-4a2b-a7f1-c80fffca164e</errorID>
      <errorWord>\</errorWord>
      <group>L1_Punc</group>
      <groupName>标点问题</groupName>
      <ability>L2_Punc</ability>
      <abilityName>标点符号检查</abilityName>
      <candidateList/>
      <explain/>
      <paraID>5DE5725A</paraID>
      <start>0</start>
      <end>1</end>
      <status>unmodified</status>
      <modifiedWord/>
      <trackRevisions>false</trackRevisions>
    </reviewItem>
    <reviewItem>
      <errorID>7a6932a3-7c47-4139-a3b8-5b2cb6392b78</errorID>
      <errorWord>\</errorWord>
      <group>L1_Punc</group>
      <groupName>标点问题</groupName>
      <ability>L2_Punc</ability>
      <abilityName>标点符号检查</abilityName>
      <candidateList/>
      <explain/>
      <paraID>7E364421</paraID>
      <start>0</start>
      <end>1</end>
      <status>unmodified</status>
      <modifiedWord/>
      <trackRevisions>false</trackRevisions>
    </reviewItem>
    <reviewItem>
      <errorID>25f54f9c-6930-4065-bb58-a2ee8db12b04</errorID>
      <errorWord>\</errorWord>
      <group>L1_Punc</group>
      <groupName>标点问题</groupName>
      <ability>L2_Punc</ability>
      <abilityName>标点符号检查</abilityName>
      <candidateList/>
      <explain/>
      <paraID>46CFADE1</paraID>
      <start>0</start>
      <end>1</end>
      <status>unmodified</status>
      <modifiedWord/>
      <trackRevisions>false</trackRevisions>
    </reviewItem>
    <reviewItem>
      <errorID>ce8fafab-8005-4a93-a62c-231f80683836</errorID>
      <errorWord>\</errorWord>
      <group>L1_Punc</group>
      <groupName>标点问题</groupName>
      <ability>L2_Punc</ability>
      <abilityName>标点符号检查</abilityName>
      <candidateList/>
      <explain/>
      <paraID> 3CB729C</paraID>
      <start>0</start>
      <end>1</end>
      <status>unmodified</status>
      <modifiedWord/>
      <trackRevisions>false</trackRevisions>
    </reviewItem>
    <reviewItem>
      <errorID>29a6a4b6-1d82-4018-9e32-b5e9aeb12916</errorID>
      <errorWord>\</errorWord>
      <group>L1_Punc</group>
      <groupName>标点问题</groupName>
      <ability>L2_Punc</ability>
      <abilityName>标点符号检查</abilityName>
      <candidateList/>
      <explain/>
      <paraID>4E3F69AE</paraID>
      <start>0</start>
      <end>1</end>
      <status>unmodified</status>
      <modifiedWord/>
      <trackRevisions>false</trackRevisions>
    </reviewItem>
    <reviewItem>
      <errorID>16d3cc85-b5e6-4cf4-bc8d-abd43381119f</errorID>
      <errorWord>\</errorWord>
      <group>L1_Punc</group>
      <groupName>标点问题</groupName>
      <ability>L2_Punc</ability>
      <abilityName>标点符号检查</abilityName>
      <candidateList/>
      <explain/>
      <paraID>61507611</paraID>
      <start>0</start>
      <end>1</end>
      <status>unmodified</status>
      <modifiedWord/>
      <trackRevisions>false</trackRevisions>
    </reviewItem>
    <reviewItem>
      <errorID>1bf91258-043a-4ea5-838b-53955689cdfc</errorID>
      <errorWord>\</errorWord>
      <group>L1_Punc</group>
      <groupName>标点问题</groupName>
      <ability>L2_Punc</ability>
      <abilityName>标点符号检查</abilityName>
      <candidateList/>
      <explain/>
      <paraID>126F8213</paraID>
      <start>0</start>
      <end>1</end>
      <status>unmodified</status>
      <modifiedWord/>
      <trackRevisions>false</trackRevisions>
    </reviewItem>
    <reviewItem>
      <errorID>38896034-8b57-4c5f-b025-484ee8c7f440</errorID>
      <errorWord>\</errorWord>
      <group>L1_Punc</group>
      <groupName>标点问题</groupName>
      <ability>L2_Punc</ability>
      <abilityName>标点符号检查</abilityName>
      <candidateList/>
      <explain/>
      <paraID>22F6B30C</paraID>
      <start>0</start>
      <end>1</end>
      <status>unmodified</status>
      <modifiedWord/>
      <trackRevisions>false</trackRevisions>
    </reviewItem>
    <reviewItem>
      <errorID>d08b36d3-ac02-4428-a031-812098ce76e5</errorID>
      <errorWord>\</errorWord>
      <group>L1_Punc</group>
      <groupName>标点问题</groupName>
      <ability>L2_Punc</ability>
      <abilityName>标点符号检查</abilityName>
      <candidateList/>
      <explain/>
      <paraID>52C3F2B9</paraID>
      <start>0</start>
      <end>1</end>
      <status>unmodified</status>
      <modifiedWord/>
      <trackRevisions>false</trackRevisions>
    </reviewItem>
    <reviewItem>
      <errorID>69bee553-111a-4ef7-98d6-ea401d0cb9ac</errorID>
      <errorWord>\</errorWord>
      <group>L1_Punc</group>
      <groupName>标点问题</groupName>
      <ability>L2_Punc</ability>
      <abilityName>标点符号检查</abilityName>
      <candidateList/>
      <explain/>
      <paraID>165BC185</paraID>
      <start>0</start>
      <end>1</end>
      <status>unmodified</status>
      <modifiedWord/>
      <trackRevisions>false</trackRevisions>
    </reviewItem>
    <reviewItem>
      <errorID>03dca1b9-19b5-4e34-adb5-d3a0407aecb7</errorID>
      <errorWord>\</errorWord>
      <group>L1_Punc</group>
      <groupName>标点问题</groupName>
      <ability>L2_Punc</ability>
      <abilityName>标点符号检查</abilityName>
      <candidateList/>
      <explain/>
      <paraID>3F24BADE</paraID>
      <start>0</start>
      <end>1</end>
      <status>unmodified</status>
      <modifiedWord/>
      <trackRevisions>false</trackRevisions>
    </reviewItem>
    <reviewItem>
      <errorID>5a7d9f00-f7a8-4694-9d47-ea58f6081a96</errorID>
      <errorWord>\</errorWord>
      <group>L1_Punc</group>
      <groupName>标点问题</groupName>
      <ability>L2_Punc</ability>
      <abilityName>标点符号检查</abilityName>
      <candidateList/>
      <explain/>
      <paraID>4273330B</paraID>
      <start>0</start>
      <end>1</end>
      <status>unmodified</status>
      <modifiedWord/>
      <trackRevisions>false</trackRevisions>
    </reviewItem>
    <reviewItem>
      <errorID>b1954aae-aef7-48f7-aa8b-5b4240794e76</errorID>
      <errorWord>\</errorWord>
      <group>L1_Punc</group>
      <groupName>标点问题</groupName>
      <ability>L2_Punc</ability>
      <abilityName>标点符号检查</abilityName>
      <candidateList/>
      <explain/>
      <paraID>24D49797</paraID>
      <start>0</start>
      <end>1</end>
      <status>unmodified</status>
      <modifiedWord/>
      <trackRevisions>false</trackRevisions>
    </reviewItem>
    <reviewItem>
      <errorID>0b5c6a7c-271c-4c4a-b0bb-410b24ea0b96</errorID>
      <errorWord>\</errorWord>
      <group>L1_Punc</group>
      <groupName>标点问题</groupName>
      <ability>L2_Punc</ability>
      <abilityName>标点符号检查</abilityName>
      <candidateList/>
      <explain/>
      <paraID>49371290</paraID>
      <start>0</start>
      <end>1</end>
      <status>unmodified</status>
      <modifiedWord/>
      <trackRevisions>false</trackRevisions>
    </reviewItem>
    <reviewItem>
      <errorID>a91c1716-288e-4107-952b-b9df37828d5f</errorID>
      <errorWord>\</errorWord>
      <group>L1_Punc</group>
      <groupName>标点问题</groupName>
      <ability>L2_Punc</ability>
      <abilityName>标点符号检查</abilityName>
      <candidateList/>
      <explain/>
      <paraID> 530AACA</paraID>
      <start>0</start>
      <end>1</end>
      <status>unmodified</status>
      <modifiedWord/>
      <trackRevisions>false</trackRevisions>
    </reviewItem>
    <reviewItem>
      <errorID>350895bd-a3cb-4c21-8362-61f9ab0324a6</errorID>
      <errorWord>\</errorWord>
      <group>L1_Punc</group>
      <groupName>标点问题</groupName>
      <ability>L2_Punc</ability>
      <abilityName>标点符号检查</abilityName>
      <candidateList/>
      <explain/>
      <paraID> 1E16DF0</paraID>
      <start>0</start>
      <end>1</end>
      <status>unmodified</status>
      <modifiedWord/>
      <trackRevisions>false</trackRevisions>
    </reviewItem>
    <reviewItem>
      <errorID>4b1dabc5-1c56-4e94-aa01-d951c3c99326</errorID>
      <errorWord>\</errorWord>
      <group>L1_Punc</group>
      <groupName>标点问题</groupName>
      <ability>L2_Punc</ability>
      <abilityName>标点符号检查</abilityName>
      <candidateList/>
      <explain/>
      <paraID>218B99E9</paraID>
      <start>0</start>
      <end>1</end>
      <status>unmodified</status>
      <modifiedWord/>
      <trackRevisions>false</trackRevisions>
    </reviewItem>
    <reviewItem>
      <errorID>539679f4-463b-45b9-9bbd-8e947d4e1932</errorID>
      <errorWord>\</errorWord>
      <group>L1_Punc</group>
      <groupName>标点问题</groupName>
      <ability>L2_Punc</ability>
      <abilityName>标点符号检查</abilityName>
      <candidateList/>
      <explain/>
      <paraID>56850E4D</paraID>
      <start>0</start>
      <end>1</end>
      <status>unmodified</status>
      <modifiedWord/>
      <trackRevisions>false</trackRevisions>
    </reviewItem>
    <reviewItem>
      <errorID>63533a54-68cf-4e00-b176-25c5d4bf17cf</errorID>
      <errorWord>\</errorWord>
      <group>L1_Punc</group>
      <groupName>标点问题</groupName>
      <ability>L2_Punc</ability>
      <abilityName>标点符号检查</abilityName>
      <candidateList/>
      <explain/>
      <paraID>7CB084CF</paraID>
      <start>0</start>
      <end>1</end>
      <status>unmodified</status>
      <modifiedWord/>
      <trackRevisions>false</trackRevisions>
    </reviewItem>
    <reviewItem>
      <errorID>ccde6444-481d-4d1a-bbf9-5406ad1be74b</errorID>
      <errorWord>\</errorWord>
      <group>L1_Punc</group>
      <groupName>标点问题</groupName>
      <ability>L2_Punc</ability>
      <abilityName>标点符号检查</abilityName>
      <candidateList/>
      <explain/>
      <paraID>50E6948D</paraID>
      <start>0</start>
      <end>1</end>
      <status>unmodified</status>
      <modifiedWord/>
      <trackRevisions>false</trackRevisions>
    </reviewItem>
    <reviewItem>
      <errorID>aeabb603-000c-4a09-89ed-9707b78c2d9e</errorID>
      <errorWord>\</errorWord>
      <group>L1_Punc</group>
      <groupName>标点问题</groupName>
      <ability>L2_Punc</ability>
      <abilityName>标点符号检查</abilityName>
      <candidateList/>
      <explain/>
      <paraID>5313A75A</paraID>
      <start>0</start>
      <end>1</end>
      <status>unmodified</status>
      <modifiedWord/>
      <trackRevisions>false</trackRevisions>
    </reviewItem>
    <reviewItem>
      <errorID>be919f2c-dcd8-478a-9f68-f52a2699bad0</errorID>
      <errorWord>\</errorWord>
      <group>L1_Punc</group>
      <groupName>标点问题</groupName>
      <ability>L2_Punc</ability>
      <abilityName>标点符号检查</abilityName>
      <candidateList/>
      <explain/>
      <paraID> 7B2EBDD</paraID>
      <start>0</start>
      <end>1</end>
      <status>unmodified</status>
      <modifiedWord/>
      <trackRevisions>false</trackRevisions>
    </reviewItem>
    <reviewItem>
      <errorID>0e0b4257-f28e-416c-aef3-903790a5a335</errorID>
      <errorWord>\</errorWord>
      <group>L1_Punc</group>
      <groupName>标点问题</groupName>
      <ability>L2_Punc</ability>
      <abilityName>标点符号检查</abilityName>
      <candidateList/>
      <explain/>
      <paraID>1EEED903</paraID>
      <start>0</start>
      <end>1</end>
      <status>unmodified</status>
      <modifiedWord/>
      <trackRevisions>false</trackRevisions>
    </reviewItem>
    <reviewItem>
      <errorID>39afce2c-4c5a-42e1-ad53-f65382ba6c81</errorID>
      <errorWord>\</errorWord>
      <group>L1_Punc</group>
      <groupName>标点问题</groupName>
      <ability>L2_Punc</ability>
      <abilityName>标点符号检查</abilityName>
      <candidateList/>
      <explain/>
      <paraID>73CF52E3</paraID>
      <start>0</start>
      <end>1</end>
      <status>unmodified</status>
      <modifiedWord/>
      <trackRevisions>false</trackRevisions>
    </reviewItem>
    <reviewItem>
      <errorID>49c44ee2-7ea6-4728-a79f-223b4bf19e95</errorID>
      <errorWord>\</errorWord>
      <group>L1_Punc</group>
      <groupName>标点问题</groupName>
      <ability>L2_Punc</ability>
      <abilityName>标点符号检查</abilityName>
      <candidateList/>
      <explain/>
      <paraID>787EB387</paraID>
      <start>0</start>
      <end>1</end>
      <status>unmodified</status>
      <modifiedWord/>
      <trackRevisions>false</trackRevisions>
    </reviewItem>
    <reviewItem>
      <errorID>b023e2eb-cf06-4341-b624-c8722ece2315</errorID>
      <errorWord>\</errorWord>
      <group>L1_Punc</group>
      <groupName>标点问题</groupName>
      <ability>L2_Punc</ability>
      <abilityName>标点符号检查</abilityName>
      <candidateList/>
      <explain/>
      <paraID>18A40B28</paraID>
      <start>0</start>
      <end>1</end>
      <status>unmodified</status>
      <modifiedWord/>
      <trackRevisions>false</trackRevisions>
    </reviewItem>
    <reviewItem>
      <errorID>e9cd3d51-7cb4-48b8-a6e6-60f3de87d17f</errorID>
      <errorWord>\</errorWord>
      <group>L1_Punc</group>
      <groupName>标点问题</groupName>
      <ability>L2_Punc</ability>
      <abilityName>标点符号检查</abilityName>
      <candidateList/>
      <explain/>
      <paraID>15485CC9</paraID>
      <start>0</start>
      <end>1</end>
      <status>unmodified</status>
      <modifiedWord/>
      <trackRevisions>false</trackRevisions>
    </reviewItem>
    <reviewItem>
      <errorID>efabd56d-87ef-4957-a581-9c7a4b2aade5</errorID>
      <errorWord>\</errorWord>
      <group>L1_Punc</group>
      <groupName>标点问题</groupName>
      <ability>L2_Punc</ability>
      <abilityName>标点符号检查</abilityName>
      <candidateList/>
      <explain/>
      <paraID> EA0B821</paraID>
      <start>0</start>
      <end>1</end>
      <status>unmodified</status>
      <modifiedWord/>
      <trackRevisions>false</trackRevisions>
    </reviewItem>
    <reviewItem>
      <errorID>23c5cb96-fea6-4c1a-a2ab-3bcc1da7fcb6</errorID>
      <errorWord>\</errorWord>
      <group>L1_Punc</group>
      <groupName>标点问题</groupName>
      <ability>L2_Punc</ability>
      <abilityName>标点符号检查</abilityName>
      <candidateList/>
      <explain/>
      <paraID>2BA09EE8</paraID>
      <start>0</start>
      <end>1</end>
      <status>unmodified</status>
      <modifiedWord/>
      <trackRevisions>false</trackRevisions>
    </reviewItem>
    <reviewItem>
      <errorID>bd4b0e01-741d-46dc-8875-505d8acc60e2</errorID>
      <errorWord>\</errorWord>
      <group>L1_Punc</group>
      <groupName>标点问题</groupName>
      <ability>L2_Punc</ability>
      <abilityName>标点符号检查</abilityName>
      <candidateList/>
      <explain/>
      <paraID>679CAE91</paraID>
      <start>0</start>
      <end>1</end>
      <status>unmodified</status>
      <modifiedWord/>
      <trackRevisions>false</trackRevisions>
    </reviewItem>
    <reviewItem>
      <errorID>bdeee66f-8fcb-45a9-9c1c-c15def487f1e</errorID>
      <errorWord>\</errorWord>
      <group>L1_Punc</group>
      <groupName>标点问题</groupName>
      <ability>L2_Punc</ability>
      <abilityName>标点符号检查</abilityName>
      <candidateList/>
      <explain/>
      <paraID>6723769D</paraID>
      <start>0</start>
      <end>1</end>
      <status>unmodified</status>
      <modifiedWord/>
      <trackRevisions>false</trackRevisions>
    </reviewItem>
    <reviewItem>
      <errorID>b5465733-1b9c-422f-ba50-aa7c41f7023e</errorID>
      <errorWord>\</errorWord>
      <group>L1_Punc</group>
      <groupName>标点问题</groupName>
      <ability>L2_Punc</ability>
      <abilityName>标点符号检查</abilityName>
      <candidateList/>
      <explain/>
      <paraID>431061B6</paraID>
      <start>0</start>
      <end>1</end>
      <status>unmodified</status>
      <modifiedWord/>
      <trackRevisions>false</trackRevisions>
    </reviewItem>
    <reviewItem>
      <errorID>ce3283b3-ce3f-4d20-af64-d97382cbb6ff</errorID>
      <errorWord>\</errorWord>
      <group>L1_Punc</group>
      <groupName>标点问题</groupName>
      <ability>L2_Punc</ability>
      <abilityName>标点符号检查</abilityName>
      <candidateList/>
      <explain/>
      <paraID>1628F327</paraID>
      <start>0</start>
      <end>1</end>
      <status>unmodified</status>
      <modifiedWord/>
      <trackRevisions>false</trackRevisions>
    </reviewItem>
    <reviewItem>
      <errorID>3b5375b7-08ed-4859-9d18-084c530eb8d2</errorID>
      <errorWord>\</errorWord>
      <group>L1_Punc</group>
      <groupName>标点问题</groupName>
      <ability>L2_Punc</ability>
      <abilityName>标点符号检查</abilityName>
      <candidateList/>
      <explain/>
      <paraID>14031A09</paraID>
      <start>0</start>
      <end>1</end>
      <status>unmodified</status>
      <modifiedWord/>
      <trackRevisions>false</trackRevisions>
    </reviewItem>
    <reviewItem>
      <errorID>804cf864-1cdd-4447-91f9-27a3922d9e29</errorID>
      <errorWord>\</errorWord>
      <group>L1_Punc</group>
      <groupName>标点问题</groupName>
      <ability>L2_Punc</ability>
      <abilityName>标点符号检查</abilityName>
      <candidateList/>
      <explain/>
      <paraID>409A7EA6</paraID>
      <start>0</start>
      <end>1</end>
      <status>unmodified</status>
      <modifiedWord/>
      <trackRevisions>false</trackRevisions>
    </reviewItem>
    <reviewItem>
      <errorID>dfff3eed-9bab-4b8b-aced-8d54ae073ffd</errorID>
      <errorWord>\</errorWord>
      <group>L1_Punc</group>
      <groupName>标点问题</groupName>
      <ability>L2_Punc</ability>
      <abilityName>标点符号检查</abilityName>
      <candidateList/>
      <explain/>
      <paraID>   334DA</paraID>
      <start>0</start>
      <end>1</end>
      <status>unmodified</status>
      <modifiedWord/>
      <trackRevisions>false</trackRevisions>
    </reviewItem>
    <reviewItem>
      <errorID>e5b9c6e4-7839-4525-afad-d7c4b08da75f</errorID>
      <errorWord>\</errorWord>
      <group>L1_Punc</group>
      <groupName>标点问题</groupName>
      <ability>L2_Punc</ability>
      <abilityName>标点符号检查</abilityName>
      <candidateList/>
      <explain/>
      <paraID>7D86B130</paraID>
      <start>0</start>
      <end>1</end>
      <status>unmodified</status>
      <modifiedWord/>
      <trackRevisions>false</trackRevisions>
    </reviewItem>
    <reviewItem>
      <errorID>cc1ccda2-5076-4d41-b598-616fb10064df</errorID>
      <errorWord>\</errorWord>
      <group>L1_Punc</group>
      <groupName>标点问题</groupName>
      <ability>L2_Punc</ability>
      <abilityName>标点符号检查</abilityName>
      <candidateList/>
      <explain/>
      <paraID>13796BCE</paraID>
      <start>0</start>
      <end>1</end>
      <status>unmodified</status>
      <modifiedWord/>
      <trackRevisions>false</trackRevisions>
    </reviewItem>
    <reviewItem>
      <errorID>8467e6bc-8f81-4ebe-8a7a-ba6c09600c6d</errorID>
      <errorWord>\</errorWord>
      <group>L1_Punc</group>
      <groupName>标点问题</groupName>
      <ability>L2_Punc</ability>
      <abilityName>标点符号检查</abilityName>
      <candidateList/>
      <explain/>
      <paraID>5C4DF67D</paraID>
      <start>0</start>
      <end>1</end>
      <status>unmodified</status>
      <modifiedWord/>
      <trackRevisions>false</trackRevisions>
    </reviewItem>
    <reviewItem>
      <errorID>5659b28d-2d25-423f-88c1-cf8d48154702</errorID>
      <errorWord>\</errorWord>
      <group>L1_Punc</group>
      <groupName>标点问题</groupName>
      <ability>L2_Punc</ability>
      <abilityName>标点符号检查</abilityName>
      <candidateList/>
      <explain/>
      <paraID>3C2EE555</paraID>
      <start>0</start>
      <end>1</end>
      <status>unmodified</status>
      <modifiedWord/>
      <trackRevisions>false</trackRevisions>
    </reviewItem>
    <reviewItem>
      <errorID>a1a85d29-fe16-40d9-9d73-b26452cf6a7d</errorID>
      <errorWord>\</errorWord>
      <group>L1_Punc</group>
      <groupName>标点问题</groupName>
      <ability>L2_Punc</ability>
      <abilityName>标点符号检查</abilityName>
      <candidateList/>
      <explain/>
      <paraID>56BA21FA</paraID>
      <start>0</start>
      <end>1</end>
      <status>unmodified</status>
      <modifiedWord/>
      <trackRevisions>false</trackRevisions>
    </reviewItem>
    <reviewItem>
      <errorID>91088ec8-687c-4941-86be-dd27f69d0f6c</errorID>
      <errorWord>\</errorWord>
      <group>L1_Punc</group>
      <groupName>标点问题</groupName>
      <ability>L2_Punc</ability>
      <abilityName>标点符号检查</abilityName>
      <candidateList/>
      <explain/>
      <paraID> 1CC96B6</paraID>
      <start>0</start>
      <end>1</end>
      <status>unmodified</status>
      <modifiedWord/>
      <trackRevisions>false</trackRevisions>
    </reviewItem>
    <reviewItem>
      <errorID>33c57351-91cb-46d4-be6b-ff3c46fca64d</errorID>
      <errorWord>\</errorWord>
      <group>L1_Punc</group>
      <groupName>标点问题</groupName>
      <ability>L2_Punc</ability>
      <abilityName>标点符号检查</abilityName>
      <candidateList/>
      <explain/>
      <paraID>1D87608F</paraID>
      <start>0</start>
      <end>1</end>
      <status>unmodified</status>
      <modifiedWord/>
      <trackRevisions>false</trackRevisions>
    </reviewItem>
    <reviewItem>
      <errorID>a6cae266-0ca4-4186-b76e-9d307c00f5a4</errorID>
      <errorWord>\</errorWord>
      <group>L1_Punc</group>
      <groupName>标点问题</groupName>
      <ability>L2_Punc</ability>
      <abilityName>标点符号检查</abilityName>
      <candidateList/>
      <explain/>
      <paraID>131D9AA7</paraID>
      <start>0</start>
      <end>1</end>
      <status>unmodified</status>
      <modifiedWord/>
      <trackRevisions>false</trackRevisions>
    </reviewItem>
    <reviewItem>
      <errorID>d399e7a8-07bd-483f-9ba0-5633f14753f7</errorID>
      <errorWord>\</errorWord>
      <group>L1_Punc</group>
      <groupName>标点问题</groupName>
      <ability>L2_Punc</ability>
      <abilityName>标点符号检查</abilityName>
      <candidateList/>
      <explain/>
      <paraID>72EE1EF2</paraID>
      <start>0</start>
      <end>1</end>
      <status>unmodified</status>
      <modifiedWord/>
      <trackRevisions>false</trackRevisions>
    </reviewItem>
    <reviewItem>
      <errorID>01387c9e-b25d-4ee7-a355-16a88ade94c1</errorID>
      <errorWord>\</errorWord>
      <group>L1_Punc</group>
      <groupName>标点问题</groupName>
      <ability>L2_Punc</ability>
      <abilityName>标点符号检查</abilityName>
      <candidateList/>
      <explain/>
      <paraID>4016DF6E</paraID>
      <start>0</start>
      <end>1</end>
      <status>unmodified</status>
      <modifiedWord/>
      <trackRevisions>false</trackRevisions>
    </reviewItem>
    <reviewItem>
      <errorID>d74634e8-eeaa-44de-b7fe-d039da767062</errorID>
      <errorWord>“\</errorWord>
      <group>L1_Punc</group>
      <groupName>标点问题</groupName>
      <ability>L2_Punc</ability>
      <abilityName>标点符号检查</abilityName>
      <candidateList>
        <item>“</item>
      </candidateList>
      <explain/>
      <paraID>61DBC614</paraID>
      <start>3</start>
      <end>5</end>
      <status>unmodified</status>
      <modifiedWord/>
      <trackRevisions>false</trackRevisions>
    </reviewItem>
    <reviewItem>
      <errorID>948e5eb8-c39f-43c6-8bb1-b0a8a13cbefd</errorID>
      <errorWord>\</errorWord>
      <group>L1_Punc</group>
      <groupName>标点问题</groupName>
      <ability>L2_Punc</ability>
      <abilityName>标点符号检查</abilityName>
      <candidateList/>
      <explain/>
      <paraID>641F306A</paraID>
      <start>0</start>
      <end>1</end>
      <status>unmodified</status>
      <modifiedWord/>
      <trackRevisions>false</trackRevisions>
    </reviewItem>
    <reviewItem>
      <errorID>838f1610-f59a-4c26-9c50-b3d9b6b3f497</errorID>
      <errorWord>\</errorWord>
      <group>L1_Punc</group>
      <groupName>标点问题</groupName>
      <ability>L2_Punc</ability>
      <abilityName>标点符号检查</abilityName>
      <candidateList/>
      <explain/>
      <paraID>73EB912D</paraID>
      <start>0</start>
      <end>1</end>
      <status>unmodified</status>
      <modifiedWord/>
      <trackRevisions>false</trackRevisions>
    </reviewItem>
    <reviewItem>
      <errorID>44c071b8-ee69-4d94-973f-db5a7a3e8049</errorID>
      <errorWord>\</errorWord>
      <group>L1_Punc</group>
      <groupName>标点问题</groupName>
      <ability>L2_Punc</ability>
      <abilityName>标点符号检查</abilityName>
      <candidateList/>
      <explain/>
      <paraID> 316E920</paraID>
      <start>0</start>
      <end>1</end>
      <status>unmodified</status>
      <modifiedWord/>
      <trackRevisions>false</trackRevisions>
    </reviewItem>
    <reviewItem>
      <errorID>9c45054c-def1-42c8-9374-a743daf39b49</errorID>
      <errorWord>\</errorWord>
      <group>L1_Punc</group>
      <groupName>标点问题</groupName>
      <ability>L2_Punc</ability>
      <abilityName>标点符号检查</abilityName>
      <candidateList/>
      <explain/>
      <paraID>3693D275</paraID>
      <start>0</start>
      <end>1</end>
      <status>unmodified</status>
      <modifiedWord/>
      <trackRevisions>false</trackRevisions>
    </reviewItem>
    <reviewItem>
      <errorID>87f02042-a089-42da-930a-80a809bd9c95</errorID>
      <errorWord>\</errorWord>
      <group>L1_Punc</group>
      <groupName>标点问题</groupName>
      <ability>L2_Punc</ability>
      <abilityName>标点符号检查</abilityName>
      <candidateList/>
      <explain/>
      <paraID> E8B931B</paraID>
      <start>0</start>
      <end>1</end>
      <status>unmodified</status>
      <modifiedWord/>
      <trackRevisions>false</trackRevisions>
    </reviewItem>
    <reviewItem>
      <errorID>8d7f1733-99e3-4cc2-8c55-d84452b78fe9</errorID>
      <errorWord>\</errorWord>
      <group>L1_Punc</group>
      <groupName>标点问题</groupName>
      <ability>L2_Punc</ability>
      <abilityName>标点符号检查</abilityName>
      <candidateList/>
      <explain/>
      <paraID> A3CECD4</paraID>
      <start>0</start>
      <end>1</end>
      <status>unmodified</status>
      <modifiedWord/>
      <trackRevisions>false</trackRevisions>
    </reviewItem>
    <reviewItem>
      <errorID>bede9207-1e6a-4c81-a871-13538e657abb</errorID>
      <errorWord>\</errorWord>
      <group>L1_Punc</group>
      <groupName>标点问题</groupName>
      <ability>L2_Punc</ability>
      <abilityName>标点符号检查</abilityName>
      <candidateList/>
      <explain/>
      <paraID> E090D38</paraID>
      <start>0</start>
      <end>1</end>
      <status>unmodified</status>
      <modifiedWord/>
      <trackRevisions>false</trackRevisions>
    </reviewItem>
    <reviewItem>
      <errorID>403cf9c7-6aee-42e7-b281-f826465eadb1</errorID>
      <errorWord>\</errorWord>
      <group>L1_Punc</group>
      <groupName>标点问题</groupName>
      <ability>L2_Punc</ability>
      <abilityName>标点符号检查</abilityName>
      <candidateList/>
      <explain/>
      <paraID>4A23CFA3</paraID>
      <start>0</start>
      <end>1</end>
      <status>unmodified</status>
      <modifiedWord/>
      <trackRevisions>false</trackRevisions>
    </reviewItem>
    <reviewItem>
      <errorID>431f1643-0610-45cb-8270-1c75d64d3a94</errorID>
      <errorWord>\</errorWord>
      <group>L1_Punc</group>
      <groupName>标点问题</groupName>
      <ability>L2_Punc</ability>
      <abilityName>标点符号检查</abilityName>
      <candidateList/>
      <explain/>
      <paraID>76D75964</paraID>
      <start>0</start>
      <end>1</end>
      <status>unmodified</status>
      <modifiedWord/>
      <trackRevisions>false</trackRevisions>
    </reviewItem>
    <reviewItem>
      <errorID>ff7a5ab6-3ffc-4d52-9e36-d0644aaedc6b</errorID>
      <errorWord>\</errorWord>
      <group>L1_Punc</group>
      <groupName>标点问题</groupName>
      <ability>L2_Punc</ability>
      <abilityName>标点符号检查</abilityName>
      <candidateList/>
      <explain/>
      <paraID>7EDF30CA</paraID>
      <start>0</start>
      <end>1</end>
      <status>unmodified</status>
      <modifiedWord/>
      <trackRevisions>false</trackRevisions>
    </reviewItem>
    <reviewItem>
      <errorID>681a2041-74c4-44f6-941d-f6608656195c</errorID>
      <errorWord>\</errorWord>
      <group>L1_Punc</group>
      <groupName>标点问题</groupName>
      <ability>L2_Punc</ability>
      <abilityName>标点符号检查</abilityName>
      <candidateList/>
      <explain/>
      <paraID> 9771695</paraID>
      <start>0</start>
      <end>1</end>
      <status>unmodified</status>
      <modifiedWord/>
      <trackRevisions>false</trackRevisions>
    </reviewItem>
    <reviewItem>
      <errorID>71ae5043-a435-4cbd-a2bc-5a5870c4d312</errorID>
      <errorWord>\</errorWord>
      <group>L1_Punc</group>
      <groupName>标点问题</groupName>
      <ability>L2_Punc</ability>
      <abilityName>标点符号检查</abilityName>
      <candidateList/>
      <explain/>
      <paraID>5E89127E</paraID>
      <start>0</start>
      <end>1</end>
      <status>unmodified</status>
      <modifiedWord/>
      <trackRevisions>false</trackRevisions>
    </reviewItem>
    <reviewItem>
      <errorID>149e5880-0eef-4eed-8390-51ff6bf7cb4f</errorID>
      <errorWord>\</errorWord>
      <group>L1_Punc</group>
      <groupName>标点问题</groupName>
      <ability>L2_Punc</ability>
      <abilityName>标点符号检查</abilityName>
      <candidateList/>
      <explain/>
      <paraID>4EDBE631</paraID>
      <start>0</start>
      <end>1</end>
      <status>unmodified</status>
      <modifiedWord/>
      <trackRevisions>false</trackRevisions>
    </reviewItem>
    <reviewItem>
      <errorID>50adbde9-68c1-4c43-9e07-28df0f19e271</errorID>
      <errorWord>\</errorWord>
      <group>L1_Punc</group>
      <groupName>标点问题</groupName>
      <ability>L2_Punc</ability>
      <abilityName>标点符号检查</abilityName>
      <candidateList/>
      <explain/>
      <paraID>72CAD0DF</paraID>
      <start>0</start>
      <end>1</end>
      <status>unmodified</status>
      <modifiedWord/>
      <trackRevisions>false</trackRevisions>
    </reviewItem>
    <reviewItem>
      <errorID>b3264b3f-bc1f-4fc7-a9b2-edd6d825a38a</errorID>
      <errorWord>\</errorWord>
      <group>L1_Punc</group>
      <groupName>标点问题</groupName>
      <ability>L2_Punc</ability>
      <abilityName>标点符号检查</abilityName>
      <candidateList/>
      <explain/>
      <paraID>534132BD</paraID>
      <start>0</start>
      <end>1</end>
      <status>unmodified</status>
      <modifiedWord/>
      <trackRevisions>false</trackRevisions>
    </reviewItem>
    <reviewItem>
      <errorID>4e35af4a-d626-4420-adb7-4346761bb5b5</errorID>
      <errorWord>\</errorWord>
      <group>L1_Punc</group>
      <groupName>标点问题</groupName>
      <ability>L2_Punc</ability>
      <abilityName>标点符号检查</abilityName>
      <candidateList/>
      <explain/>
      <paraID>5C401078</paraID>
      <start>0</start>
      <end>1</end>
      <status>unmodified</status>
      <modifiedWord/>
      <trackRevisions>false</trackRevisions>
    </reviewItem>
    <reviewItem>
      <errorID>3cf3102b-5f5a-4bc3-8bc6-b156ac0969ce</errorID>
      <errorWord>\</errorWord>
      <group>L1_Punc</group>
      <groupName>标点问题</groupName>
      <ability>L2_Punc</ability>
      <abilityName>标点符号检查</abilityName>
      <candidateList/>
      <explain/>
      <paraID>6910E368</paraID>
      <start>0</start>
      <end>1</end>
      <status>unmodified</status>
      <modifiedWord/>
      <trackRevisions>false</trackRevisions>
    </reviewItem>
    <reviewItem>
      <errorID>91e9a35f-4457-4ec5-9a20-7163c0b754ac</errorID>
      <errorWord>\</errorWord>
      <group>L1_Punc</group>
      <groupName>标点问题</groupName>
      <ability>L2_Punc</ability>
      <abilityName>标点符号检查</abilityName>
      <candidateList/>
      <explain/>
      <paraID>21B507BD</paraID>
      <start>0</start>
      <end>1</end>
      <status>unmodified</status>
      <modifiedWord/>
      <trackRevisions>false</trackRevisions>
    </reviewItem>
    <reviewItem>
      <errorID>e65baf5f-e0a4-49a5-944e-8f08df789b4b</errorID>
      <errorWord>\</errorWord>
      <group>L1_Punc</group>
      <groupName>标点问题</groupName>
      <ability>L2_Punc</ability>
      <abilityName>标点符号检查</abilityName>
      <candidateList/>
      <explain/>
      <paraID>590F6C15</paraID>
      <start>0</start>
      <end>1</end>
      <status>unmodified</status>
      <modifiedWord/>
      <trackRevisions>false</trackRevisions>
    </reviewItem>
    <reviewItem>
      <errorID>291f8f24-4835-42e1-ac85-d15fbe6d84bb</errorID>
      <errorWord>\</errorWord>
      <group>L1_Punc</group>
      <groupName>标点问题</groupName>
      <ability>L2_Punc</ability>
      <abilityName>标点符号检查</abilityName>
      <candidateList/>
      <explain/>
      <paraID>6FB81BFE</paraID>
      <start>0</start>
      <end>1</end>
      <status>unmodified</status>
      <modifiedWord/>
      <trackRevisions>false</trackRevisions>
    </reviewItem>
    <reviewItem>
      <errorID>c227f708-e052-4898-b2cc-f931c0b9d3d6</errorID>
      <errorWord>\</errorWord>
      <group>L1_Punc</group>
      <groupName>标点问题</groupName>
      <ability>L2_Punc</ability>
      <abilityName>标点符号检查</abilityName>
      <candidateList/>
      <explain/>
      <paraID>7311D2B6</paraID>
      <start>0</start>
      <end>1</end>
      <status>unmodified</status>
      <modifiedWord/>
      <trackRevisions>false</trackRevisions>
    </reviewItem>
    <reviewItem>
      <errorID>009ae3d8-1c63-4a9a-9e5a-a9a11001d33f</errorID>
      <errorWord>\</errorWord>
      <group>L1_Punc</group>
      <groupName>标点问题</groupName>
      <ability>L2_Punc</ability>
      <abilityName>标点符号检查</abilityName>
      <candidateList/>
      <explain/>
      <paraID>5152B82D</paraID>
      <start>0</start>
      <end>1</end>
      <status>unmodified</status>
      <modifiedWord/>
      <trackRevisions>false</trackRevisions>
    </reviewItem>
    <reviewItem>
      <errorID>927f6eb8-6e8c-4f61-a61b-c31bdc00705f</errorID>
      <errorWord>\</errorWord>
      <group>L1_Punc</group>
      <groupName>标点问题</groupName>
      <ability>L2_Punc</ability>
      <abilityName>标点符号检查</abilityName>
      <candidateList/>
      <explain/>
      <paraID>7223EB0E</paraID>
      <start>0</start>
      <end>1</end>
      <status>unmodified</status>
      <modifiedWord/>
      <trackRevisions>false</trackRevisions>
    </reviewItem>
    <reviewItem>
      <errorID>74632d74-e40d-439f-a0c6-4db9d6817d29</errorID>
      <errorWord>\</errorWord>
      <group>L1_Punc</group>
      <groupName>标点问题</groupName>
      <ability>L2_Punc</ability>
      <abilityName>标点符号检查</abilityName>
      <candidateList/>
      <explain/>
      <paraID>72FCA577</paraID>
      <start>0</start>
      <end>1</end>
      <status>unmodified</status>
      <modifiedWord/>
      <trackRevisions>false</trackRevisions>
    </reviewItem>
    <reviewItem>
      <errorID>62255859-17fb-4a16-932a-9ebf2cd7a186</errorID>
      <errorWord>\</errorWord>
      <group>L1_Punc</group>
      <groupName>标点问题</groupName>
      <ability>L2_Punc</ability>
      <abilityName>标点符号检查</abilityName>
      <candidateList/>
      <explain/>
      <paraID>513EE907</paraID>
      <start>0</start>
      <end>1</end>
      <status>unmodified</status>
      <modifiedWord/>
      <trackRevisions>false</trackRevisions>
    </reviewItem>
    <reviewItem>
      <errorID>20c658c4-3fd4-4ad9-852b-c9c85850d5ce</errorID>
      <errorWord>\</errorWord>
      <group>L1_Punc</group>
      <groupName>标点问题</groupName>
      <ability>L2_Punc</ability>
      <abilityName>标点符号检查</abilityName>
      <candidateList/>
      <explain/>
      <paraID>3893A957</paraID>
      <start>0</start>
      <end>1</end>
      <status>unmodified</status>
      <modifiedWord/>
      <trackRevisions>false</trackRevisions>
    </reviewItem>
    <reviewItem>
      <errorID>23b6212e-099a-4bdd-93b2-a20b6175022c</errorID>
      <errorWord>\</errorWord>
      <group>L1_Punc</group>
      <groupName>标点问题</groupName>
      <ability>L2_Punc</ability>
      <abilityName>标点符号检查</abilityName>
      <candidateList/>
      <explain/>
      <paraID>661E68C1</paraID>
      <start>0</start>
      <end>1</end>
      <status>unmodified</status>
      <modifiedWord/>
      <trackRevisions>false</trackRevisions>
    </reviewItem>
    <reviewItem>
      <errorID>26ae20b4-5910-4af1-a420-aba2cd0bbfa4</errorID>
      <errorWord>\</errorWord>
      <group>L1_Punc</group>
      <groupName>标点问题</groupName>
      <ability>L2_Punc</ability>
      <abilityName>标点符号检查</abilityName>
      <candidateList/>
      <explain/>
      <paraID> 6F23837</paraID>
      <start>0</start>
      <end>1</end>
      <status>unmodified</status>
      <modifiedWord/>
      <trackRevisions>false</trackRevisions>
    </reviewItem>
    <reviewItem>
      <errorID>629c7c58-f4eb-424b-b462-30f5cb79c796</errorID>
      <errorWord>\</errorWord>
      <group>L1_Punc</group>
      <groupName>标点问题</groupName>
      <ability>L2_Punc</ability>
      <abilityName>标点符号检查</abilityName>
      <candidateList/>
      <explain/>
      <paraID>20FC2CD1</paraID>
      <start>0</start>
      <end>1</end>
      <status>unmodified</status>
      <modifiedWord/>
      <trackRevisions>false</trackRevisions>
    </reviewItem>
    <reviewItem>
      <errorID>e429c77e-13c1-4863-9915-e61443671ee8</errorID>
      <errorWord>\</errorWord>
      <group>L1_Punc</group>
      <groupName>标点问题</groupName>
      <ability>L2_Punc</ability>
      <abilityName>标点符号检查</abilityName>
      <candidateList/>
      <explain/>
      <paraID>5434B67E</paraID>
      <start>0</start>
      <end>1</end>
      <status>unmodified</status>
      <modifiedWord/>
      <trackRevisions>false</trackRevisions>
    </reviewItem>
    <reviewItem>
      <errorID>57c80d19-cb2d-43d5-81b6-ef0f37e3eb79</errorID>
      <errorWord>\</errorWord>
      <group>L1_Punc</group>
      <groupName>标点问题</groupName>
      <ability>L2_Punc</ability>
      <abilityName>标点符号检查</abilityName>
      <candidateList/>
      <explain/>
      <paraID>41E8B9FA</paraID>
      <start>0</start>
      <end>1</end>
      <status>unmodified</status>
      <modifiedWord/>
      <trackRevisions>false</trackRevisions>
    </reviewItem>
    <reviewItem>
      <errorID>c5f68b28-c7df-4991-9ed6-320ebd7c854e</errorID>
      <errorWord>\</errorWord>
      <group>L1_Punc</group>
      <groupName>标点问题</groupName>
      <ability>L2_Punc</ability>
      <abilityName>标点符号检查</abilityName>
      <candidateList/>
      <explain/>
      <paraID>6371DAE3</paraID>
      <start>0</start>
      <end>1</end>
      <status>unmodified</status>
      <modifiedWord/>
      <trackRevisions>false</trackRevisions>
    </reviewItem>
    <reviewItem>
      <errorID>6683225e-6ec8-4530-8b5f-6fae56fa6079</errorID>
      <errorWord>\</errorWord>
      <group>L1_Punc</group>
      <groupName>标点问题</groupName>
      <ability>L2_Punc</ability>
      <abilityName>标点符号检查</abilityName>
      <candidateList/>
      <explain/>
      <paraID>36208D4D</paraID>
      <start>0</start>
      <end>1</end>
      <status>unmodified</status>
      <modifiedWord/>
      <trackRevisions>false</trackRevisions>
    </reviewItem>
    <reviewItem>
      <errorID>15e7bb31-a138-488b-a412-6fbf6a290e71</errorID>
      <errorWord>\</errorWord>
      <group>L1_Punc</group>
      <groupName>标点问题</groupName>
      <ability>L2_Punc</ability>
      <abilityName>标点符号检查</abilityName>
      <candidateList/>
      <explain/>
      <paraID>345B79F6</paraID>
      <start>0</start>
      <end>1</end>
      <status>unmodified</status>
      <modifiedWord/>
      <trackRevisions>false</trackRevisions>
    </reviewItem>
    <reviewItem>
      <errorID>100ff00a-6b65-4c73-b94e-ec4a8b8cc60b</errorID>
      <errorWord>\</errorWord>
      <group>L1_Punc</group>
      <groupName>标点问题</groupName>
      <ability>L2_Punc</ability>
      <abilityName>标点符号检查</abilityName>
      <candidateList/>
      <explain/>
      <paraID>126A37AB</paraID>
      <start>0</start>
      <end>1</end>
      <status>unmodified</status>
      <modifiedWord/>
      <trackRevisions>false</trackRevisions>
    </reviewItem>
    <reviewItem>
      <errorID>58d9a9c7-ec43-4cfa-922a-463615a5f66f</errorID>
      <errorWord>\</errorWord>
      <group>L1_Punc</group>
      <groupName>标点问题</groupName>
      <ability>L2_Punc</ability>
      <abilityName>标点符号检查</abilityName>
      <candidateList/>
      <explain/>
      <paraID>5D7B0669</paraID>
      <start>0</start>
      <end>1</end>
      <status>unmodified</status>
      <modifiedWord/>
      <trackRevisions>false</trackRevisions>
    </reviewItem>
    <reviewItem>
      <errorID>4591522b-db7e-49f3-9aca-fa6b5464dc93</errorID>
      <errorWord>\</errorWord>
      <group>L1_Punc</group>
      <groupName>标点问题</groupName>
      <ability>L2_Punc</ability>
      <abilityName>标点符号检查</abilityName>
      <candidateList/>
      <explain/>
      <paraID>563ED03C</paraID>
      <start>0</start>
      <end>1</end>
      <status>unmodified</status>
      <modifiedWord/>
      <trackRevisions>false</trackRevisions>
    </reviewItem>
    <reviewItem>
      <errorID>850ab1dc-2370-4dd8-b21e-a1d8c56b557f</errorID>
      <errorWord>\</errorWord>
      <group>L1_Punc</group>
      <groupName>标点问题</groupName>
      <ability>L2_Punc</ability>
      <abilityName>标点符号检查</abilityName>
      <candidateList/>
      <explain/>
      <paraID>4FE438A0</paraID>
      <start>0</start>
      <end>1</end>
      <status>unmodified</status>
      <modifiedWord/>
      <trackRevisions>false</trackRevisions>
    </reviewItem>
    <reviewItem>
      <errorID>7bc1411b-5a30-4758-b899-6d7b83fd3d5c</errorID>
      <errorWord>\</errorWord>
      <group>L1_Punc</group>
      <groupName>标点问题</groupName>
      <ability>L2_Punc</ability>
      <abilityName>标点符号检查</abilityName>
      <candidateList/>
      <explain/>
      <paraID>157726D6</paraID>
      <start>0</start>
      <end>1</end>
      <status>unmodified</status>
      <modifiedWord/>
      <trackRevisions>false</trackRevisions>
    </reviewItem>
    <reviewItem>
      <errorID>895a8bd5-515f-4569-98af-1df5d0f91a15</errorID>
      <errorWord>\</errorWord>
      <group>L1_Punc</group>
      <groupName>标点问题</groupName>
      <ability>L2_Punc</ability>
      <abilityName>标点符号检查</abilityName>
      <candidateList/>
      <explain/>
      <paraID>52AB7AD7</paraID>
      <start>0</start>
      <end>1</end>
      <status>unmodified</status>
      <modifiedWord/>
      <trackRevisions>false</trackRevisions>
    </reviewItem>
    <reviewItem>
      <errorID>67288e3d-fac8-4479-b6b2-7d3c8277db4a</errorID>
      <errorWord>\</errorWord>
      <group>L1_Punc</group>
      <groupName>标点问题</groupName>
      <ability>L2_Punc</ability>
      <abilityName>标点符号检查</abilityName>
      <candidateList/>
      <explain/>
      <paraID>13ED212C</paraID>
      <start>0</start>
      <end>1</end>
      <status>unmodified</status>
      <modifiedWord/>
      <trackRevisions>false</trackRevisions>
    </reviewItem>
    <reviewItem>
      <errorID>a7af7ccb-9171-4330-9297-d460bfb8caf1</errorID>
      <errorWord>\</errorWord>
      <group>L1_Punc</group>
      <groupName>标点问题</groupName>
      <ability>L2_Punc</ability>
      <abilityName>标点符号检查</abilityName>
      <candidateList/>
      <explain/>
      <paraID>3E2195B2</paraID>
      <start>0</start>
      <end>1</end>
      <status>unmodified</status>
      <modifiedWord/>
      <trackRevisions>false</trackRevisions>
    </reviewItem>
    <reviewItem>
      <errorID>3da4ea53-11df-4568-8783-8b4330719f45</errorID>
      <errorWord>\</errorWord>
      <group>L1_Punc</group>
      <groupName>标点问题</groupName>
      <ability>L2_Punc</ability>
      <abilityName>标点符号检查</abilityName>
      <candidateList/>
      <explain/>
      <paraID>287B7CFB</paraID>
      <start>0</start>
      <end>1</end>
      <status>unmodified</status>
      <modifiedWord/>
      <trackRevisions>false</trackRevisions>
    </reviewItem>
    <reviewItem>
      <errorID>f7c92b4d-8e00-473a-b508-649c75db2e2b</errorID>
      <errorWord>\</errorWord>
      <group>L1_Punc</group>
      <groupName>标点问题</groupName>
      <ability>L2_Punc</ability>
      <abilityName>标点符号检查</abilityName>
      <candidateList/>
      <explain/>
      <paraID>6FBA4B2D</paraID>
      <start>0</start>
      <end>1</end>
      <status>unmodified</status>
      <modifiedWord/>
      <trackRevisions>false</trackRevisions>
    </reviewItem>
    <reviewItem>
      <errorID>3c1ade7e-234d-40c2-b4fb-1a1cc97a5b2c</errorID>
      <errorWord>\</errorWord>
      <group>L1_Punc</group>
      <groupName>标点问题</groupName>
      <ability>L2_Punc</ability>
      <abilityName>标点符号检查</abilityName>
      <candidateList/>
      <explain/>
      <paraID>1FD4B0C5</paraID>
      <start>0</start>
      <end>1</end>
      <status>unmodified</status>
      <modifiedWord/>
      <trackRevisions>false</trackRevisions>
    </reviewItem>
    <reviewItem>
      <errorID>4dd4025b-9fac-4d3f-a9d7-bfba0b41898b</errorID>
      <errorWord>\</errorWord>
      <group>L1_Punc</group>
      <groupName>标点问题</groupName>
      <ability>L2_Punc</ability>
      <abilityName>标点符号检查</abilityName>
      <candidateList/>
      <explain/>
      <paraID>4246B6F0</paraID>
      <start>0</start>
      <end>1</end>
      <status>unmodified</status>
      <modifiedWord/>
      <trackRevisions>false</trackRevisions>
    </reviewItem>
    <reviewItem>
      <errorID>9cc8d4f1-4c79-4737-ba46-b79b0e13ae6c</errorID>
      <errorWord>\</errorWord>
      <group>L1_Punc</group>
      <groupName>标点问题</groupName>
      <ability>L2_Punc</ability>
      <abilityName>标点符号检查</abilityName>
      <candidateList/>
      <explain/>
      <paraID>602DFD55</paraID>
      <start>0</start>
      <end>1</end>
      <status>unmodified</status>
      <modifiedWord/>
      <trackRevisions>false</trackRevisions>
    </reviewItem>
    <reviewItem>
      <errorID>dc948a3d-87ac-49fb-8edd-644f908ea4aa</errorID>
      <errorWord>\</errorWord>
      <group>L1_Punc</group>
      <groupName>标点问题</groupName>
      <ability>L2_Punc</ability>
      <abilityName>标点符号检查</abilityName>
      <candidateList/>
      <explain/>
      <paraID>3E5E9C2D</paraID>
      <start>0</start>
      <end>1</end>
      <status>unmodified</status>
      <modifiedWord/>
      <trackRevisions>false</trackRevisions>
    </reviewItem>
    <reviewItem>
      <errorID>f04c9e66-0992-4160-b50e-6303f2abdbf3</errorID>
      <errorWord>\</errorWord>
      <group>L1_Punc</group>
      <groupName>标点问题</groupName>
      <ability>L2_Punc</ability>
      <abilityName>标点符号检查</abilityName>
      <candidateList/>
      <explain/>
      <paraID>4DD22CC4</paraID>
      <start>0</start>
      <end>1</end>
      <status>unmodified</status>
      <modifiedWord/>
      <trackRevisions>false</trackRevisions>
    </reviewItem>
    <reviewItem>
      <errorID>a152b234-62ee-4c51-bca2-daf8682590aa</errorID>
      <errorWord>\</errorWord>
      <group>L1_Punc</group>
      <groupName>标点问题</groupName>
      <ability>L2_Punc</ability>
      <abilityName>标点符号检查</abilityName>
      <candidateList/>
      <explain/>
      <paraID>6D000A91</paraID>
      <start>0</start>
      <end>1</end>
      <status>unmodified</status>
      <modifiedWord/>
      <trackRevisions>false</trackRevisions>
    </reviewItem>
    <reviewItem>
      <errorID>57cdd99f-5ca2-450c-a6ca-8d364bfb058a</errorID>
      <errorWord>\</errorWord>
      <group>L1_Punc</group>
      <groupName>标点问题</groupName>
      <ability>L2_Punc</ability>
      <abilityName>标点符号检查</abilityName>
      <candidateList/>
      <explain/>
      <paraID> D9823B7</paraID>
      <start>0</start>
      <end>1</end>
      <status>unmodified</status>
      <modifiedWord/>
      <trackRevisions>false</trackRevisions>
    </reviewItem>
    <reviewItem>
      <errorID>0819835e-23bf-4f82-a4fb-f22dc038dc7a</errorID>
      <errorWord>\</errorWord>
      <group>L1_Punc</group>
      <groupName>标点问题</groupName>
      <ability>L2_Punc</ability>
      <abilityName>标点符号检查</abilityName>
      <candidateList/>
      <explain/>
      <paraID> B1E2A34</paraID>
      <start>0</start>
      <end>1</end>
      <status>unmodified</status>
      <modifiedWord/>
      <trackRevisions>false</trackRevisions>
    </reviewItem>
    <reviewItem>
      <errorID>b75a9b9b-9a56-4352-b68e-01870f1e3139</errorID>
      <errorWord>\</errorWord>
      <group>L1_Punc</group>
      <groupName>标点问题</groupName>
      <ability>L2_Punc</ability>
      <abilityName>标点符号检查</abilityName>
      <candidateList/>
      <explain/>
      <paraID>2768AB1D</paraID>
      <start>0</start>
      <end>1</end>
      <status>unmodified</status>
      <modifiedWord/>
      <trackRevisions>false</trackRevisions>
    </reviewItem>
    <reviewItem>
      <errorID>3a9e6c0b-ab8d-49f7-b509-c218213c65f2</errorID>
      <errorWord>\</errorWord>
      <group>L1_Punc</group>
      <groupName>标点问题</groupName>
      <ability>L2_Punc</ability>
      <abilityName>标点符号检查</abilityName>
      <candidateList/>
      <explain/>
      <paraID>40D4F992</paraID>
      <start>0</start>
      <end>1</end>
      <status>unmodified</status>
      <modifiedWord/>
      <trackRevisions>false</trackRevisions>
    </reviewItem>
    <reviewItem>
      <errorID>866139cf-eeb7-4fe0-a695-543dbf1adc90</errorID>
      <errorWord>\</errorWord>
      <group>L1_Punc</group>
      <groupName>标点问题</groupName>
      <ability>L2_Punc</ability>
      <abilityName>标点符号检查</abilityName>
      <candidateList/>
      <explain/>
      <paraID>17144D5A</paraID>
      <start>0</start>
      <end>1</end>
      <status>unmodified</status>
      <modifiedWord/>
      <trackRevisions>false</trackRevisions>
    </reviewItem>
    <reviewItem>
      <errorID>0648210b-3769-408a-8620-28dcec7e0cfe</errorID>
      <errorWord>\</errorWord>
      <group>L1_Punc</group>
      <groupName>标点问题</groupName>
      <ability>L2_Punc</ability>
      <abilityName>标点符号检查</abilityName>
      <candidateList/>
      <explain/>
      <paraID>164C7C00</paraID>
      <start>0</start>
      <end>1</end>
      <status>unmodified</status>
      <modifiedWord/>
      <trackRevisions>false</trackRevisions>
    </reviewItem>
    <reviewItem>
      <errorID>e722466b-b8fd-4938-a05f-9d57a2c801a9</errorID>
      <errorWord>\</errorWord>
      <group>L1_Punc</group>
      <groupName>标点问题</groupName>
      <ability>L2_Punc</ability>
      <abilityName>标点符号检查</abilityName>
      <candidateList/>
      <explain/>
      <paraID> 5AAFCC2</paraID>
      <start>0</start>
      <end>1</end>
      <status>unmodified</status>
      <modifiedWord/>
      <trackRevisions>false</trackRevisions>
    </reviewItem>
    <reviewItem>
      <errorID>80f0abcd-0eb5-4e4f-97e8-4a5c21a31b89</errorID>
      <errorWord>\</errorWord>
      <group>L1_Punc</group>
      <groupName>标点问题</groupName>
      <ability>L2_Punc</ability>
      <abilityName>标点符号检查</abilityName>
      <candidateList/>
      <explain/>
      <paraID>341D217F</paraID>
      <start>0</start>
      <end>1</end>
      <status>unmodified</status>
      <modifiedWord/>
      <trackRevisions>false</trackRevisions>
    </reviewItem>
    <reviewItem>
      <errorID>18f192c0-0d7a-4bec-997b-b846105607fa</errorID>
      <errorWord>\</errorWord>
      <group>L1_Punc</group>
      <groupName>标点问题</groupName>
      <ability>L2_Punc</ability>
      <abilityName>标点符号检查</abilityName>
      <candidateList/>
      <explain/>
      <paraID> CB33A9F</paraID>
      <start>0</start>
      <end>1</end>
      <status>unmodified</status>
      <modifiedWord/>
      <trackRevisions>false</trackRevisions>
    </reviewItem>
    <reviewItem>
      <errorID>9d9f68ae-921d-47c3-9ac6-3fdcee392964</errorID>
      <errorWord>\</errorWord>
      <group>L1_Punc</group>
      <groupName>标点问题</groupName>
      <ability>L2_Punc</ability>
      <abilityName>标点符号检查</abilityName>
      <candidateList/>
      <explain/>
      <paraID>64227240</paraID>
      <start>0</start>
      <end>1</end>
      <status>unmodified</status>
      <modifiedWord/>
      <trackRevisions>false</trackRevisions>
    </reviewItem>
    <reviewItem>
      <errorID>5d8cf633-015a-42e4-90b1-31a13d65ad4a</errorID>
      <errorWord>\</errorWord>
      <group>L1_Punc</group>
      <groupName>标点问题</groupName>
      <ability>L2_Punc</ability>
      <abilityName>标点符号检查</abilityName>
      <candidateList/>
      <explain/>
      <paraID>5734C628</paraID>
      <start>0</start>
      <end>1</end>
      <status>unmodified</status>
      <modifiedWord/>
      <trackRevisions>false</trackRevisions>
    </reviewItem>
    <reviewItem>
      <errorID>9222d08f-686f-4d29-bcf5-cf815c9bc26b</errorID>
      <errorWord>\</errorWord>
      <group>L1_Punc</group>
      <groupName>标点问题</groupName>
      <ability>L2_Punc</ability>
      <abilityName>标点符号检查</abilityName>
      <candidateList/>
      <explain/>
      <paraID>2F1A26EA</paraID>
      <start>0</start>
      <end>1</end>
      <status>unmodified</status>
      <modifiedWord/>
      <trackRevisions>false</trackRevisions>
    </reviewItem>
    <reviewItem>
      <errorID>d44413ec-b2dc-4ed7-b15e-0388328248b1</errorID>
      <errorWord>\</errorWord>
      <group>L1_Punc</group>
      <groupName>标点问题</groupName>
      <ability>L2_Punc</ability>
      <abilityName>标点符号检查</abilityName>
      <candidateList/>
      <explain/>
      <paraID> C3773E1</paraID>
      <start>0</start>
      <end>1</end>
      <status>unmodified</status>
      <modifiedWord/>
      <trackRevisions>false</trackRevisions>
    </reviewItem>
    <reviewItem>
      <errorID>78966e62-c6e8-489e-9d9e-4283ea5d6c77</errorID>
      <errorWord>\</errorWord>
      <group>L1_Punc</group>
      <groupName>标点问题</groupName>
      <ability>L2_Punc</ability>
      <abilityName>标点符号检查</abilityName>
      <candidateList/>
      <explain/>
      <paraID>1F61F68B</paraID>
      <start>0</start>
      <end>1</end>
      <status>unmodified</status>
      <modifiedWord/>
      <trackRevisions>false</trackRevisions>
    </reviewItem>
    <reviewItem>
      <errorID>79d296fb-0ff6-4e35-9f44-5296b3f7ecab</errorID>
      <errorWord>\</errorWord>
      <group>L1_Punc</group>
      <groupName>标点问题</groupName>
      <ability>L2_Punc</ability>
      <abilityName>标点符号检查</abilityName>
      <candidateList/>
      <explain/>
      <paraID>40E927A1</paraID>
      <start>0</start>
      <end>1</end>
      <status>unmodified</status>
      <modifiedWord/>
      <trackRevisions>false</trackRevisions>
    </reviewItem>
    <reviewItem>
      <errorID>bb3d9ca8-f6b3-4aac-bcaa-795bc4bd13fb</errorID>
      <errorWord>\</errorWord>
      <group>L1_Punc</group>
      <groupName>标点问题</groupName>
      <ability>L2_Punc</ability>
      <abilityName>标点符号检查</abilityName>
      <candidateList/>
      <explain/>
      <paraID>56B12D8A</paraID>
      <start>0</start>
      <end>1</end>
      <status>unmodified</status>
      <modifiedWord/>
      <trackRevisions>false</trackRevisions>
    </reviewItem>
    <reviewItem>
      <errorID>2fd6c201-9a52-4f54-ac5f-820734f3e599</errorID>
      <errorWord>\</errorWord>
      <group>L1_Punc</group>
      <groupName>标点问题</groupName>
      <ability>L2_Punc</ability>
      <abilityName>标点符号检查</abilityName>
      <candidateList/>
      <explain/>
      <paraID>12D248FE</paraID>
      <start>0</start>
      <end>1</end>
      <status>unmodified</status>
      <modifiedWord/>
      <trackRevisions>false</trackRevisions>
    </reviewItem>
    <reviewItem>
      <errorID>b894a848-cdca-42c3-8e16-ad119a5c2cef</errorID>
      <errorWord>\</errorWord>
      <group>L1_Punc</group>
      <groupName>标点问题</groupName>
      <ability>L2_Punc</ability>
      <abilityName>标点符号检查</abilityName>
      <candidateList/>
      <explain/>
      <paraID>4A253817</paraID>
      <start>0</start>
      <end>1</end>
      <status>unmodified</status>
      <modifiedWord/>
      <trackRevisions>false</trackRevisions>
    </reviewItem>
    <reviewItem>
      <errorID>d8b1b9e6-4dbe-484c-b79b-bf5b5262bf3b</errorID>
      <errorWord>\</errorWord>
      <group>L1_Punc</group>
      <groupName>标点问题</groupName>
      <ability>L2_Punc</ability>
      <abilityName>标点符号检查</abilityName>
      <candidateList/>
      <explain/>
      <paraID>152A003F</paraID>
      <start>0</start>
      <end>1</end>
      <status>unmodified</status>
      <modifiedWord/>
      <trackRevisions>false</trackRevisions>
    </reviewItem>
    <reviewItem>
      <errorID>f41c1ca0-ef00-41ef-acbe-22415e029596</errorID>
      <errorWord>\</errorWord>
      <group>L1_Punc</group>
      <groupName>标点问题</groupName>
      <ability>L2_Punc</ability>
      <abilityName>标点符号检查</abilityName>
      <candidateList/>
      <explain/>
      <paraID> C6A44E4</paraID>
      <start>0</start>
      <end>1</end>
      <status>unmodified</status>
      <modifiedWord/>
      <trackRevisions>false</trackRevisions>
    </reviewItem>
    <reviewItem>
      <errorID>86ffad53-cdab-4bd1-b4e9-147b47484930</errorID>
      <errorWord>\</errorWord>
      <group>L1_Punc</group>
      <groupName>标点问题</groupName>
      <ability>L2_Punc</ability>
      <abilityName>标点符号检查</abilityName>
      <candidateList/>
      <explain/>
      <paraID>1A4CE959</paraID>
      <start>0</start>
      <end>1</end>
      <status>unmodified</status>
      <modifiedWord/>
      <trackRevisions>false</trackRevisions>
    </reviewItem>
    <reviewItem>
      <errorID>640afd14-b07f-4fa0-95d2-78e961b48a8a</errorID>
      <errorWord>\</errorWord>
      <group>L1_Punc</group>
      <groupName>标点问题</groupName>
      <ability>L2_Punc</ability>
      <abilityName>标点符号检查</abilityName>
      <candidateList/>
      <explain/>
      <paraID>65C5C88C</paraID>
      <start>0</start>
      <end>1</end>
      <status>unmodified</status>
      <modifiedWord/>
      <trackRevisions>false</trackRevisions>
    </reviewItem>
    <reviewItem>
      <errorID>5e2fe02b-23c2-4cd1-ac2e-af4ce9913616</errorID>
      <errorWord>:</errorWord>
      <group>L1_Format</group>
      <groupName>格式问题</groupName>
      <ability>L2_HalfPunc</ability>
      <abilityName>全半角检查</abilityName>
      <candidateList>
        <item>：</item>
      </candidateList>
      <explain>文本全半角错误。</explain>
      <paraID>5F58E399</paraID>
      <start>21</start>
      <end>22</end>
      <status>unmodified</status>
      <modifiedWord/>
      <trackRevisions>false</trackRevisions>
    </reviewItem>
    <reviewItem>
      <errorID>36c33bca-3a5e-4668-821b-01808350b89d</errorID>
      <errorWord>(</errorWord>
      <group>L1_Format</group>
      <groupName>格式问题</groupName>
      <ability>L2_HalfPunc</ability>
      <abilityName>全半角检查</abilityName>
      <candidateList>
        <item>（</item>
      </candidateList>
      <explain>文本全半角错误。</explain>
      <paraID>152C7344</paraID>
      <start>12</start>
      <end>13</end>
      <status>unmodified</status>
      <modifiedWord/>
      <trackRevisions>false</trackRevisions>
    </reviewItem>
    <reviewItem>
      <errorID>2d3cae58-97fb-40da-877d-0a57906eaaa7</errorID>
      <errorWord>)</errorWord>
      <group>L1_Format</group>
      <groupName>格式问题</groupName>
      <ability>L2_HalfPunc</ability>
      <abilityName>全半角检查</abilityName>
      <candidateList>
        <item>）</item>
      </candidateList>
      <explain>文本全半角错误。</explain>
      <paraID>152C7344</paraID>
      <start>14</start>
      <end>15</end>
      <status>unmodified</status>
      <modifiedWord/>
      <trackRevisions>false</trackRevisions>
    </reviewItem>
    <reviewItem>
      <errorID>c59092a5-59ab-4228-9309-74d00ce2ba48</errorID>
      <errorWord>,</errorWord>
      <group>L1_Format</group>
      <groupName>格式问题</groupName>
      <ability>L2_HalfPunc</ability>
      <abilityName>全半角检查</abilityName>
      <candidateList>
        <item>，</item>
      </candidateList>
      <explain>文本全半角错误。</explain>
      <paraID>152C7344</paraID>
      <start>28</start>
      <end>29</end>
      <status>unmodified</status>
      <modifiedWord/>
      <trackRevisions>false</trackRevisions>
    </reviewItem>
    <reviewItem>
      <errorID>226cf88c-ee3c-46e0-bdbd-f8a602d5d7be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152C7344</paraID>
      <start>39</start>
      <end>40</end>
      <status>unmodified</status>
      <modifiedWord/>
      <trackRevisions>false</trackRevisions>
    </reviewItem>
    <reviewItem>
      <errorID>87126189-6637-450c-8627-d4e47ebad86d</errorID>
      <errorWord>(</errorWord>
      <group>L1_Format</group>
      <groupName>格式问题</groupName>
      <ability>L2_HalfPunc</ability>
      <abilityName>全半角检查</abilityName>
      <candidateList>
        <item>（</item>
      </candidateList>
      <explain>文本全半角错误。</explain>
      <paraID>152C7344</paraID>
      <start>45</start>
      <end>46</end>
      <status>unmodified</status>
      <modifiedWord/>
      <trackRevisions>false</trackRevisions>
    </reviewItem>
    <reviewItem>
      <errorID>b51fa1f7-eb81-4c09-a783-2719bca96a31</errorID>
      <errorWord>)</errorWord>
      <group>L1_Format</group>
      <groupName>格式问题</groupName>
      <ability>L2_HalfPunc</ability>
      <abilityName>全半角检查</abilityName>
      <candidateList>
        <item>）</item>
      </candidateList>
      <explain>文本全半角错误。</explain>
      <paraID>152C7344</paraID>
      <start>47</start>
      <end>48</end>
      <status>unmodified</status>
      <modifiedWord/>
      <trackRevisions>false</trackRevisions>
    </reviewItem>
    <reviewItem>
      <errorID>95a9d586-a395-4a2a-95df-389e9c33aded</errorID>
      <errorWord>~</errorWord>
      <group>L1_Format</group>
      <groupName>格式问题</groupName>
      <ability>L2_HalfPunc</ability>
      <abilityName>全半角检查</abilityName>
      <candidateList>
        <item>～</item>
      </candidateList>
      <explain>文本全半角错误。</explain>
      <paraID> 6183C2E</paraID>
      <start>58</start>
      <end>59</end>
      <status>unmodified</status>
      <modifiedWord/>
      <trackRevisions>false</trackRevisions>
    </reviewItem>
    <reviewItem>
      <errorID>85c1720a-76e6-456b-9bce-62c3a18119c3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4C0902AF</paraID>
      <start>16</start>
      <end>17</end>
      <status>unmodified</status>
      <modifiedWord/>
      <trackRevisions>false</trackRevisions>
    </reviewItem>
    <reviewItem>
      <errorID>19c3e9dc-43b8-4ff9-a525-847b1932ded2</errorID>
      <errorWord>橇</errorWord>
      <group>L1_Word</group>
      <groupName>字词问题</groupName>
      <ability>L2_Typo</ability>
      <abilityName>字词错误</abilityName>
      <candidateList>
        <item>撬</item>
      </candidateList>
      <explain>存在发音相同字词的误用。</explain>
      <paraID>53CBCC3B</paraID>
      <start>7</start>
      <end>8</end>
      <status>modified</status>
      <modifiedWord>撬</modifiedWord>
      <trackRevisions>false</trackRevisions>
    </reviewItem>
    <reviewItem>
      <errorID>42b61a11-d62b-4b27-bd37-22fabbad4663</errorID>
      <errorWord>地不室</errorWord>
      <group>L1_Word</group>
      <groupName>字词问题</groupName>
      <ability>L2_Typo</ability>
      <abilityName>字词错误</abilityName>
      <candidateList>
        <item>地下室</item>
      </candidateList>
      <explain/>
      <paraID>53CBCC3B</paraID>
      <start>50</start>
      <end>53</end>
      <status>modified</status>
      <modifiedWord>地下室</modifiedWord>
      <trackRevisions>false</trackRevisions>
    </reviewItem>
    <reviewItem>
      <errorID>dc671c1e-1963-4516-99c9-16c6427751ee</errorID>
      <errorWord>-</errorWord>
      <group>L1_Format</group>
      <groupName>格式问题</groupName>
      <ability>L2_HalfPunc</ability>
      <abilityName>全半角检查</abilityName>
      <candidateList>
        <item>－</item>
      </candidateList>
      <explain>文本全半角错误。</explain>
      <paraID> B259967</paraID>
      <start>74</start>
      <end>75</end>
      <status>unmodified</status>
      <modifiedWord/>
      <trackRevisions>false</trackRevisions>
    </reviewItem>
    <reviewItem>
      <errorID>235085d1-67ed-4bf2-9d11-141652c777c9</errorID>
      <errorWord>\</errorWord>
      <group>L1_Punc</group>
      <groupName>标点问题</groupName>
      <ability>L2_Punc</ability>
      <abilityName>标点符号检查</abilityName>
      <candidateList/>
      <explain/>
      <paraID>3D3DE873</paraID>
      <start>0</start>
      <end>1</end>
      <status>unmodified</status>
      <modifiedWord/>
      <trackRevisions>false</trackRevisions>
    </reviewItem>
    <reviewItem>
      <errorID>2486ee7b-8f98-4568-a120-5061758d4f8f</errorID>
      <errorWord>\</errorWord>
      <group>L1_Punc</group>
      <groupName>标点问题</groupName>
      <ability>L2_Punc</ability>
      <abilityName>标点符号检查</abilityName>
      <candidateList/>
      <explain/>
      <paraID>2721D8C0</paraID>
      <start>0</start>
      <end>1</end>
      <status>unmodified</status>
      <modifiedWord/>
      <trackRevisions>false</trackRevisions>
    </reviewItem>
    <reviewItem>
      <errorID>13e8cd29-5b12-4ed6-b77c-1987b8e19fc3</errorID>
      <errorWord>\</errorWord>
      <group>L1_Punc</group>
      <groupName>标点问题</groupName>
      <ability>L2_Punc</ability>
      <abilityName>标点符号检查</abilityName>
      <candidateList/>
      <explain/>
      <paraID>6A664C24</paraID>
      <start>0</start>
      <end>1</end>
      <status>unmodified</status>
      <modifiedWord/>
      <trackRevisions>false</trackRevisions>
    </reviewItem>
    <reviewItem>
      <errorID>ab321634-2df0-4214-a9ec-08b44e7777ff</errorID>
      <errorWord>\</errorWord>
      <group>L1_Punc</group>
      <groupName>标点问题</groupName>
      <ability>L2_Punc</ability>
      <abilityName>标点符号检查</abilityName>
      <candidateList/>
      <explain/>
      <paraID>2DD0EA2F</paraID>
      <start>0</start>
      <end>1</end>
      <status>unmodified</status>
      <modifiedWord/>
      <trackRevisions>false</trackRevisions>
    </reviewItem>
    <reviewItem>
      <errorID>2e06ccb7-c75c-4c0a-a776-b9e6a18df2f3</errorID>
      <errorWord>（</errorWord>
      <group>L1_Format</group>
      <groupName>格式问题</groupName>
      <ability>L2_HalfPunc</ability>
      <abilityName>全半角检查</abilityName>
      <candidateList>
        <item>(</item>
      </candidateList>
      <explain>文本全半角错误。</explain>
      <paraID>730628F5</paraID>
      <start>12</start>
      <end>13</end>
      <status>unmodified</status>
      <modifiedWord/>
      <trackRevisions>false</trackRevisions>
    </reviewItem>
    <reviewItem>
      <errorID>2b2e890a-ac20-415f-974f-ec1fb6c74953</errorID>
      <errorWord>）</errorWord>
      <group>L1_Format</group>
      <groupName>格式问题</groupName>
      <ability>L2_HalfPunc</ability>
      <abilityName>全半角检查</abilityName>
      <candidateList>
        <item>)</item>
      </candidateList>
      <explain>文本全半角错误。</explain>
      <paraID>730628F5</paraID>
      <start>18</start>
      <end>19</end>
      <status>unmodified</status>
      <modifiedWord/>
      <trackRevisions>false</trackRevisions>
    </reviewItem>
    <reviewItem>
      <errorID>bcce4184-a7ac-4ae9-9e57-5621cd5b49d4</errorID>
      <errorWord>\</errorWord>
      <group>L1_Punc</group>
      <groupName>标点问题</groupName>
      <ability>L2_Punc</ability>
      <abilityName>标点符号检查</abilityName>
      <candidateList/>
      <explain/>
      <paraID>7B12E881</paraID>
      <start>0</start>
      <end>1</end>
      <status>unmodified</status>
      <modifiedWord/>
      <trackRevisions>false</trackRevisions>
    </reviewItem>
    <reviewItem>
      <errorID>e6534718-f1e8-430d-97f3-a150c9285470</errorID>
      <errorWord>\</errorWord>
      <group>L1_Punc</group>
      <groupName>标点问题</groupName>
      <ability>L2_Punc</ability>
      <abilityName>标点符号检查</abilityName>
      <candidateList/>
      <explain/>
      <paraID>1649EA26</paraID>
      <start>0</start>
      <end>1</end>
      <status>unmodified</status>
      <modifiedWord/>
      <trackRevisions>false</trackRevisions>
    </reviewItem>
    <reviewItem>
      <errorID>42a60294-2a1c-4831-95fc-dc0c9fd1e923</errorID>
      <errorWord>\</errorWord>
      <group>L1_Punc</group>
      <groupName>标点问题</groupName>
      <ability>L2_Punc</ability>
      <abilityName>标点符号检查</abilityName>
      <candidateList/>
      <explain/>
      <paraID>2C222C5E</paraID>
      <start>0</start>
      <end>1</end>
      <status>unmodified</status>
      <modifiedWord/>
      <trackRevisions>false</trackRevisions>
    </reviewItem>
    <reviewItem>
      <errorID>478fa90a-fa6f-4536-9418-c39e4a9609cc</errorID>
      <errorWord>\</errorWord>
      <group>L1_Punc</group>
      <groupName>标点问题</groupName>
      <ability>L2_Punc</ability>
      <abilityName>标点符号检查</abilityName>
      <candidateList/>
      <explain/>
      <paraID> BC7E4AC</paraID>
      <start>0</start>
      <end>1</end>
      <status>unmodified</status>
      <modifiedWord/>
      <trackRevisions>false</trackRevisions>
    </reviewItem>
    <reviewItem>
      <errorID>7c1063ef-e086-4e59-b0c2-78cdc83b4460</errorID>
      <errorWord>\</errorWord>
      <group>L1_Punc</group>
      <groupName>标点问题</groupName>
      <ability>L2_Punc</ability>
      <abilityName>标点符号检查</abilityName>
      <candidateList/>
      <explain/>
      <paraID>6CA7FE62</paraID>
      <start>0</start>
      <end>1</end>
      <status>unmodified</status>
      <modifiedWord/>
      <trackRevisions>false</trackRevisions>
    </reviewItem>
    <reviewItem>
      <errorID>e8b82cd9-f959-476e-80b0-9a6e9b39c6e6</errorID>
      <errorWord>\</errorWord>
      <group>L1_Punc</group>
      <groupName>标点问题</groupName>
      <ability>L2_Punc</ability>
      <abilityName>标点符号检查</abilityName>
      <candidateList/>
      <explain/>
      <paraID> 76631AA</paraID>
      <start>0</start>
      <end>1</end>
      <status>unmodified</status>
      <modifiedWord/>
      <trackRevisions>false</trackRevisions>
    </reviewItem>
    <reviewItem>
      <errorID>7e7b33b0-8278-4ba2-880d-d8fbd7ba6239</errorID>
      <errorWord>士</errorWord>
      <group>L1_Word</group>
      <groupName>字词问题</groupName>
      <ability>L2_Typo</ability>
      <abilityName>字词错误</abilityName>
      <candidateList>
        <item>土</item>
      </candidateList>
      <explain>存在字形相近字词的误用。</explain>
      <paraID>523A6D05</paraID>
      <start>77</start>
      <end>78</end>
      <status>modified</status>
      <modifiedWord>土</modifiedWord>
      <trackRevisions>false</trackRevisions>
    </reviewItem>
    <reviewItem>
      <errorID>ae1d407d-1647-40df-a5d0-21ac99d0783a</errorID>
      <errorWord>不耐</errorWord>
      <group>L1_Word</group>
      <groupName>字词问题</groupName>
      <ability>L2_Typo</ability>
      <abilityName>字词错误</abilityName>
      <candidateList>
        <item>不</item>
      </candidateList>
      <explain/>
      <paraID>523A6D05</paraID>
      <start>82</start>
      <end>83</end>
      <status>modified</status>
      <modifiedWord>不</modifiedWord>
      <trackRevisions>false</trackRevisions>
    </reviewItem>
    <reviewItem>
      <errorID>dd2f50de-eac1-4434-8805-e3d681382570</errorID>
      <errorWord>人</errorWord>
      <group>L1_Word</group>
      <groupName>字词问题</groupName>
      <ability>L2_Typo</ability>
      <abilityName>字词错误</abilityName>
      <candidateList>
        <item>入</item>
      </candidateList>
      <explain>存在字形相近字词的误用。</explain>
      <paraID>68022AF1</paraID>
      <start>12</start>
      <end>13</end>
      <status>unmodified</status>
      <modifiedWord/>
      <trackRevisions>false</trackRevisions>
    </reviewItem>
    <reviewItem>
      <errorID>b5e94207-a365-4d85-88fb-a274edbe94b6</errorID>
      <errorWord>大守</errorWord>
      <group>L1_Word</group>
      <groupName>字词问题</groupName>
      <ability>L2_Typo</ability>
      <abilityName>字词错误</abilityName>
      <candidateList>
        <item>大于</item>
      </candidateList>
      <explain/>
      <paraID>12861E2F</paraID>
      <start>74</start>
      <end>76</end>
      <status>modified</status>
      <modifiedWord>大于</modifiedWord>
      <trackRevisions>false</trackRevisions>
    </reviewItem>
    <reviewItem>
      <errorID>df967c08-332a-4df8-ba95-fd1cd7e68f8d</errorID>
      <errorWord>(</errorWord>
      <group>L1_Format</group>
      <groupName>格式问题</groupName>
      <ability>L2_HalfPunc</ability>
      <abilityName>全半角检查</abilityName>
      <candidateList>
        <item>（</item>
      </candidateList>
      <explain>文本全半角错误。</explain>
      <paraID>5FA3E68C</paraID>
      <start>9</start>
      <end>10</end>
      <status>unmodified</status>
      <modifiedWord/>
      <trackRevisions>false</trackRevisions>
    </reviewItem>
    <reviewItem>
      <errorID>8f5df710-e455-449c-ae8e-6a148d9fab9e</errorID>
      <errorWord>)</errorWord>
      <group>L1_Format</group>
      <groupName>格式问题</groupName>
      <ability>L2_HalfPunc</ability>
      <abilityName>全半角检查</abilityName>
      <candidateList>
        <item>）</item>
      </candidateList>
      <explain>文本全半角错误。</explain>
      <paraID>5FA3E68C</paraID>
      <start>13</start>
      <end>14</end>
      <status>unmodified</status>
      <modifiedWord/>
      <trackRevisions>false</trackRevisions>
    </reviewItem>
    <reviewItem>
      <errorID>c34a0c6d-4a53-4927-9a15-cdde3bb5abb8</errorID>
      <errorWord>)</errorWord>
      <group>L1_Format</group>
      <groupName>格式问题</groupName>
      <ability>L2_HalfPunc</ability>
      <abilityName>全半角检查</abilityName>
      <candidateList>
        <item>）</item>
      </candidateList>
      <explain>文本全半角错误。</explain>
      <paraID>73870C7F</paraID>
      <start>46</start>
      <end>47</end>
      <status>unmodified</status>
      <modifiedWord/>
      <trackRevisions>false</trackRevisions>
    </reviewItem>
    <reviewItem>
      <errorID>5e1e7922-25de-48e5-8ec5-882ed7d739c9</errorID>
      <errorWord>)</errorWord>
      <group>L1_Format</group>
      <groupName>格式问题</groupName>
      <ability>L2_HalfPunc</ability>
      <abilityName>全半角检查</abilityName>
      <candidateList>
        <item>）</item>
      </candidateList>
      <explain>文本全半角错误。</explain>
      <paraID>73870C7F</paraID>
      <start>53</start>
      <end>54</end>
      <status>unmodified</status>
      <modifiedWord/>
      <trackRevisions>false</trackRevisions>
    </reviewItem>
    <reviewItem>
      <errorID>71af9cc8-85b2-472d-a8d2-3e17812a735c</errorID>
      <errorWord>收收</errorWord>
      <group>L1_Word</group>
      <groupName>字词问题</groupName>
      <ability>L2_Typo</ability>
      <abilityName>字词错误</abilityName>
      <candidateList>
        <item>收</item>
      </candidateList>
      <explain/>
      <paraID>5A87FD8F</paraID>
      <start>16</start>
      <end>17</end>
      <status>modified</status>
      <modifiedWord>收</modifiedWord>
      <trackRevisions>false</trackRevisions>
    </reviewItem>
    <reviewItem>
      <errorID>7baa68a1-fccf-4f08-ac56-4c7b9c2c1964</errorID>
      <errorWord>(</errorWord>
      <group>L1_Format</group>
      <groupName>格式问题</groupName>
      <ability>L2_HalfPunc</ability>
      <abilityName>全半角检查</abilityName>
      <candidateList>
        <item>（</item>
      </candidateList>
      <explain>文本全半角错误。</explain>
      <paraID> F25E2B3</paraID>
      <start>17</start>
      <end>18</end>
      <status>unmodified</status>
      <modifiedWord/>
      <trackRevisions>false</trackRevisions>
    </reviewItem>
    <reviewItem>
      <errorID>a5d85eef-c676-43bb-b710-b3cc7aee023c</errorID>
      <errorWord>)</errorWord>
      <group>L1_Format</group>
      <groupName>格式问题</groupName>
      <ability>L2_HalfPunc</ability>
      <abilityName>全半角检查</abilityName>
      <candidateList>
        <item>）</item>
      </candidateList>
      <explain>文本全半角错误。</explain>
      <paraID> F25E2B3</paraID>
      <start>22</start>
      <end>23</end>
      <status>unmodified</status>
      <modifiedWord/>
      <trackRevisions>false</trackRevisions>
    </reviewItem>
    <reviewItem>
      <errorID>33b3c313-d054-45d2-a20c-893976552364</errorID>
      <errorWord>；。</errorWord>
      <group>L1_Punc</group>
      <groupName>标点问题</groupName>
      <ability>L2_Punc</ability>
      <abilityName>标点符号检查</abilityName>
      <candidateList>
        <item>；</item>
      </candidateList>
      <explain/>
      <paraID> 2817AE2</paraID>
      <start>47</start>
      <end>49</end>
      <status>unmodified</status>
      <modifiedWord/>
      <trackRevisions>false</trackRevisions>
    </reviewItem>
    <reviewItem>
      <errorID>c126dc80-9ba3-4f1c-a876-1d6187e515fc</errorID>
      <errorWord>奥民体不锈钢</errorWord>
      <group>L1_Knowledge</group>
      <groupName>知识性问题</groupName>
      <ability>L2_Term</ability>
      <abilityName>专业术语</abilityName>
      <candidateList>
        <item>奥氏体不锈钢</item>
      </candidateList>
      <explain/>
      <paraID>525F53D9</paraID>
      <start>20</start>
      <end>26</end>
      <status>modified</status>
      <modifiedWord>奥氏体不锈钢</modifiedWord>
      <trackRevisions>false</trackRevisions>
    </reviewItem>
    <reviewItem>
      <errorID>637a1630-b0ed-4c0d-b22a-4e51990ffa0b</errorID>
      <errorWord>(</errorWord>
      <group>L1_Format</group>
      <groupName>格式问题</groupName>
      <ability>L2_HalfPunc</ability>
      <abilityName>全半角检查</abilityName>
      <candidateList>
        <item>（</item>
      </candidateList>
      <explain>文本全半角错误。</explain>
      <paraID>22E8F25C</paraID>
      <start>79</start>
      <end>80</end>
      <status>unmodified</status>
      <modifiedWord/>
      <trackRevisions>false</trackRevisions>
    </reviewItem>
    <reviewItem>
      <errorID>08fa5f5c-10fb-467f-83af-beaec3cd080d</errorID>
      <errorWord>)</errorWord>
      <group>L1_Format</group>
      <groupName>格式问题</groupName>
      <ability>L2_HalfPunc</ability>
      <abilityName>全半角检查</abilityName>
      <candidateList>
        <item>）</item>
      </candidateList>
      <explain>文本全半角错误。</explain>
      <paraID>22E8F25C</paraID>
      <start>81</start>
      <end>82</end>
      <status>unmodified</status>
      <modifiedWord/>
      <trackRevisions>false</trackRevisions>
    </reviewItem>
    <reviewItem>
      <errorID>ed6d2646-7b77-4ab2-9bfe-46545ae6fded</errorID>
      <errorWord>小可</errorWord>
      <group>L1_Word</group>
      <groupName>字词问题</groupName>
      <ability>L2_Typo</ability>
      <abilityName>字词错误</abilityName>
      <candidateList>
        <item>小于</item>
      </candidateList>
      <explain/>
      <paraID>653FBAE5</paraID>
      <start>91</start>
      <end>93</end>
      <status>modified</status>
      <modifiedWord>小于</modifiedWord>
      <trackRevisions>false</trackRevisions>
    </reviewItem>
    <reviewItem>
      <errorID>0a3c93cb-7f61-4f51-b0e5-ab6e1f1de457</errorID>
      <errorWord>(</errorWord>
      <group>L1_Format</group>
      <groupName>格式问题</groupName>
      <ability>L2_HalfPunc</ability>
      <abilityName>全半角检查</abilityName>
      <candidateList>
        <item>（</item>
      </candidateList>
      <explain>文本全半角错误。</explain>
      <paraID>322A9E95</paraID>
      <start>30</start>
      <end>31</end>
      <status>unmodified</status>
      <modifiedWord/>
      <trackRevisions>false</trackRevisions>
    </reviewItem>
    <reviewItem>
      <errorID>9e159bfc-6b4b-4b6d-a8a0-fbbd2bf77c51</errorID>
      <errorWord>)</errorWord>
      <group>L1_Format</group>
      <groupName>格式问题</groupName>
      <ability>L2_HalfPunc</ability>
      <abilityName>全半角检查</abilityName>
      <candidateList>
        <item>）</item>
      </candidateList>
      <explain>文本全半角错误。</explain>
      <paraID>322A9E95</paraID>
      <start>32</start>
      <end>33</end>
      <status>unmodified</status>
      <modifiedWord/>
      <trackRevisions>false</trackRevisions>
    </reviewItem>
    <reviewItem>
      <errorID>c3a09562-0fa8-4d49-99a8-e9fc45bd6b16</errorID>
      <errorWord>(</errorWord>
      <group>L1_Format</group>
      <groupName>格式问题</groupName>
      <ability>L2_HalfPunc</ability>
      <abilityName>全半角检查</abilityName>
      <candidateList>
        <item>（</item>
      </candidateList>
      <explain>文本全半角错误。</explain>
      <paraID>5C2203AD</paraID>
      <start>18</start>
      <end>19</end>
      <status>unmodified</status>
      <modifiedWord/>
      <trackRevisions>false</trackRevisions>
    </reviewItem>
    <reviewItem>
      <errorID>b291262c-6a51-40d3-bbaf-bf531089b655</errorID>
      <errorWord>)</errorWord>
      <group>L1_Format</group>
      <groupName>格式问题</groupName>
      <ability>L2_HalfPunc</ability>
      <abilityName>全半角检查</abilityName>
      <candidateList>
        <item>）</item>
      </candidateList>
      <explain>文本全半角错误。</explain>
      <paraID>5C2203AD</paraID>
      <start>20</start>
      <end>21</end>
      <status>unmodified</status>
      <modifiedWord/>
      <trackRevisions>false</trackRevisions>
    </reviewItem>
    <reviewItem>
      <errorID>ae3fabb9-49c4-41e5-a880-4541a2ebabdb</errorID>
      <errorWord>人</errorWord>
      <group>L1_Word</group>
      <groupName>字词问题</groupName>
      <ability>L2_Typo</ability>
      <abilityName>字词错误</abilityName>
      <candidateList>
        <item>入</item>
      </candidateList>
      <explain>存在字形相近字词的误用。</explain>
      <paraID>63CC73F1</paraID>
      <start>5</start>
      <end>6</end>
      <status>unmodified</status>
      <modifiedWord/>
      <trackRevisions>false</trackRevisions>
    </reviewItem>
    <reviewItem>
      <errorID>a669e525-3d23-4432-8543-d202ad4da39b</errorID>
      <errorWord>~</errorWord>
      <group>L1_Format</group>
      <groupName>格式问题</groupName>
      <ability>L2_HalfPunc</ability>
      <abilityName>全半角检查</abilityName>
      <candidateList>
        <item>～</item>
      </candidateList>
      <explain>文本全半角错误。</explain>
      <paraID>3B4B5EE9</paraID>
      <start>18</start>
      <end>19</end>
      <status>unmodified</status>
      <modifiedWord/>
      <trackRevisions>false</trackRevisions>
    </reviewItem>
    <reviewItem>
      <errorID>fa09b101-989b-40dd-a4d9-312b9e779bcc</errorID>
      <errorWord>人</errorWord>
      <group>L1_Word</group>
      <groupName>字词问题</groupName>
      <ability>L2_Typo</ability>
      <abilityName>字词错误</abilityName>
      <candidateList>
        <item>入</item>
      </candidateList>
      <explain>存在字形相近字词的误用。</explain>
      <paraID>759DD01D</paraID>
      <start>14</start>
      <end>15</end>
      <status>unmodified</status>
      <modifiedWord/>
      <trackRevisions>false</trackRevisions>
    </reviewItem>
    <reviewItem>
      <errorID>ec8cc5be-c9b2-461f-80b5-c0d284618417</errorID>
      <errorWord>怎</errorWord>
      <group>L1_Word</group>
      <groupName>字词问题</groupName>
      <ability>L2_Typo</ability>
      <abilityName>字词错误</abilityName>
      <candidateList>
        <item>则</item>
      </candidateList>
      <explain>存在发音相近字词的误用。</explain>
      <paraID>4728CA1E</paraID>
      <start>11</start>
      <end>12</end>
      <status>modified</status>
      <modifiedWord>则</modifiedWord>
      <trackRevisions>false</trackRevisions>
    </reviewItem>
    <reviewItem>
      <errorID>ef027390-e2cc-4f13-bc7e-35becfe289cf</errorID>
      <errorWord>彼</errorWord>
      <group>L1_Word</group>
      <groupName>字词问题</groupName>
      <ability>L2_Typo</ability>
      <abilityName>字词错误</abilityName>
      <candidateList>
        <item>被</item>
      </candidateList>
      <explain>存在发音相近字词的误用。</explain>
      <paraID>33D6C763</paraID>
      <start>47</start>
      <end>48</end>
      <status>modified</status>
      <modifiedWord>被</modifiedWord>
      <trackRevisions>false</trackRevisions>
    </reviewItem>
    <reviewItem>
      <errorID>dc03bf08-f80c-47cd-bc5d-925eb623c66f</errorID>
      <errorWord>~</errorWord>
      <group>L1_Format</group>
      <groupName>格式问题</groupName>
      <ability>L2_HalfPunc</ability>
      <abilityName>全半角检查</abilityName>
      <candidateList>
        <item>～</item>
      </candidateList>
      <explain>文本全半角错误。</explain>
      <paraID>3D8A16CA</paraID>
      <start>6</start>
      <end>7</end>
      <status>unmodified</status>
      <modifiedWord/>
      <trackRevisions>false</trackRevisions>
    </reviewItem>
    <reviewItem>
      <errorID>7b900e96-bb7a-4c58-8bf1-1ddad8d953d0</errorID>
      <errorWord>油</errorWord>
      <group>L1_Word</group>
      <groupName>字词问题</groupName>
      <ability>L2_Typo</ability>
      <abilityName>字词错误</abilityName>
      <candidateList>
        <item>油站</item>
      </candidateList>
      <explain/>
      <paraID>4A94DD7A</paraID>
      <start>29</start>
      <end>30</end>
      <status>unmodified</status>
      <modifiedWord/>
      <trackRevisions>false</trackRevisions>
    </reviewItem>
    <reviewItem>
      <errorID>3f687522-5258-44ff-b7e0-7d45b04832c2</errorID>
      <errorWord>处</errorWord>
      <group>L1_Word</group>
      <groupName>字词问题</groupName>
      <ability>L2_Typo</ability>
      <abilityName>字词错误</abilityName>
      <candidateList>
        <item>外</item>
      </candidateList>
      <explain/>
      <paraID>4A94DD7A</paraID>
      <start>49</start>
      <end>50</end>
      <status>unmodified</status>
      <modifiedWord/>
      <trackRevisions>false</trackRevisions>
    </reviewItem>
    <reviewItem>
      <errorID>e8a41b5e-c3f0-4aff-91a8-1ff2421a176f</errorID>
      <errorWord>防直</errorWord>
      <group>L1_Word</group>
      <groupName>字词问题</groupName>
      <ability>L2_Typo</ability>
      <abilityName>字词错误</abilityName>
      <candidateList>
        <item>防止</item>
      </candidateList>
      <explain>〈动〉预先设法制止（坏事发生）：～煤气中毒｜～交通事故。</explain>
      <paraID>6DE290A8</paraID>
      <start>30</start>
      <end>32</end>
      <status>unmodified</status>
      <modifiedWord/>
      <trackRevisions>false</trackRevisions>
    </reviewItem>
    <reviewItem>
      <errorID>b824a864-d239-4fb5-af0f-9c87b6a5a503</errorID>
      <errorWord>；</errorWord>
      <group>L1_Word</group>
      <groupName>字词问题</groupName>
      <ability>L2_Typo</ability>
      <abilityName>字词错误</abilityName>
      <candidateList>
        <item>；具</item>
      </candidateList>
      <explain/>
      <paraID>305CB0F6</paraID>
      <start>35</start>
      <end>36</end>
      <status>unmodified</status>
      <modifiedWord/>
      <trackRevisions>false</trackRevisions>
    </reviewItem>
    <reviewItem>
      <errorID>2d748fba-7937-43b3-9975-f17ce8da51a0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33E05C1B</paraID>
      <start>53</start>
      <end>54</end>
      <status>unmodified</status>
      <modifiedWord/>
      <trackRevisions>false</trackRevisions>
    </reviewItem>
    <reviewItem>
      <errorID>4d5f824a-db35-4483-b753-38b231a50fa7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33E05C1B</paraID>
      <start>62</start>
      <end>63</end>
      <status>unmodified</status>
      <modifiedWord/>
      <trackRevisions>false</trackRevisions>
    </reviewItem>
    <reviewItem>
      <errorID>ccdf002e-fc16-4251-9f1a-4cf3fb020560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33E05C1B</paraID>
      <start>63</start>
      <end>64</end>
      <status>unmodified</status>
      <modifiedWord/>
      <trackRevisions>false</trackRevisions>
    </reviewItem>
    <reviewItem>
      <errorID>64fccb7d-ae8c-4698-b170-ff82bdcbf2bf</errorID>
      <errorWord>(</errorWord>
      <group>L1_Format</group>
      <groupName>格式问题</groupName>
      <ability>L2_HalfPunc</ability>
      <abilityName>全半角检查</abilityName>
      <candidateList>
        <item>（</item>
      </candidateList>
      <explain>文本全半角错误。</explain>
      <paraID>30E409FE</paraID>
      <start>23</start>
      <end>24</end>
      <status>unmodified</status>
      <modifiedWord/>
      <trackRevisions>false</trackRevisions>
    </reviewItem>
    <reviewItem>
      <errorID>4f88a187-439f-489e-b4fd-529169ca8df2</errorID>
      <errorWord>泄漏监测</errorWord>
      <group>L1_Knowledge</group>
      <groupName>知识性问题</groupName>
      <ability>L2_Term</ability>
      <abilityName>专业术语</abilityName>
      <candidateList>
        <item>泄漏检测</item>
      </candidateList>
      <explain/>
      <paraID>3E52CF18</paraID>
      <start>42</start>
      <end>46</end>
      <status>unmodified</status>
      <modifiedWord/>
      <trackRevisions>false</trackRevisions>
    </reviewItem>
    <reviewItem>
      <errorID>04624a1d-aa42-4665-866a-acf2fc745ff0</errorID>
      <errorWord>(</errorWord>
      <group>L1_Format</group>
      <groupName>格式问题</groupName>
      <ability>L2_HalfPunc</ability>
      <abilityName>全半角检查</abilityName>
      <candidateList>
        <item>（</item>
      </candidateList>
      <explain>文本全半角错误。</explain>
      <paraID>732E99AF</paraID>
      <start>11</start>
      <end>12</end>
      <status>unmodified</status>
      <modifiedWord/>
      <trackRevisions>false</trackRevisions>
    </reviewItem>
    <reviewItem>
      <errorID>d909f72c-fd00-4cc0-8727-c21eb1be3891</errorID>
      <errorWord>)</errorWord>
      <group>L1_Format</group>
      <groupName>格式问题</groupName>
      <ability>L2_HalfPunc</ability>
      <abilityName>全半角检查</abilityName>
      <candidateList>
        <item>）</item>
      </candidateList>
      <explain>文本全半角错误。</explain>
      <paraID>732E99AF</paraID>
      <start>13</start>
      <end>14</end>
      <status>unmodified</status>
      <modifiedWord/>
      <trackRevisions>false</trackRevisions>
    </reviewItem>
    <reviewItem>
      <errorID>fd1b1a8a-94b5-4ca1-b104-5813e4b6dc59</errorID>
      <errorWord>(</errorWord>
      <group>L1_Format</group>
      <groupName>格式问题</groupName>
      <ability>L2_HalfPunc</ability>
      <abilityName>全半角检查</abilityName>
      <candidateList>
        <item>（</item>
      </candidateList>
      <explain>文本全半角错误。</explain>
      <paraID>732E99AF</paraID>
      <start>20</start>
      <end>21</end>
      <status>unmodified</status>
      <modifiedWord/>
      <trackRevisions>false</trackRevisions>
    </reviewItem>
    <reviewItem>
      <errorID>40a969b6-fa1d-4260-b2cf-46280b364b35</errorID>
      <errorWord>)</errorWord>
      <group>L1_Format</group>
      <groupName>格式问题</groupName>
      <ability>L2_HalfPunc</ability>
      <abilityName>全半角检查</abilityName>
      <candidateList>
        <item>）</item>
      </candidateList>
      <explain>文本全半角错误。</explain>
      <paraID>732E99AF</paraID>
      <start>22</start>
      <end>23</end>
      <status>unmodified</status>
      <modifiedWord/>
      <trackRevisions>false</trackRevisions>
    </reviewItem>
    <reviewItem>
      <errorID>d2ab3f96-8b1c-48f7-a511-ed4b7a728da5</errorID>
      <errorWord>设警示标志</errorWord>
      <group>L1_Word</group>
      <groupName>字词问题</groupName>
      <ability>L2_Typo</ability>
      <abilityName>字词错误</abilityName>
      <candidateList>
        <item>设置警示标志</item>
      </candidateList>
      <explain/>
      <paraID>3873A2BD</paraID>
      <start>35</start>
      <end>40</end>
      <status>unmodified</status>
      <modifiedWord/>
      <trackRevisions>false</trackRevisions>
    </reviewItem>
    <reviewItem>
      <errorID>19612855-cc4d-489e-875c-ddb65ca1e6a9</errorID>
      <errorWord>,</errorWord>
      <group>L1_Format</group>
      <groupName>格式问题</groupName>
      <ability>L2_HalfPunc</ability>
      <abilityName>全半角检查</abilityName>
      <candidateList>
        <item>，</item>
      </candidateList>
      <explain>文本全半角错误。</explain>
      <paraID>19C56293</paraID>
      <start>14</start>
      <end>15</end>
      <status>unmodified</status>
      <modifiedWord/>
      <trackRevisions>false</trackRevisions>
    </reviewItem>
    <reviewItem>
      <errorID>f94a8e6c-587b-401e-bc5c-c0f323805cb7</errorID>
      <errorWord>)</errorWord>
      <group>L1_Format</group>
      <groupName>格式问题</groupName>
      <ability>L2_HalfPunc</ability>
      <abilityName>全半角检查</abilityName>
      <candidateList>
        <item>）</item>
      </candidateList>
      <explain>文本全半角错误。</explain>
      <paraID>196343F0</paraID>
      <start>2</start>
      <end>3</end>
      <status>unmodified</status>
      <modifiedWord/>
      <trackRevisions>false</trackRevisions>
    </reviewItem>
    <reviewItem>
      <errorID>3e518d21-bd0d-49f9-bf83-8d7f710d65ab</errorID>
      <errorWord>)</errorWord>
      <group>L1_Format</group>
      <groupName>格式问题</groupName>
      <ability>L2_HalfPunc</ability>
      <abilityName>全半角检查</abilityName>
      <candidateList>
        <item>）</item>
      </candidateList>
      <explain>文本全半角错误。</explain>
      <paraID>41ABEA0D</paraID>
      <start>2</start>
      <end>3</end>
      <status>unmodified</status>
      <modifiedWord/>
      <trackRevisions>false</trackRevisions>
    </reviewItem>
    <reviewItem>
      <errorID>87c75401-1ba8-41a7-935f-c2ad82d9ef36</errorID>
      <errorWord>)</errorWord>
      <group>L1_Format</group>
      <groupName>格式问题</groupName>
      <ability>L2_HalfPunc</ability>
      <abilityName>全半角检查</abilityName>
      <candidateList>
        <item>）</item>
      </candidateList>
      <explain>文本全半角错误。</explain>
      <paraID>21D2983F</paraID>
      <start>2</start>
      <end>3</end>
      <status>unmodified</status>
      <modifiedWord/>
      <trackRevisions>false</trackRevisions>
    </reviewItem>
    <reviewItem>
      <errorID>a9e3a9bc-6bfa-4302-81f7-fb5e26822ae4</errorID>
      <errorWord>-</errorWord>
      <group>L1_Format</group>
      <groupName>格式问题</groupName>
      <ability>L2_HalfPunc</ability>
      <abilityName>全半角检查</abilityName>
      <candidateList>
        <item>－</item>
      </candidateList>
      <explain>文本全半角错误。</explain>
      <paraID>49DF354F</paraID>
      <start>58</start>
      <end>59</end>
      <status>unmodified</status>
      <modifiedWord/>
      <trackRevisions>false</trackRevisions>
    </reviewItem>
    <reviewItem>
      <errorID>001ab671-6d07-48f3-9153-17d37a1095a8</errorID>
      <errorWord>-</errorWord>
      <group>L1_Format</group>
      <groupName>格式问题</groupName>
      <ability>L2_HalfPunc</ability>
      <abilityName>全半角检查</abilityName>
      <candidateList>
        <item>－</item>
      </candidateList>
      <explain>文本全半角错误。</explain>
      <paraID>3D8A7544</paraID>
      <start>87</start>
      <end>88</end>
      <status>unmodified</status>
      <modifiedWord/>
      <trackRevisions>false</trackRevisions>
    </reviewItem>
    <reviewItem>
      <errorID>bcfafcd1-a8d0-4b0b-9075-609ad7a75f2d</errorID>
      <errorWord>,</errorWord>
      <group>L1_Format</group>
      <groupName>格式问题</groupName>
      <ability>L2_HalfPunc</ability>
      <abilityName>全半角检查</abilityName>
      <candidateList>
        <item>，</item>
      </candidateList>
      <explain>文本全半角错误。</explain>
      <paraID>3D8A7544</paraID>
      <start>105</start>
      <end>106</end>
      <status>unmodified</status>
      <modifiedWord/>
      <trackRevisions>false</trackRevisions>
    </reviewItem>
    <reviewItem>
      <errorID>7349e520-d3b4-489d-a697-0ef7b70c0082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755CF7D4</paraID>
      <start>20</start>
      <end>21</end>
      <status>unmodified</status>
      <modifiedWord/>
      <trackRevisions>false</trackRevisions>
    </reviewItem>
    <reviewItem>
      <errorID>1e02aa54-1a77-4511-bb07-ddd42770df47</errorID>
      <errorWord>"</errorWord>
      <group>L1_Format</group>
      <groupName>格式问题</groupName>
      <ability>L2_HalfPunc</ability>
      <abilityName>全半角检查</abilityName>
      <candidateList>
        <item>”</item>
      </candidateList>
      <explain>文本全半角错误。</explain>
      <paraID>755CF7D4</paraID>
      <start>27</start>
      <end>28</end>
      <status>unmodified</status>
      <modifiedWord/>
      <trackRevisions>false</trackRevisions>
    </reviewItem>
    <reviewItem>
      <errorID>1821f8b1-6a4d-4076-882b-73a5bf22d8c3</errorID>
      <errorWord>~</errorWord>
      <group>L1_Format</group>
      <groupName>格式问题</groupName>
      <ability>L2_HalfPunc</ability>
      <abilityName>全半角检查</abilityName>
      <candidateList>
        <item>～</item>
      </candidateList>
      <explain>文本全半角错误。</explain>
      <paraID>67C4F054</paraID>
      <start>78</start>
      <end>79</end>
      <status>unmodified</status>
      <modifiedWord/>
      <trackRevisions>false</trackRevisions>
    </reviewItem>
    <reviewItem>
      <errorID>a7b2a013-11f9-4efb-92a9-908441a2bf4f</errorID>
      <errorWord>)</errorWord>
      <group>L1_Format</group>
      <groupName>格式问题</groupName>
      <ability>L2_HalfPunc</ability>
      <abilityName>全半角检查</abilityName>
      <candidateList>
        <item>）</item>
      </candidateList>
      <explain>文本全半角错误。</explain>
      <paraID>32EF1774</paraID>
      <start>2</start>
      <end>3</end>
      <status>unmodified</status>
      <modifiedWord/>
      <trackRevisions>false</trackRevisions>
    </reviewItem>
    <reviewItem>
      <errorID>5b3ce034-674f-4e20-b048-a6b8bd9dccdb</errorID>
      <errorWord>)</errorWord>
      <group>L1_Format</group>
      <groupName>格式问题</groupName>
      <ability>L2_HalfPunc</ability>
      <abilityName>全半角检查</abilityName>
      <candidateList>
        <item>）</item>
      </candidateList>
      <explain>文本全半角错误。</explain>
      <paraID>285BC5C2</paraID>
      <start>2</start>
      <end>3</end>
      <status>unmodified</status>
      <modifiedWord/>
      <trackRevisions>false</trackRevisions>
    </reviewItem>
    <reviewItem>
      <errorID>46a30cb4-1e48-4c7f-bb4c-0b4e6f800740</errorID>
      <errorWord>,</errorWord>
      <group>L1_Format</group>
      <groupName>格式问题</groupName>
      <ability>L2_HalfPunc</ability>
      <abilityName>全半角检查</abilityName>
      <candidateList>
        <item>，</item>
      </candidateList>
      <explain>文本全半角错误。</explain>
      <paraID>76D0EA21</paraID>
      <start>65</start>
      <end>66</end>
      <status>unmodified</status>
      <modifiedWord/>
      <trackRevisions>false</trackRevisions>
    </reviewItem>
    <reviewItem>
      <errorID>40f452b3-428a-47e7-92ae-7549139480fe</errorID>
      <errorWord>)</errorWord>
      <group>L1_Format</group>
      <groupName>格式问题</groupName>
      <ability>L2_HalfPunc</ability>
      <abilityName>全半角检查</abilityName>
      <candidateList>
        <item>）</item>
      </candidateList>
      <explain>文本全半角错误。</explain>
      <paraID>47F6DD2A</paraID>
      <start>2</start>
      <end>3</end>
      <status>unmodified</status>
      <modifiedWord/>
      <trackRevisions>false</trackRevisions>
    </reviewItem>
    <reviewItem>
      <errorID>9c1e9ed9-66f7-47a6-b751-ce6a3d22306b</errorID>
      <errorWord>,</errorWord>
      <group>L1_Format</group>
      <groupName>格式问题</groupName>
      <ability>L2_HalfPunc</ability>
      <abilityName>全半角检查</abilityName>
      <candidateList>
        <item>，</item>
      </candidateList>
      <explain>文本全半角错误。</explain>
      <paraID>47F6DD2A</paraID>
      <start>11</start>
      <end>12</end>
      <status>unmodified</status>
      <modifiedWord/>
      <trackRevisions>false</trackRevisions>
    </reviewItem>
    <reviewItem>
      <errorID>c987377e-8234-4fca-b5ef-459e1f38a158</errorID>
      <errorWord>,</errorWord>
      <group>L1_Format</group>
      <groupName>格式问题</groupName>
      <ability>L2_HalfPunc</ability>
      <abilityName>全半角检查</abilityName>
      <candidateList>
        <item>，</item>
      </candidateList>
      <explain>文本全半角错误。</explain>
      <paraID>47F6DD2A</paraID>
      <start>24</start>
      <end>25</end>
      <status>unmodified</status>
      <modifiedWord/>
      <trackRevisions>false</trackRevisions>
    </reviewItem>
    <reviewItem>
      <errorID>26322bff-8bdc-4e99-b129-d2ff79e3e0a2</errorID>
      <errorWord>.</errorWord>
      <group>L1_Format</group>
      <groupName>格式问题</groupName>
      <ability>L2_HalfPunc</ability>
      <abilityName>全半角检查</abilityName>
      <candidateList>
        <item>。</item>
      </candidateList>
      <explain>文本全半角错误。</explain>
      <paraID>278F4B3B</paraID>
      <start>14</start>
      <end>15</end>
      <status>unmodified</status>
      <modifiedWord/>
      <trackRevisions>false</trackRevisions>
    </reviewItem>
    <reviewItem>
      <errorID>02a78fc0-9ec1-49de-9abe-88d869c5a44b</errorID>
      <errorWord>;</errorWord>
      <group>L1_Format</group>
      <groupName>格式问题</groupName>
      <ability>L2_HalfPunc</ability>
      <abilityName>全半角检查</abilityName>
      <candidateList>
        <item>；</item>
      </candidateList>
      <explain>文本全半角错误。</explain>
      <paraID>278F4B3B</paraID>
      <start>27</start>
      <end>28</end>
      <status>unmodified</status>
      <modifiedWord/>
      <trackRevisions>false</trackRevisions>
    </reviewItem>
    <reviewItem>
      <errorID>8285d856-a744-4fc0-9232-8f1310e4bb0f</errorID>
      <errorWord>,</errorWord>
      <group>L1_Format</group>
      <groupName>格式问题</groupName>
      <ability>L2_HalfPunc</ability>
      <abilityName>全半角检查</abilityName>
      <candidateList>
        <item>，</item>
      </candidateList>
      <explain>文本全半角错误。</explain>
      <paraID>168ED2BE</paraID>
      <start>13</start>
      <end>14</end>
      <status>unmodified</status>
      <modifiedWord/>
      <trackRevisions>false</trackRevisions>
    </reviewItem>
    <reviewItem>
      <errorID>4ee9a099-abcc-4cd2-99d3-5905b4e02e29</errorID>
      <errorWord>地面的</errorWord>
      <group>L1_Word</group>
      <groupName>字词问题</groupName>
      <ability>L2_Typo</ability>
      <abilityName>字词错误</abilityName>
      <candidateList>
        <item>地面</item>
      </candidateList>
      <explain/>
      <paraID>589621DC</paraID>
      <start>18</start>
      <end>20</end>
      <status>modified</status>
      <modifiedWord>地面</modifiedWord>
      <trackRevisions>false</trackRevisions>
    </reviewItem>
    <reviewItem>
      <errorID>cb20bb9d-2138-440b-b4a5-d0486c89fb1f</errorID>
      <errorWord>,</errorWord>
      <group>L1_Format</group>
      <groupName>格式问题</groupName>
      <ability>L2_HalfPunc</ability>
      <abilityName>全半角检查</abilityName>
      <candidateList>
        <item>，</item>
      </candidateList>
      <explain>文本全半角错误。</explain>
      <paraID>1767B935</paraID>
      <start>21</start>
      <end>22</end>
      <status>unmodified</status>
      <modifiedWord/>
      <trackRevisions>false</trackRevisions>
    </reviewItem>
    <reviewItem>
      <errorID>07dfdf26-70d5-4e5c-a096-c4e217cbc012</errorID>
      <errorWord>防直</errorWord>
      <group>L1_Word</group>
      <groupName>字词问题</groupName>
      <ability>L2_Typo</ability>
      <abilityName>字词错误</abilityName>
      <candidateList>
        <item>防止</item>
      </candidateList>
      <explain>〈动〉预先设法制止（坏事发生）：～煤气中毒｜～交通事故。</explain>
      <paraID>462D7134</paraID>
      <start>21</start>
      <end>23</end>
      <status>unmodified</status>
      <modifiedWord/>
      <trackRevisions>false</trackRevisions>
    </reviewItem>
    <reviewItem>
      <errorID>3db64ac0-91ee-4ac0-bf9c-5f18c68dcca4</errorID>
      <errorWord>,</errorWord>
      <group>L1_Format</group>
      <groupName>格式问题</groupName>
      <ability>L2_HalfPunc</ability>
      <abilityName>全半角检查</abilityName>
      <candidateList>
        <item>，</item>
      </candidateList>
      <explain>文本全半角错误。</explain>
      <paraID>26D2CEF9</paraID>
      <start>45</start>
      <end>46</end>
      <status>unmodified</status>
      <modifiedWord/>
      <trackRevisions>false</trackRevisions>
    </reviewItem>
    <reviewItem>
      <errorID>f0a4cbb0-0749-4904-945c-0e827b6686fe</errorID>
      <errorWord>,</errorWord>
      <group>L1_Format</group>
      <groupName>格式问题</groupName>
      <ability>L2_HalfPunc</ability>
      <abilityName>全半角检查</abilityName>
      <candidateList>
        <item>，</item>
      </candidateList>
      <explain>文本全半角错误。</explain>
      <paraID>2E940C2B</paraID>
      <start>41</start>
      <end>42</end>
      <status>unmodified</status>
      <modifiedWord/>
      <trackRevisions>false</trackRevisions>
    </reviewItem>
    <reviewItem>
      <errorID>69e7de0e-4bb1-4821-910a-2eb8fac93590</errorID>
      <errorWord>)</errorWord>
      <group>L1_Format</group>
      <groupName>格式问题</groupName>
      <ability>L2_HalfPunc</ability>
      <abilityName>全半角检查</abilityName>
      <candidateList>
        <item>）</item>
      </candidateList>
      <explain>文本全半角错误。</explain>
      <paraID>71EA5792</paraID>
      <start>2</start>
      <end>3</end>
      <status>unmodified</status>
      <modifiedWord/>
      <trackRevisions>false</trackRevisions>
    </reviewItem>
    <reviewItem>
      <errorID>c5ea5478-d2bb-46e7-844b-f57d35bff9dd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3B5FC092</paraID>
      <start>17</start>
      <end>20</end>
      <status>unmodified</status>
      <modifiedWord/>
      <trackRevisions>false</trackRevisions>
    </reviewItem>
    <reviewItem>
      <errorID>e303c75e-da31-4052-a6b2-123e8ea96025</errorID>
      <errorWord>"</errorWord>
      <group>L1_Format</group>
      <groupName>格式问题</groupName>
      <ability>L2_HalfPunc</ability>
      <abilityName>全半角检查</abilityName>
      <candidateList>
        <item>”</item>
      </candidateList>
      <explain>文本全半角错误。</explain>
      <paraID>3B5FC092</paraID>
      <start>25</start>
      <end>26</end>
      <status>unmodified</status>
      <modifiedWord/>
      <trackRevisions>false</trackRevisions>
    </reviewItem>
    <reviewItem>
      <errorID>d16e40ed-406f-425a-a7ba-d6cddfad657d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60411916</paraID>
      <start>0</start>
      <end>2</end>
      <status>unmodified</status>
      <modifiedWord/>
      <trackRevisions>false</trackRevisions>
    </reviewItem>
    <reviewItem>
      <errorID>b9836871-08eb-4de4-9fb8-4700fd07b62a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1169FA8B</paraID>
      <start>0</start>
      <end>2</end>
      <status>unmodified</status>
      <modifiedWord/>
      <trackRevisions>false</trackRevisions>
    </reviewItem>
    <reviewItem>
      <errorID>13a1e987-74fb-4072-bd77-a4135c26126d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17AC49FC</paraID>
      <start>0</start>
      <end>2</end>
      <status>unmodified</status>
      <modifiedWord/>
      <trackRevisions>false</trackRevisions>
    </reviewItem>
    <reviewItem>
      <errorID>4dd1d62b-c752-43d2-a219-b8201fb55816</errorID>
      <errorWord>员工要</errorWord>
      <group>L1_Word</group>
      <groupName>字词问题</groupName>
      <ability>L2_Typo</ability>
      <abilityName>字词错误</abilityName>
      <candidateList>
        <item>员工</item>
      </candidateList>
      <explain/>
      <paraID>17AC49FC</paraID>
      <start>19</start>
      <end>22</end>
      <status>unmodified</status>
      <modifiedWord/>
      <trackRevisions>false</trackRevisions>
    </reviewItem>
    <reviewItem>
      <errorID>89eac474-6abc-4e7e-bffc-779229014ea0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E4DE4AA</paraID>
      <start>0</start>
      <end>2</end>
      <status>unmodified</status>
      <modifiedWord/>
      <trackRevisions>false</trackRevisions>
    </reviewItem>
    <reviewItem>
      <errorID>6f9b2fc0-18ba-4d82-b1e9-2e952b289ad8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78DD8801</paraID>
      <start>0</start>
      <end>2</end>
      <status>unmodified</status>
      <modifiedWord/>
      <trackRevisions>false</trackRevisions>
    </reviewItem>
    <reviewItem>
      <errorID>5227960a-5ed6-49a2-9751-9d1240875bae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4C9B022F</paraID>
      <start>0</start>
      <end>2</end>
      <status>unmodified</status>
      <modifiedWord/>
      <trackRevisions>false</trackRevisions>
    </reviewItem>
    <reviewItem>
      <errorID>a374dd4b-05ae-469b-9c59-c1da919c8147</errorID>
      <errorWord>法律、法规</errorWord>
      <group>L1_Word</group>
      <groupName>字词问题</groupName>
      <ability>L2_Typo</ability>
      <abilityName>字词错误</abilityName>
      <candidateList>
        <item>法律法规</item>
      </candidateList>
      <explain/>
      <paraID>4C9B022F</paraID>
      <start>68</start>
      <end>73</end>
      <status>unmodified</status>
      <modifiedWord/>
      <trackRevisions>false</trackRevisions>
    </reviewItem>
    <reviewItem>
      <errorID>4c5e84e0-b1d8-4be0-ba20-ea0ae4f3f0d8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28A36512</paraID>
      <start>0</start>
      <end>2</end>
      <status>unmodified</status>
      <modifiedWord/>
      <trackRevisions>false</trackRevisions>
    </reviewItem>
    <reviewItem>
      <errorID>d91c5a86-e3d7-4fab-a2d9-9e79ff3d6cec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226E5288</paraID>
      <start>0</start>
      <end>2</end>
      <status>unmodified</status>
      <modifiedWord/>
      <trackRevisions>false</trackRevisions>
    </reviewItem>
    <reviewItem>
      <errorID>54377412-60fc-48b9-b8e5-cccb6b3acd8f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16CB51AD</paraID>
      <start>0</start>
      <end>2</end>
      <status>unmodified</status>
      <modifiedWord/>
      <trackRevisions>false</trackRevisions>
    </reviewItem>
    <reviewItem>
      <errorID>6b103e68-7ea5-4a5c-917c-73e3d0b91620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3158D06F</paraID>
      <start>0</start>
      <end>2</end>
      <status>unmodified</status>
      <modifiedWord/>
      <trackRevisions>false</trackRevisions>
    </reviewItem>
    <reviewItem>
      <errorID>09fa978c-2be4-40d0-ba89-93dbb4136fa7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7A879A28</paraID>
      <start>0</start>
      <end>2</end>
      <status>unmodified</status>
      <modifiedWord/>
      <trackRevisions>false</trackRevisions>
    </reviewItem>
    <reviewItem>
      <errorID>907e5501-dc61-4fc3-bb01-26a08dc9cbaf</errorID>
      <errorWord>综合所述</errorWord>
      <group>L1_Word</group>
      <groupName>字词问题</groupName>
      <ability>L2_Typo</ability>
      <abilityName>字词错误</abilityName>
      <candidateList>
        <item>综上所述</item>
      </candidateList>
      <explain/>
      <paraID>17568882</paraID>
      <start>0</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1f3137-644a-483f-ac7c-bd68ae397262}">
  <ds:schemaRefs/>
</ds:datastoreItem>
</file>

<file path=docProps/app.xml><?xml version="1.0" encoding="utf-8"?>
<Properties xmlns="http://schemas.openxmlformats.org/officeDocument/2006/extended-properties" xmlns:vt="http://schemas.openxmlformats.org/officeDocument/2006/docPropsVTypes">
  <Template>Normal.dotm</Template>
  <Pages>88</Pages>
  <Words>5907</Words>
  <Characters>7399</Characters>
  <Lines>1</Lines>
  <Paragraphs>1</Paragraphs>
  <TotalTime>2</TotalTime>
  <ScaleCrop>false</ScaleCrop>
  <LinksUpToDate>false</LinksUpToDate>
  <CharactersWithSpaces>8389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2022-11-17T00:48:00Z</dcterms:created>
  <dc:creator>Administrator</dc:creator>
  <cp:lastModifiedBy>浩</cp:lastModifiedBy>
  <dcterms:modified xsi:type="dcterms:W3CDTF">2026-05-06T06:36:37Z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710A333357DE4B63A68E80814A735893_13</vt:lpwstr>
  </property>
  <property fmtid="{D5CDD505-2E9C-101B-9397-08002B2CF9AE}" pid="4" name="KSOTemplateDocerSaveRecord">
    <vt:lpwstr>eyJoZGlkIjoiZjM1ODk5OTBiNDgyNjQ5YTFjZGM4YjA5MDQ1YWVhNGUiLCJ1c2VySWQiOiI0NzIxOTM5OTcifQ==</vt:lpwstr>
  </property>
</Properties>
</file>