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1078A1">
      <w:pPr>
        <w:widowControl/>
        <w:spacing w:before="480" w:beforeLines="200" w:line="360" w:lineRule="auto"/>
        <w:jc w:val="center"/>
        <w:rPr>
          <w:rFonts w:ascii="宋体" w:hAnsi="宋体"/>
          <w:kern w:val="0"/>
          <w:sz w:val="40"/>
          <w:szCs w:val="40"/>
        </w:rPr>
      </w:pPr>
      <w:bookmarkStart w:id="0" w:name="_Toc22505"/>
      <w:bookmarkStart w:id="1" w:name="_Toc17911"/>
      <w:bookmarkStart w:id="2" w:name="_Toc21558468"/>
      <w:bookmarkStart w:id="3" w:name="_Toc31881"/>
      <w:bookmarkStart w:id="4" w:name="_Toc26510"/>
      <w:bookmarkStart w:id="5" w:name="_Toc525434523"/>
      <w:bookmarkStart w:id="6" w:name="_Toc529609423"/>
      <w:bookmarkStart w:id="7" w:name="_Toc43860090"/>
      <w:bookmarkStart w:id="8" w:name="_Toc525258158"/>
      <w:bookmarkStart w:id="9" w:name="_Toc40865320"/>
      <w:bookmarkStart w:id="10" w:name="_Toc40750392"/>
      <w:r>
        <w:rPr>
          <w:rFonts w:hint="eastAsia" w:ascii="宋体" w:hAnsi="宋体"/>
          <w:kern w:val="0"/>
          <w:sz w:val="40"/>
          <w:szCs w:val="40"/>
        </w:rPr>
        <w:t>黑龙江泰运烟花有限公司</w:t>
      </w:r>
    </w:p>
    <w:p w14:paraId="61B7CC6B">
      <w:pPr>
        <w:widowControl/>
        <w:spacing w:line="360" w:lineRule="auto"/>
        <w:jc w:val="center"/>
        <w:rPr>
          <w:rFonts w:ascii="宋体" w:hAnsi="宋体"/>
          <w:kern w:val="0"/>
          <w:sz w:val="40"/>
          <w:szCs w:val="40"/>
        </w:rPr>
      </w:pPr>
      <w:r>
        <w:rPr>
          <w:rFonts w:hint="eastAsia" w:ascii="宋体" w:hAnsi="宋体"/>
          <w:kern w:val="0"/>
          <w:sz w:val="40"/>
          <w:szCs w:val="40"/>
        </w:rPr>
        <w:t>异地新建烟花爆竹库区项目</w:t>
      </w:r>
    </w:p>
    <w:p w14:paraId="59B22619">
      <w:pPr>
        <w:widowControl/>
        <w:spacing w:line="360" w:lineRule="auto"/>
        <w:jc w:val="center"/>
        <w:rPr>
          <w:rFonts w:ascii="黑体" w:hAnsi="黑体" w:eastAsia="黑体"/>
          <w:kern w:val="0"/>
          <w:sz w:val="44"/>
          <w:szCs w:val="44"/>
        </w:rPr>
      </w:pPr>
      <w:r>
        <w:rPr>
          <w:rFonts w:hint="eastAsia" w:ascii="黑体" w:hAnsi="黑体" w:eastAsia="黑体"/>
          <w:kern w:val="0"/>
          <w:sz w:val="44"/>
          <w:szCs w:val="44"/>
        </w:rPr>
        <w:t>安全预评价报告</w:t>
      </w:r>
    </w:p>
    <w:p w14:paraId="7C69D73E">
      <w:pPr>
        <w:widowControl/>
        <w:spacing w:line="360" w:lineRule="auto"/>
        <w:jc w:val="center"/>
        <w:rPr>
          <w:rFonts w:ascii="宋体" w:hAnsi="宋体"/>
          <w:kern w:val="0"/>
          <w:sz w:val="44"/>
          <w:szCs w:val="44"/>
        </w:rPr>
      </w:pPr>
      <w:r>
        <w:rPr>
          <w:rFonts w:hint="eastAsia" w:ascii="宋体" w:hAnsi="宋体"/>
          <w:kern w:val="0"/>
          <w:sz w:val="44"/>
          <w:szCs w:val="44"/>
        </w:rPr>
        <w:t>（备案稿）</w:t>
      </w:r>
    </w:p>
    <w:p w14:paraId="1FA8AF5A">
      <w:pPr>
        <w:adjustRightInd w:val="0"/>
        <w:snapToGrid w:val="0"/>
        <w:jc w:val="center"/>
        <w:rPr>
          <w:rFonts w:ascii="Arial" w:hAnsi="Arial"/>
          <w:spacing w:val="60"/>
          <w:sz w:val="44"/>
          <w:szCs w:val="28"/>
        </w:rPr>
      </w:pPr>
    </w:p>
    <w:p w14:paraId="446DDCAB">
      <w:pPr>
        <w:adjustRightInd w:val="0"/>
        <w:snapToGrid w:val="0"/>
        <w:jc w:val="center"/>
        <w:rPr>
          <w:rFonts w:ascii="Arial" w:hAnsi="Arial"/>
          <w:spacing w:val="60"/>
          <w:sz w:val="44"/>
          <w:szCs w:val="28"/>
        </w:rPr>
      </w:pPr>
    </w:p>
    <w:p w14:paraId="39A97FD2">
      <w:pPr>
        <w:adjustRightInd w:val="0"/>
        <w:snapToGrid w:val="0"/>
        <w:jc w:val="center"/>
        <w:rPr>
          <w:rFonts w:ascii="Arial" w:hAnsi="Arial"/>
          <w:spacing w:val="60"/>
          <w:sz w:val="44"/>
          <w:szCs w:val="28"/>
        </w:rPr>
      </w:pPr>
    </w:p>
    <w:p w14:paraId="6B25D627">
      <w:pPr>
        <w:adjustRightInd w:val="0"/>
        <w:snapToGrid w:val="0"/>
        <w:jc w:val="center"/>
        <w:rPr>
          <w:rFonts w:ascii="Arial" w:hAnsi="Arial"/>
          <w:spacing w:val="60"/>
          <w:sz w:val="44"/>
          <w:szCs w:val="28"/>
        </w:rPr>
      </w:pPr>
    </w:p>
    <w:p w14:paraId="57877C74">
      <w:pPr>
        <w:adjustRightInd w:val="0"/>
        <w:snapToGrid w:val="0"/>
        <w:jc w:val="center"/>
        <w:rPr>
          <w:rFonts w:ascii="Arial" w:hAnsi="Arial"/>
          <w:spacing w:val="60"/>
          <w:sz w:val="44"/>
          <w:szCs w:val="28"/>
        </w:rPr>
      </w:pPr>
    </w:p>
    <w:p w14:paraId="74E2C2D7">
      <w:pPr>
        <w:adjustRightInd w:val="0"/>
        <w:snapToGrid w:val="0"/>
        <w:jc w:val="center"/>
        <w:rPr>
          <w:rFonts w:ascii="Arial" w:hAnsi="Arial"/>
          <w:spacing w:val="60"/>
          <w:sz w:val="44"/>
          <w:szCs w:val="28"/>
        </w:rPr>
      </w:pPr>
    </w:p>
    <w:p w14:paraId="79D96479">
      <w:pPr>
        <w:adjustRightInd w:val="0"/>
        <w:snapToGrid w:val="0"/>
        <w:jc w:val="center"/>
        <w:rPr>
          <w:rFonts w:ascii="Arial" w:hAnsi="Arial"/>
          <w:spacing w:val="60"/>
          <w:sz w:val="44"/>
          <w:szCs w:val="28"/>
        </w:rPr>
      </w:pPr>
    </w:p>
    <w:p w14:paraId="28C8E9C3">
      <w:pPr>
        <w:adjustRightInd w:val="0"/>
        <w:snapToGrid w:val="0"/>
        <w:jc w:val="center"/>
        <w:rPr>
          <w:rFonts w:ascii="Arial" w:hAnsi="Arial"/>
          <w:spacing w:val="60"/>
          <w:sz w:val="44"/>
          <w:szCs w:val="28"/>
        </w:rPr>
      </w:pPr>
    </w:p>
    <w:p w14:paraId="583DC057">
      <w:pPr>
        <w:adjustRightInd w:val="0"/>
        <w:snapToGrid w:val="0"/>
        <w:jc w:val="center"/>
        <w:rPr>
          <w:rFonts w:ascii="Arial" w:hAnsi="Arial"/>
          <w:spacing w:val="60"/>
          <w:sz w:val="44"/>
          <w:szCs w:val="28"/>
        </w:rPr>
      </w:pPr>
    </w:p>
    <w:p w14:paraId="78646ED0">
      <w:pPr>
        <w:adjustRightInd w:val="0"/>
        <w:snapToGrid w:val="0"/>
        <w:jc w:val="center"/>
        <w:rPr>
          <w:rFonts w:ascii="Arial" w:hAnsi="Arial"/>
          <w:spacing w:val="60"/>
          <w:sz w:val="44"/>
          <w:szCs w:val="28"/>
        </w:rPr>
      </w:pPr>
    </w:p>
    <w:p w14:paraId="077499C7">
      <w:pPr>
        <w:adjustRightInd w:val="0"/>
        <w:snapToGrid w:val="0"/>
        <w:jc w:val="center"/>
        <w:rPr>
          <w:rFonts w:ascii="Arial" w:hAnsi="Arial"/>
          <w:spacing w:val="60"/>
          <w:sz w:val="44"/>
          <w:szCs w:val="28"/>
        </w:rPr>
      </w:pPr>
    </w:p>
    <w:p w14:paraId="243356D4">
      <w:pPr>
        <w:adjustRightInd w:val="0"/>
        <w:snapToGrid w:val="0"/>
        <w:jc w:val="center"/>
        <w:rPr>
          <w:rFonts w:ascii="Arial" w:hAnsi="Arial"/>
          <w:spacing w:val="60"/>
          <w:sz w:val="44"/>
          <w:szCs w:val="28"/>
        </w:rPr>
      </w:pPr>
    </w:p>
    <w:p w14:paraId="53F23CFC">
      <w:pPr>
        <w:pStyle w:val="2"/>
        <w:ind w:firstLine="562"/>
      </w:pPr>
    </w:p>
    <w:p w14:paraId="2AF42D10">
      <w:pPr>
        <w:adjustRightInd w:val="0"/>
        <w:snapToGrid w:val="0"/>
        <w:jc w:val="center"/>
        <w:rPr>
          <w:rFonts w:ascii="Arial" w:hAnsi="Arial"/>
          <w:spacing w:val="60"/>
          <w:sz w:val="44"/>
          <w:szCs w:val="28"/>
        </w:rPr>
      </w:pPr>
    </w:p>
    <w:p w14:paraId="5704668A">
      <w:pPr>
        <w:adjustRightInd w:val="0"/>
        <w:snapToGrid w:val="0"/>
        <w:jc w:val="center"/>
        <w:rPr>
          <w:rFonts w:ascii="Arial" w:hAnsi="Arial"/>
          <w:spacing w:val="60"/>
          <w:sz w:val="44"/>
          <w:szCs w:val="28"/>
        </w:rPr>
      </w:pPr>
    </w:p>
    <w:p w14:paraId="0C33CD16">
      <w:pPr>
        <w:spacing w:line="560" w:lineRule="exact"/>
        <w:jc w:val="center"/>
        <w:rPr>
          <w:rFonts w:ascii="宋体" w:hAnsi="宋体" w:cs="宋体"/>
          <w:kern w:val="0"/>
          <w:sz w:val="44"/>
          <w:szCs w:val="44"/>
        </w:rPr>
      </w:pPr>
      <w:r>
        <w:rPr>
          <w:rFonts w:hint="eastAsia" w:ascii="宋体" w:hAnsi="宋体" w:cs="宋体"/>
          <w:kern w:val="0"/>
          <w:sz w:val="44"/>
          <w:szCs w:val="44"/>
        </w:rPr>
        <w:t>江西赣安安全生产科学技术咨询服务中心</w:t>
      </w:r>
    </w:p>
    <w:p w14:paraId="11CA8E92">
      <w:pPr>
        <w:spacing w:line="560" w:lineRule="exact"/>
        <w:jc w:val="center"/>
        <w:rPr>
          <w:rFonts w:ascii="宋体" w:hAnsi="宋体" w:cs="宋体"/>
          <w:kern w:val="0"/>
          <w:sz w:val="32"/>
          <w:szCs w:val="32"/>
        </w:rPr>
      </w:pPr>
      <w:r>
        <w:rPr>
          <w:rFonts w:hint="eastAsia" w:ascii="宋体" w:hAnsi="宋体" w:cs="宋体"/>
          <w:kern w:val="0"/>
          <w:sz w:val="32"/>
          <w:szCs w:val="32"/>
        </w:rPr>
        <w:t>资质证书编号：APJ-（赣）-002</w:t>
      </w:r>
    </w:p>
    <w:p w14:paraId="37C328D0">
      <w:pPr>
        <w:spacing w:line="560" w:lineRule="exact"/>
        <w:jc w:val="center"/>
        <w:rPr>
          <w:rFonts w:ascii="宋体" w:hAnsi="宋体" w:cs="宋体"/>
          <w:kern w:val="0"/>
          <w:sz w:val="32"/>
          <w:szCs w:val="32"/>
        </w:rPr>
        <w:sectPr>
          <w:headerReference r:id="rId4" w:type="first"/>
          <w:headerReference r:id="rId3" w:type="default"/>
          <w:footerReference r:id="rId5" w:type="default"/>
          <w:footerReference r:id="rId6" w:type="even"/>
          <w:type w:val="oddPage"/>
          <w:pgSz w:w="11906" w:h="16838"/>
          <w:pgMar w:top="1440" w:right="1800" w:bottom="1440" w:left="1800" w:header="993" w:footer="854" w:gutter="0"/>
          <w:pgNumType w:fmt="upperRoman" w:start="1"/>
          <w:cols w:space="720" w:num="1"/>
          <w:titlePg/>
          <w:docGrid w:linePitch="312" w:charSpace="0"/>
        </w:sectPr>
      </w:pPr>
      <w:r>
        <w:rPr>
          <w:rFonts w:hint="eastAsia" w:ascii="宋体" w:hAnsi="宋体" w:cs="宋体"/>
          <w:kern w:val="0"/>
          <w:sz w:val="32"/>
          <w:szCs w:val="32"/>
        </w:rPr>
        <w:t>二〇二六年三月二十五日</w:t>
      </w:r>
    </w:p>
    <w:p w14:paraId="456F7D59">
      <w:pPr>
        <w:spacing w:line="560" w:lineRule="exact"/>
        <w:jc w:val="center"/>
        <w:rPr>
          <w:rFonts w:ascii="宋体" w:hAnsi="宋体" w:cs="宋体"/>
          <w:kern w:val="0"/>
          <w:sz w:val="32"/>
          <w:szCs w:val="32"/>
        </w:rPr>
      </w:pPr>
    </w:p>
    <w:p w14:paraId="1B46E6AD">
      <w:pPr>
        <w:adjustRightInd w:val="0"/>
        <w:ind w:right="-105" w:rightChars="-50"/>
        <w:jc w:val="center"/>
        <w:rPr>
          <w:rFonts w:ascii="Arial" w:hAnsi="Arial" w:eastAsia="黑体"/>
          <w:sz w:val="52"/>
          <w:szCs w:val="20"/>
        </w:rPr>
      </w:pPr>
    </w:p>
    <w:p w14:paraId="3C6ECCFD">
      <w:pPr>
        <w:spacing w:line="360" w:lineRule="auto"/>
        <w:jc w:val="center"/>
        <w:rPr>
          <w:rFonts w:ascii="宋体" w:hAnsi="宋体"/>
          <w:kern w:val="0"/>
          <w:sz w:val="36"/>
          <w:szCs w:val="36"/>
        </w:rPr>
      </w:pPr>
      <w:r>
        <w:rPr>
          <w:rFonts w:hint="eastAsia" w:ascii="宋体" w:hAnsi="宋体"/>
          <w:kern w:val="0"/>
          <w:sz w:val="36"/>
          <w:szCs w:val="36"/>
        </w:rPr>
        <w:t>黑龙江泰运烟花有限公司</w:t>
      </w:r>
    </w:p>
    <w:p w14:paraId="0B1CCB28">
      <w:pPr>
        <w:widowControl/>
        <w:spacing w:line="360" w:lineRule="auto"/>
        <w:jc w:val="center"/>
        <w:rPr>
          <w:rFonts w:ascii="宋体" w:hAnsi="宋体"/>
          <w:kern w:val="0"/>
          <w:sz w:val="36"/>
          <w:szCs w:val="36"/>
        </w:rPr>
      </w:pPr>
      <w:r>
        <w:rPr>
          <w:rFonts w:hint="eastAsia" w:ascii="宋体" w:hAnsi="宋体"/>
          <w:kern w:val="0"/>
          <w:sz w:val="36"/>
          <w:szCs w:val="36"/>
        </w:rPr>
        <w:t>异地新建烟花爆竹库区项目</w:t>
      </w:r>
    </w:p>
    <w:p w14:paraId="3D9A70FE">
      <w:pPr>
        <w:spacing w:line="360" w:lineRule="auto"/>
        <w:jc w:val="center"/>
        <w:rPr>
          <w:rFonts w:ascii="黑体" w:hAnsi="黑体" w:eastAsia="黑体"/>
          <w:kern w:val="0"/>
          <w:sz w:val="36"/>
          <w:szCs w:val="36"/>
        </w:rPr>
      </w:pPr>
      <w:r>
        <w:rPr>
          <w:rFonts w:hint="eastAsia" w:ascii="黑体" w:hAnsi="黑体" w:eastAsia="黑体"/>
          <w:kern w:val="0"/>
          <w:sz w:val="36"/>
          <w:szCs w:val="36"/>
        </w:rPr>
        <w:t>安全预评价报告</w:t>
      </w:r>
    </w:p>
    <w:p w14:paraId="59DBB1C2">
      <w:pPr>
        <w:spacing w:line="360" w:lineRule="auto"/>
        <w:jc w:val="center"/>
        <w:rPr>
          <w:rFonts w:ascii="宋体" w:hAnsi="宋体"/>
          <w:kern w:val="0"/>
          <w:sz w:val="44"/>
          <w:szCs w:val="44"/>
        </w:rPr>
      </w:pPr>
      <w:r>
        <w:rPr>
          <w:rFonts w:hint="eastAsia" w:ascii="宋体" w:hAnsi="宋体"/>
          <w:kern w:val="0"/>
          <w:sz w:val="44"/>
          <w:szCs w:val="44"/>
        </w:rPr>
        <w:t>（备案稿）</w:t>
      </w:r>
    </w:p>
    <w:p w14:paraId="02B46AAC">
      <w:pPr>
        <w:adjustRightInd w:val="0"/>
        <w:ind w:right="-105" w:rightChars="-50"/>
        <w:jc w:val="center"/>
        <w:rPr>
          <w:rFonts w:ascii="Arial" w:hAnsi="Arial" w:eastAsia="黑体"/>
          <w:sz w:val="52"/>
          <w:szCs w:val="20"/>
        </w:rPr>
      </w:pPr>
    </w:p>
    <w:p w14:paraId="4105D88A">
      <w:pPr>
        <w:adjustRightInd w:val="0"/>
        <w:ind w:right="-105" w:rightChars="-50"/>
        <w:jc w:val="center"/>
        <w:rPr>
          <w:rFonts w:ascii="Arial" w:hAnsi="Arial" w:eastAsia="黑体"/>
          <w:sz w:val="52"/>
          <w:szCs w:val="20"/>
        </w:rPr>
      </w:pPr>
    </w:p>
    <w:p w14:paraId="182B4258">
      <w:pPr>
        <w:adjustRightInd w:val="0"/>
        <w:ind w:right="-105" w:rightChars="-50"/>
        <w:jc w:val="center"/>
        <w:rPr>
          <w:rFonts w:ascii="Arial" w:hAnsi="Arial" w:eastAsia="黑体"/>
          <w:sz w:val="52"/>
          <w:szCs w:val="20"/>
        </w:rPr>
      </w:pPr>
    </w:p>
    <w:p w14:paraId="55EC12EF">
      <w:pPr>
        <w:adjustRightInd w:val="0"/>
        <w:ind w:right="-105" w:rightChars="-50"/>
        <w:jc w:val="center"/>
        <w:rPr>
          <w:rFonts w:ascii="Arial" w:hAnsi="Arial" w:eastAsia="黑体"/>
          <w:sz w:val="52"/>
          <w:szCs w:val="20"/>
        </w:rPr>
      </w:pPr>
    </w:p>
    <w:p w14:paraId="6F98982E">
      <w:pPr>
        <w:adjustRightInd w:val="0"/>
        <w:ind w:right="-105" w:rightChars="-50"/>
        <w:jc w:val="center"/>
        <w:rPr>
          <w:rFonts w:ascii="Arial" w:hAnsi="Arial" w:eastAsia="黑体"/>
          <w:sz w:val="52"/>
          <w:szCs w:val="20"/>
        </w:rPr>
      </w:pPr>
    </w:p>
    <w:p w14:paraId="42190625">
      <w:pPr>
        <w:adjustRightInd w:val="0"/>
        <w:ind w:right="-105" w:rightChars="-50"/>
        <w:jc w:val="center"/>
        <w:rPr>
          <w:rFonts w:ascii="Arial" w:hAnsi="Arial" w:eastAsia="黑体"/>
          <w:sz w:val="52"/>
          <w:szCs w:val="20"/>
        </w:rPr>
      </w:pPr>
    </w:p>
    <w:p w14:paraId="31A88621">
      <w:pPr>
        <w:adjustRightInd w:val="0"/>
        <w:ind w:right="-105" w:rightChars="-50"/>
        <w:jc w:val="center"/>
        <w:rPr>
          <w:rFonts w:ascii="Arial" w:hAnsi="Arial" w:eastAsia="黑体"/>
          <w:sz w:val="52"/>
          <w:szCs w:val="20"/>
        </w:rPr>
      </w:pPr>
    </w:p>
    <w:p w14:paraId="3C830EEB">
      <w:pPr>
        <w:adjustRightInd w:val="0"/>
        <w:ind w:right="-105" w:rightChars="-50"/>
        <w:jc w:val="center"/>
        <w:rPr>
          <w:rFonts w:ascii="Arial" w:hAnsi="Arial" w:eastAsia="黑体"/>
          <w:sz w:val="52"/>
          <w:szCs w:val="20"/>
        </w:rPr>
      </w:pPr>
    </w:p>
    <w:p w14:paraId="3024E9B3">
      <w:pPr>
        <w:adjustRightInd w:val="0"/>
        <w:ind w:right="-105" w:rightChars="-50"/>
        <w:jc w:val="center"/>
        <w:rPr>
          <w:rFonts w:ascii="Arial" w:hAnsi="Arial" w:eastAsia="黑体"/>
          <w:sz w:val="52"/>
          <w:szCs w:val="20"/>
        </w:rPr>
      </w:pPr>
    </w:p>
    <w:p w14:paraId="1DC55D35">
      <w:pPr>
        <w:spacing w:line="360" w:lineRule="auto"/>
        <w:jc w:val="center"/>
        <w:rPr>
          <w:rFonts w:ascii="宋体" w:hAnsi="宋体"/>
          <w:b w:val="0"/>
          <w:sz w:val="28"/>
          <w:szCs w:val="20"/>
        </w:rPr>
      </w:pPr>
      <w:r>
        <w:rPr>
          <w:rFonts w:hint="eastAsia" w:ascii="宋体" w:hAnsi="宋体"/>
          <w:b w:val="0"/>
          <w:sz w:val="28"/>
          <w:szCs w:val="20"/>
        </w:rPr>
        <w:t>法定代表人：</w:t>
      </w:r>
      <w:r>
        <w:rPr>
          <w:rFonts w:hint="eastAsia" w:ascii="宋体" w:hAnsi="宋体"/>
          <w:b w:val="0"/>
          <w:sz w:val="28"/>
        </w:rPr>
        <w:t>应 宏</w:t>
      </w:r>
    </w:p>
    <w:p w14:paraId="2D523B76">
      <w:pPr>
        <w:spacing w:line="360" w:lineRule="auto"/>
        <w:jc w:val="center"/>
        <w:rPr>
          <w:rFonts w:ascii="宋体" w:hAnsi="宋体"/>
          <w:b w:val="0"/>
          <w:sz w:val="28"/>
        </w:rPr>
      </w:pPr>
      <w:r>
        <w:rPr>
          <w:rFonts w:hint="eastAsia" w:ascii="宋体" w:hAnsi="宋体"/>
          <w:b w:val="0"/>
          <w:sz w:val="28"/>
          <w:szCs w:val="20"/>
        </w:rPr>
        <w:t>技术负责人：</w:t>
      </w:r>
      <w:r>
        <w:rPr>
          <w:rFonts w:hint="eastAsia" w:ascii="宋体" w:hAnsi="宋体"/>
          <w:b w:val="0"/>
          <w:sz w:val="28"/>
        </w:rPr>
        <w:t>应 宏</w:t>
      </w:r>
    </w:p>
    <w:p w14:paraId="6F1D2924">
      <w:pPr>
        <w:spacing w:line="360" w:lineRule="auto"/>
        <w:jc w:val="center"/>
        <w:rPr>
          <w:rFonts w:ascii="宋体" w:hAnsi="宋体"/>
          <w:b w:val="0"/>
          <w:sz w:val="28"/>
          <w:szCs w:val="20"/>
        </w:rPr>
      </w:pPr>
      <w:r>
        <w:rPr>
          <w:rFonts w:hint="eastAsia" w:ascii="宋体" w:hAnsi="宋体"/>
          <w:b w:val="0"/>
          <w:sz w:val="28"/>
          <w:szCs w:val="20"/>
        </w:rPr>
        <w:t>评价项目负责人：</w:t>
      </w:r>
      <w:r>
        <w:rPr>
          <w:rFonts w:hint="eastAsia" w:ascii="宋体" w:hAnsi="宋体"/>
          <w:b w:val="0"/>
          <w:bCs/>
          <w:sz w:val="28"/>
          <w:szCs w:val="20"/>
        </w:rPr>
        <w:t>王建新</w:t>
      </w:r>
    </w:p>
    <w:p w14:paraId="51C35881">
      <w:pPr>
        <w:adjustRightInd w:val="0"/>
        <w:snapToGrid w:val="0"/>
        <w:spacing w:line="520" w:lineRule="exact"/>
        <w:jc w:val="center"/>
        <w:rPr>
          <w:rFonts w:ascii="宋体" w:hAnsi="宋体" w:cs="宋体"/>
          <w:sz w:val="28"/>
          <w:szCs w:val="28"/>
        </w:rPr>
      </w:pPr>
      <w:r>
        <w:rPr>
          <w:rFonts w:hint="eastAsia" w:ascii="宋体" w:hAnsi="宋体" w:cs="宋体"/>
          <w:sz w:val="28"/>
          <w:szCs w:val="28"/>
        </w:rPr>
        <w:t>报告完成时间：二○二六年三月二十五日</w:t>
      </w:r>
    </w:p>
    <w:p w14:paraId="3D2C80BB">
      <w:pPr>
        <w:widowControl/>
        <w:spacing w:before="240" w:beforeLines="100" w:line="360" w:lineRule="auto"/>
        <w:jc w:val="center"/>
        <w:rPr>
          <w:rFonts w:ascii="宋体" w:hAnsi="宋体"/>
          <w:b w:val="0"/>
          <w:kern w:val="0"/>
          <w:sz w:val="40"/>
          <w:szCs w:val="40"/>
        </w:rPr>
      </w:pPr>
      <w:r>
        <w:rPr>
          <w:rFonts w:ascii="Arial" w:hAnsi="Arial" w:cs="Arial"/>
          <w:b w:val="0"/>
          <w:sz w:val="28"/>
          <w:szCs w:val="28"/>
        </w:rPr>
        <w:br w:type="page"/>
      </w:r>
      <w:r>
        <w:rPr>
          <w:rFonts w:hint="eastAsia" w:ascii="宋体" w:hAnsi="宋体"/>
          <w:b w:val="0"/>
          <w:kern w:val="0"/>
          <w:sz w:val="40"/>
          <w:szCs w:val="40"/>
        </w:rPr>
        <w:t>黑龙江泰运烟花有限公司</w:t>
      </w:r>
    </w:p>
    <w:p w14:paraId="11E6C496">
      <w:pPr>
        <w:widowControl/>
        <w:spacing w:line="360" w:lineRule="auto"/>
        <w:jc w:val="center"/>
        <w:rPr>
          <w:rFonts w:ascii="宋体" w:hAnsi="宋体"/>
          <w:b w:val="0"/>
          <w:bCs/>
          <w:kern w:val="0"/>
          <w:sz w:val="40"/>
          <w:szCs w:val="40"/>
        </w:rPr>
      </w:pPr>
      <w:r>
        <w:rPr>
          <w:rFonts w:hint="eastAsia" w:ascii="宋体" w:hAnsi="宋体"/>
          <w:b w:val="0"/>
          <w:bCs/>
          <w:kern w:val="0"/>
          <w:sz w:val="40"/>
          <w:szCs w:val="40"/>
        </w:rPr>
        <w:t>异地新建烟花爆竹库区项目</w:t>
      </w:r>
    </w:p>
    <w:p w14:paraId="45C14462">
      <w:pPr>
        <w:widowControl/>
        <w:spacing w:before="100" w:beforeAutospacing="1" w:after="100" w:afterAutospacing="1" w:line="600" w:lineRule="exact"/>
        <w:jc w:val="center"/>
        <w:rPr>
          <w:rFonts w:ascii="宋体" w:hAnsi="宋体" w:cs="宋体"/>
          <w:b w:val="0"/>
          <w:kern w:val="0"/>
          <w:sz w:val="36"/>
          <w:szCs w:val="36"/>
        </w:rPr>
      </w:pPr>
      <w:r>
        <w:rPr>
          <w:rFonts w:hint="eastAsia" w:ascii="宋体" w:hAnsi="宋体" w:cs="宋体"/>
          <w:b w:val="0"/>
          <w:kern w:val="0"/>
          <w:sz w:val="36"/>
          <w:szCs w:val="36"/>
        </w:rPr>
        <w:t>安全预</w:t>
      </w:r>
      <w:r>
        <w:rPr>
          <w:rFonts w:ascii="宋体" w:hAnsi="宋体" w:cs="宋体"/>
          <w:b w:val="0"/>
          <w:kern w:val="0"/>
          <w:sz w:val="36"/>
          <w:szCs w:val="36"/>
        </w:rPr>
        <w:t>评价</w:t>
      </w:r>
      <w:r>
        <w:rPr>
          <w:rFonts w:hint="eastAsia" w:ascii="宋体" w:hAnsi="宋体" w:cs="宋体"/>
          <w:b w:val="0"/>
          <w:kern w:val="0"/>
          <w:sz w:val="36"/>
          <w:szCs w:val="36"/>
        </w:rPr>
        <w:t>技术服务</w:t>
      </w:r>
      <w:r>
        <w:rPr>
          <w:rFonts w:ascii="宋体" w:hAnsi="宋体" w:cs="宋体"/>
          <w:b w:val="0"/>
          <w:kern w:val="0"/>
          <w:sz w:val="36"/>
          <w:szCs w:val="36"/>
        </w:rPr>
        <w:t>承诺书</w:t>
      </w:r>
    </w:p>
    <w:p w14:paraId="663FB21C">
      <w:pPr>
        <w:widowControl/>
        <w:spacing w:line="420" w:lineRule="auto"/>
        <w:ind w:firstLine="640" w:firstLineChars="200"/>
        <w:rPr>
          <w:rFonts w:ascii="宋体" w:hAnsi="宋体" w:cs="宋体"/>
          <w:b w:val="0"/>
          <w:kern w:val="0"/>
          <w:sz w:val="32"/>
          <w:szCs w:val="32"/>
        </w:rPr>
      </w:pPr>
      <w:r>
        <w:rPr>
          <w:rFonts w:hint="eastAsia" w:ascii="宋体" w:hAnsi="宋体" w:cs="宋体"/>
          <w:b w:val="0"/>
          <w:kern w:val="0"/>
          <w:sz w:val="32"/>
          <w:szCs w:val="32"/>
        </w:rPr>
        <w:t xml:space="preserve">一、在本项目安全评价活动过程中，我单位严格遵守《安全生产法》及相关法律、法规和标准的要求。  </w:t>
      </w:r>
    </w:p>
    <w:p w14:paraId="3FEEE516">
      <w:pPr>
        <w:widowControl/>
        <w:spacing w:line="420" w:lineRule="auto"/>
        <w:ind w:firstLine="640" w:firstLineChars="200"/>
        <w:rPr>
          <w:rFonts w:ascii="宋体" w:hAnsi="宋体" w:cs="宋体"/>
          <w:b w:val="0"/>
          <w:kern w:val="0"/>
          <w:sz w:val="32"/>
          <w:szCs w:val="32"/>
        </w:rPr>
      </w:pPr>
      <w:r>
        <w:rPr>
          <w:rFonts w:hint="eastAsia" w:ascii="宋体" w:hAnsi="宋体" w:cs="宋体"/>
          <w:b w:val="0"/>
          <w:kern w:val="0"/>
          <w:sz w:val="32"/>
          <w:szCs w:val="32"/>
        </w:rPr>
        <w:t>二、在本项目安全评价活动过程中，我单位作为第三方，未受到任何组织和个人的干预和影响，依法独立开展工作，保证了技术服务活动的客观公正性。</w:t>
      </w:r>
    </w:p>
    <w:p w14:paraId="03C268B6">
      <w:pPr>
        <w:widowControl/>
        <w:spacing w:line="420" w:lineRule="auto"/>
        <w:ind w:firstLine="640" w:firstLineChars="200"/>
        <w:rPr>
          <w:rFonts w:ascii="宋体" w:hAnsi="宋体" w:cs="宋体"/>
          <w:b w:val="0"/>
          <w:kern w:val="0"/>
          <w:sz w:val="32"/>
          <w:szCs w:val="32"/>
        </w:rPr>
      </w:pPr>
      <w:r>
        <w:rPr>
          <w:rFonts w:hint="eastAsia" w:ascii="宋体" w:hAnsi="宋体" w:cs="宋体"/>
          <w:b w:val="0"/>
          <w:kern w:val="0"/>
          <w:sz w:val="32"/>
          <w:szCs w:val="32"/>
        </w:rPr>
        <w:t>三、我单位按照实事求是的原则，对本项目进行安全评价，确保出具的报告均真实有效，报告所提出的措施具有针对性、有效性和可行性。</w:t>
      </w:r>
    </w:p>
    <w:p w14:paraId="576E54E3">
      <w:pPr>
        <w:widowControl/>
        <w:spacing w:line="420" w:lineRule="auto"/>
        <w:ind w:firstLine="640" w:firstLineChars="200"/>
        <w:rPr>
          <w:rFonts w:ascii="宋体" w:hAnsi="宋体" w:cs="宋体"/>
          <w:b w:val="0"/>
          <w:kern w:val="0"/>
          <w:sz w:val="32"/>
          <w:szCs w:val="32"/>
        </w:rPr>
      </w:pPr>
      <w:r>
        <w:rPr>
          <w:rFonts w:hint="eastAsia" w:ascii="宋体" w:hAnsi="宋体" w:cs="宋体"/>
          <w:b w:val="0"/>
          <w:kern w:val="0"/>
          <w:sz w:val="32"/>
          <w:szCs w:val="32"/>
        </w:rPr>
        <w:t xml:space="preserve">四、我单位对本项目安全评价报告中结论性内容承担法律责任。 </w:t>
      </w:r>
    </w:p>
    <w:p w14:paraId="397B9082">
      <w:pPr>
        <w:widowControl/>
        <w:wordWrap w:val="0"/>
        <w:spacing w:before="100" w:beforeAutospacing="1" w:after="100" w:afterAutospacing="1" w:line="425" w:lineRule="auto"/>
        <w:ind w:firstLine="480"/>
        <w:jc w:val="left"/>
        <w:rPr>
          <w:rFonts w:ascii="宋体" w:hAnsi="宋体" w:cs="宋体"/>
          <w:b w:val="0"/>
          <w:kern w:val="0"/>
          <w:sz w:val="10"/>
          <w:szCs w:val="10"/>
        </w:rPr>
      </w:pPr>
      <w:r>
        <w:rPr>
          <w:rFonts w:hint="eastAsia" w:ascii="宋体" w:hAnsi="宋体" w:cs="宋体"/>
          <w:b w:val="0"/>
          <w:kern w:val="0"/>
          <w:sz w:val="10"/>
          <w:szCs w:val="10"/>
        </w:rPr>
        <w:t xml:space="preserve">                     </w:t>
      </w:r>
    </w:p>
    <w:p w14:paraId="27D6CA4B">
      <w:pPr>
        <w:widowControl/>
        <w:wordWrap w:val="0"/>
        <w:spacing w:line="360" w:lineRule="auto"/>
        <w:ind w:left="5280" w:hanging="5280" w:hangingChars="1650"/>
        <w:jc w:val="right"/>
        <w:rPr>
          <w:rFonts w:ascii="宋体" w:hAnsi="宋体" w:cs="宋体"/>
          <w:b w:val="0"/>
          <w:kern w:val="0"/>
          <w:sz w:val="30"/>
          <w:szCs w:val="30"/>
        </w:rPr>
      </w:pPr>
      <w:r>
        <w:rPr>
          <w:rFonts w:hint="eastAsia" w:ascii="宋体" w:hAnsi="宋体" w:cs="宋体"/>
          <w:b w:val="0"/>
          <w:kern w:val="0"/>
          <w:sz w:val="32"/>
          <w:szCs w:val="32"/>
        </w:rPr>
        <w:t xml:space="preserve">                </w:t>
      </w:r>
      <w:r>
        <w:rPr>
          <w:rFonts w:ascii="宋体" w:hAnsi="宋体"/>
          <w:b w:val="0"/>
          <w:sz w:val="30"/>
          <w:szCs w:val="30"/>
        </w:rPr>
        <w:t>江西赣安安全生产科学技术咨询服务中心</w:t>
      </w:r>
    </w:p>
    <w:p w14:paraId="39D412C0">
      <w:pPr>
        <w:jc w:val="center"/>
        <w:rPr>
          <w:rFonts w:ascii="宋体" w:hAnsi="宋体" w:cs="宋体"/>
          <w:b w:val="0"/>
          <w:kern w:val="0"/>
          <w:sz w:val="32"/>
          <w:szCs w:val="32"/>
        </w:rPr>
      </w:pPr>
      <w:r>
        <w:rPr>
          <w:rFonts w:hint="eastAsia" w:ascii="宋体" w:hAnsi="宋体" w:cs="宋体"/>
          <w:b w:val="0"/>
          <w:kern w:val="0"/>
          <w:sz w:val="32"/>
          <w:szCs w:val="32"/>
        </w:rPr>
        <w:t xml:space="preserve">                             202</w:t>
      </w:r>
      <w:r>
        <w:rPr>
          <w:rFonts w:ascii="宋体" w:hAnsi="宋体" w:cs="宋体"/>
          <w:b w:val="0"/>
          <w:kern w:val="0"/>
          <w:sz w:val="32"/>
          <w:szCs w:val="32"/>
        </w:rPr>
        <w:t>6</w:t>
      </w:r>
      <w:r>
        <w:rPr>
          <w:rFonts w:hint="eastAsia" w:ascii="宋体" w:hAnsi="宋体" w:cs="宋体"/>
          <w:b w:val="0"/>
          <w:kern w:val="0"/>
          <w:sz w:val="32"/>
          <w:szCs w:val="32"/>
        </w:rPr>
        <w:t>年0</w:t>
      </w:r>
      <w:r>
        <w:rPr>
          <w:rFonts w:ascii="宋体" w:hAnsi="宋体" w:cs="宋体"/>
          <w:b w:val="0"/>
          <w:kern w:val="0"/>
          <w:sz w:val="32"/>
          <w:szCs w:val="32"/>
        </w:rPr>
        <w:t>3</w:t>
      </w:r>
      <w:r>
        <w:rPr>
          <w:rFonts w:hint="eastAsia" w:ascii="宋体" w:hAnsi="宋体" w:cs="宋体"/>
          <w:b w:val="0"/>
          <w:kern w:val="0"/>
          <w:sz w:val="32"/>
          <w:szCs w:val="32"/>
        </w:rPr>
        <w:t>月</w:t>
      </w:r>
      <w:r>
        <w:rPr>
          <w:rFonts w:ascii="宋体" w:hAnsi="宋体" w:cs="宋体"/>
          <w:b w:val="0"/>
          <w:kern w:val="0"/>
          <w:sz w:val="32"/>
          <w:szCs w:val="32"/>
        </w:rPr>
        <w:t>25</w:t>
      </w:r>
      <w:r>
        <w:rPr>
          <w:rFonts w:hint="eastAsia" w:ascii="宋体" w:hAnsi="宋体" w:cs="宋体"/>
          <w:b w:val="0"/>
          <w:kern w:val="0"/>
          <w:sz w:val="32"/>
          <w:szCs w:val="32"/>
        </w:rPr>
        <w:t>日</w:t>
      </w:r>
    </w:p>
    <w:p w14:paraId="7E5B49D2">
      <w:pPr>
        <w:adjustRightInd w:val="0"/>
        <w:snapToGrid w:val="0"/>
        <w:spacing w:line="360" w:lineRule="auto"/>
        <w:ind w:firstLine="560" w:firstLineChars="200"/>
        <w:jc w:val="center"/>
        <w:rPr>
          <w:rFonts w:ascii="Arial" w:hAnsi="Arial" w:cs="Arial"/>
          <w:b w:val="0"/>
          <w:sz w:val="28"/>
          <w:szCs w:val="28"/>
        </w:rPr>
        <w:sectPr>
          <w:headerReference r:id="rId8" w:type="first"/>
          <w:footerReference r:id="rId10" w:type="first"/>
          <w:headerReference r:id="rId7" w:type="default"/>
          <w:footerReference r:id="rId9" w:type="default"/>
          <w:pgSz w:w="11906" w:h="16838"/>
          <w:pgMar w:top="1440" w:right="1800" w:bottom="1440" w:left="1800" w:header="851" w:footer="854" w:gutter="0"/>
          <w:pgNumType w:fmt="upperRoman" w:start="1"/>
          <w:cols w:space="720" w:num="1"/>
          <w:titlePg/>
          <w:docGrid w:linePitch="312" w:charSpace="0"/>
        </w:sectPr>
      </w:pPr>
    </w:p>
    <w:p w14:paraId="59597B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sz w:val="32"/>
        </w:rPr>
      </w:pPr>
      <w:r>
        <w:rPr>
          <w:rFonts w:hint="eastAsia" w:ascii="宋体" w:hAnsi="宋体"/>
          <w:sz w:val="32"/>
        </w:rPr>
        <w:t>黑龙江泰运烟花有限公司</w:t>
      </w:r>
    </w:p>
    <w:p w14:paraId="06BA9F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32"/>
        </w:rPr>
      </w:pPr>
      <w:r>
        <w:rPr>
          <w:rFonts w:hint="eastAsia" w:ascii="宋体" w:hAnsi="宋体"/>
          <w:sz w:val="32"/>
        </w:rPr>
        <w:t>异地新建烟花爆竹库区项目</w:t>
      </w:r>
    </w:p>
    <w:p w14:paraId="143F8B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sz w:val="32"/>
        </w:rPr>
      </w:pPr>
      <w:r>
        <w:rPr>
          <w:rFonts w:hint="eastAsia" w:ascii="宋体" w:hAnsi="宋体"/>
          <w:sz w:val="32"/>
        </w:rPr>
        <w:t>安全预评价报告</w:t>
      </w:r>
    </w:p>
    <w:p w14:paraId="253CF653">
      <w:pPr>
        <w:jc w:val="center"/>
        <w:rPr>
          <w:rFonts w:ascii="宋体" w:hAnsi="宋体"/>
          <w:sz w:val="32"/>
        </w:rPr>
      </w:pPr>
      <w:r>
        <w:rPr>
          <w:rFonts w:hint="eastAsia" w:ascii="宋体" w:hAnsi="宋体"/>
          <w:sz w:val="32"/>
        </w:rPr>
        <w:t>评 价 人 员</w:t>
      </w:r>
    </w:p>
    <w:tbl>
      <w:tblPr>
        <w:tblStyle w:val="49"/>
        <w:tblW w:w="9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099"/>
        <w:gridCol w:w="2977"/>
        <w:gridCol w:w="1276"/>
        <w:gridCol w:w="1275"/>
        <w:gridCol w:w="1311"/>
      </w:tblGrid>
      <w:tr w14:paraId="77F0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490" w:type="dxa"/>
            <w:vAlign w:val="center"/>
          </w:tcPr>
          <w:p w14:paraId="5F62C2AE">
            <w:pPr>
              <w:jc w:val="center"/>
              <w:rPr>
                <w:rFonts w:ascii="宋体" w:hAnsi="宋体" w:cs="宋体"/>
                <w:b w:val="0"/>
                <w:bCs/>
                <w:sz w:val="24"/>
              </w:rPr>
            </w:pPr>
          </w:p>
        </w:tc>
        <w:tc>
          <w:tcPr>
            <w:tcW w:w="1099" w:type="dxa"/>
            <w:vAlign w:val="center"/>
          </w:tcPr>
          <w:p w14:paraId="1699209C">
            <w:pPr>
              <w:jc w:val="center"/>
              <w:rPr>
                <w:rFonts w:ascii="宋体" w:hAnsi="宋体" w:cs="宋体"/>
                <w:b w:val="0"/>
                <w:bCs/>
                <w:sz w:val="24"/>
              </w:rPr>
            </w:pPr>
            <w:r>
              <w:rPr>
                <w:rFonts w:hint="eastAsia" w:ascii="宋体" w:hAnsi="宋体" w:cs="宋体"/>
                <w:b w:val="0"/>
                <w:bCs/>
                <w:sz w:val="24"/>
              </w:rPr>
              <w:t>姓名</w:t>
            </w:r>
          </w:p>
        </w:tc>
        <w:tc>
          <w:tcPr>
            <w:tcW w:w="2977" w:type="dxa"/>
            <w:vAlign w:val="center"/>
          </w:tcPr>
          <w:p w14:paraId="5DA91DB7">
            <w:pPr>
              <w:jc w:val="center"/>
              <w:rPr>
                <w:rFonts w:ascii="宋体" w:hAnsi="宋体" w:cs="宋体"/>
                <w:b w:val="0"/>
                <w:bCs/>
                <w:sz w:val="24"/>
              </w:rPr>
            </w:pPr>
            <w:r>
              <w:rPr>
                <w:rFonts w:hint="eastAsia" w:ascii="宋体" w:hAnsi="宋体" w:cs="宋体"/>
                <w:b w:val="0"/>
                <w:bCs/>
                <w:sz w:val="24"/>
              </w:rPr>
              <w:t>职业资格证书号</w:t>
            </w:r>
          </w:p>
        </w:tc>
        <w:tc>
          <w:tcPr>
            <w:tcW w:w="1276" w:type="dxa"/>
            <w:vAlign w:val="center"/>
          </w:tcPr>
          <w:p w14:paraId="79FE1755">
            <w:pPr>
              <w:jc w:val="center"/>
              <w:rPr>
                <w:rFonts w:ascii="宋体" w:hAnsi="宋体" w:cs="宋体"/>
                <w:b w:val="0"/>
                <w:bCs/>
                <w:sz w:val="24"/>
              </w:rPr>
            </w:pPr>
            <w:r>
              <w:rPr>
                <w:rFonts w:hint="eastAsia" w:ascii="宋体" w:hAnsi="宋体" w:cs="宋体"/>
                <w:b w:val="0"/>
                <w:bCs/>
                <w:sz w:val="24"/>
              </w:rPr>
              <w:t>从业信息</w:t>
            </w:r>
          </w:p>
          <w:p w14:paraId="3CF09B98">
            <w:pPr>
              <w:jc w:val="center"/>
              <w:rPr>
                <w:rFonts w:ascii="宋体" w:hAnsi="宋体" w:cs="宋体"/>
                <w:b w:val="0"/>
                <w:bCs/>
                <w:sz w:val="24"/>
              </w:rPr>
            </w:pPr>
            <w:r>
              <w:rPr>
                <w:rFonts w:hint="eastAsia" w:ascii="宋体" w:hAnsi="宋体" w:cs="宋体"/>
                <w:b w:val="0"/>
                <w:bCs/>
                <w:sz w:val="24"/>
              </w:rPr>
              <w:t>识别卡号</w:t>
            </w:r>
          </w:p>
        </w:tc>
        <w:tc>
          <w:tcPr>
            <w:tcW w:w="1275" w:type="dxa"/>
            <w:vAlign w:val="center"/>
          </w:tcPr>
          <w:p w14:paraId="497F9AAC">
            <w:pPr>
              <w:jc w:val="center"/>
              <w:rPr>
                <w:rFonts w:ascii="宋体" w:hAnsi="宋体" w:cs="宋体"/>
                <w:b w:val="0"/>
                <w:bCs/>
                <w:sz w:val="24"/>
              </w:rPr>
            </w:pPr>
            <w:r>
              <w:rPr>
                <w:rFonts w:hint="eastAsia" w:ascii="宋体" w:hAnsi="宋体" w:cs="宋体"/>
                <w:b w:val="0"/>
                <w:bCs/>
                <w:sz w:val="24"/>
              </w:rPr>
              <w:t>专业</w:t>
            </w:r>
          </w:p>
        </w:tc>
        <w:tc>
          <w:tcPr>
            <w:tcW w:w="1311" w:type="dxa"/>
            <w:vAlign w:val="center"/>
          </w:tcPr>
          <w:p w14:paraId="1804EB52">
            <w:pPr>
              <w:jc w:val="center"/>
              <w:rPr>
                <w:rFonts w:ascii="宋体" w:hAnsi="宋体" w:cs="宋体"/>
                <w:b w:val="0"/>
                <w:bCs/>
                <w:sz w:val="24"/>
              </w:rPr>
            </w:pPr>
            <w:r>
              <w:rPr>
                <w:rFonts w:hint="eastAsia" w:ascii="宋体" w:hAnsi="宋体" w:cs="宋体"/>
                <w:b w:val="0"/>
                <w:bCs/>
                <w:sz w:val="24"/>
              </w:rPr>
              <w:t>签字</w:t>
            </w:r>
          </w:p>
        </w:tc>
      </w:tr>
      <w:tr w14:paraId="073F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490" w:type="dxa"/>
            <w:vAlign w:val="center"/>
          </w:tcPr>
          <w:p w14:paraId="7C76B3D7">
            <w:pPr>
              <w:jc w:val="center"/>
              <w:rPr>
                <w:rFonts w:ascii="宋体" w:hAnsi="宋体" w:cs="宋体"/>
                <w:b w:val="0"/>
                <w:bCs/>
                <w:sz w:val="24"/>
              </w:rPr>
            </w:pPr>
            <w:r>
              <w:rPr>
                <w:rFonts w:hint="eastAsia" w:ascii="宋体" w:hAnsi="宋体" w:cs="宋体"/>
                <w:b w:val="0"/>
                <w:bCs/>
                <w:sz w:val="24"/>
              </w:rPr>
              <w:t>项目负责人</w:t>
            </w:r>
          </w:p>
        </w:tc>
        <w:tc>
          <w:tcPr>
            <w:tcW w:w="1099" w:type="dxa"/>
            <w:vAlign w:val="center"/>
          </w:tcPr>
          <w:p w14:paraId="54600995">
            <w:pPr>
              <w:jc w:val="center"/>
              <w:rPr>
                <w:rFonts w:ascii="宋体" w:hAnsi="宋体" w:cs="宋体"/>
                <w:b w:val="0"/>
                <w:bCs/>
                <w:sz w:val="24"/>
              </w:rPr>
            </w:pPr>
            <w:r>
              <w:rPr>
                <w:rFonts w:hint="eastAsia" w:ascii="宋体" w:hAnsi="宋体" w:cs="宋体"/>
                <w:b w:val="0"/>
                <w:bCs/>
                <w:sz w:val="24"/>
              </w:rPr>
              <w:t>王建新</w:t>
            </w:r>
          </w:p>
        </w:tc>
        <w:tc>
          <w:tcPr>
            <w:tcW w:w="2977" w:type="dxa"/>
            <w:vAlign w:val="center"/>
          </w:tcPr>
          <w:p w14:paraId="191EB1EC">
            <w:pPr>
              <w:jc w:val="center"/>
              <w:rPr>
                <w:rFonts w:ascii="宋体" w:hAnsi="宋体" w:cs="宋体"/>
                <w:b w:val="0"/>
                <w:bCs/>
                <w:sz w:val="24"/>
              </w:rPr>
            </w:pPr>
            <w:r>
              <w:rPr>
                <w:rFonts w:hint="eastAsia" w:ascii="宋体" w:hAnsi="宋体" w:cs="宋体"/>
                <w:b w:val="0"/>
                <w:bCs/>
                <w:sz w:val="24"/>
              </w:rPr>
              <w:t>1200000000100297</w:t>
            </w:r>
          </w:p>
        </w:tc>
        <w:tc>
          <w:tcPr>
            <w:tcW w:w="1276" w:type="dxa"/>
            <w:vAlign w:val="center"/>
          </w:tcPr>
          <w:p w14:paraId="639B295C">
            <w:pPr>
              <w:jc w:val="center"/>
              <w:rPr>
                <w:rFonts w:ascii="宋体" w:hAnsi="宋体" w:cs="宋体"/>
                <w:b w:val="0"/>
                <w:bCs/>
                <w:sz w:val="24"/>
              </w:rPr>
            </w:pPr>
            <w:r>
              <w:rPr>
                <w:rFonts w:hint="eastAsia" w:ascii="宋体" w:hAnsi="宋体" w:cs="宋体"/>
                <w:b w:val="0"/>
                <w:bCs/>
                <w:sz w:val="24"/>
              </w:rPr>
              <w:t>009826</w:t>
            </w:r>
          </w:p>
        </w:tc>
        <w:tc>
          <w:tcPr>
            <w:tcW w:w="1275" w:type="dxa"/>
            <w:vAlign w:val="center"/>
          </w:tcPr>
          <w:p w14:paraId="7C930498">
            <w:pPr>
              <w:snapToGrid w:val="0"/>
              <w:jc w:val="center"/>
              <w:rPr>
                <w:rFonts w:ascii="宋体" w:hAnsi="宋体" w:cs="宋体"/>
                <w:b w:val="0"/>
                <w:bCs/>
                <w:sz w:val="24"/>
              </w:rPr>
            </w:pPr>
            <w:r>
              <w:rPr>
                <w:rFonts w:hint="eastAsia" w:ascii="宋体" w:hAnsi="宋体" w:cs="宋体"/>
                <w:b w:val="0"/>
                <w:bCs/>
                <w:sz w:val="24"/>
              </w:rPr>
              <w:t>爆炸技术</w:t>
            </w:r>
          </w:p>
        </w:tc>
        <w:tc>
          <w:tcPr>
            <w:tcW w:w="1311" w:type="dxa"/>
            <w:vAlign w:val="center"/>
          </w:tcPr>
          <w:p w14:paraId="02A323C9">
            <w:pPr>
              <w:snapToGrid w:val="0"/>
              <w:jc w:val="center"/>
              <w:rPr>
                <w:rFonts w:ascii="宋体" w:hAnsi="宋体" w:cs="宋体"/>
                <w:b w:val="0"/>
                <w:bCs/>
                <w:sz w:val="24"/>
              </w:rPr>
            </w:pPr>
          </w:p>
        </w:tc>
      </w:tr>
      <w:tr w14:paraId="3E7B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490" w:type="dxa"/>
            <w:vMerge w:val="restart"/>
            <w:vAlign w:val="center"/>
          </w:tcPr>
          <w:p w14:paraId="2D22F327">
            <w:pPr>
              <w:jc w:val="center"/>
              <w:rPr>
                <w:rFonts w:ascii="宋体" w:hAnsi="宋体" w:cs="宋体"/>
                <w:b w:val="0"/>
                <w:bCs/>
                <w:sz w:val="24"/>
              </w:rPr>
            </w:pPr>
            <w:r>
              <w:rPr>
                <w:rFonts w:hint="eastAsia" w:ascii="宋体" w:hAnsi="宋体" w:cs="宋体"/>
                <w:b w:val="0"/>
                <w:bCs/>
                <w:sz w:val="24"/>
              </w:rPr>
              <w:t>项目组成员</w:t>
            </w:r>
          </w:p>
        </w:tc>
        <w:tc>
          <w:tcPr>
            <w:tcW w:w="1099" w:type="dxa"/>
            <w:vAlign w:val="center"/>
          </w:tcPr>
          <w:p w14:paraId="2A7B840A">
            <w:pPr>
              <w:jc w:val="center"/>
              <w:rPr>
                <w:rFonts w:ascii="宋体" w:hAnsi="宋体" w:cs="宋体"/>
                <w:b w:val="0"/>
                <w:bCs/>
                <w:sz w:val="24"/>
              </w:rPr>
            </w:pPr>
            <w:r>
              <w:rPr>
                <w:rFonts w:hint="eastAsia" w:ascii="宋体" w:hAnsi="宋体" w:cs="宋体"/>
                <w:b w:val="0"/>
                <w:bCs/>
                <w:sz w:val="24"/>
              </w:rPr>
              <w:t>王建新</w:t>
            </w:r>
          </w:p>
        </w:tc>
        <w:tc>
          <w:tcPr>
            <w:tcW w:w="2977" w:type="dxa"/>
            <w:vAlign w:val="center"/>
          </w:tcPr>
          <w:p w14:paraId="5DBEF856">
            <w:pPr>
              <w:jc w:val="center"/>
              <w:rPr>
                <w:rFonts w:ascii="宋体" w:hAnsi="宋体" w:cs="宋体"/>
                <w:b w:val="0"/>
                <w:bCs/>
                <w:sz w:val="24"/>
              </w:rPr>
            </w:pPr>
            <w:r>
              <w:rPr>
                <w:rFonts w:hint="eastAsia" w:ascii="宋体" w:hAnsi="宋体" w:cs="宋体"/>
                <w:b w:val="0"/>
                <w:bCs/>
                <w:sz w:val="24"/>
              </w:rPr>
              <w:t>1200000000100297</w:t>
            </w:r>
          </w:p>
        </w:tc>
        <w:tc>
          <w:tcPr>
            <w:tcW w:w="1276" w:type="dxa"/>
            <w:vAlign w:val="center"/>
          </w:tcPr>
          <w:p w14:paraId="3D743686">
            <w:pPr>
              <w:jc w:val="center"/>
              <w:rPr>
                <w:rFonts w:ascii="宋体" w:hAnsi="宋体" w:cs="宋体"/>
                <w:b w:val="0"/>
                <w:bCs/>
                <w:sz w:val="24"/>
              </w:rPr>
            </w:pPr>
            <w:r>
              <w:rPr>
                <w:rFonts w:hint="eastAsia" w:ascii="宋体" w:hAnsi="宋体" w:cs="宋体"/>
                <w:b w:val="0"/>
                <w:bCs/>
                <w:sz w:val="24"/>
              </w:rPr>
              <w:t>009826</w:t>
            </w:r>
          </w:p>
        </w:tc>
        <w:tc>
          <w:tcPr>
            <w:tcW w:w="1275" w:type="dxa"/>
            <w:vAlign w:val="center"/>
          </w:tcPr>
          <w:p w14:paraId="2B6DA11E">
            <w:pPr>
              <w:snapToGrid w:val="0"/>
              <w:jc w:val="center"/>
              <w:rPr>
                <w:rFonts w:ascii="宋体" w:hAnsi="宋体" w:cs="宋体"/>
                <w:b w:val="0"/>
                <w:bCs/>
                <w:sz w:val="24"/>
              </w:rPr>
            </w:pPr>
            <w:r>
              <w:rPr>
                <w:rFonts w:hint="eastAsia" w:ascii="宋体" w:hAnsi="宋体" w:cs="宋体"/>
                <w:b w:val="0"/>
                <w:bCs/>
                <w:sz w:val="24"/>
              </w:rPr>
              <w:t>爆炸技术</w:t>
            </w:r>
          </w:p>
        </w:tc>
        <w:tc>
          <w:tcPr>
            <w:tcW w:w="1311" w:type="dxa"/>
            <w:vAlign w:val="center"/>
          </w:tcPr>
          <w:p w14:paraId="1C9E5BA0">
            <w:pPr>
              <w:snapToGrid w:val="0"/>
              <w:jc w:val="center"/>
              <w:rPr>
                <w:rFonts w:ascii="宋体" w:hAnsi="宋体" w:cs="宋体"/>
                <w:b w:val="0"/>
                <w:bCs/>
                <w:sz w:val="24"/>
              </w:rPr>
            </w:pPr>
          </w:p>
        </w:tc>
      </w:tr>
      <w:tr w14:paraId="7874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490" w:type="dxa"/>
            <w:vMerge w:val="continue"/>
            <w:vAlign w:val="center"/>
          </w:tcPr>
          <w:p w14:paraId="78B7C836">
            <w:pPr>
              <w:jc w:val="center"/>
              <w:rPr>
                <w:rFonts w:ascii="宋体" w:hAnsi="宋体" w:cs="宋体"/>
                <w:b w:val="0"/>
                <w:bCs/>
                <w:sz w:val="24"/>
              </w:rPr>
            </w:pPr>
          </w:p>
        </w:tc>
        <w:tc>
          <w:tcPr>
            <w:tcW w:w="1099" w:type="dxa"/>
            <w:vAlign w:val="center"/>
          </w:tcPr>
          <w:p w14:paraId="0C4430FA">
            <w:pPr>
              <w:jc w:val="center"/>
              <w:rPr>
                <w:rFonts w:ascii="宋体" w:hAnsi="宋体" w:cs="宋体"/>
                <w:b w:val="0"/>
                <w:bCs/>
                <w:sz w:val="24"/>
              </w:rPr>
            </w:pPr>
            <w:r>
              <w:rPr>
                <w:rFonts w:hint="eastAsia" w:ascii="宋体" w:hAnsi="宋体" w:cs="宋体"/>
                <w:b w:val="0"/>
                <w:bCs/>
                <w:sz w:val="24"/>
              </w:rPr>
              <w:t>姚 渊</w:t>
            </w:r>
          </w:p>
        </w:tc>
        <w:tc>
          <w:tcPr>
            <w:tcW w:w="2977" w:type="dxa"/>
            <w:vAlign w:val="center"/>
          </w:tcPr>
          <w:p w14:paraId="05A11490">
            <w:pPr>
              <w:jc w:val="center"/>
              <w:rPr>
                <w:rFonts w:ascii="宋体" w:hAnsi="宋体" w:cs="宋体"/>
                <w:b w:val="0"/>
                <w:bCs/>
                <w:sz w:val="24"/>
              </w:rPr>
            </w:pPr>
            <w:r>
              <w:rPr>
                <w:rFonts w:hint="eastAsia" w:ascii="宋体" w:hAnsi="宋体" w:cs="宋体"/>
                <w:b w:val="0"/>
                <w:bCs/>
                <w:sz w:val="24"/>
              </w:rPr>
              <w:t>1100000000302052</w:t>
            </w:r>
          </w:p>
        </w:tc>
        <w:tc>
          <w:tcPr>
            <w:tcW w:w="1276" w:type="dxa"/>
            <w:vAlign w:val="center"/>
          </w:tcPr>
          <w:p w14:paraId="16E4848F">
            <w:pPr>
              <w:jc w:val="center"/>
              <w:rPr>
                <w:rFonts w:ascii="宋体" w:hAnsi="宋体" w:cs="宋体"/>
                <w:b w:val="0"/>
                <w:bCs/>
                <w:sz w:val="24"/>
              </w:rPr>
            </w:pPr>
            <w:r>
              <w:rPr>
                <w:rFonts w:hint="eastAsia" w:ascii="宋体" w:hAnsi="宋体" w:cs="宋体"/>
                <w:b w:val="0"/>
                <w:bCs/>
                <w:sz w:val="24"/>
              </w:rPr>
              <w:t>018487</w:t>
            </w:r>
          </w:p>
        </w:tc>
        <w:tc>
          <w:tcPr>
            <w:tcW w:w="1275" w:type="dxa"/>
            <w:vAlign w:val="center"/>
          </w:tcPr>
          <w:p w14:paraId="0A332353">
            <w:pPr>
              <w:snapToGrid w:val="0"/>
              <w:jc w:val="center"/>
              <w:rPr>
                <w:rFonts w:ascii="宋体" w:hAnsi="宋体" w:cs="宋体"/>
                <w:b w:val="0"/>
                <w:bCs/>
                <w:sz w:val="24"/>
              </w:rPr>
            </w:pPr>
            <w:r>
              <w:rPr>
                <w:rFonts w:hint="eastAsia" w:ascii="宋体" w:hAnsi="宋体" w:cs="宋体"/>
                <w:b w:val="0"/>
                <w:bCs/>
                <w:sz w:val="24"/>
              </w:rPr>
              <w:t>火炸药</w:t>
            </w:r>
          </w:p>
        </w:tc>
        <w:tc>
          <w:tcPr>
            <w:tcW w:w="1311" w:type="dxa"/>
            <w:vAlign w:val="center"/>
          </w:tcPr>
          <w:p w14:paraId="4893B5BB">
            <w:pPr>
              <w:snapToGrid w:val="0"/>
              <w:jc w:val="center"/>
              <w:rPr>
                <w:rFonts w:ascii="宋体" w:hAnsi="宋体" w:cs="宋体"/>
                <w:b w:val="0"/>
                <w:bCs/>
                <w:sz w:val="24"/>
              </w:rPr>
            </w:pPr>
          </w:p>
        </w:tc>
      </w:tr>
      <w:tr w14:paraId="2B82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490" w:type="dxa"/>
            <w:vMerge w:val="continue"/>
            <w:vAlign w:val="center"/>
          </w:tcPr>
          <w:p w14:paraId="46A53439">
            <w:pPr>
              <w:jc w:val="center"/>
              <w:rPr>
                <w:rFonts w:ascii="宋体" w:hAnsi="宋体" w:cs="宋体"/>
                <w:b w:val="0"/>
                <w:bCs/>
                <w:sz w:val="24"/>
              </w:rPr>
            </w:pPr>
          </w:p>
        </w:tc>
        <w:tc>
          <w:tcPr>
            <w:tcW w:w="1099" w:type="dxa"/>
            <w:vAlign w:val="center"/>
          </w:tcPr>
          <w:p w14:paraId="58D249ED">
            <w:pPr>
              <w:jc w:val="center"/>
              <w:rPr>
                <w:rFonts w:ascii="宋体" w:hAnsi="宋体" w:cs="宋体"/>
                <w:b w:val="0"/>
                <w:bCs/>
                <w:sz w:val="24"/>
              </w:rPr>
            </w:pPr>
            <w:r>
              <w:rPr>
                <w:rFonts w:hint="eastAsia" w:ascii="宋体" w:hAnsi="宋体" w:cs="宋体"/>
                <w:b w:val="0"/>
                <w:bCs/>
                <w:sz w:val="24"/>
              </w:rPr>
              <w:t>李景龙</w:t>
            </w:r>
          </w:p>
        </w:tc>
        <w:tc>
          <w:tcPr>
            <w:tcW w:w="2977" w:type="dxa"/>
            <w:vAlign w:val="center"/>
          </w:tcPr>
          <w:p w14:paraId="2EBF29C6">
            <w:pPr>
              <w:jc w:val="center"/>
              <w:rPr>
                <w:rFonts w:ascii="宋体" w:hAnsi="宋体" w:cs="宋体"/>
                <w:b w:val="0"/>
                <w:bCs/>
                <w:sz w:val="24"/>
              </w:rPr>
            </w:pPr>
            <w:r>
              <w:rPr>
                <w:rFonts w:hint="eastAsia" w:ascii="宋体" w:hAnsi="宋体" w:cs="宋体"/>
                <w:b w:val="0"/>
                <w:bCs/>
                <w:sz w:val="24"/>
              </w:rPr>
              <w:t>2</w:t>
            </w:r>
            <w:r>
              <w:rPr>
                <w:rFonts w:ascii="宋体" w:hAnsi="宋体" w:cs="宋体"/>
                <w:b w:val="0"/>
                <w:bCs/>
                <w:sz w:val="24"/>
              </w:rPr>
              <w:t>0231004636000000141</w:t>
            </w:r>
          </w:p>
        </w:tc>
        <w:tc>
          <w:tcPr>
            <w:tcW w:w="1276" w:type="dxa"/>
            <w:vAlign w:val="center"/>
          </w:tcPr>
          <w:p w14:paraId="02267F84">
            <w:pPr>
              <w:jc w:val="center"/>
              <w:rPr>
                <w:rFonts w:ascii="宋体" w:hAnsi="宋体" w:cs="宋体"/>
                <w:b w:val="0"/>
                <w:bCs/>
                <w:sz w:val="24"/>
              </w:rPr>
            </w:pPr>
            <w:r>
              <w:rPr>
                <w:rFonts w:hint="eastAsia" w:ascii="宋体" w:hAnsi="宋体" w:cs="宋体"/>
                <w:b w:val="0"/>
                <w:bCs/>
                <w:sz w:val="24"/>
              </w:rPr>
              <w:t>3</w:t>
            </w:r>
            <w:r>
              <w:rPr>
                <w:rFonts w:ascii="宋体" w:hAnsi="宋体" w:cs="宋体"/>
                <w:b w:val="0"/>
                <w:bCs/>
                <w:sz w:val="24"/>
              </w:rPr>
              <w:t>6250406364</w:t>
            </w:r>
          </w:p>
        </w:tc>
        <w:tc>
          <w:tcPr>
            <w:tcW w:w="1275" w:type="dxa"/>
            <w:vAlign w:val="center"/>
          </w:tcPr>
          <w:p w14:paraId="5964937F">
            <w:pPr>
              <w:snapToGrid w:val="0"/>
              <w:jc w:val="center"/>
              <w:rPr>
                <w:rFonts w:ascii="宋体" w:hAnsi="宋体" w:cs="宋体"/>
                <w:b w:val="0"/>
                <w:bCs/>
                <w:sz w:val="24"/>
              </w:rPr>
            </w:pPr>
            <w:r>
              <w:rPr>
                <w:rFonts w:hint="eastAsia" w:ascii="宋体" w:hAnsi="宋体" w:cs="宋体"/>
                <w:b w:val="0"/>
                <w:bCs/>
                <w:sz w:val="24"/>
              </w:rPr>
              <w:t>安全工程</w:t>
            </w:r>
          </w:p>
        </w:tc>
        <w:tc>
          <w:tcPr>
            <w:tcW w:w="1311" w:type="dxa"/>
            <w:vAlign w:val="center"/>
          </w:tcPr>
          <w:p w14:paraId="074E7C60">
            <w:pPr>
              <w:snapToGrid w:val="0"/>
              <w:jc w:val="center"/>
              <w:rPr>
                <w:rFonts w:ascii="宋体" w:hAnsi="宋体" w:cs="宋体"/>
                <w:b w:val="0"/>
                <w:bCs/>
                <w:sz w:val="24"/>
              </w:rPr>
            </w:pPr>
          </w:p>
        </w:tc>
      </w:tr>
      <w:tr w14:paraId="64B6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490" w:type="dxa"/>
            <w:vMerge w:val="continue"/>
            <w:vAlign w:val="center"/>
          </w:tcPr>
          <w:p w14:paraId="53761150">
            <w:pPr>
              <w:jc w:val="center"/>
              <w:rPr>
                <w:rFonts w:ascii="宋体" w:hAnsi="宋体" w:cs="宋体"/>
                <w:b w:val="0"/>
                <w:bCs/>
                <w:sz w:val="24"/>
              </w:rPr>
            </w:pPr>
          </w:p>
        </w:tc>
        <w:tc>
          <w:tcPr>
            <w:tcW w:w="1099" w:type="dxa"/>
            <w:vAlign w:val="center"/>
          </w:tcPr>
          <w:p w14:paraId="32523808">
            <w:pPr>
              <w:jc w:val="center"/>
              <w:rPr>
                <w:rFonts w:ascii="宋体" w:hAnsi="宋体" w:cs="宋体"/>
                <w:b w:val="0"/>
                <w:bCs/>
                <w:sz w:val="24"/>
              </w:rPr>
            </w:pPr>
            <w:r>
              <w:rPr>
                <w:rFonts w:hint="eastAsia" w:ascii="宋体" w:hAnsi="宋体" w:cs="宋体"/>
                <w:b w:val="0"/>
                <w:bCs/>
                <w:sz w:val="24"/>
              </w:rPr>
              <w:t>谢寒梅</w:t>
            </w:r>
          </w:p>
        </w:tc>
        <w:tc>
          <w:tcPr>
            <w:tcW w:w="2977" w:type="dxa"/>
            <w:vAlign w:val="center"/>
          </w:tcPr>
          <w:p w14:paraId="202BD5EA">
            <w:pPr>
              <w:jc w:val="center"/>
              <w:rPr>
                <w:rFonts w:ascii="宋体" w:hAnsi="宋体" w:cs="宋体"/>
                <w:b w:val="0"/>
                <w:bCs/>
                <w:sz w:val="24"/>
              </w:rPr>
            </w:pPr>
            <w:r>
              <w:rPr>
                <w:rFonts w:hint="eastAsia" w:ascii="宋体" w:hAnsi="宋体" w:cs="宋体"/>
                <w:b w:val="0"/>
                <w:bCs/>
                <w:sz w:val="24"/>
              </w:rPr>
              <w:t>2</w:t>
            </w:r>
            <w:r>
              <w:rPr>
                <w:rFonts w:ascii="宋体" w:hAnsi="宋体" w:cs="宋体"/>
                <w:b w:val="0"/>
                <w:bCs/>
                <w:sz w:val="24"/>
              </w:rPr>
              <w:t>013033360330000003312360008</w:t>
            </w:r>
          </w:p>
        </w:tc>
        <w:tc>
          <w:tcPr>
            <w:tcW w:w="1276" w:type="dxa"/>
            <w:vAlign w:val="center"/>
          </w:tcPr>
          <w:p w14:paraId="23FC28D2">
            <w:pPr>
              <w:jc w:val="center"/>
              <w:rPr>
                <w:rFonts w:ascii="宋体" w:hAnsi="宋体" w:cs="宋体"/>
                <w:b w:val="0"/>
                <w:bCs/>
                <w:sz w:val="24"/>
              </w:rPr>
            </w:pPr>
            <w:r>
              <w:rPr>
                <w:rFonts w:hint="eastAsia" w:ascii="宋体" w:hAnsi="宋体" w:cs="宋体"/>
                <w:b w:val="0"/>
                <w:bCs/>
                <w:sz w:val="24"/>
              </w:rPr>
              <w:t>3</w:t>
            </w:r>
            <w:r>
              <w:rPr>
                <w:rFonts w:ascii="宋体" w:hAnsi="宋体" w:cs="宋体"/>
                <w:b w:val="0"/>
                <w:bCs/>
                <w:sz w:val="24"/>
              </w:rPr>
              <w:t>6140160899</w:t>
            </w:r>
          </w:p>
        </w:tc>
        <w:tc>
          <w:tcPr>
            <w:tcW w:w="1275" w:type="dxa"/>
            <w:vAlign w:val="center"/>
          </w:tcPr>
          <w:p w14:paraId="749CD40A">
            <w:pPr>
              <w:snapToGrid w:val="0"/>
              <w:jc w:val="center"/>
              <w:rPr>
                <w:rFonts w:ascii="宋体" w:hAnsi="宋体" w:cs="宋体"/>
                <w:b w:val="0"/>
                <w:bCs/>
                <w:sz w:val="24"/>
              </w:rPr>
            </w:pPr>
            <w:r>
              <w:rPr>
                <w:rFonts w:hint="eastAsia" w:ascii="宋体" w:hAnsi="宋体" w:cs="宋体"/>
                <w:b w:val="0"/>
                <w:bCs/>
                <w:sz w:val="24"/>
              </w:rPr>
              <w:t>电气</w:t>
            </w:r>
          </w:p>
        </w:tc>
        <w:tc>
          <w:tcPr>
            <w:tcW w:w="1311" w:type="dxa"/>
            <w:vAlign w:val="center"/>
          </w:tcPr>
          <w:p w14:paraId="5DC5AC5E">
            <w:pPr>
              <w:snapToGrid w:val="0"/>
              <w:jc w:val="center"/>
              <w:rPr>
                <w:rFonts w:ascii="宋体" w:hAnsi="宋体" w:cs="宋体"/>
                <w:b w:val="0"/>
                <w:bCs/>
                <w:sz w:val="24"/>
              </w:rPr>
            </w:pPr>
          </w:p>
        </w:tc>
      </w:tr>
      <w:tr w14:paraId="45DF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490" w:type="dxa"/>
            <w:vMerge w:val="continue"/>
            <w:vAlign w:val="center"/>
          </w:tcPr>
          <w:p w14:paraId="0D0A3C34">
            <w:pPr>
              <w:jc w:val="center"/>
              <w:rPr>
                <w:rFonts w:ascii="宋体" w:hAnsi="宋体" w:cs="宋体"/>
                <w:b w:val="0"/>
                <w:bCs/>
                <w:sz w:val="24"/>
              </w:rPr>
            </w:pPr>
          </w:p>
        </w:tc>
        <w:tc>
          <w:tcPr>
            <w:tcW w:w="1099" w:type="dxa"/>
            <w:vAlign w:val="center"/>
          </w:tcPr>
          <w:p w14:paraId="504F3667">
            <w:pPr>
              <w:jc w:val="center"/>
              <w:rPr>
                <w:rFonts w:ascii="宋体" w:hAnsi="宋体" w:cs="宋体"/>
                <w:b w:val="0"/>
                <w:bCs/>
                <w:sz w:val="24"/>
              </w:rPr>
            </w:pPr>
            <w:r>
              <w:rPr>
                <w:rFonts w:hint="eastAsia" w:ascii="宋体" w:hAnsi="宋体" w:cs="宋体"/>
                <w:b w:val="0"/>
                <w:bCs/>
                <w:sz w:val="24"/>
              </w:rPr>
              <w:t>黄伯扬</w:t>
            </w:r>
          </w:p>
        </w:tc>
        <w:tc>
          <w:tcPr>
            <w:tcW w:w="2977" w:type="dxa"/>
            <w:vAlign w:val="center"/>
          </w:tcPr>
          <w:p w14:paraId="04AAFF7A">
            <w:pPr>
              <w:jc w:val="center"/>
              <w:rPr>
                <w:rFonts w:ascii="宋体" w:hAnsi="宋体" w:cs="宋体"/>
                <w:b w:val="0"/>
                <w:bCs/>
                <w:sz w:val="24"/>
              </w:rPr>
            </w:pPr>
            <w:r>
              <w:rPr>
                <w:rFonts w:ascii="宋体" w:hAnsi="宋体" w:cs="宋体"/>
                <w:b w:val="0"/>
                <w:bCs/>
                <w:sz w:val="24"/>
              </w:rPr>
              <w:t>1800000000300643</w:t>
            </w:r>
          </w:p>
        </w:tc>
        <w:tc>
          <w:tcPr>
            <w:tcW w:w="1276" w:type="dxa"/>
            <w:vAlign w:val="center"/>
          </w:tcPr>
          <w:p w14:paraId="53B8DF96">
            <w:pPr>
              <w:jc w:val="center"/>
              <w:rPr>
                <w:rFonts w:ascii="宋体" w:hAnsi="宋体" w:cs="宋体"/>
                <w:b w:val="0"/>
                <w:bCs/>
                <w:sz w:val="24"/>
              </w:rPr>
            </w:pPr>
            <w:r>
              <w:rPr>
                <w:rFonts w:ascii="宋体" w:hAnsi="宋体" w:cs="宋体"/>
                <w:b w:val="0"/>
                <w:bCs/>
                <w:sz w:val="24"/>
              </w:rPr>
              <w:t>032737</w:t>
            </w:r>
          </w:p>
        </w:tc>
        <w:tc>
          <w:tcPr>
            <w:tcW w:w="1275" w:type="dxa"/>
            <w:vAlign w:val="center"/>
          </w:tcPr>
          <w:p w14:paraId="04BCBF15">
            <w:pPr>
              <w:snapToGrid w:val="0"/>
              <w:jc w:val="center"/>
              <w:rPr>
                <w:rFonts w:ascii="宋体" w:hAnsi="宋体" w:cs="宋体"/>
                <w:b w:val="0"/>
                <w:bCs/>
                <w:sz w:val="24"/>
              </w:rPr>
            </w:pPr>
            <w:r>
              <w:rPr>
                <w:rFonts w:hint="eastAsia" w:ascii="宋体" w:hAnsi="宋体" w:cs="宋体"/>
                <w:b w:val="0"/>
                <w:bCs/>
                <w:sz w:val="24"/>
              </w:rPr>
              <w:t>化工机械</w:t>
            </w:r>
          </w:p>
        </w:tc>
        <w:tc>
          <w:tcPr>
            <w:tcW w:w="1311" w:type="dxa"/>
            <w:vAlign w:val="center"/>
          </w:tcPr>
          <w:p w14:paraId="4090B2EB">
            <w:pPr>
              <w:snapToGrid w:val="0"/>
              <w:jc w:val="center"/>
              <w:rPr>
                <w:rFonts w:ascii="宋体" w:hAnsi="宋体" w:cs="宋体"/>
                <w:b w:val="0"/>
                <w:bCs/>
                <w:sz w:val="24"/>
              </w:rPr>
            </w:pPr>
          </w:p>
        </w:tc>
      </w:tr>
      <w:tr w14:paraId="2DC0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490" w:type="dxa"/>
            <w:vMerge w:val="restart"/>
            <w:vAlign w:val="center"/>
          </w:tcPr>
          <w:p w14:paraId="06308066">
            <w:pPr>
              <w:jc w:val="center"/>
              <w:rPr>
                <w:rFonts w:ascii="宋体" w:hAnsi="宋体" w:cs="宋体"/>
                <w:b w:val="0"/>
                <w:bCs/>
                <w:sz w:val="24"/>
              </w:rPr>
            </w:pPr>
            <w:r>
              <w:rPr>
                <w:rFonts w:hint="eastAsia" w:ascii="宋体" w:hAnsi="宋体" w:cs="宋体"/>
                <w:b w:val="0"/>
                <w:bCs/>
                <w:sz w:val="24"/>
              </w:rPr>
              <w:t>报告编制人</w:t>
            </w:r>
          </w:p>
        </w:tc>
        <w:tc>
          <w:tcPr>
            <w:tcW w:w="1099" w:type="dxa"/>
            <w:vAlign w:val="center"/>
          </w:tcPr>
          <w:p w14:paraId="3723FCD5">
            <w:pPr>
              <w:jc w:val="center"/>
              <w:rPr>
                <w:rFonts w:ascii="宋体" w:hAnsi="宋体" w:cs="宋体"/>
                <w:b w:val="0"/>
                <w:bCs/>
                <w:sz w:val="24"/>
              </w:rPr>
            </w:pPr>
            <w:r>
              <w:rPr>
                <w:rFonts w:hint="eastAsia" w:ascii="宋体" w:hAnsi="宋体" w:cs="宋体"/>
                <w:b w:val="0"/>
                <w:bCs/>
                <w:sz w:val="24"/>
              </w:rPr>
              <w:t>王建新</w:t>
            </w:r>
          </w:p>
        </w:tc>
        <w:tc>
          <w:tcPr>
            <w:tcW w:w="2977" w:type="dxa"/>
            <w:vAlign w:val="center"/>
          </w:tcPr>
          <w:p w14:paraId="5327CC60">
            <w:pPr>
              <w:jc w:val="center"/>
              <w:rPr>
                <w:rFonts w:ascii="宋体" w:hAnsi="宋体" w:cs="宋体"/>
                <w:b w:val="0"/>
                <w:bCs/>
                <w:sz w:val="24"/>
              </w:rPr>
            </w:pPr>
            <w:r>
              <w:rPr>
                <w:rFonts w:hint="eastAsia" w:ascii="宋体" w:hAnsi="宋体" w:cs="宋体"/>
                <w:b w:val="0"/>
                <w:bCs/>
                <w:sz w:val="24"/>
              </w:rPr>
              <w:t>1200000000100297</w:t>
            </w:r>
          </w:p>
        </w:tc>
        <w:tc>
          <w:tcPr>
            <w:tcW w:w="1276" w:type="dxa"/>
            <w:vAlign w:val="center"/>
          </w:tcPr>
          <w:p w14:paraId="397FC34A">
            <w:pPr>
              <w:jc w:val="center"/>
              <w:rPr>
                <w:rFonts w:ascii="宋体" w:hAnsi="宋体" w:cs="宋体"/>
                <w:b w:val="0"/>
                <w:bCs/>
                <w:sz w:val="24"/>
              </w:rPr>
            </w:pPr>
            <w:r>
              <w:rPr>
                <w:rFonts w:hint="eastAsia" w:ascii="宋体" w:hAnsi="宋体" w:cs="宋体"/>
                <w:b w:val="0"/>
                <w:bCs/>
                <w:sz w:val="24"/>
              </w:rPr>
              <w:t>009826</w:t>
            </w:r>
          </w:p>
        </w:tc>
        <w:tc>
          <w:tcPr>
            <w:tcW w:w="1275" w:type="dxa"/>
            <w:vAlign w:val="center"/>
          </w:tcPr>
          <w:p w14:paraId="2EBFD335">
            <w:pPr>
              <w:snapToGrid w:val="0"/>
              <w:jc w:val="center"/>
              <w:rPr>
                <w:rFonts w:ascii="宋体" w:hAnsi="宋体" w:cs="宋体"/>
                <w:b w:val="0"/>
                <w:bCs/>
                <w:sz w:val="24"/>
              </w:rPr>
            </w:pPr>
            <w:r>
              <w:rPr>
                <w:rFonts w:hint="eastAsia" w:ascii="宋体" w:hAnsi="宋体" w:cs="宋体"/>
                <w:b w:val="0"/>
                <w:bCs/>
                <w:sz w:val="24"/>
              </w:rPr>
              <w:t>爆炸技术</w:t>
            </w:r>
          </w:p>
        </w:tc>
        <w:tc>
          <w:tcPr>
            <w:tcW w:w="1311" w:type="dxa"/>
            <w:vAlign w:val="center"/>
          </w:tcPr>
          <w:p w14:paraId="67876AD9">
            <w:pPr>
              <w:snapToGrid w:val="0"/>
              <w:jc w:val="center"/>
              <w:rPr>
                <w:rFonts w:ascii="宋体" w:hAnsi="宋体" w:cs="宋体"/>
                <w:b w:val="0"/>
                <w:bCs/>
                <w:sz w:val="24"/>
              </w:rPr>
            </w:pPr>
          </w:p>
        </w:tc>
      </w:tr>
      <w:tr w14:paraId="331E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490" w:type="dxa"/>
            <w:vMerge w:val="continue"/>
            <w:vAlign w:val="center"/>
          </w:tcPr>
          <w:p w14:paraId="55A792D3">
            <w:pPr>
              <w:jc w:val="center"/>
              <w:rPr>
                <w:rFonts w:ascii="宋体" w:hAnsi="宋体" w:cs="宋体"/>
                <w:b w:val="0"/>
                <w:bCs/>
                <w:sz w:val="24"/>
              </w:rPr>
            </w:pPr>
          </w:p>
        </w:tc>
        <w:tc>
          <w:tcPr>
            <w:tcW w:w="1099" w:type="dxa"/>
            <w:vAlign w:val="center"/>
          </w:tcPr>
          <w:p w14:paraId="77F2F3DD">
            <w:pPr>
              <w:jc w:val="center"/>
              <w:rPr>
                <w:rFonts w:ascii="宋体" w:hAnsi="宋体" w:cs="宋体"/>
                <w:b w:val="0"/>
                <w:bCs/>
                <w:sz w:val="24"/>
              </w:rPr>
            </w:pPr>
            <w:r>
              <w:rPr>
                <w:rFonts w:hint="eastAsia" w:ascii="宋体" w:hAnsi="宋体" w:cs="宋体"/>
                <w:b w:val="0"/>
                <w:bCs/>
                <w:sz w:val="24"/>
              </w:rPr>
              <w:t>姚 渊</w:t>
            </w:r>
          </w:p>
        </w:tc>
        <w:tc>
          <w:tcPr>
            <w:tcW w:w="2977" w:type="dxa"/>
            <w:vAlign w:val="center"/>
          </w:tcPr>
          <w:p w14:paraId="74F8DF20">
            <w:pPr>
              <w:jc w:val="center"/>
              <w:rPr>
                <w:rFonts w:ascii="宋体" w:hAnsi="宋体" w:cs="宋体"/>
                <w:b w:val="0"/>
                <w:bCs/>
                <w:sz w:val="24"/>
              </w:rPr>
            </w:pPr>
            <w:r>
              <w:rPr>
                <w:rFonts w:hint="eastAsia" w:ascii="宋体" w:hAnsi="宋体" w:cs="宋体"/>
                <w:b w:val="0"/>
                <w:bCs/>
                <w:sz w:val="24"/>
              </w:rPr>
              <w:t>1100000000302052</w:t>
            </w:r>
          </w:p>
        </w:tc>
        <w:tc>
          <w:tcPr>
            <w:tcW w:w="1276" w:type="dxa"/>
            <w:vAlign w:val="center"/>
          </w:tcPr>
          <w:p w14:paraId="4178A431">
            <w:pPr>
              <w:jc w:val="center"/>
              <w:rPr>
                <w:rFonts w:ascii="宋体" w:hAnsi="宋体" w:cs="宋体"/>
                <w:b w:val="0"/>
                <w:bCs/>
                <w:sz w:val="24"/>
              </w:rPr>
            </w:pPr>
            <w:r>
              <w:rPr>
                <w:rFonts w:hint="eastAsia" w:ascii="宋体" w:hAnsi="宋体" w:cs="宋体"/>
                <w:b w:val="0"/>
                <w:bCs/>
                <w:sz w:val="24"/>
              </w:rPr>
              <w:t>018487</w:t>
            </w:r>
          </w:p>
        </w:tc>
        <w:tc>
          <w:tcPr>
            <w:tcW w:w="1275" w:type="dxa"/>
            <w:vAlign w:val="center"/>
          </w:tcPr>
          <w:p w14:paraId="4EA3FCBC">
            <w:pPr>
              <w:snapToGrid w:val="0"/>
              <w:jc w:val="center"/>
              <w:rPr>
                <w:rFonts w:ascii="宋体" w:hAnsi="宋体" w:cs="宋体"/>
                <w:b w:val="0"/>
                <w:bCs/>
                <w:sz w:val="24"/>
              </w:rPr>
            </w:pPr>
            <w:r>
              <w:rPr>
                <w:rFonts w:hint="eastAsia" w:ascii="宋体" w:hAnsi="宋体" w:cs="宋体"/>
                <w:b w:val="0"/>
                <w:bCs/>
                <w:sz w:val="24"/>
              </w:rPr>
              <w:t>火炸药</w:t>
            </w:r>
          </w:p>
        </w:tc>
        <w:tc>
          <w:tcPr>
            <w:tcW w:w="1311" w:type="dxa"/>
            <w:vAlign w:val="center"/>
          </w:tcPr>
          <w:p w14:paraId="5FA8F6C2">
            <w:pPr>
              <w:snapToGrid w:val="0"/>
              <w:jc w:val="center"/>
              <w:rPr>
                <w:rFonts w:ascii="宋体" w:hAnsi="宋体" w:cs="宋体"/>
                <w:b w:val="0"/>
                <w:bCs/>
                <w:sz w:val="24"/>
              </w:rPr>
            </w:pPr>
          </w:p>
        </w:tc>
      </w:tr>
      <w:tr w14:paraId="5A96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490" w:type="dxa"/>
            <w:vAlign w:val="center"/>
          </w:tcPr>
          <w:p w14:paraId="451429B3">
            <w:pPr>
              <w:jc w:val="center"/>
              <w:rPr>
                <w:rFonts w:ascii="宋体" w:hAnsi="宋体" w:cs="宋体"/>
                <w:b w:val="0"/>
                <w:bCs/>
                <w:sz w:val="24"/>
              </w:rPr>
            </w:pPr>
            <w:r>
              <w:rPr>
                <w:rFonts w:hint="eastAsia" w:ascii="宋体" w:hAnsi="宋体" w:cs="宋体"/>
                <w:b w:val="0"/>
                <w:bCs/>
                <w:sz w:val="24"/>
              </w:rPr>
              <w:t>报告审核人</w:t>
            </w:r>
          </w:p>
        </w:tc>
        <w:tc>
          <w:tcPr>
            <w:tcW w:w="1099" w:type="dxa"/>
            <w:vAlign w:val="center"/>
          </w:tcPr>
          <w:p w14:paraId="67843097">
            <w:pPr>
              <w:jc w:val="center"/>
              <w:rPr>
                <w:rFonts w:ascii="宋体" w:hAnsi="宋体" w:cs="宋体"/>
                <w:b w:val="0"/>
                <w:bCs/>
                <w:sz w:val="24"/>
              </w:rPr>
            </w:pPr>
            <w:r>
              <w:rPr>
                <w:rFonts w:hint="eastAsia" w:ascii="宋体" w:hAnsi="宋体" w:cs="宋体"/>
                <w:b w:val="0"/>
                <w:bCs/>
                <w:sz w:val="24"/>
              </w:rPr>
              <w:t>郑 强</w:t>
            </w:r>
          </w:p>
        </w:tc>
        <w:tc>
          <w:tcPr>
            <w:tcW w:w="2977" w:type="dxa"/>
            <w:vAlign w:val="center"/>
          </w:tcPr>
          <w:p w14:paraId="20E6E4B9">
            <w:pPr>
              <w:jc w:val="center"/>
              <w:rPr>
                <w:rFonts w:ascii="宋体" w:hAnsi="宋体" w:cs="宋体"/>
                <w:b w:val="0"/>
                <w:bCs/>
                <w:sz w:val="24"/>
              </w:rPr>
            </w:pPr>
            <w:r>
              <w:rPr>
                <w:rFonts w:ascii="宋体" w:hAnsi="宋体" w:cs="宋体"/>
                <w:b w:val="0"/>
                <w:bCs/>
                <w:sz w:val="24"/>
              </w:rPr>
              <w:t>0800000000101605</w:t>
            </w:r>
          </w:p>
        </w:tc>
        <w:tc>
          <w:tcPr>
            <w:tcW w:w="1276" w:type="dxa"/>
            <w:vAlign w:val="center"/>
          </w:tcPr>
          <w:p w14:paraId="750265D3">
            <w:pPr>
              <w:jc w:val="center"/>
              <w:rPr>
                <w:rFonts w:ascii="宋体" w:hAnsi="宋体" w:cs="宋体"/>
                <w:b w:val="0"/>
                <w:bCs/>
                <w:sz w:val="24"/>
              </w:rPr>
            </w:pPr>
            <w:r>
              <w:rPr>
                <w:rFonts w:ascii="宋体" w:hAnsi="宋体" w:cs="宋体"/>
                <w:b w:val="0"/>
                <w:bCs/>
                <w:sz w:val="24"/>
              </w:rPr>
              <w:t>001851</w:t>
            </w:r>
          </w:p>
        </w:tc>
        <w:tc>
          <w:tcPr>
            <w:tcW w:w="1275" w:type="dxa"/>
            <w:vAlign w:val="center"/>
          </w:tcPr>
          <w:p w14:paraId="42FD38B2">
            <w:pPr>
              <w:snapToGrid w:val="0"/>
              <w:jc w:val="center"/>
              <w:rPr>
                <w:rFonts w:ascii="宋体" w:hAnsi="宋体" w:cs="宋体"/>
                <w:b w:val="0"/>
                <w:bCs/>
                <w:sz w:val="24"/>
              </w:rPr>
            </w:pPr>
            <w:r>
              <w:rPr>
                <w:rFonts w:hint="eastAsia" w:ascii="宋体" w:hAnsi="宋体" w:cs="宋体"/>
                <w:b w:val="0"/>
                <w:bCs/>
                <w:sz w:val="24"/>
              </w:rPr>
              <w:t>爆炸技术</w:t>
            </w:r>
          </w:p>
        </w:tc>
        <w:tc>
          <w:tcPr>
            <w:tcW w:w="1311" w:type="dxa"/>
            <w:vAlign w:val="center"/>
          </w:tcPr>
          <w:p w14:paraId="13F2266A">
            <w:pPr>
              <w:snapToGrid w:val="0"/>
              <w:jc w:val="center"/>
              <w:rPr>
                <w:rFonts w:ascii="宋体" w:hAnsi="宋体" w:cs="宋体"/>
                <w:b w:val="0"/>
                <w:bCs/>
                <w:sz w:val="24"/>
              </w:rPr>
            </w:pPr>
          </w:p>
        </w:tc>
      </w:tr>
      <w:tr w14:paraId="60F5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490" w:type="dxa"/>
            <w:vAlign w:val="center"/>
          </w:tcPr>
          <w:p w14:paraId="72381B8B">
            <w:pPr>
              <w:jc w:val="center"/>
              <w:rPr>
                <w:rFonts w:ascii="宋体" w:hAnsi="宋体" w:cs="宋体"/>
                <w:b w:val="0"/>
                <w:bCs/>
                <w:sz w:val="24"/>
              </w:rPr>
            </w:pPr>
            <w:r>
              <w:rPr>
                <w:rFonts w:hint="eastAsia" w:ascii="宋体" w:hAnsi="宋体" w:cs="宋体"/>
                <w:b w:val="0"/>
                <w:bCs/>
                <w:sz w:val="24"/>
              </w:rPr>
              <w:t>过程控制</w:t>
            </w:r>
          </w:p>
          <w:p w14:paraId="6A4B6DBD">
            <w:pPr>
              <w:jc w:val="center"/>
              <w:rPr>
                <w:rFonts w:ascii="宋体" w:hAnsi="宋体" w:cs="宋体"/>
                <w:b w:val="0"/>
                <w:bCs/>
                <w:sz w:val="24"/>
              </w:rPr>
            </w:pPr>
            <w:r>
              <w:rPr>
                <w:rFonts w:hint="eastAsia" w:ascii="宋体" w:hAnsi="宋体" w:cs="宋体"/>
                <w:b w:val="0"/>
                <w:bCs/>
                <w:sz w:val="24"/>
              </w:rPr>
              <w:t>负责人</w:t>
            </w:r>
          </w:p>
        </w:tc>
        <w:tc>
          <w:tcPr>
            <w:tcW w:w="1099" w:type="dxa"/>
            <w:vAlign w:val="center"/>
          </w:tcPr>
          <w:p w14:paraId="496CE6A4">
            <w:pPr>
              <w:jc w:val="center"/>
              <w:rPr>
                <w:rFonts w:ascii="宋体" w:hAnsi="宋体" w:cs="宋体"/>
                <w:b w:val="0"/>
                <w:bCs/>
                <w:sz w:val="24"/>
              </w:rPr>
            </w:pPr>
            <w:r>
              <w:rPr>
                <w:rFonts w:hint="eastAsia" w:ascii="宋体" w:hAnsi="宋体" w:cs="宋体"/>
                <w:b w:val="0"/>
                <w:bCs/>
                <w:sz w:val="24"/>
              </w:rPr>
              <w:t>檀廷斌</w:t>
            </w:r>
          </w:p>
        </w:tc>
        <w:tc>
          <w:tcPr>
            <w:tcW w:w="2977" w:type="dxa"/>
            <w:vAlign w:val="center"/>
          </w:tcPr>
          <w:p w14:paraId="48E19C3D">
            <w:pPr>
              <w:jc w:val="center"/>
              <w:rPr>
                <w:rFonts w:ascii="宋体" w:hAnsi="宋体" w:cs="宋体"/>
                <w:b w:val="0"/>
                <w:bCs/>
                <w:sz w:val="24"/>
              </w:rPr>
            </w:pPr>
            <w:r>
              <w:rPr>
                <w:rFonts w:hint="eastAsia" w:ascii="宋体" w:hAnsi="宋体" w:cs="宋体"/>
                <w:b w:val="0"/>
                <w:bCs/>
                <w:sz w:val="24"/>
              </w:rPr>
              <w:t>1600000000200717</w:t>
            </w:r>
          </w:p>
        </w:tc>
        <w:tc>
          <w:tcPr>
            <w:tcW w:w="1276" w:type="dxa"/>
            <w:vAlign w:val="center"/>
          </w:tcPr>
          <w:p w14:paraId="1BDE6BB3">
            <w:pPr>
              <w:jc w:val="center"/>
              <w:rPr>
                <w:rFonts w:ascii="宋体" w:hAnsi="宋体" w:cs="宋体"/>
                <w:b w:val="0"/>
                <w:bCs/>
                <w:sz w:val="24"/>
              </w:rPr>
            </w:pPr>
            <w:r>
              <w:rPr>
                <w:rFonts w:hint="eastAsia" w:ascii="宋体" w:hAnsi="宋体" w:cs="宋体"/>
                <w:b w:val="0"/>
                <w:bCs/>
                <w:sz w:val="24"/>
              </w:rPr>
              <w:t>029648</w:t>
            </w:r>
          </w:p>
        </w:tc>
        <w:tc>
          <w:tcPr>
            <w:tcW w:w="1275" w:type="dxa"/>
            <w:vAlign w:val="center"/>
          </w:tcPr>
          <w:p w14:paraId="12413EF5">
            <w:pPr>
              <w:snapToGrid w:val="0"/>
              <w:jc w:val="center"/>
              <w:rPr>
                <w:rFonts w:ascii="宋体" w:hAnsi="宋体" w:cs="宋体"/>
                <w:b w:val="0"/>
                <w:bCs/>
                <w:sz w:val="24"/>
              </w:rPr>
            </w:pPr>
            <w:r>
              <w:rPr>
                <w:rFonts w:hint="eastAsia" w:ascii="宋体" w:hAnsi="宋体" w:cs="宋体"/>
                <w:b w:val="0"/>
                <w:bCs/>
                <w:sz w:val="24"/>
              </w:rPr>
              <w:t>化工工艺</w:t>
            </w:r>
          </w:p>
        </w:tc>
        <w:tc>
          <w:tcPr>
            <w:tcW w:w="1311" w:type="dxa"/>
            <w:vAlign w:val="center"/>
          </w:tcPr>
          <w:p w14:paraId="4258226F">
            <w:pPr>
              <w:snapToGrid w:val="0"/>
              <w:jc w:val="center"/>
              <w:rPr>
                <w:rFonts w:ascii="宋体" w:hAnsi="宋体" w:cs="宋体"/>
                <w:b w:val="0"/>
                <w:bCs/>
                <w:sz w:val="24"/>
              </w:rPr>
            </w:pPr>
          </w:p>
        </w:tc>
      </w:tr>
      <w:tr w14:paraId="7511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490" w:type="dxa"/>
            <w:vAlign w:val="center"/>
          </w:tcPr>
          <w:p w14:paraId="5DF22CBC">
            <w:pPr>
              <w:jc w:val="center"/>
              <w:rPr>
                <w:rFonts w:ascii="宋体" w:hAnsi="宋体" w:cs="宋体"/>
                <w:b w:val="0"/>
                <w:bCs/>
                <w:sz w:val="24"/>
              </w:rPr>
            </w:pPr>
            <w:r>
              <w:rPr>
                <w:rFonts w:hint="eastAsia" w:ascii="宋体" w:hAnsi="宋体" w:cs="宋体"/>
                <w:b w:val="0"/>
                <w:bCs/>
                <w:sz w:val="24"/>
              </w:rPr>
              <w:t>技术负责人</w:t>
            </w:r>
          </w:p>
        </w:tc>
        <w:tc>
          <w:tcPr>
            <w:tcW w:w="1099" w:type="dxa"/>
            <w:vAlign w:val="center"/>
          </w:tcPr>
          <w:p w14:paraId="377A41C1">
            <w:pPr>
              <w:jc w:val="center"/>
              <w:rPr>
                <w:rFonts w:ascii="宋体" w:hAnsi="宋体" w:cs="宋体"/>
                <w:b w:val="0"/>
                <w:bCs/>
                <w:sz w:val="24"/>
              </w:rPr>
            </w:pPr>
            <w:r>
              <w:rPr>
                <w:rFonts w:hint="eastAsia" w:ascii="宋体" w:hAnsi="宋体" w:cs="宋体"/>
                <w:b w:val="0"/>
                <w:bCs/>
                <w:sz w:val="24"/>
              </w:rPr>
              <w:t>应 宏</w:t>
            </w:r>
          </w:p>
        </w:tc>
        <w:tc>
          <w:tcPr>
            <w:tcW w:w="2977" w:type="dxa"/>
            <w:vAlign w:val="center"/>
          </w:tcPr>
          <w:p w14:paraId="1970D9B6">
            <w:pPr>
              <w:jc w:val="center"/>
              <w:rPr>
                <w:rFonts w:ascii="宋体" w:hAnsi="宋体" w:cs="宋体"/>
                <w:b w:val="0"/>
                <w:bCs/>
                <w:sz w:val="24"/>
              </w:rPr>
            </w:pPr>
            <w:r>
              <w:rPr>
                <w:rFonts w:ascii="宋体" w:hAnsi="宋体" w:cs="宋体"/>
                <w:b w:val="0"/>
                <w:bCs/>
                <w:sz w:val="24"/>
              </w:rPr>
              <w:t>0800000000101630</w:t>
            </w:r>
          </w:p>
        </w:tc>
        <w:tc>
          <w:tcPr>
            <w:tcW w:w="1276" w:type="dxa"/>
            <w:vAlign w:val="center"/>
          </w:tcPr>
          <w:p w14:paraId="04DD65B1">
            <w:pPr>
              <w:jc w:val="center"/>
              <w:rPr>
                <w:rFonts w:ascii="宋体" w:hAnsi="宋体" w:cs="宋体"/>
                <w:b w:val="0"/>
                <w:bCs/>
                <w:sz w:val="24"/>
              </w:rPr>
            </w:pPr>
            <w:r>
              <w:rPr>
                <w:rFonts w:ascii="宋体" w:hAnsi="宋体" w:cs="宋体"/>
                <w:b w:val="0"/>
                <w:bCs/>
                <w:sz w:val="24"/>
              </w:rPr>
              <w:t>001630</w:t>
            </w:r>
          </w:p>
        </w:tc>
        <w:tc>
          <w:tcPr>
            <w:tcW w:w="1275" w:type="dxa"/>
            <w:vAlign w:val="center"/>
          </w:tcPr>
          <w:p w14:paraId="0B506626">
            <w:pPr>
              <w:jc w:val="center"/>
              <w:rPr>
                <w:rFonts w:ascii="宋体" w:hAnsi="宋体" w:cs="宋体"/>
                <w:b w:val="0"/>
                <w:bCs/>
                <w:sz w:val="24"/>
              </w:rPr>
            </w:pPr>
            <w:r>
              <w:rPr>
                <w:rFonts w:hint="eastAsia" w:ascii="宋体" w:hAnsi="宋体" w:cs="宋体"/>
                <w:b w:val="0"/>
                <w:bCs/>
                <w:sz w:val="24"/>
              </w:rPr>
              <w:t>电气</w:t>
            </w:r>
          </w:p>
        </w:tc>
        <w:tc>
          <w:tcPr>
            <w:tcW w:w="1311" w:type="dxa"/>
            <w:vAlign w:val="center"/>
          </w:tcPr>
          <w:p w14:paraId="49378159">
            <w:pPr>
              <w:jc w:val="center"/>
              <w:rPr>
                <w:rFonts w:ascii="宋体" w:hAnsi="宋体" w:cs="宋体"/>
                <w:b w:val="0"/>
                <w:bCs/>
                <w:sz w:val="24"/>
              </w:rPr>
            </w:pPr>
          </w:p>
        </w:tc>
      </w:tr>
    </w:tbl>
    <w:p w14:paraId="1692FB70">
      <w:pPr>
        <w:widowControl/>
        <w:jc w:val="left"/>
        <w:rPr>
          <w:rFonts w:ascii="宋体" w:hAnsi="宋体"/>
          <w:b w:val="0"/>
          <w:sz w:val="32"/>
        </w:rPr>
      </w:pPr>
    </w:p>
    <w:p w14:paraId="0DB845E9">
      <w:pPr>
        <w:spacing w:before="100" w:beforeAutospacing="1" w:after="100" w:afterAutospacing="1" w:line="560" w:lineRule="exact"/>
        <w:jc w:val="center"/>
        <w:rPr>
          <w:rFonts w:ascii="黑体" w:hAnsi="宋体" w:eastAsia="黑体"/>
          <w:b w:val="0"/>
          <w:kern w:val="0"/>
          <w:sz w:val="44"/>
        </w:rPr>
      </w:pPr>
      <w:r>
        <w:rPr>
          <w:rFonts w:ascii="宋体" w:hAnsi="宋体"/>
          <w:b w:val="0"/>
          <w:sz w:val="32"/>
        </w:rPr>
        <w:br w:type="page"/>
      </w:r>
      <w:bookmarkStart w:id="11" w:name="_Toc528532633"/>
      <w:bookmarkStart w:id="12" w:name="_Toc484713645"/>
      <w:bookmarkStart w:id="13" w:name="_Toc447639152"/>
      <w:bookmarkStart w:id="14" w:name="_Toc496620770"/>
      <w:bookmarkStart w:id="15" w:name="_Toc447637008"/>
      <w:bookmarkStart w:id="16" w:name="_Toc499287773"/>
      <w:bookmarkStart w:id="17" w:name="_Toc482029270"/>
      <w:bookmarkStart w:id="18" w:name="_Toc2827"/>
      <w:bookmarkStart w:id="19" w:name="_Toc447630430"/>
      <w:r>
        <w:rPr>
          <w:rFonts w:hint="eastAsia" w:ascii="黑体" w:hAnsi="宋体" w:eastAsia="黑体"/>
          <w:b w:val="0"/>
          <w:kern w:val="0"/>
          <w:sz w:val="44"/>
        </w:rPr>
        <w:t>前  言</w:t>
      </w:r>
      <w:bookmarkEnd w:id="11"/>
      <w:bookmarkEnd w:id="12"/>
      <w:bookmarkEnd w:id="13"/>
      <w:bookmarkEnd w:id="14"/>
      <w:bookmarkEnd w:id="15"/>
      <w:bookmarkEnd w:id="16"/>
      <w:bookmarkEnd w:id="17"/>
      <w:bookmarkEnd w:id="18"/>
      <w:bookmarkEnd w:id="19"/>
    </w:p>
    <w:p w14:paraId="0AD92802">
      <w:pPr>
        <w:adjustRightInd w:val="0"/>
        <w:snapToGrid w:val="0"/>
        <w:spacing w:line="360" w:lineRule="auto"/>
        <w:ind w:firstLine="560" w:firstLineChars="200"/>
        <w:rPr>
          <w:rFonts w:ascii="宋体" w:hAnsi="宋体" w:cs="Arial"/>
          <w:b w:val="0"/>
          <w:sz w:val="28"/>
        </w:rPr>
      </w:pPr>
      <w:r>
        <w:rPr>
          <w:rFonts w:hint="eastAsia" w:ascii="宋体" w:hAnsi="宋体" w:cs="Arial"/>
          <w:b w:val="0"/>
          <w:sz w:val="28"/>
        </w:rPr>
        <w:t>黑龙江泰运烟花有限公司成立于</w:t>
      </w:r>
      <w:r>
        <w:rPr>
          <w:rFonts w:ascii="宋体" w:hAnsi="宋体" w:cs="Arial"/>
          <w:b w:val="0"/>
          <w:sz w:val="28"/>
        </w:rPr>
        <w:t>2017年7月31日</w:t>
      </w:r>
      <w:r>
        <w:rPr>
          <w:rFonts w:hint="eastAsia" w:ascii="宋体" w:hAnsi="宋体" w:cs="Arial"/>
          <w:b w:val="0"/>
          <w:sz w:val="28"/>
        </w:rPr>
        <w:t>，住所：黑龙江省大庆市肇州县新福乡新福村，公司类型：有限责任公司（自然人独资），统一社会信用代码:91230621MA19JJJ112，法定代表人张志勇。</w:t>
      </w:r>
    </w:p>
    <w:p w14:paraId="0CF82B18">
      <w:pPr>
        <w:adjustRightInd w:val="0"/>
        <w:snapToGrid w:val="0"/>
        <w:spacing w:line="360" w:lineRule="auto"/>
        <w:ind w:firstLine="560" w:firstLineChars="200"/>
        <w:rPr>
          <w:rFonts w:ascii="宋体" w:hAnsi="宋体" w:cs="Arial"/>
          <w:b w:val="0"/>
          <w:sz w:val="28"/>
        </w:rPr>
      </w:pPr>
      <w:r>
        <w:rPr>
          <w:rFonts w:hint="eastAsia" w:ascii="宋体" w:hAnsi="宋体" w:cs="Arial"/>
          <w:b w:val="0"/>
          <w:sz w:val="28"/>
        </w:rPr>
        <w:t>该企业于2</w:t>
      </w:r>
      <w:r>
        <w:rPr>
          <w:rFonts w:ascii="宋体" w:hAnsi="宋体" w:cs="Arial"/>
          <w:b w:val="0"/>
          <w:sz w:val="28"/>
        </w:rPr>
        <w:t>023</w:t>
      </w:r>
      <w:r>
        <w:rPr>
          <w:rFonts w:hint="eastAsia" w:ascii="宋体" w:hAnsi="宋体" w:cs="Arial"/>
          <w:b w:val="0"/>
          <w:sz w:val="28"/>
        </w:rPr>
        <w:t>年5月</w:t>
      </w:r>
      <w:r>
        <w:rPr>
          <w:rFonts w:ascii="宋体" w:hAnsi="宋体" w:cs="Arial"/>
          <w:b w:val="0"/>
          <w:sz w:val="28"/>
        </w:rPr>
        <w:t>22</w:t>
      </w:r>
      <w:r>
        <w:rPr>
          <w:rFonts w:hint="eastAsia" w:ascii="宋体" w:hAnsi="宋体" w:cs="Arial"/>
          <w:b w:val="0"/>
          <w:sz w:val="28"/>
        </w:rPr>
        <w:t>日取得大庆市应急管理局核发的烟花爆竹经营（批发）许可证，编号：（黑）P</w:t>
      </w:r>
      <w:r>
        <w:rPr>
          <w:rFonts w:ascii="宋体" w:hAnsi="宋体" w:cs="Arial"/>
          <w:b w:val="0"/>
          <w:sz w:val="28"/>
        </w:rPr>
        <w:t>F</w:t>
      </w:r>
      <w:r>
        <w:rPr>
          <w:rFonts w:hint="eastAsia" w:ascii="宋体" w:hAnsi="宋体" w:cs="Arial"/>
          <w:b w:val="0"/>
          <w:bCs/>
          <w:sz w:val="28"/>
        </w:rPr>
        <w:t>〔2023〕000</w:t>
      </w:r>
      <w:r>
        <w:rPr>
          <w:rFonts w:ascii="宋体" w:hAnsi="宋体" w:cs="Arial"/>
          <w:b w:val="0"/>
          <w:bCs/>
          <w:sz w:val="28"/>
        </w:rPr>
        <w:t>59</w:t>
      </w:r>
      <w:r>
        <w:rPr>
          <w:rFonts w:hint="eastAsia" w:ascii="宋体" w:hAnsi="宋体" w:cs="Arial"/>
          <w:b w:val="0"/>
          <w:bCs/>
          <w:sz w:val="28"/>
        </w:rPr>
        <w:t>；有效期2023年</w:t>
      </w:r>
      <w:r>
        <w:rPr>
          <w:rFonts w:ascii="宋体" w:hAnsi="宋体" w:cs="Arial"/>
          <w:b w:val="0"/>
          <w:bCs/>
          <w:sz w:val="28"/>
        </w:rPr>
        <w:t>7</w:t>
      </w:r>
      <w:r>
        <w:rPr>
          <w:rFonts w:hint="eastAsia" w:ascii="宋体" w:hAnsi="宋体" w:cs="Arial"/>
          <w:b w:val="0"/>
          <w:bCs/>
          <w:sz w:val="28"/>
        </w:rPr>
        <w:t>月</w:t>
      </w:r>
      <w:r>
        <w:rPr>
          <w:rFonts w:ascii="宋体" w:hAnsi="宋体" w:cs="Arial"/>
          <w:b w:val="0"/>
          <w:bCs/>
          <w:sz w:val="28"/>
        </w:rPr>
        <w:t>15</w:t>
      </w:r>
      <w:r>
        <w:rPr>
          <w:rFonts w:hint="eastAsia" w:ascii="宋体" w:hAnsi="宋体" w:cs="Arial"/>
          <w:b w:val="0"/>
          <w:bCs/>
          <w:sz w:val="28"/>
        </w:rPr>
        <w:t>日至</w:t>
      </w:r>
      <w:r>
        <w:rPr>
          <w:rFonts w:hint="eastAsia" w:ascii="宋体" w:hAnsi="宋体" w:cs="Arial"/>
          <w:b w:val="0"/>
          <w:sz w:val="28"/>
        </w:rPr>
        <w:t>2026年</w:t>
      </w:r>
      <w:r>
        <w:rPr>
          <w:rFonts w:ascii="宋体" w:hAnsi="宋体" w:cs="Arial"/>
          <w:b w:val="0"/>
          <w:sz w:val="28"/>
        </w:rPr>
        <w:t>7</w:t>
      </w:r>
      <w:r>
        <w:rPr>
          <w:rFonts w:hint="eastAsia" w:ascii="宋体" w:hAnsi="宋体" w:cs="Arial"/>
          <w:b w:val="0"/>
          <w:sz w:val="28"/>
        </w:rPr>
        <w:t>月</w:t>
      </w:r>
      <w:r>
        <w:rPr>
          <w:rFonts w:ascii="宋体" w:hAnsi="宋体" w:cs="Arial"/>
          <w:b w:val="0"/>
          <w:sz w:val="28"/>
        </w:rPr>
        <w:t>14</w:t>
      </w:r>
      <w:r>
        <w:rPr>
          <w:rFonts w:hint="eastAsia" w:ascii="宋体" w:hAnsi="宋体" w:cs="Arial"/>
          <w:b w:val="0"/>
          <w:sz w:val="28"/>
        </w:rPr>
        <w:t>日，许可范围：爆竹类（C级）、喷花类（C级、D级）、旋转类（C级、D级）、升空类（C级）、吐珠类（C级）、玩具类（C级、D级）、架子烟花类（B级、C级）、组合烟花类（B级、C级、D级），仓储地址位于黑龙江省大庆市肇州县新福乡新福村，库区面积</w:t>
      </w:r>
      <w:r>
        <w:rPr>
          <w:rFonts w:ascii="宋体" w:hAnsi="宋体" w:cs="Arial"/>
          <w:b w:val="0"/>
          <w:sz w:val="28"/>
        </w:rPr>
        <w:t>52900</w:t>
      </w:r>
      <w:r>
        <w:rPr>
          <w:rFonts w:hint="eastAsia" w:ascii="宋体" w:hAnsi="宋体" w:cs="Arial"/>
          <w:b w:val="0"/>
          <w:sz w:val="28"/>
        </w:rPr>
        <w:t>m</w:t>
      </w:r>
      <w:r>
        <w:rPr>
          <w:rFonts w:hint="eastAsia" w:ascii="宋体" w:hAnsi="宋体" w:cs="Arial"/>
          <w:b w:val="0"/>
          <w:sz w:val="28"/>
          <w:vertAlign w:val="superscript"/>
        </w:rPr>
        <w:t>2</w:t>
      </w:r>
      <w:r>
        <w:rPr>
          <w:rFonts w:hint="eastAsia" w:ascii="宋体" w:hAnsi="宋体" w:cs="Arial"/>
          <w:b w:val="0"/>
          <w:sz w:val="28"/>
        </w:rPr>
        <w:t>，库房面积</w:t>
      </w:r>
      <w:r>
        <w:rPr>
          <w:rFonts w:ascii="宋体" w:hAnsi="宋体" w:cs="Arial"/>
          <w:b w:val="0"/>
          <w:sz w:val="28"/>
        </w:rPr>
        <w:t>2680</w:t>
      </w:r>
      <w:r>
        <w:rPr>
          <w:rFonts w:hint="eastAsia" w:ascii="宋体" w:hAnsi="宋体" w:cs="Arial"/>
          <w:b w:val="0"/>
          <w:sz w:val="28"/>
        </w:rPr>
        <w:t>m</w:t>
      </w:r>
      <w:r>
        <w:rPr>
          <w:rFonts w:hint="eastAsia" w:ascii="宋体" w:hAnsi="宋体" w:cs="Arial"/>
          <w:b w:val="0"/>
          <w:sz w:val="28"/>
          <w:vertAlign w:val="superscript"/>
        </w:rPr>
        <w:t>2</w:t>
      </w:r>
      <w:r>
        <w:rPr>
          <w:rFonts w:hint="eastAsia" w:ascii="宋体" w:hAnsi="宋体" w:cs="Arial"/>
          <w:b w:val="0"/>
          <w:sz w:val="28"/>
        </w:rPr>
        <w:t>，核定药量</w:t>
      </w:r>
      <w:r>
        <w:rPr>
          <w:rFonts w:ascii="宋体" w:hAnsi="宋体" w:cs="Arial"/>
          <w:b w:val="0"/>
          <w:sz w:val="28"/>
        </w:rPr>
        <w:t>53600</w:t>
      </w:r>
      <w:r>
        <w:rPr>
          <w:rFonts w:hint="eastAsia" w:ascii="宋体" w:hAnsi="宋体" w:cs="Arial"/>
          <w:b w:val="0"/>
          <w:sz w:val="28"/>
        </w:rPr>
        <w:t>kg。</w:t>
      </w:r>
    </w:p>
    <w:p w14:paraId="7E7CFF70">
      <w:pPr>
        <w:adjustRightInd w:val="0"/>
        <w:snapToGrid w:val="0"/>
        <w:spacing w:line="360" w:lineRule="auto"/>
        <w:ind w:firstLine="560" w:firstLineChars="200"/>
        <w:rPr>
          <w:rFonts w:ascii="宋体" w:hAnsi="宋体" w:cs="Arial"/>
          <w:b w:val="0"/>
          <w:bCs/>
          <w:sz w:val="28"/>
          <w:lang w:val="en-GB"/>
        </w:rPr>
      </w:pPr>
      <w:r>
        <w:rPr>
          <w:rFonts w:hint="eastAsia" w:ascii="宋体" w:hAnsi="宋体" w:cs="Arial"/>
          <w:b w:val="0"/>
          <w:sz w:val="28"/>
        </w:rPr>
        <w:t>该企业于2</w:t>
      </w:r>
      <w:r>
        <w:rPr>
          <w:rFonts w:ascii="宋体" w:hAnsi="宋体" w:cs="Arial"/>
          <w:b w:val="0"/>
          <w:sz w:val="28"/>
        </w:rPr>
        <w:t>025</w:t>
      </w:r>
      <w:r>
        <w:rPr>
          <w:rFonts w:hint="eastAsia" w:ascii="宋体" w:hAnsi="宋体" w:cs="Arial"/>
          <w:b w:val="0"/>
          <w:sz w:val="28"/>
        </w:rPr>
        <w:t>年8月向有关部门提出了异地新建烟花爆竹库区的申请，经相关部门审批通过，拟在黑龙江省大庆市肇州县新福乡新福村异地新建烟花爆竹库区，</w:t>
      </w:r>
      <w:r>
        <w:rPr>
          <w:rFonts w:hint="eastAsia" w:ascii="宋体" w:hAnsi="宋体" w:cs="Arial"/>
          <w:b w:val="0"/>
          <w:bCs/>
          <w:sz w:val="28"/>
          <w:lang w:val="en-GB"/>
        </w:rPr>
        <w:t>新建库区总占地面积约</w:t>
      </w:r>
      <w:r>
        <w:rPr>
          <w:rFonts w:ascii="宋体" w:hAnsi="宋体" w:cs="Arial"/>
          <w:b w:val="0"/>
          <w:bCs/>
          <w:sz w:val="28"/>
          <w:lang w:val="en-GB"/>
        </w:rPr>
        <w:t>66000m</w:t>
      </w:r>
      <w:r>
        <w:rPr>
          <w:rFonts w:ascii="宋体" w:hAnsi="宋体" w:cs="Arial"/>
          <w:b w:val="0"/>
          <w:bCs/>
          <w:sz w:val="28"/>
          <w:vertAlign w:val="superscript"/>
          <w:lang w:val="en-GB"/>
        </w:rPr>
        <w:t>2</w:t>
      </w:r>
      <w:r>
        <w:rPr>
          <w:rFonts w:hint="eastAsia" w:ascii="宋体" w:hAnsi="宋体" w:cs="Arial"/>
          <w:b w:val="0"/>
          <w:bCs/>
          <w:sz w:val="28"/>
          <w:lang w:val="en-GB"/>
        </w:rPr>
        <w:t>，其中利旧值班室</w:t>
      </w:r>
      <w:r>
        <w:rPr>
          <w:rFonts w:ascii="宋体" w:hAnsi="宋体" w:cs="Arial"/>
          <w:b w:val="0"/>
          <w:bCs/>
          <w:sz w:val="28"/>
          <w:lang w:val="en-GB"/>
        </w:rPr>
        <w:t>2</w:t>
      </w:r>
      <w:r>
        <w:rPr>
          <w:rFonts w:hint="eastAsia" w:ascii="宋体" w:hAnsi="宋体" w:cs="Arial"/>
          <w:b w:val="0"/>
          <w:bCs/>
          <w:sz w:val="28"/>
          <w:lang w:val="en-GB"/>
        </w:rPr>
        <w:t>栋，建筑面积均为</w:t>
      </w:r>
      <w:r>
        <w:rPr>
          <w:rFonts w:ascii="宋体" w:hAnsi="宋体" w:cs="Arial"/>
          <w:b w:val="0"/>
          <w:bCs/>
          <w:sz w:val="28"/>
          <w:lang w:val="en-GB"/>
        </w:rPr>
        <w:t>42m</w:t>
      </w:r>
      <w:r>
        <w:rPr>
          <w:rFonts w:ascii="宋体" w:hAnsi="宋体" w:cs="Arial"/>
          <w:b w:val="0"/>
          <w:bCs/>
          <w:sz w:val="28"/>
          <w:vertAlign w:val="superscript"/>
          <w:lang w:val="en-GB"/>
        </w:rPr>
        <w:t>2</w:t>
      </w:r>
      <w:r>
        <w:rPr>
          <w:rFonts w:ascii="宋体" w:hAnsi="宋体" w:cs="Arial"/>
          <w:b w:val="0"/>
          <w:bCs/>
          <w:sz w:val="28"/>
          <w:lang w:val="en-GB"/>
        </w:rPr>
        <w:t>/</w:t>
      </w:r>
      <w:r>
        <w:rPr>
          <w:rFonts w:hint="eastAsia" w:ascii="宋体" w:hAnsi="宋体" w:cs="Arial"/>
          <w:b w:val="0"/>
          <w:bCs/>
          <w:sz w:val="28"/>
          <w:lang w:val="en-GB"/>
        </w:rPr>
        <w:t>栋；拟新建1</w:t>
      </w:r>
      <w:r>
        <w:rPr>
          <w:rFonts w:ascii="宋体" w:hAnsi="宋体" w:cs="Arial"/>
          <w:b w:val="0"/>
          <w:bCs/>
          <w:sz w:val="28"/>
          <w:lang w:val="en-GB"/>
        </w:rPr>
        <w:t>.3</w:t>
      </w:r>
      <w:r>
        <w:rPr>
          <w:rFonts w:hint="eastAsia" w:ascii="宋体" w:hAnsi="宋体" w:cs="Arial"/>
          <w:b w:val="0"/>
          <w:bCs/>
          <w:sz w:val="28"/>
          <w:lang w:val="en-GB"/>
        </w:rPr>
        <w:t>级仓库</w:t>
      </w:r>
      <w:r>
        <w:rPr>
          <w:rFonts w:ascii="宋体" w:hAnsi="宋体" w:cs="Arial"/>
          <w:b w:val="0"/>
          <w:bCs/>
          <w:sz w:val="28"/>
          <w:lang w:val="en-GB"/>
        </w:rPr>
        <w:t>9</w:t>
      </w:r>
      <w:r>
        <w:rPr>
          <w:rFonts w:hint="eastAsia" w:ascii="宋体" w:hAnsi="宋体" w:cs="Arial"/>
          <w:b w:val="0"/>
          <w:bCs/>
          <w:sz w:val="28"/>
          <w:lang w:val="en-GB"/>
        </w:rPr>
        <w:t>栋，1</w:t>
      </w:r>
      <w:r>
        <w:rPr>
          <w:rFonts w:ascii="宋体" w:hAnsi="宋体" w:cs="Arial"/>
          <w:b w:val="0"/>
          <w:bCs/>
          <w:sz w:val="28"/>
          <w:lang w:val="en-GB"/>
        </w:rPr>
        <w:t>.1</w:t>
      </w:r>
      <w:r>
        <w:rPr>
          <w:rFonts w:ascii="宋体" w:hAnsi="宋体" w:cs="Arial"/>
          <w:b w:val="0"/>
          <w:bCs/>
          <w:sz w:val="28"/>
          <w:vertAlign w:val="superscript"/>
          <w:lang w:val="en-GB"/>
        </w:rPr>
        <w:t>-2</w:t>
      </w:r>
      <w:r>
        <w:rPr>
          <w:rFonts w:hint="eastAsia" w:ascii="宋体" w:hAnsi="宋体" w:cs="Arial"/>
          <w:b w:val="0"/>
          <w:bCs/>
          <w:sz w:val="28"/>
          <w:lang w:val="en-GB"/>
        </w:rPr>
        <w:t>级仓库1栋，库房总面积</w:t>
      </w:r>
      <w:r>
        <w:rPr>
          <w:rFonts w:ascii="宋体" w:hAnsi="宋体" w:cs="Arial"/>
          <w:b w:val="0"/>
          <w:bCs/>
          <w:sz w:val="28"/>
          <w:lang w:val="en-GB"/>
        </w:rPr>
        <w:t>8522</w:t>
      </w:r>
      <w:r>
        <w:rPr>
          <w:rFonts w:hint="eastAsia" w:ascii="宋体" w:hAnsi="宋体" w:cs="Arial"/>
          <w:b w:val="0"/>
          <w:bCs/>
          <w:sz w:val="28"/>
          <w:lang w:val="en-GB"/>
        </w:rPr>
        <w:t>m</w:t>
      </w:r>
      <w:r>
        <w:rPr>
          <w:rFonts w:hint="eastAsia" w:ascii="宋体" w:hAnsi="宋体" w:cs="Arial"/>
          <w:b w:val="0"/>
          <w:bCs/>
          <w:sz w:val="28"/>
          <w:vertAlign w:val="superscript"/>
          <w:lang w:val="en-GB"/>
        </w:rPr>
        <w:t>2</w:t>
      </w:r>
      <w:r>
        <w:rPr>
          <w:rFonts w:hint="eastAsia" w:ascii="宋体" w:hAnsi="宋体" w:cs="Arial"/>
          <w:b w:val="0"/>
          <w:bCs/>
          <w:sz w:val="28"/>
          <w:lang w:val="en-GB"/>
        </w:rPr>
        <w:t>；消防泵房1栋，建筑面积为</w:t>
      </w:r>
      <w:r>
        <w:rPr>
          <w:rFonts w:ascii="宋体" w:hAnsi="宋体" w:cs="Arial"/>
          <w:b w:val="0"/>
          <w:bCs/>
          <w:sz w:val="28"/>
          <w:lang w:val="en-GB"/>
        </w:rPr>
        <w:t>264.62m</w:t>
      </w:r>
      <w:r>
        <w:rPr>
          <w:rFonts w:ascii="宋体" w:hAnsi="宋体" w:cs="Arial"/>
          <w:b w:val="0"/>
          <w:bCs/>
          <w:sz w:val="28"/>
          <w:vertAlign w:val="superscript"/>
          <w:lang w:val="en-GB"/>
        </w:rPr>
        <w:t>2</w:t>
      </w:r>
      <w:r>
        <w:rPr>
          <w:rFonts w:hint="eastAsia" w:ascii="宋体" w:hAnsi="宋体" w:cs="Arial"/>
          <w:b w:val="0"/>
          <w:bCs/>
          <w:sz w:val="28"/>
          <w:lang w:val="en-GB"/>
        </w:rPr>
        <w:t>（内设消防水池），消防水池有效容积3</w:t>
      </w:r>
      <w:r>
        <w:rPr>
          <w:rFonts w:ascii="宋体" w:hAnsi="宋体" w:cs="Arial"/>
          <w:b w:val="0"/>
          <w:bCs/>
          <w:sz w:val="28"/>
          <w:lang w:val="en-GB"/>
        </w:rPr>
        <w:t>00m</w:t>
      </w:r>
      <w:r>
        <w:rPr>
          <w:rFonts w:ascii="宋体" w:hAnsi="宋体" w:cs="Arial"/>
          <w:b w:val="0"/>
          <w:bCs/>
          <w:sz w:val="28"/>
          <w:vertAlign w:val="superscript"/>
          <w:lang w:val="en-GB"/>
        </w:rPr>
        <w:t>3</w:t>
      </w:r>
      <w:r>
        <w:rPr>
          <w:rFonts w:hint="eastAsia" w:ascii="宋体" w:hAnsi="宋体" w:cs="Arial"/>
          <w:b w:val="0"/>
          <w:bCs/>
          <w:sz w:val="28"/>
          <w:lang w:val="en-GB"/>
        </w:rPr>
        <w:t>；综合办公室1栋，建筑面积为7</w:t>
      </w:r>
      <w:r>
        <w:rPr>
          <w:rFonts w:ascii="宋体" w:hAnsi="宋体" w:cs="Arial"/>
          <w:b w:val="0"/>
          <w:bCs/>
          <w:sz w:val="28"/>
          <w:lang w:val="en-GB"/>
        </w:rPr>
        <w:t>17.6m</w:t>
      </w:r>
      <w:r>
        <w:rPr>
          <w:rFonts w:ascii="宋体" w:hAnsi="宋体" w:cs="Arial"/>
          <w:b w:val="0"/>
          <w:bCs/>
          <w:sz w:val="28"/>
          <w:vertAlign w:val="superscript"/>
          <w:lang w:val="en-GB"/>
        </w:rPr>
        <w:t>2</w:t>
      </w:r>
      <w:r>
        <w:rPr>
          <w:rFonts w:hint="eastAsia" w:ascii="宋体" w:hAnsi="宋体" w:cs="Arial"/>
          <w:b w:val="0"/>
          <w:bCs/>
          <w:sz w:val="28"/>
          <w:lang w:val="en-GB"/>
        </w:rPr>
        <w:t>（内含样品室、销售厅、办公室、业务室）。建设项目（黑龙江泰运烟花有限公司异地新建烟花爆竹库区</w:t>
      </w:r>
      <w:r>
        <w:rPr>
          <w:rFonts w:hint="eastAsia" w:ascii="宋体" w:hAnsi="宋体" w:cs="Arial"/>
          <w:b w:val="0"/>
          <w:bCs/>
          <w:sz w:val="28"/>
        </w:rPr>
        <w:t>项目</w:t>
      </w:r>
      <w:r>
        <w:rPr>
          <w:rFonts w:hint="eastAsia" w:ascii="宋体" w:hAnsi="宋体" w:cs="Arial"/>
          <w:b w:val="0"/>
          <w:bCs/>
          <w:sz w:val="28"/>
          <w:lang w:val="en-GB"/>
        </w:rPr>
        <w:t>）202</w:t>
      </w:r>
      <w:r>
        <w:rPr>
          <w:rFonts w:ascii="宋体" w:hAnsi="宋体" w:cs="Arial"/>
          <w:b w:val="0"/>
          <w:bCs/>
          <w:sz w:val="28"/>
          <w:lang w:val="en-GB"/>
        </w:rPr>
        <w:t>5</w:t>
      </w:r>
      <w:r>
        <w:rPr>
          <w:rFonts w:hint="eastAsia" w:ascii="宋体" w:hAnsi="宋体" w:cs="Arial"/>
          <w:b w:val="0"/>
          <w:bCs/>
          <w:sz w:val="28"/>
          <w:lang w:val="en-GB"/>
        </w:rPr>
        <w:t>年</w:t>
      </w:r>
      <w:r>
        <w:rPr>
          <w:rFonts w:ascii="宋体" w:hAnsi="宋体" w:cs="Arial"/>
          <w:b w:val="0"/>
          <w:bCs/>
          <w:sz w:val="28"/>
          <w:lang w:val="en-GB"/>
        </w:rPr>
        <w:t>6</w:t>
      </w:r>
      <w:r>
        <w:rPr>
          <w:rFonts w:hint="eastAsia" w:ascii="宋体" w:hAnsi="宋体" w:cs="Arial"/>
          <w:b w:val="0"/>
          <w:bCs/>
          <w:sz w:val="28"/>
          <w:lang w:val="en-GB"/>
        </w:rPr>
        <w:t>月1</w:t>
      </w:r>
      <w:r>
        <w:rPr>
          <w:rFonts w:ascii="宋体" w:hAnsi="宋体" w:cs="Arial"/>
          <w:b w:val="0"/>
          <w:bCs/>
          <w:sz w:val="28"/>
          <w:lang w:val="en-GB"/>
        </w:rPr>
        <w:t>2</w:t>
      </w:r>
      <w:r>
        <w:rPr>
          <w:rFonts w:hint="eastAsia" w:ascii="宋体" w:hAnsi="宋体" w:cs="Arial"/>
          <w:b w:val="0"/>
          <w:bCs/>
          <w:sz w:val="28"/>
          <w:lang w:val="en-GB"/>
        </w:rPr>
        <w:t>日在黑龙江省投资项目监管平台审批通过（见《企业投资项目备案承诺书》），项目代码：</w:t>
      </w:r>
      <w:r>
        <w:rPr>
          <w:rFonts w:ascii="宋体" w:hAnsi="宋体" w:cs="Arial"/>
          <w:b w:val="0"/>
          <w:bCs/>
          <w:sz w:val="28"/>
          <w:lang w:val="en-GB"/>
        </w:rPr>
        <w:t>2506-230621-04-01-531271</w:t>
      </w:r>
      <w:r>
        <w:rPr>
          <w:rFonts w:hint="eastAsia" w:ascii="宋体" w:hAnsi="宋体" w:cs="Arial"/>
          <w:b w:val="0"/>
          <w:bCs/>
          <w:sz w:val="28"/>
          <w:lang w:val="en-GB"/>
        </w:rPr>
        <w:t>。</w:t>
      </w:r>
    </w:p>
    <w:p w14:paraId="534D12B1">
      <w:pPr>
        <w:adjustRightInd w:val="0"/>
        <w:snapToGrid w:val="0"/>
        <w:spacing w:line="360" w:lineRule="auto"/>
        <w:ind w:firstLine="560" w:firstLineChars="200"/>
        <w:rPr>
          <w:rFonts w:ascii="宋体" w:hAnsi="宋体" w:cs="Arial"/>
          <w:b w:val="0"/>
          <w:sz w:val="28"/>
        </w:rPr>
      </w:pPr>
      <w:r>
        <w:rPr>
          <w:rFonts w:hint="eastAsia" w:ascii="宋体" w:hAnsi="宋体" w:cs="Arial"/>
          <w:b w:val="0"/>
          <w:sz w:val="28"/>
        </w:rPr>
        <w:t>根据《建设项目安全设施“三同时”监督管理办法》（国家安全生产监督管理总局令第36号，第77号令修改）的规定，“生产经营单位新建、改扩建工程项目的安全设施必须与主体工程同时设计、同时施工、同时投入生产和使用”。因此，该项目应按照建设项目“三同时”要求履行有关审查程序。</w:t>
      </w:r>
    </w:p>
    <w:p w14:paraId="49614495">
      <w:pPr>
        <w:adjustRightInd w:val="0"/>
        <w:snapToGrid w:val="0"/>
        <w:spacing w:line="360" w:lineRule="auto"/>
        <w:ind w:firstLine="560" w:firstLineChars="200"/>
        <w:rPr>
          <w:rFonts w:ascii="宋体" w:hAnsi="宋体" w:cs="Arial"/>
          <w:b w:val="0"/>
          <w:sz w:val="28"/>
        </w:rPr>
      </w:pPr>
      <w:r>
        <w:rPr>
          <w:rFonts w:ascii="宋体" w:hAnsi="宋体" w:cs="Arial"/>
          <w:b w:val="0"/>
          <w:sz w:val="28"/>
        </w:rPr>
        <w:t>根据上述规定，</w:t>
      </w:r>
      <w:r>
        <w:rPr>
          <w:rFonts w:hint="eastAsia" w:ascii="宋体" w:hAnsi="宋体" w:cs="Arial"/>
          <w:b w:val="0"/>
          <w:sz w:val="28"/>
        </w:rPr>
        <w:t>黑龙江泰运烟花有限公司委托我</w:t>
      </w:r>
      <w:r>
        <w:rPr>
          <w:rFonts w:ascii="宋体" w:hAnsi="宋体" w:cs="Arial"/>
          <w:b w:val="0"/>
          <w:sz w:val="28"/>
        </w:rPr>
        <w:t>江西赣安安全生产科学技术咨询服务中心</w:t>
      </w:r>
      <w:r>
        <w:rPr>
          <w:rFonts w:hint="eastAsia" w:ascii="宋体" w:hAnsi="宋体" w:cs="Arial"/>
          <w:b w:val="0"/>
          <w:sz w:val="28"/>
        </w:rPr>
        <w:t>（下称“我中心”）</w:t>
      </w:r>
      <w:r>
        <w:rPr>
          <w:rFonts w:ascii="宋体" w:hAnsi="宋体" w:cs="Arial"/>
          <w:b w:val="0"/>
          <w:sz w:val="28"/>
        </w:rPr>
        <w:t>对</w:t>
      </w:r>
      <w:r>
        <w:rPr>
          <w:rFonts w:hint="eastAsia" w:ascii="宋体" w:hAnsi="宋体" w:cs="Arial"/>
          <w:b w:val="0"/>
          <w:sz w:val="28"/>
        </w:rPr>
        <w:t>该公司的异地新建烟花爆竹库区项目</w:t>
      </w:r>
      <w:r>
        <w:rPr>
          <w:rFonts w:ascii="宋体" w:hAnsi="宋体" w:cs="Arial"/>
          <w:b w:val="0"/>
          <w:sz w:val="28"/>
        </w:rPr>
        <w:t>进行安全预评价。我</w:t>
      </w:r>
      <w:r>
        <w:rPr>
          <w:rFonts w:hint="eastAsia" w:ascii="宋体" w:hAnsi="宋体" w:cs="Arial"/>
          <w:b w:val="0"/>
          <w:sz w:val="28"/>
        </w:rPr>
        <w:t>中心</w:t>
      </w:r>
      <w:r>
        <w:rPr>
          <w:rFonts w:ascii="宋体" w:hAnsi="宋体" w:cs="Arial"/>
          <w:b w:val="0"/>
          <w:sz w:val="28"/>
        </w:rPr>
        <w:t>接受委托后，立即组织相关技术人员对</w:t>
      </w:r>
      <w:r>
        <w:rPr>
          <w:rFonts w:hint="eastAsia" w:ascii="宋体" w:hAnsi="宋体" w:cs="Arial"/>
          <w:b w:val="0"/>
          <w:sz w:val="28"/>
        </w:rPr>
        <w:t>黑龙江泰运烟花有限公司异地新建烟花爆竹库区项目</w:t>
      </w:r>
      <w:r>
        <w:rPr>
          <w:rFonts w:ascii="宋体" w:hAnsi="宋体" w:cs="Arial"/>
          <w:b w:val="0"/>
          <w:sz w:val="28"/>
        </w:rPr>
        <w:t>相关资料进行了全面仔细的分析、研究，深入现场进行实地调研和考察，反复征询建设单位和有关专家的意见，并根据有关规范，辨识和分析该项目存在的各种危险、有害因素，并经定性、定量分析评价，编写了《</w:t>
      </w:r>
      <w:r>
        <w:rPr>
          <w:rFonts w:hint="eastAsia" w:ascii="宋体" w:hAnsi="宋体" w:cs="Arial"/>
          <w:b w:val="0"/>
          <w:sz w:val="28"/>
        </w:rPr>
        <w:t>黑龙江泰运烟花有限公司异地新建烟花爆竹库区项目</w:t>
      </w:r>
      <w:r>
        <w:rPr>
          <w:rFonts w:ascii="宋体" w:hAnsi="宋体" w:cs="Arial"/>
          <w:b w:val="0"/>
          <w:sz w:val="28"/>
        </w:rPr>
        <w:t>安全预评价报告》。</w:t>
      </w:r>
    </w:p>
    <w:p w14:paraId="4C79417D">
      <w:pPr>
        <w:adjustRightInd w:val="0"/>
        <w:snapToGrid w:val="0"/>
        <w:spacing w:line="360" w:lineRule="auto"/>
        <w:ind w:firstLine="560" w:firstLineChars="200"/>
        <w:rPr>
          <w:rFonts w:ascii="宋体" w:hAnsi="宋体" w:cs="Arial"/>
          <w:b w:val="0"/>
          <w:sz w:val="28"/>
        </w:rPr>
      </w:pPr>
      <w:r>
        <w:rPr>
          <w:rFonts w:ascii="宋体" w:hAnsi="宋体" w:cs="Arial"/>
          <w:b w:val="0"/>
          <w:sz w:val="28"/>
        </w:rPr>
        <w:t>在本次评价过程中，在现场调研、资料收集和意见沟通过程中，得到了企业领导、相关人员及设计单位的积极配合及协助，在此表示感谢！</w:t>
      </w:r>
    </w:p>
    <w:p w14:paraId="5930E5C3">
      <w:pPr>
        <w:pStyle w:val="2"/>
        <w:ind w:firstLine="562"/>
      </w:pPr>
      <w:r>
        <w:br w:type="page"/>
      </w:r>
    </w:p>
    <w:p w14:paraId="26941BE3">
      <w:pPr>
        <w:pStyle w:val="2"/>
        <w:ind w:firstLine="560"/>
        <w:rPr>
          <w:rFonts w:asciiTheme="minorEastAsia" w:hAnsiTheme="minorEastAsia" w:eastAsiaTheme="minorEastAsia"/>
          <w:b w:val="0"/>
          <w:bCs/>
          <w:snapToGrid w:val="0"/>
          <w:kern w:val="2"/>
          <w:szCs w:val="28"/>
        </w:rPr>
        <w:sectPr>
          <w:headerReference r:id="rId11" w:type="default"/>
          <w:pgSz w:w="11906" w:h="16838"/>
          <w:pgMar w:top="1440" w:right="1800" w:bottom="1440" w:left="1800" w:header="851" w:footer="863" w:gutter="0"/>
          <w:pgNumType w:fmt="upperRoman"/>
          <w:cols w:space="720" w:num="1"/>
          <w:docGrid w:linePitch="312" w:charSpace="0"/>
        </w:sectPr>
      </w:pPr>
    </w:p>
    <w:p w14:paraId="7C391E5E">
      <w:pPr>
        <w:widowControl/>
        <w:spacing w:before="120" w:beforeLines="50" w:line="360" w:lineRule="auto"/>
        <w:jc w:val="center"/>
        <w:rPr>
          <w:rFonts w:asciiTheme="minorEastAsia" w:hAnsiTheme="minorEastAsia" w:eastAsiaTheme="minorEastAsia"/>
          <w:bCs/>
          <w:sz w:val="32"/>
          <w:szCs w:val="32"/>
        </w:rPr>
      </w:pPr>
      <w:r>
        <w:rPr>
          <w:rFonts w:hint="eastAsia" w:asciiTheme="minorEastAsia" w:hAnsiTheme="minorEastAsia" w:eastAsiaTheme="minorEastAsia"/>
          <w:bCs/>
          <w:sz w:val="32"/>
          <w:szCs w:val="32"/>
        </w:rPr>
        <w:t xml:space="preserve">目 </w:t>
      </w:r>
      <w:r>
        <w:rPr>
          <w:rFonts w:asciiTheme="minorEastAsia" w:hAnsiTheme="minorEastAsia" w:eastAsiaTheme="minorEastAsia"/>
          <w:bCs/>
          <w:sz w:val="32"/>
          <w:szCs w:val="32"/>
        </w:rPr>
        <w:t xml:space="preserve">  </w:t>
      </w:r>
      <w:r>
        <w:rPr>
          <w:rFonts w:hint="eastAsia" w:asciiTheme="minorEastAsia" w:hAnsiTheme="minorEastAsia" w:eastAsiaTheme="minorEastAsia"/>
          <w:bCs/>
          <w:sz w:val="32"/>
          <w:szCs w:val="32"/>
        </w:rPr>
        <w:t>录</w:t>
      </w:r>
    </w:p>
    <w:p w14:paraId="19ABC40B">
      <w:pPr>
        <w:pStyle w:val="32"/>
        <w:tabs>
          <w:tab w:val="right" w:leader="dot" w:pos="8296"/>
        </w:tabs>
        <w:spacing w:line="276" w:lineRule="auto"/>
        <w:rPr>
          <w:rFonts w:ascii="宋体" w:hAnsi="宋体" w:cstheme="minorBidi"/>
          <w:b w:val="0"/>
          <w:bCs w:val="0"/>
          <w:caps w:val="0"/>
          <w:sz w:val="28"/>
          <w:szCs w:val="28"/>
        </w:rPr>
      </w:pPr>
      <w:r>
        <w:rPr>
          <w:rFonts w:ascii="宋体" w:hAnsi="宋体" w:cs="Arial"/>
          <w:b w:val="0"/>
          <w:bCs w:val="0"/>
          <w:caps w:val="0"/>
          <w:sz w:val="28"/>
          <w:szCs w:val="28"/>
        </w:rPr>
        <w:fldChar w:fldCharType="begin"/>
      </w:r>
      <w:r>
        <w:rPr>
          <w:rFonts w:ascii="宋体" w:hAnsi="宋体" w:cs="Arial"/>
          <w:b w:val="0"/>
          <w:bCs w:val="0"/>
          <w:caps w:val="0"/>
          <w:sz w:val="28"/>
          <w:szCs w:val="28"/>
        </w:rPr>
        <w:instrText xml:space="preserve"> TOC \o "1-2" \h \z \u </w:instrText>
      </w:r>
      <w:r>
        <w:rPr>
          <w:rFonts w:ascii="宋体" w:hAnsi="宋体" w:cs="Arial"/>
          <w:b w:val="0"/>
          <w:bCs w:val="0"/>
          <w:caps w:val="0"/>
          <w:sz w:val="28"/>
          <w:szCs w:val="28"/>
        </w:rPr>
        <w:fldChar w:fldCharType="separate"/>
      </w:r>
      <w:r>
        <w:fldChar w:fldCharType="begin"/>
      </w:r>
      <w:r>
        <w:instrText xml:space="preserve"> HYPERLINK \l "_Toc205979615" </w:instrText>
      </w:r>
      <w:r>
        <w:fldChar w:fldCharType="separate"/>
      </w:r>
      <w:r>
        <w:rPr>
          <w:rStyle w:val="58"/>
          <w:rFonts w:ascii="宋体" w:hAnsi="宋体"/>
          <w:sz w:val="28"/>
          <w:szCs w:val="28"/>
        </w:rPr>
        <w:t>第一章 安全评价概述</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_Toc205979615 \h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fldChar w:fldCharType="end"/>
      </w:r>
    </w:p>
    <w:p w14:paraId="1D902A1F">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"_Toc205979616" </w:instrText>
      </w:r>
      <w:r>
        <w:fldChar w:fldCharType="separate"/>
      </w:r>
      <w:r>
        <w:rPr>
          <w:rStyle w:val="58"/>
          <w:rFonts w:ascii="宋体" w:hAnsi="宋体"/>
          <w:bCs/>
          <w:snapToGrid w:val="0"/>
          <w:sz w:val="28"/>
          <w:szCs w:val="28"/>
        </w:rPr>
        <w:t>1.1安全评价目的</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_Toc205979616 \h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fldChar w:fldCharType="end"/>
      </w:r>
    </w:p>
    <w:p w14:paraId="1DDA7E71">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"_Toc205979617" </w:instrText>
      </w:r>
      <w:r>
        <w:fldChar w:fldCharType="separate"/>
      </w:r>
      <w:r>
        <w:rPr>
          <w:rStyle w:val="58"/>
          <w:rFonts w:ascii="宋体" w:hAnsi="宋体"/>
          <w:bCs/>
          <w:snapToGrid w:val="0"/>
          <w:sz w:val="28"/>
          <w:szCs w:val="28"/>
        </w:rPr>
        <w:t>1.2编制依据</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_Toc205979617 \h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fldChar w:fldCharType="end"/>
      </w:r>
    </w:p>
    <w:p w14:paraId="747D118F">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"_Toc205979618" </w:instrText>
      </w:r>
      <w:r>
        <w:fldChar w:fldCharType="separate"/>
      </w:r>
      <w:r>
        <w:rPr>
          <w:rStyle w:val="58"/>
          <w:rFonts w:ascii="宋体" w:hAnsi="宋体"/>
          <w:bCs/>
          <w:snapToGrid w:val="0"/>
          <w:sz w:val="28"/>
          <w:szCs w:val="28"/>
        </w:rPr>
        <w:t>1.3预评价范围和程序</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_Toc205979618 \h </w:instrText>
      </w:r>
      <w:r>
        <w:rPr>
          <w:rFonts w:ascii="宋体" w:hAnsi="宋体"/>
          <w:sz w:val="28"/>
          <w:szCs w:val="28"/>
        </w:rPr>
        <w:fldChar w:fldCharType="separate"/>
      </w:r>
      <w:r>
        <w:rPr>
          <w:rFonts w:ascii="宋体" w:hAnsi="宋体"/>
          <w:sz w:val="28"/>
          <w:szCs w:val="28"/>
        </w:rPr>
        <w:t>5</w:t>
      </w:r>
      <w:r>
        <w:rPr>
          <w:rFonts w:ascii="宋体" w:hAnsi="宋体"/>
          <w:sz w:val="28"/>
          <w:szCs w:val="28"/>
        </w:rPr>
        <w:fldChar w:fldCharType="end"/>
      </w:r>
      <w:r>
        <w:rPr>
          <w:rFonts w:ascii="宋体" w:hAnsi="宋体"/>
          <w:sz w:val="28"/>
          <w:szCs w:val="28"/>
        </w:rPr>
        <w:fldChar w:fldCharType="end"/>
      </w:r>
    </w:p>
    <w:p w14:paraId="2F277DE4">
      <w:pPr>
        <w:pStyle w:val="32"/>
        <w:tabs>
          <w:tab w:val="right" w:leader="dot" w:pos="8296"/>
        </w:tabs>
        <w:spacing w:line="276" w:lineRule="auto"/>
        <w:rPr>
          <w:rFonts w:ascii="宋体" w:hAnsi="宋体" w:cstheme="minorBidi"/>
          <w:b w:val="0"/>
          <w:bCs w:val="0"/>
          <w:caps w:val="0"/>
          <w:sz w:val="28"/>
          <w:szCs w:val="28"/>
        </w:rPr>
      </w:pPr>
      <w:r>
        <w:fldChar w:fldCharType="begin"/>
      </w:r>
      <w:r>
        <w:instrText xml:space="preserve"> HYPERLINK \l "_Toc205979619" </w:instrText>
      </w:r>
      <w:r>
        <w:fldChar w:fldCharType="separate"/>
      </w:r>
      <w:r>
        <w:rPr>
          <w:rStyle w:val="58"/>
          <w:rFonts w:ascii="宋体" w:hAnsi="宋体"/>
          <w:sz w:val="28"/>
          <w:szCs w:val="28"/>
        </w:rPr>
        <w:t>第二章  建设项目概况</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_Toc205979619 \h </w:instrText>
      </w:r>
      <w:r>
        <w:rPr>
          <w:rFonts w:ascii="宋体" w:hAnsi="宋体"/>
          <w:sz w:val="28"/>
          <w:szCs w:val="28"/>
        </w:rPr>
        <w:fldChar w:fldCharType="separate"/>
      </w:r>
      <w:r>
        <w:rPr>
          <w:rFonts w:ascii="宋体" w:hAnsi="宋体"/>
          <w:sz w:val="28"/>
          <w:szCs w:val="28"/>
        </w:rPr>
        <w:t>7</w:t>
      </w:r>
      <w:r>
        <w:rPr>
          <w:rFonts w:ascii="宋体" w:hAnsi="宋体"/>
          <w:sz w:val="28"/>
          <w:szCs w:val="28"/>
        </w:rPr>
        <w:fldChar w:fldCharType="end"/>
      </w:r>
      <w:r>
        <w:rPr>
          <w:rFonts w:ascii="宋体" w:hAnsi="宋体"/>
          <w:sz w:val="28"/>
          <w:szCs w:val="28"/>
        </w:rPr>
        <w:fldChar w:fldCharType="end"/>
      </w:r>
    </w:p>
    <w:p w14:paraId="40D51608">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"_Toc205979620" </w:instrText>
      </w:r>
      <w:r>
        <w:fldChar w:fldCharType="separate"/>
      </w:r>
      <w:r>
        <w:rPr>
          <w:rStyle w:val="58"/>
          <w:rFonts w:ascii="宋体" w:hAnsi="宋体"/>
          <w:bCs/>
          <w:snapToGrid w:val="0"/>
          <w:sz w:val="28"/>
          <w:szCs w:val="28"/>
        </w:rPr>
        <w:t>2.1建设单位概况</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_Toc205979620 \h </w:instrText>
      </w:r>
      <w:r>
        <w:rPr>
          <w:rFonts w:ascii="宋体" w:hAnsi="宋体"/>
          <w:sz w:val="28"/>
          <w:szCs w:val="28"/>
        </w:rPr>
        <w:fldChar w:fldCharType="separate"/>
      </w:r>
      <w:r>
        <w:rPr>
          <w:rFonts w:ascii="宋体" w:hAnsi="宋体"/>
          <w:sz w:val="28"/>
          <w:szCs w:val="28"/>
        </w:rPr>
        <w:t>7</w:t>
      </w:r>
      <w:r>
        <w:rPr>
          <w:rFonts w:ascii="宋体" w:hAnsi="宋体"/>
          <w:sz w:val="28"/>
          <w:szCs w:val="28"/>
        </w:rPr>
        <w:fldChar w:fldCharType="end"/>
      </w:r>
      <w:r>
        <w:rPr>
          <w:rFonts w:ascii="宋体" w:hAnsi="宋体"/>
          <w:sz w:val="28"/>
          <w:szCs w:val="28"/>
        </w:rPr>
        <w:fldChar w:fldCharType="end"/>
      </w:r>
    </w:p>
    <w:p w14:paraId="74857FED">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"_Toc205979621" </w:instrText>
      </w:r>
      <w:r>
        <w:fldChar w:fldCharType="separate"/>
      </w:r>
      <w:r>
        <w:rPr>
          <w:rStyle w:val="58"/>
          <w:rFonts w:ascii="宋体" w:hAnsi="宋体"/>
          <w:bCs/>
          <w:snapToGrid w:val="0"/>
          <w:sz w:val="28"/>
          <w:szCs w:val="28"/>
        </w:rPr>
        <w:t>2.2建设项目概况</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_Toc205979621 \h </w:instrText>
      </w:r>
      <w:r>
        <w:rPr>
          <w:rFonts w:ascii="宋体" w:hAnsi="宋体"/>
          <w:sz w:val="28"/>
          <w:szCs w:val="28"/>
        </w:rPr>
        <w:fldChar w:fldCharType="separate"/>
      </w:r>
      <w:r>
        <w:rPr>
          <w:rFonts w:ascii="宋体" w:hAnsi="宋体"/>
          <w:sz w:val="28"/>
          <w:szCs w:val="28"/>
        </w:rPr>
        <w:t>7</w:t>
      </w:r>
      <w:r>
        <w:rPr>
          <w:rFonts w:ascii="宋体" w:hAnsi="宋体"/>
          <w:sz w:val="28"/>
          <w:szCs w:val="28"/>
        </w:rPr>
        <w:fldChar w:fldCharType="end"/>
      </w:r>
      <w:r>
        <w:rPr>
          <w:rFonts w:ascii="宋体" w:hAnsi="宋体"/>
          <w:sz w:val="28"/>
          <w:szCs w:val="28"/>
        </w:rPr>
        <w:fldChar w:fldCharType="end"/>
      </w:r>
    </w:p>
    <w:p w14:paraId="0C1C2127">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"_Toc205979622" </w:instrText>
      </w:r>
      <w:r>
        <w:fldChar w:fldCharType="separate"/>
      </w:r>
      <w:r>
        <w:rPr>
          <w:rStyle w:val="58"/>
          <w:rFonts w:ascii="宋体" w:hAnsi="宋体"/>
          <w:bCs/>
          <w:snapToGrid w:val="0"/>
          <w:sz w:val="28"/>
          <w:szCs w:val="28"/>
        </w:rPr>
        <w:t>2.3地区气象、水文、地质情况</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_Toc205979622 \h </w:instrText>
      </w:r>
      <w:r>
        <w:rPr>
          <w:rFonts w:ascii="宋体" w:hAnsi="宋体"/>
          <w:sz w:val="28"/>
          <w:szCs w:val="28"/>
        </w:rPr>
        <w:fldChar w:fldCharType="separate"/>
      </w:r>
      <w:r>
        <w:rPr>
          <w:rFonts w:ascii="宋体" w:hAnsi="宋体"/>
          <w:sz w:val="28"/>
          <w:szCs w:val="28"/>
        </w:rPr>
        <w:t>18</w:t>
      </w:r>
      <w:r>
        <w:rPr>
          <w:rFonts w:ascii="宋体" w:hAnsi="宋体"/>
          <w:sz w:val="28"/>
          <w:szCs w:val="28"/>
        </w:rPr>
        <w:fldChar w:fldCharType="end"/>
      </w:r>
      <w:r>
        <w:rPr>
          <w:rFonts w:ascii="宋体" w:hAnsi="宋体"/>
          <w:sz w:val="28"/>
          <w:szCs w:val="28"/>
        </w:rPr>
        <w:fldChar w:fldCharType="end"/>
      </w:r>
    </w:p>
    <w:p w14:paraId="3DF496E8">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"_Toc205979623" </w:instrText>
      </w:r>
      <w:r>
        <w:fldChar w:fldCharType="separate"/>
      </w:r>
      <w:r>
        <w:rPr>
          <w:rStyle w:val="58"/>
          <w:rFonts w:ascii="宋体" w:hAnsi="宋体"/>
          <w:bCs/>
          <w:snapToGrid w:val="0"/>
          <w:sz w:val="28"/>
          <w:szCs w:val="28"/>
        </w:rPr>
        <w:t>2.4工艺流程</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_Toc205979623 \h </w:instrText>
      </w:r>
      <w:r>
        <w:rPr>
          <w:rFonts w:ascii="宋体" w:hAnsi="宋体"/>
          <w:sz w:val="28"/>
          <w:szCs w:val="28"/>
        </w:rPr>
        <w:fldChar w:fldCharType="separate"/>
      </w:r>
      <w:r>
        <w:rPr>
          <w:rFonts w:ascii="宋体" w:hAnsi="宋体"/>
          <w:sz w:val="28"/>
          <w:szCs w:val="28"/>
        </w:rPr>
        <w:t>19</w:t>
      </w:r>
      <w:r>
        <w:rPr>
          <w:rFonts w:ascii="宋体" w:hAnsi="宋体"/>
          <w:sz w:val="28"/>
          <w:szCs w:val="28"/>
        </w:rPr>
        <w:fldChar w:fldCharType="end"/>
      </w:r>
      <w:r>
        <w:rPr>
          <w:rFonts w:ascii="宋体" w:hAnsi="宋体"/>
          <w:sz w:val="28"/>
          <w:szCs w:val="28"/>
        </w:rPr>
        <w:fldChar w:fldCharType="end"/>
      </w:r>
    </w:p>
    <w:p w14:paraId="444E212B">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"_Toc205979624" </w:instrText>
      </w:r>
      <w:r>
        <w:fldChar w:fldCharType="separate"/>
      </w:r>
      <w:r>
        <w:rPr>
          <w:rStyle w:val="58"/>
          <w:rFonts w:ascii="宋体" w:hAnsi="宋体"/>
          <w:bCs/>
          <w:snapToGrid w:val="0"/>
          <w:sz w:val="28"/>
          <w:szCs w:val="28"/>
        </w:rPr>
        <w:t>2.5安全、消防设施</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_Toc205979624 \h </w:instrText>
      </w:r>
      <w:r>
        <w:rPr>
          <w:rFonts w:ascii="宋体" w:hAnsi="宋体"/>
          <w:sz w:val="28"/>
          <w:szCs w:val="28"/>
        </w:rPr>
        <w:fldChar w:fldCharType="separate"/>
      </w:r>
      <w:r>
        <w:rPr>
          <w:rFonts w:ascii="宋体" w:hAnsi="宋体"/>
          <w:sz w:val="28"/>
          <w:szCs w:val="28"/>
        </w:rPr>
        <w:t>20</w:t>
      </w:r>
      <w:r>
        <w:rPr>
          <w:rFonts w:ascii="宋体" w:hAnsi="宋体"/>
          <w:sz w:val="28"/>
          <w:szCs w:val="28"/>
        </w:rPr>
        <w:fldChar w:fldCharType="end"/>
      </w:r>
      <w:r>
        <w:rPr>
          <w:rFonts w:ascii="宋体" w:hAnsi="宋体"/>
          <w:sz w:val="28"/>
          <w:szCs w:val="28"/>
        </w:rPr>
        <w:fldChar w:fldCharType="end"/>
      </w:r>
    </w:p>
    <w:p w14:paraId="396E03EE">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"_Toc205979625" </w:instrText>
      </w:r>
      <w:r>
        <w:fldChar w:fldCharType="separate"/>
      </w:r>
      <w:r>
        <w:rPr>
          <w:rStyle w:val="58"/>
          <w:rFonts w:ascii="宋体" w:hAnsi="宋体"/>
          <w:bCs/>
          <w:snapToGrid w:val="0"/>
          <w:sz w:val="28"/>
          <w:szCs w:val="28"/>
        </w:rPr>
        <w:t>2.6库区内、外部距离</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_Toc205979625 \h </w:instrText>
      </w:r>
      <w:r>
        <w:rPr>
          <w:rFonts w:ascii="宋体" w:hAnsi="宋体"/>
          <w:sz w:val="28"/>
          <w:szCs w:val="28"/>
        </w:rPr>
        <w:fldChar w:fldCharType="separate"/>
      </w:r>
      <w:r>
        <w:rPr>
          <w:rFonts w:ascii="宋体" w:hAnsi="宋体"/>
          <w:sz w:val="28"/>
          <w:szCs w:val="28"/>
        </w:rPr>
        <w:t>22</w:t>
      </w:r>
      <w:r>
        <w:rPr>
          <w:rFonts w:ascii="宋体" w:hAnsi="宋体"/>
          <w:sz w:val="28"/>
          <w:szCs w:val="28"/>
        </w:rPr>
        <w:fldChar w:fldCharType="end"/>
      </w:r>
      <w:r>
        <w:rPr>
          <w:rFonts w:ascii="宋体" w:hAnsi="宋体"/>
          <w:sz w:val="28"/>
          <w:szCs w:val="28"/>
        </w:rPr>
        <w:fldChar w:fldCharType="end"/>
      </w:r>
    </w:p>
    <w:p w14:paraId="3CE7C9F4">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"_Toc205979626" </w:instrText>
      </w:r>
      <w:r>
        <w:fldChar w:fldCharType="separate"/>
      </w:r>
      <w:r>
        <w:rPr>
          <w:rStyle w:val="58"/>
          <w:rFonts w:ascii="宋体" w:hAnsi="宋体"/>
          <w:bCs/>
          <w:snapToGrid w:val="0"/>
          <w:sz w:val="28"/>
          <w:szCs w:val="28"/>
        </w:rPr>
        <w:t>2.7安全管理介绍</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_Toc205979626 \h </w:instrText>
      </w:r>
      <w:r>
        <w:rPr>
          <w:rFonts w:ascii="宋体" w:hAnsi="宋体"/>
          <w:sz w:val="28"/>
          <w:szCs w:val="28"/>
        </w:rPr>
        <w:fldChar w:fldCharType="separate"/>
      </w:r>
      <w:r>
        <w:rPr>
          <w:rFonts w:ascii="宋体" w:hAnsi="宋体"/>
          <w:sz w:val="28"/>
          <w:szCs w:val="28"/>
        </w:rPr>
        <w:t>30</w:t>
      </w:r>
      <w:r>
        <w:rPr>
          <w:rFonts w:ascii="宋体" w:hAnsi="宋体"/>
          <w:sz w:val="28"/>
          <w:szCs w:val="28"/>
        </w:rPr>
        <w:fldChar w:fldCharType="end"/>
      </w:r>
      <w:r>
        <w:rPr>
          <w:rFonts w:ascii="宋体" w:hAnsi="宋体"/>
          <w:sz w:val="28"/>
          <w:szCs w:val="28"/>
        </w:rPr>
        <w:fldChar w:fldCharType="end"/>
      </w:r>
    </w:p>
    <w:p w14:paraId="4011A7E8">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"_Toc205979627" </w:instrText>
      </w:r>
      <w:r>
        <w:fldChar w:fldCharType="separate"/>
      </w:r>
      <w:r>
        <w:rPr>
          <w:rStyle w:val="58"/>
          <w:rFonts w:ascii="宋体" w:hAnsi="宋体"/>
          <w:bCs/>
          <w:snapToGrid w:val="0"/>
          <w:sz w:val="28"/>
          <w:szCs w:val="28"/>
        </w:rPr>
        <w:t>2.8给、排水及消防</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_Toc205979627 \h </w:instrText>
      </w:r>
      <w:r>
        <w:rPr>
          <w:rFonts w:ascii="宋体" w:hAnsi="宋体"/>
          <w:sz w:val="28"/>
          <w:szCs w:val="28"/>
        </w:rPr>
        <w:fldChar w:fldCharType="separate"/>
      </w:r>
      <w:r>
        <w:rPr>
          <w:rFonts w:ascii="宋体" w:hAnsi="宋体"/>
          <w:sz w:val="28"/>
          <w:szCs w:val="28"/>
        </w:rPr>
        <w:t>33</w:t>
      </w:r>
      <w:r>
        <w:rPr>
          <w:rFonts w:ascii="宋体" w:hAnsi="宋体"/>
          <w:sz w:val="28"/>
          <w:szCs w:val="28"/>
        </w:rPr>
        <w:fldChar w:fldCharType="end"/>
      </w:r>
      <w:r>
        <w:rPr>
          <w:rFonts w:ascii="宋体" w:hAnsi="宋体"/>
          <w:sz w:val="28"/>
          <w:szCs w:val="28"/>
        </w:rPr>
        <w:fldChar w:fldCharType="end"/>
      </w:r>
    </w:p>
    <w:p w14:paraId="644D7CB4">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"_Toc205979628" </w:instrText>
      </w:r>
      <w:r>
        <w:fldChar w:fldCharType="separate"/>
      </w:r>
      <w:r>
        <w:rPr>
          <w:rStyle w:val="58"/>
          <w:rFonts w:ascii="宋体" w:hAnsi="宋体" w:cs="楷体"/>
          <w:sz w:val="28"/>
          <w:szCs w:val="28"/>
        </w:rPr>
        <w:t>2.9供（配）电设施</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_Toc205979628 \h </w:instrText>
      </w:r>
      <w:r>
        <w:rPr>
          <w:rFonts w:ascii="宋体" w:hAnsi="宋体"/>
          <w:sz w:val="28"/>
          <w:szCs w:val="28"/>
        </w:rPr>
        <w:fldChar w:fldCharType="separate"/>
      </w:r>
      <w:r>
        <w:rPr>
          <w:rFonts w:ascii="宋体" w:hAnsi="宋体"/>
          <w:sz w:val="28"/>
          <w:szCs w:val="28"/>
        </w:rPr>
        <w:t>35</w:t>
      </w:r>
      <w:r>
        <w:rPr>
          <w:rFonts w:ascii="宋体" w:hAnsi="宋体"/>
          <w:sz w:val="28"/>
          <w:szCs w:val="28"/>
        </w:rPr>
        <w:fldChar w:fldCharType="end"/>
      </w:r>
      <w:r>
        <w:rPr>
          <w:rFonts w:ascii="宋体" w:hAnsi="宋体"/>
          <w:sz w:val="28"/>
          <w:szCs w:val="28"/>
        </w:rPr>
        <w:fldChar w:fldCharType="end"/>
      </w:r>
    </w:p>
    <w:p w14:paraId="5221CD97">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"_Toc205979629" </w:instrText>
      </w:r>
      <w:r>
        <w:fldChar w:fldCharType="separate"/>
      </w:r>
      <w:r>
        <w:rPr>
          <w:rStyle w:val="58"/>
          <w:rFonts w:ascii="宋体" w:hAnsi="宋体" w:cs="楷体"/>
          <w:sz w:val="28"/>
          <w:szCs w:val="28"/>
        </w:rPr>
        <w:t>2.10防雷防静电</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_Toc205979629 \h </w:instrText>
      </w:r>
      <w:r>
        <w:rPr>
          <w:rFonts w:ascii="宋体" w:hAnsi="宋体"/>
          <w:sz w:val="28"/>
          <w:szCs w:val="28"/>
        </w:rPr>
        <w:fldChar w:fldCharType="separate"/>
      </w:r>
      <w:r>
        <w:rPr>
          <w:rFonts w:ascii="宋体" w:hAnsi="宋体"/>
          <w:sz w:val="28"/>
          <w:szCs w:val="28"/>
        </w:rPr>
        <w:t>36</w:t>
      </w:r>
      <w:r>
        <w:rPr>
          <w:rFonts w:ascii="宋体" w:hAnsi="宋体"/>
          <w:sz w:val="28"/>
          <w:szCs w:val="28"/>
        </w:rPr>
        <w:fldChar w:fldCharType="end"/>
      </w:r>
      <w:r>
        <w:rPr>
          <w:rFonts w:ascii="宋体" w:hAnsi="宋体"/>
          <w:sz w:val="28"/>
          <w:szCs w:val="28"/>
        </w:rPr>
        <w:fldChar w:fldCharType="end"/>
      </w:r>
    </w:p>
    <w:p w14:paraId="5C17E512">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"_Toc205979630" </w:instrText>
      </w:r>
      <w:r>
        <w:fldChar w:fldCharType="separate"/>
      </w:r>
      <w:r>
        <w:rPr>
          <w:rStyle w:val="58"/>
          <w:rFonts w:ascii="宋体" w:hAnsi="宋体" w:cs="楷体"/>
          <w:sz w:val="28"/>
          <w:szCs w:val="28"/>
        </w:rPr>
        <w:t>2.11通信</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_Toc205979630 \h </w:instrText>
      </w:r>
      <w:r>
        <w:rPr>
          <w:rFonts w:ascii="宋体" w:hAnsi="宋体"/>
          <w:sz w:val="28"/>
          <w:szCs w:val="28"/>
        </w:rPr>
        <w:fldChar w:fldCharType="separate"/>
      </w:r>
      <w:r>
        <w:rPr>
          <w:rFonts w:ascii="宋体" w:hAnsi="宋体"/>
          <w:sz w:val="28"/>
          <w:szCs w:val="28"/>
        </w:rPr>
        <w:t>37</w:t>
      </w:r>
      <w:r>
        <w:rPr>
          <w:rFonts w:ascii="宋体" w:hAnsi="宋体"/>
          <w:sz w:val="28"/>
          <w:szCs w:val="28"/>
        </w:rPr>
        <w:fldChar w:fldCharType="end"/>
      </w:r>
      <w:r>
        <w:rPr>
          <w:rFonts w:ascii="宋体" w:hAnsi="宋体"/>
          <w:sz w:val="28"/>
          <w:szCs w:val="28"/>
        </w:rPr>
        <w:fldChar w:fldCharType="end"/>
      </w:r>
    </w:p>
    <w:p w14:paraId="519D5B58">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"_Toc205979631" </w:instrText>
      </w:r>
      <w:r>
        <w:fldChar w:fldCharType="separate"/>
      </w:r>
      <w:r>
        <w:rPr>
          <w:rStyle w:val="58"/>
          <w:rFonts w:ascii="宋体" w:hAnsi="宋体" w:cs="楷体"/>
          <w:sz w:val="28"/>
          <w:szCs w:val="28"/>
        </w:rPr>
        <w:t>2.12监控</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_Toc205979631 \h </w:instrText>
      </w:r>
      <w:r>
        <w:rPr>
          <w:rFonts w:ascii="宋体" w:hAnsi="宋体"/>
          <w:sz w:val="28"/>
          <w:szCs w:val="28"/>
        </w:rPr>
        <w:fldChar w:fldCharType="separate"/>
      </w:r>
      <w:r>
        <w:rPr>
          <w:rFonts w:ascii="宋体" w:hAnsi="宋体"/>
          <w:sz w:val="28"/>
          <w:szCs w:val="28"/>
        </w:rPr>
        <w:t>37</w:t>
      </w:r>
      <w:r>
        <w:rPr>
          <w:rFonts w:ascii="宋体" w:hAnsi="宋体"/>
          <w:sz w:val="28"/>
          <w:szCs w:val="28"/>
        </w:rPr>
        <w:fldChar w:fldCharType="end"/>
      </w:r>
      <w:r>
        <w:rPr>
          <w:rFonts w:ascii="宋体" w:hAnsi="宋体"/>
          <w:sz w:val="28"/>
          <w:szCs w:val="28"/>
        </w:rPr>
        <w:fldChar w:fldCharType="end"/>
      </w:r>
    </w:p>
    <w:p w14:paraId="63203605">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"_Toc205979632" </w:instrText>
      </w:r>
      <w:r>
        <w:fldChar w:fldCharType="separate"/>
      </w:r>
      <w:r>
        <w:rPr>
          <w:rStyle w:val="58"/>
          <w:rFonts w:ascii="宋体" w:hAnsi="宋体" w:cs="楷体"/>
          <w:sz w:val="28"/>
          <w:szCs w:val="28"/>
        </w:rPr>
        <w:t>2.13安全标志</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_Toc205979632 \h </w:instrText>
      </w:r>
      <w:r>
        <w:rPr>
          <w:rFonts w:ascii="宋体" w:hAnsi="宋体"/>
          <w:sz w:val="28"/>
          <w:szCs w:val="28"/>
        </w:rPr>
        <w:fldChar w:fldCharType="separate"/>
      </w:r>
      <w:r>
        <w:rPr>
          <w:rFonts w:ascii="宋体" w:hAnsi="宋体"/>
          <w:sz w:val="28"/>
          <w:szCs w:val="28"/>
        </w:rPr>
        <w:t>37</w:t>
      </w:r>
      <w:r>
        <w:rPr>
          <w:rFonts w:ascii="宋体" w:hAnsi="宋体"/>
          <w:sz w:val="28"/>
          <w:szCs w:val="28"/>
        </w:rPr>
        <w:fldChar w:fldCharType="end"/>
      </w:r>
      <w:r>
        <w:rPr>
          <w:rFonts w:ascii="宋体" w:hAnsi="宋体"/>
          <w:sz w:val="28"/>
          <w:szCs w:val="28"/>
        </w:rPr>
        <w:fldChar w:fldCharType="end"/>
      </w:r>
    </w:p>
    <w:p w14:paraId="7C197F07">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"_Toc205979633" </w:instrText>
      </w:r>
      <w:r>
        <w:fldChar w:fldCharType="separate"/>
      </w:r>
      <w:r>
        <w:rPr>
          <w:rStyle w:val="58"/>
          <w:rFonts w:ascii="宋体" w:hAnsi="宋体" w:cs="楷体"/>
          <w:sz w:val="28"/>
          <w:szCs w:val="28"/>
        </w:rPr>
        <w:t>2.14安全责任险</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_Toc205979633 \h </w:instrText>
      </w:r>
      <w:r>
        <w:rPr>
          <w:rFonts w:ascii="宋体" w:hAnsi="宋体"/>
          <w:sz w:val="28"/>
          <w:szCs w:val="28"/>
        </w:rPr>
        <w:fldChar w:fldCharType="separate"/>
      </w:r>
      <w:r>
        <w:rPr>
          <w:rFonts w:ascii="宋体" w:hAnsi="宋体"/>
          <w:sz w:val="28"/>
          <w:szCs w:val="28"/>
        </w:rPr>
        <w:t>38</w:t>
      </w:r>
      <w:r>
        <w:rPr>
          <w:rFonts w:ascii="宋体" w:hAnsi="宋体"/>
          <w:sz w:val="28"/>
          <w:szCs w:val="28"/>
        </w:rPr>
        <w:fldChar w:fldCharType="end"/>
      </w:r>
      <w:r>
        <w:rPr>
          <w:rFonts w:ascii="宋体" w:hAnsi="宋体"/>
          <w:sz w:val="28"/>
          <w:szCs w:val="28"/>
        </w:rPr>
        <w:fldChar w:fldCharType="end"/>
      </w:r>
    </w:p>
    <w:p w14:paraId="77E10B70">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"_Toc205979634" </w:instrText>
      </w:r>
      <w:r>
        <w:fldChar w:fldCharType="separate"/>
      </w:r>
      <w:r>
        <w:rPr>
          <w:rStyle w:val="58"/>
          <w:rFonts w:ascii="宋体" w:hAnsi="宋体" w:cs="楷体"/>
          <w:sz w:val="28"/>
          <w:szCs w:val="28"/>
        </w:rPr>
        <w:t>2.15道路</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_Toc205979634 \h </w:instrText>
      </w:r>
      <w:r>
        <w:rPr>
          <w:rFonts w:ascii="宋体" w:hAnsi="宋体"/>
          <w:sz w:val="28"/>
          <w:szCs w:val="28"/>
        </w:rPr>
        <w:fldChar w:fldCharType="separate"/>
      </w:r>
      <w:r>
        <w:rPr>
          <w:rFonts w:ascii="宋体" w:hAnsi="宋体"/>
          <w:sz w:val="28"/>
          <w:szCs w:val="28"/>
        </w:rPr>
        <w:t>38</w:t>
      </w:r>
      <w:r>
        <w:rPr>
          <w:rFonts w:ascii="宋体" w:hAnsi="宋体"/>
          <w:sz w:val="28"/>
          <w:szCs w:val="28"/>
        </w:rPr>
        <w:fldChar w:fldCharType="end"/>
      </w:r>
      <w:r>
        <w:rPr>
          <w:rFonts w:ascii="宋体" w:hAnsi="宋体"/>
          <w:sz w:val="28"/>
          <w:szCs w:val="28"/>
        </w:rPr>
        <w:fldChar w:fldCharType="end"/>
      </w:r>
    </w:p>
    <w:p w14:paraId="0BACF585">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"_Toc205979635" </w:instrText>
      </w:r>
      <w:r>
        <w:fldChar w:fldCharType="separate"/>
      </w:r>
      <w:r>
        <w:rPr>
          <w:rStyle w:val="58"/>
          <w:rFonts w:ascii="宋体" w:hAnsi="宋体" w:cs="楷体"/>
          <w:sz w:val="28"/>
          <w:szCs w:val="28"/>
        </w:rPr>
        <w:t>2.16通风、防潮设施</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_Toc205979635 \h </w:instrText>
      </w:r>
      <w:r>
        <w:rPr>
          <w:rFonts w:ascii="宋体" w:hAnsi="宋体"/>
          <w:sz w:val="28"/>
          <w:szCs w:val="28"/>
        </w:rPr>
        <w:fldChar w:fldCharType="separate"/>
      </w:r>
      <w:r>
        <w:rPr>
          <w:rFonts w:ascii="宋体" w:hAnsi="宋体"/>
          <w:sz w:val="28"/>
          <w:szCs w:val="28"/>
        </w:rPr>
        <w:t>38</w:t>
      </w:r>
      <w:r>
        <w:rPr>
          <w:rFonts w:ascii="宋体" w:hAnsi="宋体"/>
          <w:sz w:val="28"/>
          <w:szCs w:val="28"/>
        </w:rPr>
        <w:fldChar w:fldCharType="end"/>
      </w:r>
      <w:r>
        <w:rPr>
          <w:rFonts w:ascii="宋体" w:hAnsi="宋体"/>
          <w:sz w:val="28"/>
          <w:szCs w:val="28"/>
        </w:rPr>
        <w:fldChar w:fldCharType="end"/>
      </w:r>
    </w:p>
    <w:p w14:paraId="0FD8CFC7">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"_Toc205979636" </w:instrText>
      </w:r>
      <w:r>
        <w:fldChar w:fldCharType="separate"/>
      </w:r>
      <w:r>
        <w:rPr>
          <w:rStyle w:val="58"/>
          <w:rFonts w:ascii="宋体" w:hAnsi="宋体" w:cs="楷体"/>
          <w:sz w:val="28"/>
          <w:szCs w:val="28"/>
        </w:rPr>
        <w:t>2.17通信设施</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_Toc205979636 \h </w:instrText>
      </w:r>
      <w:r>
        <w:rPr>
          <w:rFonts w:ascii="宋体" w:hAnsi="宋体"/>
          <w:sz w:val="28"/>
          <w:szCs w:val="28"/>
        </w:rPr>
        <w:fldChar w:fldCharType="separate"/>
      </w:r>
      <w:r>
        <w:rPr>
          <w:rFonts w:ascii="宋体" w:hAnsi="宋体"/>
          <w:sz w:val="28"/>
          <w:szCs w:val="28"/>
        </w:rPr>
        <w:t>39</w:t>
      </w:r>
      <w:r>
        <w:rPr>
          <w:rFonts w:ascii="宋体" w:hAnsi="宋体"/>
          <w:sz w:val="28"/>
          <w:szCs w:val="28"/>
        </w:rPr>
        <w:fldChar w:fldCharType="end"/>
      </w:r>
      <w:r>
        <w:rPr>
          <w:rFonts w:ascii="宋体" w:hAnsi="宋体"/>
          <w:sz w:val="28"/>
          <w:szCs w:val="28"/>
        </w:rPr>
        <w:fldChar w:fldCharType="end"/>
      </w:r>
    </w:p>
    <w:p w14:paraId="50DE80F9">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"_Toc205979637" </w:instrText>
      </w:r>
      <w:r>
        <w:fldChar w:fldCharType="separate"/>
      </w:r>
      <w:r>
        <w:rPr>
          <w:rStyle w:val="58"/>
          <w:rFonts w:ascii="宋体" w:hAnsi="宋体" w:cs="楷体"/>
          <w:sz w:val="28"/>
          <w:szCs w:val="28"/>
        </w:rPr>
        <w:t>2.18环保措施</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_Toc205979637 \h </w:instrText>
      </w:r>
      <w:r>
        <w:rPr>
          <w:rFonts w:ascii="宋体" w:hAnsi="宋体"/>
          <w:sz w:val="28"/>
          <w:szCs w:val="28"/>
        </w:rPr>
        <w:fldChar w:fldCharType="separate"/>
      </w:r>
      <w:r>
        <w:rPr>
          <w:rFonts w:ascii="宋体" w:hAnsi="宋体"/>
          <w:sz w:val="28"/>
          <w:szCs w:val="28"/>
        </w:rPr>
        <w:t>39</w:t>
      </w:r>
      <w:r>
        <w:rPr>
          <w:rFonts w:ascii="宋体" w:hAnsi="宋体"/>
          <w:sz w:val="28"/>
          <w:szCs w:val="28"/>
        </w:rPr>
        <w:fldChar w:fldCharType="end"/>
      </w:r>
      <w:r>
        <w:rPr>
          <w:rFonts w:ascii="宋体" w:hAnsi="宋体"/>
          <w:sz w:val="28"/>
          <w:szCs w:val="28"/>
        </w:rPr>
        <w:fldChar w:fldCharType="end"/>
      </w:r>
    </w:p>
    <w:p w14:paraId="55A1C6F7">
      <w:pPr>
        <w:pStyle w:val="32"/>
        <w:tabs>
          <w:tab w:val="right" w:leader="dot" w:pos="8296"/>
        </w:tabs>
        <w:spacing w:line="276" w:lineRule="auto"/>
        <w:rPr>
          <w:rFonts w:ascii="宋体" w:hAnsi="宋体" w:cstheme="minorBidi"/>
          <w:b w:val="0"/>
          <w:bCs w:val="0"/>
          <w:caps w:val="0"/>
          <w:sz w:val="28"/>
          <w:szCs w:val="28"/>
        </w:rPr>
      </w:pPr>
      <w:r>
        <w:fldChar w:fldCharType="begin"/>
      </w:r>
      <w:r>
        <w:instrText xml:space="preserve"> HYPERLINK \l "_Toc205979638" </w:instrText>
      </w:r>
      <w:r>
        <w:fldChar w:fldCharType="separate"/>
      </w:r>
      <w:r>
        <w:rPr>
          <w:rStyle w:val="58"/>
          <w:rFonts w:ascii="宋体" w:hAnsi="宋体"/>
          <w:sz w:val="28"/>
          <w:szCs w:val="28"/>
        </w:rPr>
        <w:t>第三章 主要危险、有害因素辩识与分析</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_Toc205979638 \h </w:instrText>
      </w:r>
      <w:r>
        <w:rPr>
          <w:rFonts w:ascii="宋体" w:hAnsi="宋体"/>
          <w:sz w:val="28"/>
          <w:szCs w:val="28"/>
        </w:rPr>
        <w:fldChar w:fldCharType="separate"/>
      </w:r>
      <w:r>
        <w:rPr>
          <w:rFonts w:ascii="宋体" w:hAnsi="宋体"/>
          <w:sz w:val="28"/>
          <w:szCs w:val="28"/>
        </w:rPr>
        <w:t>41</w:t>
      </w:r>
      <w:r>
        <w:rPr>
          <w:rFonts w:ascii="宋体" w:hAnsi="宋体"/>
          <w:sz w:val="28"/>
          <w:szCs w:val="28"/>
        </w:rPr>
        <w:fldChar w:fldCharType="end"/>
      </w:r>
      <w:r>
        <w:rPr>
          <w:rFonts w:ascii="宋体" w:hAnsi="宋体"/>
          <w:sz w:val="28"/>
          <w:szCs w:val="28"/>
        </w:rPr>
        <w:fldChar w:fldCharType="end"/>
      </w:r>
    </w:p>
    <w:p w14:paraId="51F6E076">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"_Toc205979639" </w:instrText>
      </w:r>
      <w:r>
        <w:fldChar w:fldCharType="separate"/>
      </w:r>
      <w:r>
        <w:rPr>
          <w:rStyle w:val="58"/>
          <w:rFonts w:ascii="宋体" w:hAnsi="宋体" w:cs="楷体"/>
          <w:sz w:val="28"/>
          <w:szCs w:val="28"/>
        </w:rPr>
        <w:t>3.1物质的危险性</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_Toc205979639 \h </w:instrText>
      </w:r>
      <w:r>
        <w:rPr>
          <w:rFonts w:ascii="宋体" w:hAnsi="宋体"/>
          <w:sz w:val="28"/>
          <w:szCs w:val="28"/>
        </w:rPr>
        <w:fldChar w:fldCharType="separate"/>
      </w:r>
      <w:r>
        <w:rPr>
          <w:rFonts w:ascii="宋体" w:hAnsi="宋体"/>
          <w:sz w:val="28"/>
          <w:szCs w:val="28"/>
        </w:rPr>
        <w:t>41</w:t>
      </w:r>
      <w:r>
        <w:rPr>
          <w:rFonts w:ascii="宋体" w:hAnsi="宋体"/>
          <w:sz w:val="28"/>
          <w:szCs w:val="28"/>
        </w:rPr>
        <w:fldChar w:fldCharType="end"/>
      </w:r>
      <w:r>
        <w:rPr>
          <w:rFonts w:ascii="宋体" w:hAnsi="宋体"/>
          <w:sz w:val="28"/>
          <w:szCs w:val="28"/>
        </w:rPr>
        <w:fldChar w:fldCharType="end"/>
      </w:r>
    </w:p>
    <w:p w14:paraId="34CDB2B4">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"_Toc205979640" </w:instrText>
      </w:r>
      <w:r>
        <w:fldChar w:fldCharType="separate"/>
      </w:r>
      <w:r>
        <w:rPr>
          <w:rStyle w:val="58"/>
          <w:rFonts w:ascii="宋体" w:hAnsi="宋体" w:cs="楷体"/>
          <w:sz w:val="28"/>
          <w:szCs w:val="28"/>
        </w:rPr>
        <w:t>3.2固有危险性分析</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_Toc205979640 \h </w:instrText>
      </w:r>
      <w:r>
        <w:rPr>
          <w:rFonts w:ascii="宋体" w:hAnsi="宋体"/>
          <w:sz w:val="28"/>
          <w:szCs w:val="28"/>
        </w:rPr>
        <w:fldChar w:fldCharType="separate"/>
      </w:r>
      <w:r>
        <w:rPr>
          <w:rFonts w:ascii="宋体" w:hAnsi="宋体"/>
          <w:sz w:val="28"/>
          <w:szCs w:val="28"/>
        </w:rPr>
        <w:t>46</w:t>
      </w:r>
      <w:r>
        <w:rPr>
          <w:rFonts w:ascii="宋体" w:hAnsi="宋体"/>
          <w:sz w:val="28"/>
          <w:szCs w:val="28"/>
        </w:rPr>
        <w:fldChar w:fldCharType="end"/>
      </w:r>
      <w:r>
        <w:rPr>
          <w:rFonts w:ascii="宋体" w:hAnsi="宋体"/>
          <w:sz w:val="28"/>
          <w:szCs w:val="28"/>
        </w:rPr>
        <w:fldChar w:fldCharType="end"/>
      </w:r>
    </w:p>
    <w:p w14:paraId="2D818CC1">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"_Toc205979641" </w:instrText>
      </w:r>
      <w:r>
        <w:fldChar w:fldCharType="separate"/>
      </w:r>
      <w:r>
        <w:rPr>
          <w:rStyle w:val="58"/>
          <w:rFonts w:ascii="宋体" w:hAnsi="宋体" w:cs="楷体"/>
          <w:sz w:val="28"/>
          <w:szCs w:val="28"/>
        </w:rPr>
        <w:t>3.3烟花爆竹重大危险源辨识</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_Toc205979641 \h </w:instrText>
      </w:r>
      <w:r>
        <w:rPr>
          <w:rFonts w:ascii="宋体" w:hAnsi="宋体"/>
          <w:sz w:val="28"/>
          <w:szCs w:val="28"/>
        </w:rPr>
        <w:fldChar w:fldCharType="separate"/>
      </w:r>
      <w:r>
        <w:rPr>
          <w:rFonts w:ascii="宋体" w:hAnsi="宋体"/>
          <w:sz w:val="28"/>
          <w:szCs w:val="28"/>
        </w:rPr>
        <w:t>48</w:t>
      </w:r>
      <w:r>
        <w:rPr>
          <w:rFonts w:ascii="宋体" w:hAnsi="宋体"/>
          <w:sz w:val="28"/>
          <w:szCs w:val="28"/>
        </w:rPr>
        <w:fldChar w:fldCharType="end"/>
      </w:r>
      <w:r>
        <w:rPr>
          <w:rFonts w:ascii="宋体" w:hAnsi="宋体"/>
          <w:sz w:val="28"/>
          <w:szCs w:val="28"/>
        </w:rPr>
        <w:fldChar w:fldCharType="end"/>
      </w:r>
    </w:p>
    <w:p w14:paraId="0530454D">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"_Toc205979642" </w:instrText>
      </w:r>
      <w:r>
        <w:fldChar w:fldCharType="separate"/>
      </w:r>
      <w:r>
        <w:rPr>
          <w:rStyle w:val="58"/>
          <w:rFonts w:ascii="宋体" w:hAnsi="宋体" w:cs="楷体"/>
          <w:sz w:val="28"/>
          <w:szCs w:val="28"/>
        </w:rPr>
        <w:t>3.4主要危险、有害因素</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_Toc205979642 \h </w:instrText>
      </w:r>
      <w:r>
        <w:rPr>
          <w:rFonts w:ascii="宋体" w:hAnsi="宋体"/>
          <w:sz w:val="28"/>
          <w:szCs w:val="28"/>
        </w:rPr>
        <w:fldChar w:fldCharType="separate"/>
      </w:r>
      <w:r>
        <w:rPr>
          <w:rFonts w:ascii="宋体" w:hAnsi="宋体"/>
          <w:sz w:val="28"/>
          <w:szCs w:val="28"/>
        </w:rPr>
        <w:t>51</w:t>
      </w:r>
      <w:r>
        <w:rPr>
          <w:rFonts w:ascii="宋体" w:hAnsi="宋体"/>
          <w:sz w:val="28"/>
          <w:szCs w:val="28"/>
        </w:rPr>
        <w:fldChar w:fldCharType="end"/>
      </w:r>
      <w:r>
        <w:rPr>
          <w:rFonts w:ascii="宋体" w:hAnsi="宋体"/>
          <w:sz w:val="28"/>
          <w:szCs w:val="28"/>
        </w:rPr>
        <w:fldChar w:fldCharType="end"/>
      </w:r>
    </w:p>
    <w:p w14:paraId="655C011E">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"_Toc205979643" </w:instrText>
      </w:r>
      <w:r>
        <w:fldChar w:fldCharType="separate"/>
      </w:r>
      <w:r>
        <w:rPr>
          <w:rStyle w:val="58"/>
          <w:rFonts w:ascii="宋体" w:hAnsi="宋体" w:cs="楷体"/>
          <w:sz w:val="28"/>
          <w:szCs w:val="28"/>
        </w:rPr>
        <w:t>3.5库区的危险性分析</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_Toc205979643 \h </w:instrText>
      </w:r>
      <w:r>
        <w:rPr>
          <w:rFonts w:ascii="宋体" w:hAnsi="宋体"/>
          <w:sz w:val="28"/>
          <w:szCs w:val="28"/>
        </w:rPr>
        <w:fldChar w:fldCharType="separate"/>
      </w:r>
      <w:r>
        <w:rPr>
          <w:rFonts w:ascii="宋体" w:hAnsi="宋体"/>
          <w:sz w:val="28"/>
          <w:szCs w:val="28"/>
        </w:rPr>
        <w:t>54</w:t>
      </w:r>
      <w:r>
        <w:rPr>
          <w:rFonts w:ascii="宋体" w:hAnsi="宋体"/>
          <w:sz w:val="28"/>
          <w:szCs w:val="28"/>
        </w:rPr>
        <w:fldChar w:fldCharType="end"/>
      </w:r>
      <w:r>
        <w:rPr>
          <w:rFonts w:ascii="宋体" w:hAnsi="宋体"/>
          <w:sz w:val="28"/>
          <w:szCs w:val="28"/>
        </w:rPr>
        <w:fldChar w:fldCharType="end"/>
      </w:r>
    </w:p>
    <w:p w14:paraId="59169C88">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"_Toc205979644" </w:instrText>
      </w:r>
      <w:r>
        <w:fldChar w:fldCharType="separate"/>
      </w:r>
      <w:r>
        <w:rPr>
          <w:rStyle w:val="58"/>
          <w:rFonts w:ascii="宋体" w:hAnsi="宋体" w:cs="楷体"/>
          <w:sz w:val="28"/>
          <w:szCs w:val="28"/>
        </w:rPr>
        <w:t>3.6针对拟设置的安全设施中潜在的危险有害因素分析</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_Toc205979644 \h </w:instrText>
      </w:r>
      <w:r>
        <w:rPr>
          <w:rFonts w:ascii="宋体" w:hAnsi="宋体"/>
          <w:sz w:val="28"/>
          <w:szCs w:val="28"/>
        </w:rPr>
        <w:fldChar w:fldCharType="separate"/>
      </w:r>
      <w:r>
        <w:rPr>
          <w:rFonts w:ascii="宋体" w:hAnsi="宋体"/>
          <w:sz w:val="28"/>
          <w:szCs w:val="28"/>
        </w:rPr>
        <w:t>58</w:t>
      </w:r>
      <w:r>
        <w:rPr>
          <w:rFonts w:ascii="宋体" w:hAnsi="宋体"/>
          <w:sz w:val="28"/>
          <w:szCs w:val="28"/>
        </w:rPr>
        <w:fldChar w:fldCharType="end"/>
      </w:r>
      <w:r>
        <w:rPr>
          <w:rFonts w:ascii="宋体" w:hAnsi="宋体"/>
          <w:sz w:val="28"/>
          <w:szCs w:val="28"/>
        </w:rPr>
        <w:fldChar w:fldCharType="end"/>
      </w:r>
    </w:p>
    <w:p w14:paraId="6EAE3BC3">
      <w:pPr>
        <w:pStyle w:val="32"/>
        <w:tabs>
          <w:tab w:val="right" w:leader="dot" w:pos="8296"/>
        </w:tabs>
        <w:spacing w:line="276" w:lineRule="auto"/>
        <w:rPr>
          <w:rFonts w:ascii="宋体" w:hAnsi="宋体" w:cstheme="minorBidi"/>
          <w:b w:val="0"/>
          <w:bCs w:val="0"/>
          <w:caps w:val="0"/>
          <w:sz w:val="28"/>
          <w:szCs w:val="28"/>
        </w:rPr>
      </w:pPr>
      <w:r>
        <w:fldChar w:fldCharType="begin"/>
      </w:r>
      <w:r>
        <w:instrText xml:space="preserve"> HYPERLINK \l "_Toc205979645" </w:instrText>
      </w:r>
      <w:r>
        <w:fldChar w:fldCharType="separate"/>
      </w:r>
      <w:r>
        <w:rPr>
          <w:rStyle w:val="58"/>
          <w:rFonts w:ascii="宋体" w:hAnsi="宋体"/>
          <w:sz w:val="28"/>
          <w:szCs w:val="28"/>
        </w:rPr>
        <w:t>第四章 评价单元划分及评价方法的选择</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_Toc205979645 \h </w:instrText>
      </w:r>
      <w:r>
        <w:rPr>
          <w:rFonts w:ascii="宋体" w:hAnsi="宋体"/>
          <w:sz w:val="28"/>
          <w:szCs w:val="28"/>
        </w:rPr>
        <w:fldChar w:fldCharType="separate"/>
      </w:r>
      <w:r>
        <w:rPr>
          <w:rFonts w:ascii="宋体" w:hAnsi="宋体"/>
          <w:sz w:val="28"/>
          <w:szCs w:val="28"/>
        </w:rPr>
        <w:t>61</w:t>
      </w:r>
      <w:r>
        <w:rPr>
          <w:rFonts w:ascii="宋体" w:hAnsi="宋体"/>
          <w:sz w:val="28"/>
          <w:szCs w:val="28"/>
        </w:rPr>
        <w:fldChar w:fldCharType="end"/>
      </w:r>
      <w:r>
        <w:rPr>
          <w:rFonts w:ascii="宋体" w:hAnsi="宋体"/>
          <w:sz w:val="28"/>
          <w:szCs w:val="28"/>
        </w:rPr>
        <w:fldChar w:fldCharType="end"/>
      </w:r>
    </w:p>
    <w:p w14:paraId="088843D0">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"_Toc205979646" </w:instrText>
      </w:r>
      <w:r>
        <w:fldChar w:fldCharType="separate"/>
      </w:r>
      <w:r>
        <w:rPr>
          <w:rStyle w:val="58"/>
          <w:rFonts w:ascii="宋体" w:hAnsi="宋体"/>
          <w:bCs/>
          <w:snapToGrid w:val="0"/>
          <w:sz w:val="28"/>
          <w:szCs w:val="28"/>
        </w:rPr>
        <w:t>4.1评价单元划分</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_Toc205979646 \h </w:instrText>
      </w:r>
      <w:r>
        <w:rPr>
          <w:rFonts w:ascii="宋体" w:hAnsi="宋体"/>
          <w:sz w:val="28"/>
          <w:szCs w:val="28"/>
        </w:rPr>
        <w:fldChar w:fldCharType="separate"/>
      </w:r>
      <w:r>
        <w:rPr>
          <w:rFonts w:ascii="宋体" w:hAnsi="宋体"/>
          <w:sz w:val="28"/>
          <w:szCs w:val="28"/>
        </w:rPr>
        <w:t>61</w:t>
      </w:r>
      <w:r>
        <w:rPr>
          <w:rFonts w:ascii="宋体" w:hAnsi="宋体"/>
          <w:sz w:val="28"/>
          <w:szCs w:val="28"/>
        </w:rPr>
        <w:fldChar w:fldCharType="end"/>
      </w:r>
      <w:r>
        <w:rPr>
          <w:rFonts w:ascii="宋体" w:hAnsi="宋体"/>
          <w:sz w:val="28"/>
          <w:szCs w:val="28"/>
        </w:rPr>
        <w:fldChar w:fldCharType="end"/>
      </w:r>
    </w:p>
    <w:p w14:paraId="6E3E89B4">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"_Toc205979647" </w:instrText>
      </w:r>
      <w:r>
        <w:fldChar w:fldCharType="separate"/>
      </w:r>
      <w:r>
        <w:rPr>
          <w:rStyle w:val="58"/>
          <w:rFonts w:ascii="宋体" w:hAnsi="宋体"/>
          <w:bCs/>
          <w:snapToGrid w:val="0"/>
          <w:sz w:val="28"/>
          <w:szCs w:val="28"/>
        </w:rPr>
        <w:t>4.2评价方法选择</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_Toc205979647 \h </w:instrText>
      </w:r>
      <w:r>
        <w:rPr>
          <w:rFonts w:ascii="宋体" w:hAnsi="宋体"/>
          <w:sz w:val="28"/>
          <w:szCs w:val="28"/>
        </w:rPr>
        <w:fldChar w:fldCharType="separate"/>
      </w:r>
      <w:r>
        <w:rPr>
          <w:rFonts w:ascii="宋体" w:hAnsi="宋体"/>
          <w:sz w:val="28"/>
          <w:szCs w:val="28"/>
        </w:rPr>
        <w:t>61</w:t>
      </w:r>
      <w:r>
        <w:rPr>
          <w:rFonts w:ascii="宋体" w:hAnsi="宋体"/>
          <w:sz w:val="28"/>
          <w:szCs w:val="28"/>
        </w:rPr>
        <w:fldChar w:fldCharType="end"/>
      </w:r>
      <w:r>
        <w:rPr>
          <w:rFonts w:ascii="宋体" w:hAnsi="宋体"/>
          <w:sz w:val="28"/>
          <w:szCs w:val="28"/>
        </w:rPr>
        <w:fldChar w:fldCharType="end"/>
      </w:r>
    </w:p>
    <w:p w14:paraId="1072D3BA">
      <w:pPr>
        <w:pStyle w:val="32"/>
        <w:tabs>
          <w:tab w:val="right" w:leader="dot" w:pos="8296"/>
        </w:tabs>
        <w:spacing w:line="276" w:lineRule="auto"/>
        <w:rPr>
          <w:rFonts w:ascii="宋体" w:hAnsi="宋体" w:cstheme="minorBidi"/>
          <w:b w:val="0"/>
          <w:bCs w:val="0"/>
          <w:caps w:val="0"/>
          <w:sz w:val="28"/>
          <w:szCs w:val="28"/>
        </w:rPr>
      </w:pPr>
      <w:r>
        <w:fldChar w:fldCharType="begin"/>
      </w:r>
      <w:r>
        <w:instrText xml:space="preserve"> HYPERLINK \l "_Toc205979648" </w:instrText>
      </w:r>
      <w:r>
        <w:fldChar w:fldCharType="separate"/>
      </w:r>
      <w:r>
        <w:rPr>
          <w:rStyle w:val="58"/>
          <w:rFonts w:ascii="宋体" w:hAnsi="宋体"/>
          <w:sz w:val="28"/>
          <w:szCs w:val="28"/>
        </w:rPr>
        <w:t>第五章 定性定量评价</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_Toc205979648 \h </w:instrText>
      </w:r>
      <w:r>
        <w:rPr>
          <w:rFonts w:ascii="宋体" w:hAnsi="宋体"/>
          <w:sz w:val="28"/>
          <w:szCs w:val="28"/>
        </w:rPr>
        <w:fldChar w:fldCharType="separate"/>
      </w:r>
      <w:r>
        <w:rPr>
          <w:rFonts w:ascii="宋体" w:hAnsi="宋体"/>
          <w:sz w:val="28"/>
          <w:szCs w:val="28"/>
        </w:rPr>
        <w:t>63</w:t>
      </w:r>
      <w:r>
        <w:rPr>
          <w:rFonts w:ascii="宋体" w:hAnsi="宋体"/>
          <w:sz w:val="28"/>
          <w:szCs w:val="28"/>
        </w:rPr>
        <w:fldChar w:fldCharType="end"/>
      </w:r>
      <w:r>
        <w:rPr>
          <w:rFonts w:ascii="宋体" w:hAnsi="宋体"/>
          <w:sz w:val="28"/>
          <w:szCs w:val="28"/>
        </w:rPr>
        <w:fldChar w:fldCharType="end"/>
      </w:r>
    </w:p>
    <w:p w14:paraId="36F9A792">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"_Toc205979649" </w:instrText>
      </w:r>
      <w:r>
        <w:fldChar w:fldCharType="separate"/>
      </w:r>
      <w:r>
        <w:rPr>
          <w:rStyle w:val="58"/>
          <w:rFonts w:ascii="宋体" w:hAnsi="宋体"/>
          <w:bCs/>
          <w:snapToGrid w:val="0"/>
          <w:sz w:val="28"/>
          <w:szCs w:val="28"/>
        </w:rPr>
        <w:t>5.1安全检查表</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_Toc205979649 \h </w:instrText>
      </w:r>
      <w:r>
        <w:rPr>
          <w:rFonts w:ascii="宋体" w:hAnsi="宋体"/>
          <w:sz w:val="28"/>
          <w:szCs w:val="28"/>
        </w:rPr>
        <w:fldChar w:fldCharType="separate"/>
      </w:r>
      <w:r>
        <w:rPr>
          <w:rFonts w:ascii="宋体" w:hAnsi="宋体"/>
          <w:sz w:val="28"/>
          <w:szCs w:val="28"/>
        </w:rPr>
        <w:t>63</w:t>
      </w:r>
      <w:r>
        <w:rPr>
          <w:rFonts w:ascii="宋体" w:hAnsi="宋体"/>
          <w:sz w:val="28"/>
          <w:szCs w:val="28"/>
        </w:rPr>
        <w:fldChar w:fldCharType="end"/>
      </w:r>
      <w:r>
        <w:rPr>
          <w:rFonts w:ascii="宋体" w:hAnsi="宋体"/>
          <w:sz w:val="28"/>
          <w:szCs w:val="28"/>
        </w:rPr>
        <w:fldChar w:fldCharType="end"/>
      </w:r>
    </w:p>
    <w:p w14:paraId="584AC982">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"_Toc205979650" </w:instrText>
      </w:r>
      <w:r>
        <w:fldChar w:fldCharType="separate"/>
      </w:r>
      <w:r>
        <w:rPr>
          <w:rStyle w:val="58"/>
          <w:rFonts w:ascii="宋体" w:hAnsi="宋体"/>
          <w:bCs/>
          <w:snapToGrid w:val="0"/>
          <w:sz w:val="28"/>
          <w:szCs w:val="28"/>
        </w:rPr>
        <w:t>5.2建设项目外部安全条件单元安全预评价</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_Toc205979650 \h </w:instrText>
      </w:r>
      <w:r>
        <w:rPr>
          <w:rFonts w:ascii="宋体" w:hAnsi="宋体"/>
          <w:sz w:val="28"/>
          <w:szCs w:val="28"/>
        </w:rPr>
        <w:fldChar w:fldCharType="separate"/>
      </w:r>
      <w:r>
        <w:rPr>
          <w:rFonts w:ascii="宋体" w:hAnsi="宋体"/>
          <w:sz w:val="28"/>
          <w:szCs w:val="28"/>
        </w:rPr>
        <w:t>66</w:t>
      </w:r>
      <w:r>
        <w:rPr>
          <w:rFonts w:ascii="宋体" w:hAnsi="宋体"/>
          <w:sz w:val="28"/>
          <w:szCs w:val="28"/>
        </w:rPr>
        <w:fldChar w:fldCharType="end"/>
      </w:r>
      <w:r>
        <w:rPr>
          <w:rFonts w:ascii="宋体" w:hAnsi="宋体"/>
          <w:sz w:val="28"/>
          <w:szCs w:val="28"/>
        </w:rPr>
        <w:fldChar w:fldCharType="end"/>
      </w:r>
    </w:p>
    <w:p w14:paraId="7386718E">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"_Toc205979651" </w:instrText>
      </w:r>
      <w:r>
        <w:fldChar w:fldCharType="separate"/>
      </w:r>
      <w:r>
        <w:rPr>
          <w:rStyle w:val="58"/>
          <w:rFonts w:ascii="宋体" w:hAnsi="宋体"/>
          <w:bCs/>
          <w:snapToGrid w:val="0"/>
          <w:sz w:val="28"/>
          <w:szCs w:val="28"/>
        </w:rPr>
        <w:t>5.3选址、总平面布局和内部距离单元安全预评价</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_Toc205979651 \h </w:instrText>
      </w:r>
      <w:r>
        <w:rPr>
          <w:rFonts w:ascii="宋体" w:hAnsi="宋体"/>
          <w:sz w:val="28"/>
          <w:szCs w:val="28"/>
        </w:rPr>
        <w:fldChar w:fldCharType="separate"/>
      </w:r>
      <w:r>
        <w:rPr>
          <w:rFonts w:ascii="宋体" w:hAnsi="宋体"/>
          <w:sz w:val="28"/>
          <w:szCs w:val="28"/>
        </w:rPr>
        <w:t>73</w:t>
      </w:r>
      <w:r>
        <w:rPr>
          <w:rFonts w:ascii="宋体" w:hAnsi="宋体"/>
          <w:sz w:val="28"/>
          <w:szCs w:val="28"/>
        </w:rPr>
        <w:fldChar w:fldCharType="end"/>
      </w:r>
      <w:r>
        <w:rPr>
          <w:rFonts w:ascii="宋体" w:hAnsi="宋体"/>
          <w:sz w:val="28"/>
          <w:szCs w:val="28"/>
        </w:rPr>
        <w:fldChar w:fldCharType="end"/>
      </w:r>
    </w:p>
    <w:p w14:paraId="3F25AC06">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"_Toc205979652" </w:instrText>
      </w:r>
      <w:r>
        <w:fldChar w:fldCharType="separate"/>
      </w:r>
      <w:r>
        <w:rPr>
          <w:rStyle w:val="58"/>
          <w:rFonts w:ascii="宋体" w:hAnsi="宋体"/>
          <w:bCs/>
          <w:snapToGrid w:val="0"/>
          <w:sz w:val="28"/>
          <w:szCs w:val="28"/>
        </w:rPr>
        <w:t>5.4安全设施单元安全预评价</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_Toc205979652 \h </w:instrText>
      </w:r>
      <w:r>
        <w:rPr>
          <w:rFonts w:ascii="宋体" w:hAnsi="宋体"/>
          <w:sz w:val="28"/>
          <w:szCs w:val="28"/>
        </w:rPr>
        <w:fldChar w:fldCharType="separate"/>
      </w:r>
      <w:r>
        <w:rPr>
          <w:rFonts w:ascii="宋体" w:hAnsi="宋体"/>
          <w:sz w:val="28"/>
          <w:szCs w:val="28"/>
        </w:rPr>
        <w:t>74</w:t>
      </w:r>
      <w:r>
        <w:rPr>
          <w:rFonts w:ascii="宋体" w:hAnsi="宋体"/>
          <w:sz w:val="28"/>
          <w:szCs w:val="28"/>
        </w:rPr>
        <w:fldChar w:fldCharType="end"/>
      </w:r>
      <w:r>
        <w:rPr>
          <w:rFonts w:ascii="宋体" w:hAnsi="宋体"/>
          <w:sz w:val="28"/>
          <w:szCs w:val="28"/>
        </w:rPr>
        <w:fldChar w:fldCharType="end"/>
      </w:r>
    </w:p>
    <w:p w14:paraId="7DE8B80A">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"_Toc205979653" </w:instrText>
      </w:r>
      <w:r>
        <w:fldChar w:fldCharType="separate"/>
      </w:r>
      <w:r>
        <w:rPr>
          <w:rStyle w:val="58"/>
          <w:rFonts w:ascii="宋体" w:hAnsi="宋体"/>
          <w:bCs/>
          <w:snapToGrid w:val="0"/>
          <w:sz w:val="28"/>
          <w:szCs w:val="28"/>
        </w:rPr>
        <w:t>5.5预先危险性分析法（PHA）</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_Toc205979653 \h </w:instrText>
      </w:r>
      <w:r>
        <w:rPr>
          <w:rFonts w:ascii="宋体" w:hAnsi="宋体"/>
          <w:sz w:val="28"/>
          <w:szCs w:val="28"/>
        </w:rPr>
        <w:fldChar w:fldCharType="separate"/>
      </w:r>
      <w:r>
        <w:rPr>
          <w:rFonts w:ascii="宋体" w:hAnsi="宋体"/>
          <w:sz w:val="28"/>
          <w:szCs w:val="28"/>
        </w:rPr>
        <w:t>76</w:t>
      </w:r>
      <w:r>
        <w:rPr>
          <w:rFonts w:ascii="宋体" w:hAnsi="宋体"/>
          <w:sz w:val="28"/>
          <w:szCs w:val="28"/>
        </w:rPr>
        <w:fldChar w:fldCharType="end"/>
      </w:r>
      <w:r>
        <w:rPr>
          <w:rFonts w:ascii="宋体" w:hAnsi="宋体"/>
          <w:sz w:val="28"/>
          <w:szCs w:val="28"/>
        </w:rPr>
        <w:fldChar w:fldCharType="end"/>
      </w:r>
    </w:p>
    <w:p w14:paraId="0F5F342E">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"_Toc205979654" </w:instrText>
      </w:r>
      <w:r>
        <w:fldChar w:fldCharType="separate"/>
      </w:r>
      <w:r>
        <w:rPr>
          <w:rStyle w:val="58"/>
          <w:rFonts w:ascii="宋体" w:hAnsi="宋体"/>
          <w:bCs/>
          <w:snapToGrid w:val="0"/>
          <w:sz w:val="28"/>
          <w:szCs w:val="28"/>
        </w:rPr>
        <w:t>5.6事故树分析法</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_Toc205979654 \h </w:instrText>
      </w:r>
      <w:r>
        <w:rPr>
          <w:rFonts w:ascii="宋体" w:hAnsi="宋体"/>
          <w:sz w:val="28"/>
          <w:szCs w:val="28"/>
        </w:rPr>
        <w:fldChar w:fldCharType="separate"/>
      </w:r>
      <w:r>
        <w:rPr>
          <w:rFonts w:ascii="宋体" w:hAnsi="宋体"/>
          <w:sz w:val="28"/>
          <w:szCs w:val="28"/>
        </w:rPr>
        <w:t>79</w:t>
      </w:r>
      <w:r>
        <w:rPr>
          <w:rFonts w:ascii="宋体" w:hAnsi="宋体"/>
          <w:sz w:val="28"/>
          <w:szCs w:val="28"/>
        </w:rPr>
        <w:fldChar w:fldCharType="end"/>
      </w:r>
      <w:r>
        <w:rPr>
          <w:rFonts w:ascii="宋体" w:hAnsi="宋体"/>
          <w:sz w:val="28"/>
          <w:szCs w:val="28"/>
        </w:rPr>
        <w:fldChar w:fldCharType="end"/>
      </w:r>
    </w:p>
    <w:p w14:paraId="0D4DD0BA">
      <w:pPr>
        <w:pStyle w:val="32"/>
        <w:tabs>
          <w:tab w:val="right" w:leader="dot" w:pos="8296"/>
        </w:tabs>
        <w:spacing w:line="276" w:lineRule="auto"/>
        <w:rPr>
          <w:rFonts w:ascii="宋体" w:hAnsi="宋体" w:cstheme="minorBidi"/>
          <w:b w:val="0"/>
          <w:bCs w:val="0"/>
          <w:caps w:val="0"/>
          <w:sz w:val="28"/>
          <w:szCs w:val="28"/>
        </w:rPr>
      </w:pPr>
      <w:r>
        <w:fldChar w:fldCharType="begin"/>
      </w:r>
      <w:r>
        <w:instrText xml:space="preserve"> HYPERLINK \l "_Toc205979655" </w:instrText>
      </w:r>
      <w:r>
        <w:fldChar w:fldCharType="separate"/>
      </w:r>
      <w:r>
        <w:rPr>
          <w:rStyle w:val="58"/>
          <w:rFonts w:ascii="宋体" w:hAnsi="宋体"/>
          <w:sz w:val="28"/>
          <w:szCs w:val="28"/>
        </w:rPr>
        <w:t>第六章 安全对策措施建议</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_Toc205979655 \h </w:instrText>
      </w:r>
      <w:r>
        <w:rPr>
          <w:rFonts w:ascii="宋体" w:hAnsi="宋体"/>
          <w:sz w:val="28"/>
          <w:szCs w:val="28"/>
        </w:rPr>
        <w:fldChar w:fldCharType="separate"/>
      </w:r>
      <w:r>
        <w:rPr>
          <w:rFonts w:ascii="宋体" w:hAnsi="宋体"/>
          <w:sz w:val="28"/>
          <w:szCs w:val="28"/>
        </w:rPr>
        <w:t>81</w:t>
      </w:r>
      <w:r>
        <w:rPr>
          <w:rFonts w:ascii="宋体" w:hAnsi="宋体"/>
          <w:sz w:val="28"/>
          <w:szCs w:val="28"/>
        </w:rPr>
        <w:fldChar w:fldCharType="end"/>
      </w:r>
      <w:r>
        <w:rPr>
          <w:rFonts w:ascii="宋体" w:hAnsi="宋体"/>
          <w:sz w:val="28"/>
          <w:szCs w:val="28"/>
        </w:rPr>
        <w:fldChar w:fldCharType="end"/>
      </w:r>
    </w:p>
    <w:p w14:paraId="63061D27">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"_Toc205979656" </w:instrText>
      </w:r>
      <w:r>
        <w:fldChar w:fldCharType="separate"/>
      </w:r>
      <w:r>
        <w:rPr>
          <w:rStyle w:val="58"/>
          <w:rFonts w:ascii="宋体" w:hAnsi="宋体"/>
          <w:bCs/>
          <w:snapToGrid w:val="0"/>
          <w:sz w:val="28"/>
          <w:szCs w:val="28"/>
        </w:rPr>
        <w:t>6.1安全措施建议的依据</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_Toc205979656 \h </w:instrText>
      </w:r>
      <w:r>
        <w:rPr>
          <w:rFonts w:ascii="宋体" w:hAnsi="宋体"/>
          <w:sz w:val="28"/>
          <w:szCs w:val="28"/>
        </w:rPr>
        <w:fldChar w:fldCharType="separate"/>
      </w:r>
      <w:r>
        <w:rPr>
          <w:rFonts w:ascii="宋体" w:hAnsi="宋体"/>
          <w:sz w:val="28"/>
          <w:szCs w:val="28"/>
        </w:rPr>
        <w:t>81</w:t>
      </w:r>
      <w:r>
        <w:rPr>
          <w:rFonts w:ascii="宋体" w:hAnsi="宋体"/>
          <w:sz w:val="28"/>
          <w:szCs w:val="28"/>
        </w:rPr>
        <w:fldChar w:fldCharType="end"/>
      </w:r>
      <w:r>
        <w:rPr>
          <w:rFonts w:ascii="宋体" w:hAnsi="宋体"/>
          <w:sz w:val="28"/>
          <w:szCs w:val="28"/>
        </w:rPr>
        <w:fldChar w:fldCharType="end"/>
      </w:r>
    </w:p>
    <w:p w14:paraId="792F8B57">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"_Toc205979657" </w:instrText>
      </w:r>
      <w:r>
        <w:fldChar w:fldCharType="separate"/>
      </w:r>
      <w:r>
        <w:rPr>
          <w:rStyle w:val="58"/>
          <w:rFonts w:ascii="宋体" w:hAnsi="宋体"/>
          <w:bCs/>
          <w:snapToGrid w:val="0"/>
          <w:sz w:val="28"/>
          <w:szCs w:val="28"/>
        </w:rPr>
        <w:t>6.2安全对策措施建议的原则</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_Toc205979657 \h </w:instrText>
      </w:r>
      <w:r>
        <w:rPr>
          <w:rFonts w:ascii="宋体" w:hAnsi="宋体"/>
          <w:sz w:val="28"/>
          <w:szCs w:val="28"/>
        </w:rPr>
        <w:fldChar w:fldCharType="separate"/>
      </w:r>
      <w:r>
        <w:rPr>
          <w:rFonts w:ascii="宋体" w:hAnsi="宋体"/>
          <w:sz w:val="28"/>
          <w:szCs w:val="28"/>
        </w:rPr>
        <w:t>81</w:t>
      </w:r>
      <w:r>
        <w:rPr>
          <w:rFonts w:ascii="宋体" w:hAnsi="宋体"/>
          <w:sz w:val="28"/>
          <w:szCs w:val="28"/>
        </w:rPr>
        <w:fldChar w:fldCharType="end"/>
      </w:r>
      <w:r>
        <w:rPr>
          <w:rFonts w:ascii="宋体" w:hAnsi="宋体"/>
          <w:sz w:val="28"/>
          <w:szCs w:val="28"/>
        </w:rPr>
        <w:fldChar w:fldCharType="end"/>
      </w:r>
    </w:p>
    <w:p w14:paraId="75414F71">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"_Toc205979658" </w:instrText>
      </w:r>
      <w:r>
        <w:fldChar w:fldCharType="separate"/>
      </w:r>
      <w:r>
        <w:rPr>
          <w:rStyle w:val="58"/>
          <w:rFonts w:ascii="宋体" w:hAnsi="宋体"/>
          <w:bCs/>
          <w:snapToGrid w:val="0"/>
          <w:sz w:val="28"/>
          <w:szCs w:val="28"/>
        </w:rPr>
        <w:t>6.3安全对策措施</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_Toc205979658 \h </w:instrText>
      </w:r>
      <w:r>
        <w:rPr>
          <w:rFonts w:ascii="宋体" w:hAnsi="宋体"/>
          <w:sz w:val="28"/>
          <w:szCs w:val="28"/>
        </w:rPr>
        <w:fldChar w:fldCharType="separate"/>
      </w:r>
      <w:r>
        <w:rPr>
          <w:rFonts w:ascii="宋体" w:hAnsi="宋体"/>
          <w:sz w:val="28"/>
          <w:szCs w:val="28"/>
        </w:rPr>
        <w:t>81</w:t>
      </w:r>
      <w:r>
        <w:rPr>
          <w:rFonts w:ascii="宋体" w:hAnsi="宋体"/>
          <w:sz w:val="28"/>
          <w:szCs w:val="28"/>
        </w:rPr>
        <w:fldChar w:fldCharType="end"/>
      </w:r>
      <w:r>
        <w:rPr>
          <w:rFonts w:ascii="宋体" w:hAnsi="宋体"/>
          <w:sz w:val="28"/>
          <w:szCs w:val="28"/>
        </w:rPr>
        <w:fldChar w:fldCharType="end"/>
      </w:r>
    </w:p>
    <w:p w14:paraId="37191002">
      <w:pPr>
        <w:pStyle w:val="32"/>
        <w:tabs>
          <w:tab w:val="right" w:leader="dot" w:pos="8296"/>
        </w:tabs>
        <w:spacing w:line="276" w:lineRule="auto"/>
        <w:rPr>
          <w:rFonts w:ascii="宋体" w:hAnsi="宋体" w:cstheme="minorBidi"/>
          <w:b w:val="0"/>
          <w:bCs w:val="0"/>
          <w:caps w:val="0"/>
          <w:sz w:val="28"/>
          <w:szCs w:val="28"/>
        </w:rPr>
      </w:pPr>
      <w:r>
        <w:fldChar w:fldCharType="begin"/>
      </w:r>
      <w:r>
        <w:instrText xml:space="preserve"> HYPERLINK \l "_Toc205979659" </w:instrText>
      </w:r>
      <w:r>
        <w:fldChar w:fldCharType="separate"/>
      </w:r>
      <w:r>
        <w:rPr>
          <w:rStyle w:val="58"/>
          <w:rFonts w:ascii="宋体" w:hAnsi="宋体"/>
          <w:sz w:val="28"/>
          <w:szCs w:val="28"/>
        </w:rPr>
        <w:t>第七章 安全预评价结论</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_Toc205979659 \h </w:instrText>
      </w:r>
      <w:r>
        <w:rPr>
          <w:rFonts w:ascii="宋体" w:hAnsi="宋体"/>
          <w:sz w:val="28"/>
          <w:szCs w:val="28"/>
        </w:rPr>
        <w:fldChar w:fldCharType="separate"/>
      </w:r>
      <w:r>
        <w:rPr>
          <w:rFonts w:ascii="宋体" w:hAnsi="宋体"/>
          <w:sz w:val="28"/>
          <w:szCs w:val="28"/>
        </w:rPr>
        <w:t>90</w:t>
      </w:r>
      <w:r>
        <w:rPr>
          <w:rFonts w:ascii="宋体" w:hAnsi="宋体"/>
          <w:sz w:val="28"/>
          <w:szCs w:val="28"/>
        </w:rPr>
        <w:fldChar w:fldCharType="end"/>
      </w:r>
      <w:r>
        <w:rPr>
          <w:rFonts w:ascii="宋体" w:hAnsi="宋体"/>
          <w:sz w:val="28"/>
          <w:szCs w:val="28"/>
        </w:rPr>
        <w:fldChar w:fldCharType="end"/>
      </w:r>
    </w:p>
    <w:p w14:paraId="72885F99">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"_Toc205979660" </w:instrText>
      </w:r>
      <w:r>
        <w:fldChar w:fldCharType="separate"/>
      </w:r>
      <w:r>
        <w:rPr>
          <w:rStyle w:val="58"/>
          <w:rFonts w:ascii="宋体" w:hAnsi="宋体"/>
          <w:bCs/>
          <w:snapToGrid w:val="0"/>
          <w:sz w:val="28"/>
          <w:szCs w:val="28"/>
        </w:rPr>
        <w:t>7.1评价结果</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_Toc205979660 \h </w:instrText>
      </w:r>
      <w:r>
        <w:rPr>
          <w:rFonts w:ascii="宋体" w:hAnsi="宋体"/>
          <w:sz w:val="28"/>
          <w:szCs w:val="28"/>
        </w:rPr>
        <w:fldChar w:fldCharType="separate"/>
      </w:r>
      <w:r>
        <w:rPr>
          <w:rFonts w:ascii="宋体" w:hAnsi="宋体"/>
          <w:sz w:val="28"/>
          <w:szCs w:val="28"/>
        </w:rPr>
        <w:t>90</w:t>
      </w:r>
      <w:r>
        <w:rPr>
          <w:rFonts w:ascii="宋体" w:hAnsi="宋体"/>
          <w:sz w:val="28"/>
          <w:szCs w:val="28"/>
        </w:rPr>
        <w:fldChar w:fldCharType="end"/>
      </w:r>
      <w:r>
        <w:rPr>
          <w:rFonts w:ascii="宋体" w:hAnsi="宋体"/>
          <w:sz w:val="28"/>
          <w:szCs w:val="28"/>
        </w:rPr>
        <w:fldChar w:fldCharType="end"/>
      </w:r>
    </w:p>
    <w:p w14:paraId="25909A80">
      <w:pPr>
        <w:pStyle w:val="41"/>
        <w:tabs>
          <w:tab w:val="right" w:leader="dot" w:pos="8296"/>
        </w:tabs>
        <w:spacing w:line="276" w:lineRule="auto"/>
        <w:rPr>
          <w:rFonts w:ascii="宋体" w:hAnsi="宋体" w:cstheme="minorBidi"/>
          <w:smallCaps w:val="0"/>
          <w:sz w:val="28"/>
          <w:szCs w:val="28"/>
        </w:rPr>
      </w:pPr>
      <w:r>
        <w:fldChar w:fldCharType="begin"/>
      </w:r>
      <w:r>
        <w:instrText xml:space="preserve"> HYPERLINK \l "_Toc205979661" </w:instrText>
      </w:r>
      <w:r>
        <w:fldChar w:fldCharType="separate"/>
      </w:r>
      <w:r>
        <w:rPr>
          <w:rStyle w:val="58"/>
          <w:rFonts w:ascii="宋体" w:hAnsi="宋体"/>
          <w:bCs/>
          <w:snapToGrid w:val="0"/>
          <w:sz w:val="28"/>
          <w:szCs w:val="28"/>
        </w:rPr>
        <w:t>7.2评价结论</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_Toc205979661 \h </w:instrText>
      </w:r>
      <w:r>
        <w:rPr>
          <w:rFonts w:ascii="宋体" w:hAnsi="宋体"/>
          <w:sz w:val="28"/>
          <w:szCs w:val="28"/>
        </w:rPr>
        <w:fldChar w:fldCharType="separate"/>
      </w:r>
      <w:r>
        <w:rPr>
          <w:rFonts w:ascii="宋体" w:hAnsi="宋体"/>
          <w:sz w:val="28"/>
          <w:szCs w:val="28"/>
        </w:rPr>
        <w:t>90</w:t>
      </w:r>
      <w:r>
        <w:rPr>
          <w:rFonts w:ascii="宋体" w:hAnsi="宋体"/>
          <w:sz w:val="28"/>
          <w:szCs w:val="28"/>
        </w:rPr>
        <w:fldChar w:fldCharType="end"/>
      </w:r>
      <w:r>
        <w:rPr>
          <w:rFonts w:ascii="宋体" w:hAnsi="宋体"/>
          <w:sz w:val="28"/>
          <w:szCs w:val="28"/>
        </w:rPr>
        <w:fldChar w:fldCharType="end"/>
      </w:r>
    </w:p>
    <w:p w14:paraId="49FC362B">
      <w:pPr>
        <w:pStyle w:val="32"/>
        <w:tabs>
          <w:tab w:val="right" w:leader="dot" w:pos="8296"/>
        </w:tabs>
        <w:spacing w:line="276" w:lineRule="auto"/>
        <w:rPr>
          <w:rFonts w:ascii="宋体" w:hAnsi="宋体" w:cstheme="minorBidi"/>
          <w:b w:val="0"/>
          <w:bCs w:val="0"/>
          <w:caps w:val="0"/>
          <w:sz w:val="28"/>
          <w:szCs w:val="28"/>
        </w:rPr>
      </w:pPr>
      <w:r>
        <w:fldChar w:fldCharType="begin"/>
      </w:r>
      <w:r>
        <w:instrText xml:space="preserve"> HYPERLINK \l "_Toc205979662" </w:instrText>
      </w:r>
      <w:r>
        <w:fldChar w:fldCharType="separate"/>
      </w:r>
      <w:r>
        <w:rPr>
          <w:rStyle w:val="58"/>
          <w:rFonts w:ascii="宋体" w:hAnsi="宋体" w:cs="宋体"/>
          <w:sz w:val="28"/>
          <w:szCs w:val="28"/>
        </w:rPr>
        <w:t>附 件</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_Toc205979662 \h </w:instrText>
      </w:r>
      <w:r>
        <w:rPr>
          <w:rFonts w:ascii="宋体" w:hAnsi="宋体"/>
          <w:sz w:val="28"/>
          <w:szCs w:val="28"/>
        </w:rPr>
        <w:fldChar w:fldCharType="separate"/>
      </w:r>
      <w:r>
        <w:rPr>
          <w:rFonts w:ascii="宋体" w:hAnsi="宋体"/>
          <w:sz w:val="28"/>
          <w:szCs w:val="28"/>
        </w:rPr>
        <w:t>93</w:t>
      </w:r>
      <w:r>
        <w:rPr>
          <w:rFonts w:ascii="宋体" w:hAnsi="宋体"/>
          <w:sz w:val="28"/>
          <w:szCs w:val="28"/>
        </w:rPr>
        <w:fldChar w:fldCharType="end"/>
      </w:r>
      <w:r>
        <w:rPr>
          <w:rFonts w:ascii="宋体" w:hAnsi="宋体"/>
          <w:sz w:val="28"/>
          <w:szCs w:val="28"/>
        </w:rPr>
        <w:fldChar w:fldCharType="end"/>
      </w:r>
    </w:p>
    <w:p w14:paraId="643A6E8F">
      <w:pPr>
        <w:spacing w:line="276" w:lineRule="auto"/>
        <w:rPr>
          <w:rFonts w:ascii="宋体" w:hAnsi="宋体"/>
          <w:b w:val="0"/>
          <w:sz w:val="28"/>
          <w:szCs w:val="28"/>
        </w:rPr>
        <w:sectPr>
          <w:headerReference r:id="rId12" w:type="default"/>
          <w:footerReference r:id="rId13" w:type="default"/>
          <w:pgSz w:w="11906" w:h="16838"/>
          <w:pgMar w:top="1440" w:right="1800" w:bottom="1440" w:left="1800" w:header="851" w:footer="727" w:gutter="0"/>
          <w:pgNumType w:fmt="upperRoman"/>
          <w:cols w:space="720" w:num="1"/>
          <w:docGrid w:linePitch="312" w:charSpace="0"/>
        </w:sectPr>
      </w:pPr>
      <w:r>
        <w:rPr>
          <w:rFonts w:ascii="宋体" w:hAnsi="宋体" w:cs="Arial"/>
          <w:b w:val="0"/>
          <w:bCs/>
          <w:caps/>
          <w:sz w:val="28"/>
          <w:szCs w:val="28"/>
        </w:rPr>
        <w:fldChar w:fldCharType="end"/>
      </w:r>
    </w:p>
    <w:p w14:paraId="59DF305C">
      <w:pPr>
        <w:keepNext/>
        <w:pageBreakBefore/>
        <w:widowControl/>
        <w:spacing w:before="120" w:beforeLines="50" w:line="360" w:lineRule="auto"/>
        <w:jc w:val="center"/>
        <w:outlineLvl w:val="0"/>
        <w:rPr>
          <w:rFonts w:ascii="黑体" w:hAnsi="宋体" w:eastAsia="黑体"/>
          <w:b w:val="0"/>
          <w:sz w:val="32"/>
          <w:szCs w:val="32"/>
        </w:rPr>
      </w:pPr>
      <w:bookmarkStart w:id="20" w:name="_Toc205979615"/>
      <w:r>
        <w:rPr>
          <w:rFonts w:hint="eastAsia" w:ascii="黑体" w:hAnsi="宋体" w:eastAsia="黑体"/>
          <w:b w:val="0"/>
          <w:sz w:val="32"/>
          <w:szCs w:val="32"/>
        </w:rPr>
        <w:t>第一章 安全评价概述</w:t>
      </w:r>
      <w:bookmarkEnd w:id="20"/>
    </w:p>
    <w:p w14:paraId="51E43554">
      <w:pPr>
        <w:keepNext/>
        <w:keepLines/>
        <w:spacing w:before="120" w:beforeLines="50" w:after="120" w:afterLines="50" w:line="360" w:lineRule="auto"/>
        <w:outlineLvl w:val="1"/>
        <w:rPr>
          <w:rFonts w:ascii="黑体" w:hAnsi="宋体" w:eastAsia="黑体"/>
          <w:b w:val="0"/>
          <w:bCs/>
          <w:snapToGrid w:val="0"/>
          <w:sz w:val="30"/>
          <w:szCs w:val="30"/>
        </w:rPr>
      </w:pPr>
      <w:bookmarkStart w:id="21" w:name="_Toc205979616"/>
      <w:bookmarkStart w:id="22" w:name="_Toc233449758"/>
      <w:r>
        <w:rPr>
          <w:rFonts w:hint="eastAsia" w:ascii="黑体" w:hAnsi="宋体" w:eastAsia="黑体"/>
          <w:b w:val="0"/>
          <w:bCs/>
          <w:snapToGrid w:val="0"/>
          <w:sz w:val="30"/>
          <w:szCs w:val="30"/>
        </w:rPr>
        <w:t>1.1安全评价目的</w:t>
      </w:r>
      <w:bookmarkEnd w:id="21"/>
      <w:bookmarkEnd w:id="22"/>
    </w:p>
    <w:p w14:paraId="4CF50467">
      <w:pPr>
        <w:spacing w:line="360" w:lineRule="auto"/>
        <w:ind w:firstLine="560" w:firstLineChars="200"/>
        <w:rPr>
          <w:rFonts w:ascii="宋体" w:hAnsi="宋体"/>
          <w:b w:val="0"/>
          <w:snapToGrid w:val="0"/>
          <w:sz w:val="28"/>
        </w:rPr>
      </w:pPr>
      <w:r>
        <w:rPr>
          <w:rFonts w:hint="eastAsia" w:ascii="宋体" w:hAnsi="宋体"/>
          <w:b w:val="0"/>
          <w:snapToGrid w:val="0"/>
          <w:sz w:val="28"/>
        </w:rPr>
        <w:t>1）报告编制始终贯彻“安全第一、预防为主、综合治理”的安全生产方针，力促建设项目中的安全设施与主体工程同时设计、同时施工、同时投产使用，力求建设项目建成后在安全方面符合国家现行法律法规、标准与规范的规定。</w:t>
      </w:r>
    </w:p>
    <w:p w14:paraId="10A0AF4A">
      <w:pPr>
        <w:spacing w:line="360" w:lineRule="auto"/>
        <w:ind w:firstLine="560" w:firstLineChars="200"/>
        <w:rPr>
          <w:rFonts w:ascii="宋体" w:hAnsi="宋体"/>
          <w:b w:val="0"/>
          <w:snapToGrid w:val="0"/>
          <w:sz w:val="28"/>
        </w:rPr>
      </w:pPr>
      <w:r>
        <w:rPr>
          <w:rFonts w:hint="eastAsia" w:ascii="宋体" w:hAnsi="宋体"/>
          <w:b w:val="0"/>
          <w:snapToGrid w:val="0"/>
          <w:sz w:val="28"/>
        </w:rPr>
        <w:t>2）对系统的危险性和危害性进行定性定量分析，确定系统的危险、有害因素及其危险、危害程度；针对主要的危险、有害因素及其产生危险、有害后果的条件提出消除、预防和降低的对策措施，并对该项目是否符合安全生产条件作出评价结论。</w:t>
      </w:r>
    </w:p>
    <w:p w14:paraId="419BB12F">
      <w:pPr>
        <w:spacing w:line="360" w:lineRule="auto"/>
        <w:ind w:firstLine="560" w:firstLineChars="200"/>
        <w:rPr>
          <w:rFonts w:ascii="宋体" w:hAnsi="宋体"/>
          <w:b w:val="0"/>
          <w:snapToGrid w:val="0"/>
          <w:sz w:val="28"/>
        </w:rPr>
      </w:pPr>
      <w:r>
        <w:rPr>
          <w:rFonts w:hint="eastAsia" w:ascii="宋体" w:hAnsi="宋体"/>
          <w:b w:val="0"/>
          <w:snapToGrid w:val="0"/>
          <w:sz w:val="28"/>
        </w:rPr>
        <w:t>3）为建设单位安全管理的系统化、标准化和科学化提供条件，为建设项目投产后的安全管理提供目标和基础，为应急管理部门实施监督和管理提供技术支撑。</w:t>
      </w:r>
    </w:p>
    <w:p w14:paraId="216474B3">
      <w:pPr>
        <w:keepNext/>
        <w:keepLines/>
        <w:spacing w:before="120" w:beforeLines="50" w:after="120" w:afterLines="50" w:line="360" w:lineRule="auto"/>
        <w:outlineLvl w:val="1"/>
        <w:rPr>
          <w:rFonts w:ascii="黑体" w:hAnsi="宋体" w:eastAsia="黑体"/>
          <w:b w:val="0"/>
          <w:bCs/>
          <w:snapToGrid w:val="0"/>
          <w:sz w:val="30"/>
          <w:szCs w:val="30"/>
        </w:rPr>
      </w:pPr>
      <w:bookmarkStart w:id="23" w:name="_Toc205979617"/>
      <w:bookmarkStart w:id="24" w:name="_Toc233449754"/>
      <w:r>
        <w:rPr>
          <w:rFonts w:hint="eastAsia" w:ascii="黑体" w:hAnsi="宋体" w:eastAsia="黑体"/>
          <w:b w:val="0"/>
          <w:bCs/>
          <w:snapToGrid w:val="0"/>
          <w:sz w:val="30"/>
          <w:szCs w:val="30"/>
        </w:rPr>
        <w:t>1.2编制依据</w:t>
      </w:r>
      <w:bookmarkEnd w:id="23"/>
      <w:bookmarkEnd w:id="24"/>
    </w:p>
    <w:p w14:paraId="7D633A26">
      <w:pPr>
        <w:pStyle w:val="6"/>
        <w:rPr>
          <w:rFonts w:ascii="黑体" w:hAnsi="宋体" w:eastAsia="黑体"/>
          <w:b w:val="0"/>
          <w:bCs w:val="0"/>
          <w:snapToGrid w:val="0"/>
          <w:sz w:val="30"/>
          <w:szCs w:val="30"/>
        </w:rPr>
      </w:pPr>
      <w:bookmarkStart w:id="25" w:name="_Toc165038758"/>
      <w:r>
        <w:rPr>
          <w:rFonts w:hint="eastAsia" w:ascii="黑体" w:hAnsi="宋体" w:eastAsia="黑体"/>
          <w:b w:val="0"/>
          <w:snapToGrid w:val="0"/>
          <w:sz w:val="30"/>
          <w:szCs w:val="30"/>
        </w:rPr>
        <w:t>1.2.1依据的法律、法规、文件规定</w:t>
      </w:r>
      <w:bookmarkEnd w:id="25"/>
    </w:p>
    <w:p w14:paraId="3211A4AA">
      <w:pPr>
        <w:adjustRightInd w:val="0"/>
        <w:snapToGrid w:val="0"/>
        <w:spacing w:line="360" w:lineRule="auto"/>
        <w:ind w:firstLine="560" w:firstLineChars="200"/>
        <w:rPr>
          <w:rFonts w:ascii="宋体" w:hAnsi="宋体" w:cs="宋体"/>
          <w:b w:val="0"/>
          <w:sz w:val="28"/>
          <w:szCs w:val="22"/>
        </w:rPr>
      </w:pPr>
      <w:r>
        <w:rPr>
          <w:rFonts w:hint="eastAsia" w:ascii="宋体" w:hAnsi="宋体" w:cs="宋体"/>
          <w:b w:val="0"/>
          <w:sz w:val="28"/>
        </w:rPr>
        <w:t>1）《中华人民共和国安全生产法》（中华人民共和国主席令第七十号，2021</w:t>
      </w:r>
      <w:r>
        <w:rPr>
          <w:rFonts w:hint="eastAsia" w:ascii="宋体" w:hAnsi="宋体" w:cs="宋体"/>
          <w:b w:val="0"/>
          <w:sz w:val="28"/>
          <w:szCs w:val="22"/>
        </w:rPr>
        <w:t>第88号修改）</w:t>
      </w:r>
    </w:p>
    <w:p w14:paraId="6E7AAA3A">
      <w:pPr>
        <w:adjustRightInd w:val="0"/>
        <w:snapToGrid w:val="0"/>
        <w:spacing w:line="360" w:lineRule="auto"/>
        <w:ind w:firstLine="560" w:firstLineChars="200"/>
        <w:rPr>
          <w:rFonts w:ascii="宋体" w:hAnsi="宋体" w:cs="宋体"/>
          <w:b w:val="0"/>
          <w:sz w:val="28"/>
          <w:szCs w:val="22"/>
        </w:rPr>
      </w:pPr>
      <w:r>
        <w:rPr>
          <w:rFonts w:hint="eastAsia" w:ascii="宋体" w:hAnsi="宋体" w:cs="宋体"/>
          <w:b w:val="0"/>
          <w:sz w:val="28"/>
          <w:szCs w:val="22"/>
        </w:rPr>
        <w:t>2）《中华人民共和国劳动法》（中华人民共和国主席令【1994】第二十八号）（2018年修改）</w:t>
      </w:r>
    </w:p>
    <w:p w14:paraId="5C63628A">
      <w:pPr>
        <w:adjustRightInd w:val="0"/>
        <w:snapToGrid w:val="0"/>
        <w:spacing w:line="360" w:lineRule="auto"/>
        <w:ind w:firstLine="560" w:firstLineChars="200"/>
        <w:rPr>
          <w:rFonts w:ascii="宋体" w:hAnsi="宋体" w:cs="宋体"/>
          <w:b w:val="0"/>
          <w:sz w:val="28"/>
          <w:szCs w:val="22"/>
        </w:rPr>
      </w:pPr>
      <w:r>
        <w:rPr>
          <w:rFonts w:hint="eastAsia" w:ascii="宋体" w:hAnsi="宋体" w:cs="宋体"/>
          <w:b w:val="0"/>
          <w:sz w:val="28"/>
          <w:szCs w:val="22"/>
        </w:rPr>
        <w:t>3）《中华人民共和国消防法》（中华人民共和国主席令【2008】第六号）（2021年修改）</w:t>
      </w:r>
    </w:p>
    <w:p w14:paraId="4FF1F5A0">
      <w:pPr>
        <w:adjustRightInd w:val="0"/>
        <w:snapToGrid w:val="0"/>
        <w:spacing w:line="360" w:lineRule="auto"/>
        <w:ind w:firstLine="560" w:firstLineChars="200"/>
        <w:rPr>
          <w:rFonts w:ascii="宋体" w:hAnsi="宋体" w:cs="宋体"/>
          <w:b w:val="0"/>
          <w:sz w:val="28"/>
          <w:szCs w:val="22"/>
        </w:rPr>
      </w:pPr>
      <w:r>
        <w:rPr>
          <w:rFonts w:hint="eastAsia" w:ascii="宋体" w:hAnsi="宋体" w:cs="宋体"/>
          <w:b w:val="0"/>
          <w:sz w:val="28"/>
          <w:szCs w:val="22"/>
        </w:rPr>
        <w:t>4）《中华人民共和国建筑法》（中华人民共和国主席令【2011】第四十六号）（2019年修改）</w:t>
      </w:r>
    </w:p>
    <w:p w14:paraId="706B1BBB">
      <w:pPr>
        <w:adjustRightInd w:val="0"/>
        <w:snapToGrid w:val="0"/>
        <w:spacing w:line="360" w:lineRule="auto"/>
        <w:ind w:firstLine="560" w:firstLineChars="200"/>
        <w:rPr>
          <w:rFonts w:ascii="宋体" w:hAnsi="宋体" w:cs="宋体"/>
          <w:b w:val="0"/>
          <w:sz w:val="28"/>
          <w:szCs w:val="22"/>
        </w:rPr>
      </w:pPr>
      <w:r>
        <w:rPr>
          <w:rFonts w:hint="eastAsia" w:ascii="宋体" w:hAnsi="宋体" w:cs="宋体"/>
          <w:b w:val="0"/>
          <w:sz w:val="28"/>
          <w:szCs w:val="22"/>
        </w:rPr>
        <w:t>5）《中华人民共和国气象法》（中华人民共和国主席令【1999】第二十三号）（2016年修改）</w:t>
      </w:r>
    </w:p>
    <w:p w14:paraId="08513E19">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szCs w:val="22"/>
        </w:rPr>
        <w:t>6）《中华人民共和国突发事件应对法》（中华人民共和国家主席令第</w:t>
      </w:r>
      <w:r>
        <w:rPr>
          <w:rFonts w:ascii="宋体" w:hAnsi="宋体" w:cs="宋体"/>
          <w:b w:val="0"/>
          <w:sz w:val="28"/>
          <w:szCs w:val="22"/>
        </w:rPr>
        <w:t>25</w:t>
      </w:r>
      <w:r>
        <w:rPr>
          <w:rFonts w:hint="eastAsia" w:ascii="宋体" w:hAnsi="宋体" w:cs="宋体"/>
          <w:b w:val="0"/>
          <w:sz w:val="28"/>
          <w:szCs w:val="22"/>
        </w:rPr>
        <w:t>号，自2</w:t>
      </w:r>
      <w:r>
        <w:rPr>
          <w:rFonts w:ascii="宋体" w:hAnsi="宋体" w:cs="宋体"/>
          <w:b w:val="0"/>
          <w:sz w:val="28"/>
          <w:szCs w:val="22"/>
        </w:rPr>
        <w:t>024</w:t>
      </w:r>
      <w:r>
        <w:rPr>
          <w:rFonts w:hint="eastAsia" w:ascii="宋体" w:hAnsi="宋体" w:cs="宋体"/>
          <w:b w:val="0"/>
          <w:sz w:val="28"/>
          <w:szCs w:val="22"/>
        </w:rPr>
        <w:t>年1</w:t>
      </w:r>
      <w:r>
        <w:rPr>
          <w:rFonts w:ascii="宋体" w:hAnsi="宋体" w:cs="宋体"/>
          <w:b w:val="0"/>
          <w:sz w:val="28"/>
          <w:szCs w:val="22"/>
        </w:rPr>
        <w:t>1</w:t>
      </w:r>
      <w:r>
        <w:rPr>
          <w:rFonts w:hint="eastAsia" w:ascii="宋体" w:hAnsi="宋体" w:cs="宋体"/>
          <w:b w:val="0"/>
          <w:sz w:val="28"/>
          <w:szCs w:val="22"/>
        </w:rPr>
        <w:t>月1日起施行</w:t>
      </w:r>
      <w:r>
        <w:rPr>
          <w:rFonts w:hint="eastAsia" w:ascii="宋体" w:hAnsi="宋体" w:cs="宋体"/>
          <w:b w:val="0"/>
          <w:sz w:val="28"/>
        </w:rPr>
        <w:t>）</w:t>
      </w:r>
    </w:p>
    <w:p w14:paraId="0F466A0C">
      <w:pPr>
        <w:pStyle w:val="2"/>
        <w:ind w:firstLine="560"/>
        <w:rPr>
          <w:rFonts w:ascii="宋体" w:hAnsi="宋体" w:eastAsia="宋体" w:cs="宋体"/>
          <w:b w:val="0"/>
          <w:kern w:val="2"/>
          <w:szCs w:val="24"/>
        </w:rPr>
      </w:pPr>
      <w:r>
        <w:rPr>
          <w:rFonts w:ascii="宋体" w:hAnsi="宋体" w:eastAsia="宋体" w:cs="宋体"/>
          <w:b w:val="0"/>
          <w:kern w:val="2"/>
          <w:szCs w:val="24"/>
        </w:rPr>
        <w:t>7</w:t>
      </w:r>
      <w:r>
        <w:rPr>
          <w:rFonts w:hint="eastAsia" w:ascii="宋体" w:hAnsi="宋体" w:eastAsia="宋体" w:cs="宋体"/>
          <w:b w:val="0"/>
          <w:kern w:val="2"/>
          <w:szCs w:val="24"/>
        </w:rPr>
        <w:t>）《中华人民共和国职业病防治法》（2</w:t>
      </w:r>
      <w:r>
        <w:rPr>
          <w:rFonts w:ascii="宋体" w:hAnsi="宋体" w:eastAsia="宋体" w:cs="宋体"/>
          <w:b w:val="0"/>
          <w:kern w:val="2"/>
          <w:szCs w:val="24"/>
        </w:rPr>
        <w:t>018</w:t>
      </w:r>
      <w:r>
        <w:rPr>
          <w:rFonts w:hint="eastAsia" w:ascii="宋体" w:hAnsi="宋体" w:eastAsia="宋体" w:cs="宋体"/>
          <w:b w:val="0"/>
          <w:kern w:val="2"/>
          <w:szCs w:val="24"/>
        </w:rPr>
        <w:t>年1</w:t>
      </w:r>
      <w:r>
        <w:rPr>
          <w:rFonts w:ascii="宋体" w:hAnsi="宋体" w:eastAsia="宋体" w:cs="宋体"/>
          <w:b w:val="0"/>
          <w:kern w:val="2"/>
          <w:szCs w:val="24"/>
        </w:rPr>
        <w:t>2</w:t>
      </w:r>
      <w:r>
        <w:rPr>
          <w:rFonts w:hint="eastAsia" w:ascii="宋体" w:hAnsi="宋体" w:eastAsia="宋体" w:cs="宋体"/>
          <w:b w:val="0"/>
          <w:kern w:val="2"/>
          <w:szCs w:val="24"/>
        </w:rPr>
        <w:t>月2</w:t>
      </w:r>
      <w:r>
        <w:rPr>
          <w:rFonts w:ascii="宋体" w:hAnsi="宋体" w:eastAsia="宋体" w:cs="宋体"/>
          <w:b w:val="0"/>
          <w:kern w:val="2"/>
          <w:szCs w:val="24"/>
        </w:rPr>
        <w:t>9</w:t>
      </w:r>
      <w:r>
        <w:rPr>
          <w:rFonts w:hint="eastAsia" w:ascii="宋体" w:hAnsi="宋体" w:eastAsia="宋体" w:cs="宋体"/>
          <w:b w:val="0"/>
          <w:kern w:val="2"/>
          <w:szCs w:val="24"/>
        </w:rPr>
        <w:t>日第十三届全国人民代表大会常务委员会第七次会议修正）</w:t>
      </w:r>
    </w:p>
    <w:p w14:paraId="012A0A9C">
      <w:pPr>
        <w:adjustRightInd w:val="0"/>
        <w:snapToGrid w:val="0"/>
        <w:spacing w:line="360" w:lineRule="auto"/>
        <w:ind w:firstLine="560" w:firstLineChars="200"/>
        <w:rPr>
          <w:rFonts w:ascii="宋体" w:hAnsi="宋体" w:cs="宋体"/>
          <w:b w:val="0"/>
          <w:sz w:val="28"/>
        </w:rPr>
      </w:pPr>
      <w:r>
        <w:rPr>
          <w:rFonts w:ascii="宋体" w:hAnsi="宋体" w:cs="宋体"/>
          <w:b w:val="0"/>
          <w:sz w:val="28"/>
        </w:rPr>
        <w:t>8</w:t>
      </w:r>
      <w:r>
        <w:rPr>
          <w:rFonts w:hint="eastAsia" w:ascii="宋体" w:hAnsi="宋体" w:cs="宋体"/>
          <w:b w:val="0"/>
          <w:sz w:val="28"/>
        </w:rPr>
        <w:t>）《烟花爆竹安全管理条例》（国务院令第455号，2016年修正）</w:t>
      </w:r>
    </w:p>
    <w:p w14:paraId="39342F4D">
      <w:pPr>
        <w:adjustRightInd w:val="0"/>
        <w:snapToGrid w:val="0"/>
        <w:spacing w:line="360" w:lineRule="auto"/>
        <w:ind w:firstLine="560" w:firstLineChars="200"/>
        <w:rPr>
          <w:rFonts w:ascii="宋体" w:hAnsi="宋体" w:cs="宋体"/>
          <w:b w:val="0"/>
          <w:sz w:val="28"/>
        </w:rPr>
      </w:pPr>
      <w:r>
        <w:rPr>
          <w:rFonts w:ascii="宋体" w:hAnsi="宋体" w:cs="宋体"/>
          <w:b w:val="0"/>
          <w:sz w:val="28"/>
        </w:rPr>
        <w:t>9</w:t>
      </w:r>
      <w:r>
        <w:rPr>
          <w:rFonts w:hint="eastAsia" w:ascii="宋体" w:hAnsi="宋体" w:cs="宋体"/>
          <w:b w:val="0"/>
          <w:sz w:val="28"/>
        </w:rPr>
        <w:t>）《工伤保险条例》（国务院令2010第586号）</w:t>
      </w:r>
    </w:p>
    <w:p w14:paraId="035CFA16">
      <w:pPr>
        <w:adjustRightInd w:val="0"/>
        <w:snapToGrid w:val="0"/>
        <w:spacing w:line="360" w:lineRule="auto"/>
        <w:ind w:firstLine="560" w:firstLineChars="200"/>
        <w:rPr>
          <w:rFonts w:ascii="宋体" w:hAnsi="宋体" w:cs="宋体"/>
          <w:b w:val="0"/>
          <w:sz w:val="28"/>
        </w:rPr>
      </w:pPr>
      <w:r>
        <w:rPr>
          <w:rFonts w:ascii="宋体" w:hAnsi="宋体" w:cs="宋体"/>
          <w:b w:val="0"/>
          <w:sz w:val="28"/>
        </w:rPr>
        <w:t>10</w:t>
      </w:r>
      <w:r>
        <w:rPr>
          <w:rFonts w:hint="eastAsia" w:ascii="宋体" w:hAnsi="宋体" w:cs="宋体"/>
          <w:b w:val="0"/>
          <w:sz w:val="28"/>
        </w:rPr>
        <w:t>）《生产安全事故报告和调查处理条例》（国务院令第493号）</w:t>
      </w:r>
    </w:p>
    <w:p w14:paraId="47BC21EA">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1</w:t>
      </w:r>
      <w:r>
        <w:rPr>
          <w:rFonts w:ascii="宋体" w:hAnsi="宋体" w:cs="宋体"/>
          <w:b w:val="0"/>
          <w:sz w:val="28"/>
        </w:rPr>
        <w:t>1</w:t>
      </w:r>
      <w:r>
        <w:rPr>
          <w:rFonts w:hint="eastAsia" w:ascii="宋体" w:hAnsi="宋体" w:cs="宋体"/>
          <w:b w:val="0"/>
          <w:sz w:val="28"/>
        </w:rPr>
        <w:t>）《国务院关于进一步加强企业安全生产工作的通知》（国务院国发[2010]23号文）</w:t>
      </w:r>
    </w:p>
    <w:p w14:paraId="5234AC7A">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1</w:t>
      </w:r>
      <w:r>
        <w:rPr>
          <w:rFonts w:ascii="宋体" w:hAnsi="宋体" w:cs="宋体"/>
          <w:b w:val="0"/>
          <w:sz w:val="28"/>
        </w:rPr>
        <w:t>2</w:t>
      </w:r>
      <w:r>
        <w:rPr>
          <w:rFonts w:hint="eastAsia" w:ascii="宋体" w:hAnsi="宋体" w:cs="宋体"/>
          <w:b w:val="0"/>
          <w:sz w:val="28"/>
        </w:rPr>
        <w:t>）《生产安全事故应急条例》（国务院令第708号）</w:t>
      </w:r>
    </w:p>
    <w:p w14:paraId="72DF58FC">
      <w:pPr>
        <w:adjustRightInd w:val="0"/>
        <w:snapToGrid w:val="0"/>
        <w:spacing w:line="360" w:lineRule="auto"/>
        <w:ind w:firstLine="560" w:firstLineChars="200"/>
        <w:rPr>
          <w:rFonts w:ascii="宋体" w:hAnsi="宋体" w:cs="宋体"/>
          <w:b w:val="0"/>
          <w:sz w:val="28"/>
          <w:szCs w:val="22"/>
        </w:rPr>
      </w:pPr>
      <w:r>
        <w:rPr>
          <w:rFonts w:hint="eastAsia" w:ascii="宋体" w:hAnsi="宋体" w:cs="宋体"/>
          <w:b w:val="0"/>
          <w:sz w:val="28"/>
        </w:rPr>
        <w:t>1</w:t>
      </w:r>
      <w:r>
        <w:rPr>
          <w:rFonts w:ascii="宋体" w:hAnsi="宋体" w:cs="宋体"/>
          <w:b w:val="0"/>
          <w:sz w:val="28"/>
        </w:rPr>
        <w:t>3</w:t>
      </w:r>
      <w:r>
        <w:rPr>
          <w:rFonts w:hint="eastAsia" w:ascii="宋体" w:hAnsi="宋体" w:cs="宋体"/>
          <w:b w:val="0"/>
          <w:sz w:val="28"/>
        </w:rPr>
        <w:t>）《国家安全监管总局关于废止和修改劳动防护用品和安全培训等领域十部规章</w:t>
      </w:r>
      <w:r>
        <w:rPr>
          <w:rFonts w:hint="eastAsia" w:ascii="宋体" w:hAnsi="宋体" w:cs="宋体"/>
          <w:b w:val="0"/>
          <w:sz w:val="28"/>
          <w:szCs w:val="22"/>
        </w:rPr>
        <w:t xml:space="preserve">的决定》（国家安监总局令第80号） </w:t>
      </w:r>
    </w:p>
    <w:p w14:paraId="653AF253">
      <w:pPr>
        <w:adjustRightInd w:val="0"/>
        <w:snapToGrid w:val="0"/>
        <w:spacing w:line="360" w:lineRule="auto"/>
        <w:ind w:firstLine="560" w:firstLineChars="200"/>
        <w:rPr>
          <w:rFonts w:ascii="宋体" w:hAnsi="宋体" w:cs="宋体"/>
          <w:b w:val="0"/>
          <w:sz w:val="28"/>
          <w:szCs w:val="22"/>
        </w:rPr>
      </w:pPr>
      <w:r>
        <w:rPr>
          <w:rFonts w:hint="eastAsia" w:ascii="宋体" w:hAnsi="宋体" w:cs="宋体"/>
          <w:b w:val="0"/>
          <w:sz w:val="28"/>
          <w:szCs w:val="22"/>
        </w:rPr>
        <w:t>1</w:t>
      </w:r>
      <w:r>
        <w:rPr>
          <w:rFonts w:ascii="宋体" w:hAnsi="宋体" w:cs="宋体"/>
          <w:b w:val="0"/>
          <w:sz w:val="28"/>
          <w:szCs w:val="22"/>
        </w:rPr>
        <w:t>4</w:t>
      </w:r>
      <w:r>
        <w:rPr>
          <w:rFonts w:hint="eastAsia" w:ascii="宋体" w:hAnsi="宋体" w:cs="宋体"/>
          <w:b w:val="0"/>
          <w:sz w:val="28"/>
          <w:szCs w:val="22"/>
        </w:rPr>
        <w:t>）《安全生产事故隐患排查治理暂行规定》（原国家安监总局令第16号）</w:t>
      </w:r>
    </w:p>
    <w:p w14:paraId="1E088B4E">
      <w:pPr>
        <w:adjustRightInd w:val="0"/>
        <w:snapToGrid w:val="0"/>
        <w:spacing w:line="360" w:lineRule="auto"/>
        <w:ind w:firstLine="560" w:firstLineChars="200"/>
        <w:rPr>
          <w:rFonts w:ascii="宋体" w:hAnsi="宋体" w:cs="宋体"/>
          <w:b w:val="0"/>
          <w:sz w:val="28"/>
          <w:szCs w:val="22"/>
        </w:rPr>
      </w:pPr>
      <w:r>
        <w:rPr>
          <w:rFonts w:hint="eastAsia" w:ascii="宋体" w:hAnsi="宋体" w:cs="宋体"/>
          <w:b w:val="0"/>
          <w:sz w:val="28"/>
          <w:szCs w:val="22"/>
        </w:rPr>
        <w:t>1</w:t>
      </w:r>
      <w:r>
        <w:rPr>
          <w:rFonts w:ascii="宋体" w:hAnsi="宋体" w:cs="宋体"/>
          <w:b w:val="0"/>
          <w:sz w:val="28"/>
          <w:szCs w:val="22"/>
        </w:rPr>
        <w:t>5</w:t>
      </w:r>
      <w:r>
        <w:rPr>
          <w:rFonts w:hint="eastAsia" w:ascii="宋体" w:hAnsi="宋体" w:cs="宋体"/>
          <w:b w:val="0"/>
          <w:sz w:val="28"/>
          <w:szCs w:val="22"/>
        </w:rPr>
        <w:t>）《关于修改〈生产安全事故应急预案管理办法〉的决定》（应急管理部令第2号）</w:t>
      </w:r>
    </w:p>
    <w:p w14:paraId="093A2A07">
      <w:pPr>
        <w:adjustRightInd w:val="0"/>
        <w:snapToGrid w:val="0"/>
        <w:spacing w:line="360" w:lineRule="auto"/>
        <w:ind w:firstLine="560" w:firstLineChars="200"/>
        <w:rPr>
          <w:rFonts w:ascii="宋体" w:hAnsi="宋体" w:cs="宋体"/>
          <w:b w:val="0"/>
          <w:sz w:val="28"/>
          <w:szCs w:val="22"/>
        </w:rPr>
      </w:pPr>
      <w:r>
        <w:rPr>
          <w:rFonts w:hint="eastAsia" w:ascii="宋体" w:hAnsi="宋体" w:cs="宋体"/>
          <w:b w:val="0"/>
          <w:sz w:val="28"/>
          <w:szCs w:val="22"/>
        </w:rPr>
        <w:t>1</w:t>
      </w:r>
      <w:r>
        <w:rPr>
          <w:rFonts w:ascii="宋体" w:hAnsi="宋体" w:cs="宋体"/>
          <w:b w:val="0"/>
          <w:sz w:val="28"/>
          <w:szCs w:val="22"/>
        </w:rPr>
        <w:t>6</w:t>
      </w:r>
      <w:r>
        <w:rPr>
          <w:rFonts w:hint="eastAsia" w:ascii="宋体" w:hAnsi="宋体" w:cs="宋体"/>
          <w:b w:val="0"/>
          <w:sz w:val="28"/>
          <w:szCs w:val="22"/>
        </w:rPr>
        <w:t>）《烟花爆竹经营许可实施办法》（原国家安监总局令第65号）</w:t>
      </w:r>
    </w:p>
    <w:p w14:paraId="222C1D00">
      <w:pPr>
        <w:adjustRightInd w:val="0"/>
        <w:snapToGrid w:val="0"/>
        <w:spacing w:line="360" w:lineRule="auto"/>
        <w:ind w:firstLine="560" w:firstLineChars="200"/>
        <w:rPr>
          <w:rFonts w:ascii="宋体" w:hAnsi="宋体" w:cs="宋体"/>
          <w:b w:val="0"/>
          <w:sz w:val="28"/>
          <w:szCs w:val="22"/>
        </w:rPr>
      </w:pPr>
      <w:r>
        <w:rPr>
          <w:rFonts w:hint="eastAsia" w:ascii="宋体" w:hAnsi="宋体" w:cs="宋体"/>
          <w:b w:val="0"/>
          <w:sz w:val="28"/>
          <w:szCs w:val="22"/>
        </w:rPr>
        <w:t>1</w:t>
      </w:r>
      <w:r>
        <w:rPr>
          <w:rFonts w:ascii="宋体" w:hAnsi="宋体" w:cs="宋体"/>
          <w:b w:val="0"/>
          <w:sz w:val="28"/>
          <w:szCs w:val="22"/>
        </w:rPr>
        <w:t>7</w:t>
      </w:r>
      <w:r>
        <w:rPr>
          <w:rFonts w:hint="eastAsia" w:ascii="宋体" w:hAnsi="宋体" w:cs="宋体"/>
          <w:b w:val="0"/>
          <w:sz w:val="28"/>
          <w:szCs w:val="22"/>
        </w:rPr>
        <w:t>）《安全生产事故信息报告和处置办法》（原国家安监总局令第21号）</w:t>
      </w:r>
    </w:p>
    <w:p w14:paraId="23DCC84C">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szCs w:val="22"/>
        </w:rPr>
        <w:t>1</w:t>
      </w:r>
      <w:r>
        <w:rPr>
          <w:rFonts w:ascii="宋体" w:hAnsi="宋体" w:cs="宋体"/>
          <w:b w:val="0"/>
          <w:sz w:val="28"/>
          <w:szCs w:val="22"/>
        </w:rPr>
        <w:t>8</w:t>
      </w:r>
      <w:r>
        <w:rPr>
          <w:rFonts w:hint="eastAsia" w:ascii="宋体" w:hAnsi="宋体" w:cs="宋体"/>
          <w:b w:val="0"/>
          <w:sz w:val="28"/>
          <w:szCs w:val="22"/>
        </w:rPr>
        <w:t>）《建设项目安全设施“三同时”监督管理办</w:t>
      </w:r>
      <w:r>
        <w:rPr>
          <w:rFonts w:hint="eastAsia" w:ascii="宋体" w:hAnsi="宋体" w:cs="宋体"/>
          <w:b w:val="0"/>
          <w:sz w:val="28"/>
        </w:rPr>
        <w:t>法》（原国家安监总局令第36号，第77号令修改）</w:t>
      </w:r>
    </w:p>
    <w:p w14:paraId="76527994">
      <w:pPr>
        <w:adjustRightInd w:val="0"/>
        <w:snapToGrid w:val="0"/>
        <w:spacing w:line="360" w:lineRule="auto"/>
        <w:ind w:firstLine="560" w:firstLineChars="200"/>
        <w:rPr>
          <w:rFonts w:ascii="宋体" w:hAnsi="宋体" w:cs="宋体"/>
          <w:b w:val="0"/>
          <w:sz w:val="28"/>
        </w:rPr>
      </w:pPr>
      <w:r>
        <w:rPr>
          <w:rFonts w:ascii="宋体" w:hAnsi="宋体" w:cs="宋体"/>
          <w:b w:val="0"/>
          <w:sz w:val="28"/>
        </w:rPr>
        <w:t>19</w:t>
      </w:r>
      <w:r>
        <w:rPr>
          <w:rFonts w:hint="eastAsia" w:ascii="宋体" w:hAnsi="宋体" w:cs="宋体"/>
          <w:b w:val="0"/>
          <w:sz w:val="28"/>
        </w:rPr>
        <w:t>）《仓库防火安全管理规则》（公安部令第6号）</w:t>
      </w:r>
    </w:p>
    <w:p w14:paraId="7D491DBF">
      <w:pPr>
        <w:adjustRightInd w:val="0"/>
        <w:snapToGrid w:val="0"/>
        <w:spacing w:line="360" w:lineRule="auto"/>
        <w:ind w:firstLine="560" w:firstLineChars="200"/>
        <w:rPr>
          <w:rFonts w:ascii="宋体" w:hAnsi="宋体" w:cs="宋体"/>
          <w:b w:val="0"/>
          <w:sz w:val="28"/>
        </w:rPr>
      </w:pPr>
      <w:r>
        <w:rPr>
          <w:rFonts w:ascii="宋体" w:hAnsi="宋体" w:cs="宋体"/>
          <w:b w:val="0"/>
          <w:sz w:val="28"/>
        </w:rPr>
        <w:t>20</w:t>
      </w:r>
      <w:r>
        <w:rPr>
          <w:rFonts w:hint="eastAsia" w:ascii="宋体" w:hAnsi="宋体" w:cs="宋体"/>
          <w:b w:val="0"/>
          <w:sz w:val="28"/>
        </w:rPr>
        <w:t>）《特种作业人员安全技术培训考核管理规定》（原国家安监总局令第80号第二次修正）</w:t>
      </w:r>
    </w:p>
    <w:p w14:paraId="26ED6E74">
      <w:pPr>
        <w:adjustRightInd w:val="0"/>
        <w:snapToGrid w:val="0"/>
        <w:spacing w:line="360" w:lineRule="auto"/>
        <w:ind w:firstLine="560" w:firstLineChars="200"/>
        <w:rPr>
          <w:rFonts w:ascii="宋体" w:hAnsi="宋体" w:cs="宋体"/>
          <w:b w:val="0"/>
          <w:sz w:val="28"/>
        </w:rPr>
      </w:pPr>
      <w:r>
        <w:rPr>
          <w:rFonts w:ascii="宋体" w:hAnsi="宋体" w:cs="宋体"/>
          <w:b w:val="0"/>
          <w:sz w:val="28"/>
        </w:rPr>
        <w:t>21</w:t>
      </w:r>
      <w:r>
        <w:rPr>
          <w:rFonts w:hint="eastAsia" w:ascii="宋体" w:hAnsi="宋体" w:cs="宋体"/>
          <w:b w:val="0"/>
          <w:sz w:val="28"/>
        </w:rPr>
        <w:t>）《安全生产培训管理办法》（原国家安监总局令第</w:t>
      </w:r>
      <w:r>
        <w:rPr>
          <w:rFonts w:ascii="宋体" w:hAnsi="宋体" w:cs="宋体"/>
          <w:b w:val="0"/>
          <w:sz w:val="28"/>
        </w:rPr>
        <w:t>80</w:t>
      </w:r>
      <w:r>
        <w:rPr>
          <w:rFonts w:hint="eastAsia" w:ascii="宋体" w:hAnsi="宋体" w:cs="宋体"/>
          <w:b w:val="0"/>
          <w:sz w:val="28"/>
        </w:rPr>
        <w:t>号第二次修正）</w:t>
      </w:r>
    </w:p>
    <w:p w14:paraId="4F897531">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2</w:t>
      </w:r>
      <w:r>
        <w:rPr>
          <w:rFonts w:ascii="宋体" w:hAnsi="宋体" w:cs="宋体"/>
          <w:b w:val="0"/>
          <w:sz w:val="28"/>
        </w:rPr>
        <w:t>2</w:t>
      </w:r>
      <w:r>
        <w:rPr>
          <w:rFonts w:hint="eastAsia" w:ascii="宋体" w:hAnsi="宋体" w:cs="宋体"/>
          <w:b w:val="0"/>
          <w:sz w:val="28"/>
        </w:rPr>
        <w:t>）《国务院关于进一步加强企业安全生产工作的通知〉的实施意见》（安委办30号）</w:t>
      </w:r>
    </w:p>
    <w:p w14:paraId="2FF7BDCB">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2</w:t>
      </w:r>
      <w:r>
        <w:rPr>
          <w:rFonts w:ascii="宋体" w:hAnsi="宋体" w:cs="宋体"/>
          <w:b w:val="0"/>
          <w:sz w:val="28"/>
        </w:rPr>
        <w:t>3</w:t>
      </w:r>
      <w:r>
        <w:rPr>
          <w:rFonts w:hint="eastAsia" w:ascii="宋体" w:hAnsi="宋体" w:cs="宋体"/>
          <w:b w:val="0"/>
          <w:sz w:val="28"/>
        </w:rPr>
        <w:t>）《国家安全监管总局关于修改〈生产经营单位安全培训规定〉等11件规章的决定》（国家安监总局令第63号）</w:t>
      </w:r>
    </w:p>
    <w:p w14:paraId="5929A8A1">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2</w:t>
      </w:r>
      <w:r>
        <w:rPr>
          <w:rFonts w:ascii="宋体" w:hAnsi="宋体" w:cs="宋体"/>
          <w:b w:val="0"/>
          <w:sz w:val="28"/>
        </w:rPr>
        <w:t>4</w:t>
      </w:r>
      <w:r>
        <w:rPr>
          <w:rFonts w:hint="eastAsia" w:ascii="宋体" w:hAnsi="宋体" w:cs="宋体"/>
          <w:b w:val="0"/>
          <w:sz w:val="28"/>
        </w:rPr>
        <w:t>）《烟花爆竹生产经营安全规定》（原国家安监总局令 第93号）</w:t>
      </w:r>
    </w:p>
    <w:p w14:paraId="49276588">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2</w:t>
      </w:r>
      <w:r>
        <w:rPr>
          <w:rFonts w:ascii="宋体" w:hAnsi="宋体" w:cs="宋体"/>
          <w:b w:val="0"/>
          <w:sz w:val="28"/>
        </w:rPr>
        <w:t>5</w:t>
      </w:r>
      <w:r>
        <w:rPr>
          <w:rFonts w:hint="eastAsia" w:ascii="宋体" w:hAnsi="宋体" w:cs="宋体"/>
          <w:b w:val="0"/>
          <w:sz w:val="28"/>
        </w:rPr>
        <w:t>）《公路安全保护条例》（国务院令第593号）</w:t>
      </w:r>
    </w:p>
    <w:p w14:paraId="5E58009F">
      <w:pPr>
        <w:pStyle w:val="2"/>
        <w:ind w:firstLine="560"/>
        <w:rPr>
          <w:rFonts w:ascii="宋体" w:hAnsi="宋体" w:eastAsia="宋体" w:cs="宋体"/>
          <w:b w:val="0"/>
          <w:kern w:val="2"/>
          <w:szCs w:val="24"/>
        </w:rPr>
      </w:pPr>
      <w:r>
        <w:rPr>
          <w:rFonts w:hint="eastAsia" w:ascii="宋体" w:hAnsi="宋体" w:eastAsia="宋体" w:cs="宋体"/>
          <w:b w:val="0"/>
          <w:kern w:val="2"/>
          <w:szCs w:val="24"/>
        </w:rPr>
        <w:t>2</w:t>
      </w:r>
      <w:r>
        <w:rPr>
          <w:rFonts w:ascii="宋体" w:hAnsi="宋体" w:eastAsia="宋体" w:cs="宋体"/>
          <w:b w:val="0"/>
          <w:kern w:val="2"/>
          <w:szCs w:val="24"/>
        </w:rPr>
        <w:t>6</w:t>
      </w:r>
      <w:r>
        <w:rPr>
          <w:rFonts w:hint="eastAsia" w:ascii="宋体" w:hAnsi="宋体" w:eastAsia="宋体" w:cs="宋体"/>
          <w:b w:val="0"/>
          <w:kern w:val="2"/>
          <w:szCs w:val="24"/>
        </w:rPr>
        <w:t>）《黑龙江省安全生产条例》（2</w:t>
      </w:r>
      <w:r>
        <w:rPr>
          <w:rFonts w:ascii="宋体" w:hAnsi="宋体" w:eastAsia="宋体" w:cs="宋体"/>
          <w:b w:val="0"/>
          <w:kern w:val="2"/>
          <w:szCs w:val="24"/>
        </w:rPr>
        <w:t>022</w:t>
      </w:r>
      <w:r>
        <w:rPr>
          <w:rFonts w:hint="eastAsia" w:ascii="宋体" w:hAnsi="宋体" w:eastAsia="宋体" w:cs="宋体"/>
          <w:b w:val="0"/>
          <w:kern w:val="2"/>
          <w:szCs w:val="24"/>
        </w:rPr>
        <w:t>年8月2</w:t>
      </w:r>
      <w:r>
        <w:rPr>
          <w:rFonts w:ascii="宋体" w:hAnsi="宋体" w:eastAsia="宋体" w:cs="宋体"/>
          <w:b w:val="0"/>
          <w:kern w:val="2"/>
          <w:szCs w:val="24"/>
        </w:rPr>
        <w:t>6</w:t>
      </w:r>
      <w:r>
        <w:rPr>
          <w:rFonts w:hint="eastAsia" w:ascii="宋体" w:hAnsi="宋体" w:eastAsia="宋体" w:cs="宋体"/>
          <w:b w:val="0"/>
          <w:kern w:val="2"/>
          <w:szCs w:val="24"/>
        </w:rPr>
        <w:t>日黑龙江省第十三届人民代表大会常务委员会第三十五次会议修订）</w:t>
      </w:r>
    </w:p>
    <w:p w14:paraId="4012B652">
      <w:pPr>
        <w:pStyle w:val="2"/>
        <w:ind w:firstLine="560"/>
        <w:rPr>
          <w:rFonts w:ascii="宋体" w:hAnsi="宋体" w:eastAsia="宋体" w:cs="宋体"/>
          <w:b w:val="0"/>
          <w:kern w:val="2"/>
          <w:szCs w:val="24"/>
        </w:rPr>
      </w:pPr>
      <w:r>
        <w:rPr>
          <w:rFonts w:hint="eastAsia" w:ascii="宋体" w:hAnsi="宋体" w:eastAsia="宋体" w:cs="宋体"/>
          <w:b w:val="0"/>
          <w:kern w:val="2"/>
          <w:szCs w:val="24"/>
        </w:rPr>
        <w:t>2</w:t>
      </w:r>
      <w:r>
        <w:rPr>
          <w:rFonts w:ascii="宋体" w:hAnsi="宋体" w:eastAsia="宋体" w:cs="宋体"/>
          <w:b w:val="0"/>
          <w:kern w:val="2"/>
          <w:szCs w:val="24"/>
        </w:rPr>
        <w:t>7</w:t>
      </w:r>
      <w:r>
        <w:rPr>
          <w:rFonts w:hint="eastAsia" w:ascii="宋体" w:hAnsi="宋体" w:eastAsia="宋体" w:cs="宋体"/>
          <w:b w:val="0"/>
          <w:kern w:val="2"/>
          <w:szCs w:val="24"/>
        </w:rPr>
        <w:t>）《关于严格落实烟花爆竹安全“五个严禁、三个务必”八项硬措施的紧急通知》（黑安办发[</w:t>
      </w:r>
      <w:r>
        <w:rPr>
          <w:rFonts w:ascii="宋体" w:hAnsi="宋体" w:eastAsia="宋体" w:cs="宋体"/>
          <w:b w:val="0"/>
          <w:kern w:val="2"/>
          <w:szCs w:val="24"/>
        </w:rPr>
        <w:t>2026]10</w:t>
      </w:r>
      <w:r>
        <w:rPr>
          <w:rFonts w:hint="eastAsia" w:ascii="宋体" w:hAnsi="宋体" w:eastAsia="宋体" w:cs="宋体"/>
          <w:b w:val="0"/>
          <w:kern w:val="2"/>
          <w:szCs w:val="24"/>
        </w:rPr>
        <w:t>号）</w:t>
      </w:r>
    </w:p>
    <w:p w14:paraId="05B5C4BF">
      <w:pPr>
        <w:pStyle w:val="6"/>
        <w:rPr>
          <w:rFonts w:ascii="黑体" w:hAnsi="宋体" w:eastAsia="黑体"/>
          <w:b w:val="0"/>
          <w:bCs w:val="0"/>
          <w:snapToGrid w:val="0"/>
          <w:sz w:val="30"/>
          <w:szCs w:val="30"/>
        </w:rPr>
      </w:pPr>
      <w:bookmarkStart w:id="26" w:name="_Toc165038759"/>
      <w:r>
        <w:rPr>
          <w:rFonts w:hint="eastAsia" w:ascii="黑体" w:hAnsi="宋体" w:eastAsia="黑体"/>
          <w:b w:val="0"/>
          <w:snapToGrid w:val="0"/>
          <w:sz w:val="30"/>
          <w:szCs w:val="30"/>
        </w:rPr>
        <w:t>1.2.2依据的法律、法规、文件规定</w:t>
      </w:r>
      <w:bookmarkEnd w:id="26"/>
    </w:p>
    <w:p w14:paraId="09F78898">
      <w:pPr>
        <w:spacing w:line="360" w:lineRule="auto"/>
        <w:ind w:firstLine="560" w:firstLineChars="200"/>
        <w:rPr>
          <w:rFonts w:ascii="宋体" w:hAnsi="宋体" w:cs="宋体"/>
          <w:b w:val="0"/>
          <w:sz w:val="28"/>
          <w:szCs w:val="28"/>
        </w:rPr>
      </w:pPr>
      <w:r>
        <w:rPr>
          <w:rFonts w:hint="eastAsia" w:ascii="宋体" w:hAnsi="宋体" w:cs="宋体"/>
          <w:b w:val="0"/>
          <w:sz w:val="28"/>
          <w:szCs w:val="28"/>
        </w:rPr>
        <w:t>1）《烟花爆竹工程设计安全标准》（GB 50161-2022）</w:t>
      </w:r>
    </w:p>
    <w:p w14:paraId="1F3A94A1">
      <w:pPr>
        <w:spacing w:line="360" w:lineRule="auto"/>
        <w:ind w:firstLine="560" w:firstLineChars="200"/>
        <w:rPr>
          <w:rFonts w:ascii="宋体" w:hAnsi="宋体" w:cs="宋体"/>
          <w:b w:val="0"/>
          <w:sz w:val="28"/>
          <w:szCs w:val="28"/>
        </w:rPr>
      </w:pPr>
      <w:r>
        <w:rPr>
          <w:rFonts w:hint="eastAsia" w:ascii="宋体" w:hAnsi="宋体" w:cs="宋体"/>
          <w:b w:val="0"/>
          <w:sz w:val="28"/>
          <w:szCs w:val="28"/>
        </w:rPr>
        <w:t>2）《烟花爆竹批发仓库建设标准》（建标125-2009）</w:t>
      </w:r>
    </w:p>
    <w:p w14:paraId="2DB20D59">
      <w:pPr>
        <w:spacing w:line="360" w:lineRule="auto"/>
        <w:ind w:firstLine="560" w:firstLineChars="200"/>
        <w:rPr>
          <w:rFonts w:ascii="宋体" w:hAnsi="宋体" w:cs="宋体"/>
          <w:b w:val="0"/>
          <w:sz w:val="28"/>
          <w:szCs w:val="28"/>
        </w:rPr>
      </w:pPr>
      <w:r>
        <w:rPr>
          <w:rFonts w:hint="eastAsia" w:ascii="宋体" w:hAnsi="宋体" w:cs="宋体"/>
          <w:b w:val="0"/>
          <w:sz w:val="28"/>
          <w:szCs w:val="28"/>
        </w:rPr>
        <w:t>3）《烟花爆竹作业安全技术规程》（GB 11652-2012）</w:t>
      </w:r>
    </w:p>
    <w:p w14:paraId="35CB677A">
      <w:pPr>
        <w:spacing w:line="360" w:lineRule="auto"/>
        <w:ind w:firstLine="560" w:firstLineChars="200"/>
        <w:rPr>
          <w:rFonts w:ascii="宋体" w:hAnsi="宋体" w:cs="宋体"/>
          <w:b w:val="0"/>
          <w:sz w:val="28"/>
          <w:szCs w:val="28"/>
        </w:rPr>
      </w:pPr>
      <w:r>
        <w:rPr>
          <w:rFonts w:hint="eastAsia" w:ascii="宋体" w:hAnsi="宋体" w:cs="宋体"/>
          <w:b w:val="0"/>
          <w:sz w:val="28"/>
          <w:szCs w:val="28"/>
        </w:rPr>
        <w:t>4）《烟花爆竹安全与质量》（GB 10631-</w:t>
      </w:r>
      <w:r>
        <w:rPr>
          <w:rFonts w:ascii="宋体" w:hAnsi="宋体" w:cs="宋体"/>
          <w:b w:val="0"/>
          <w:sz w:val="28"/>
          <w:szCs w:val="28"/>
        </w:rPr>
        <w:t>2025</w:t>
      </w:r>
      <w:r>
        <w:rPr>
          <w:rFonts w:hint="eastAsia" w:ascii="宋体" w:hAnsi="宋体" w:cs="宋体"/>
          <w:b w:val="0"/>
          <w:sz w:val="28"/>
          <w:szCs w:val="28"/>
        </w:rPr>
        <w:t>,</w:t>
      </w:r>
      <w:r>
        <w:rPr>
          <w:rFonts w:ascii="宋体" w:hAnsi="宋体" w:cs="宋体"/>
          <w:b w:val="0"/>
          <w:sz w:val="28"/>
          <w:szCs w:val="28"/>
        </w:rPr>
        <w:t>2026.05.01</w:t>
      </w:r>
      <w:r>
        <w:rPr>
          <w:rFonts w:hint="eastAsia" w:ascii="宋体" w:hAnsi="宋体" w:cs="宋体"/>
          <w:b w:val="0"/>
          <w:sz w:val="28"/>
          <w:szCs w:val="28"/>
        </w:rPr>
        <w:t>实施）</w:t>
      </w:r>
    </w:p>
    <w:p w14:paraId="30F6F838">
      <w:pPr>
        <w:spacing w:line="360" w:lineRule="auto"/>
        <w:ind w:firstLine="560" w:firstLineChars="200"/>
        <w:rPr>
          <w:rFonts w:ascii="宋体" w:hAnsi="宋体" w:cs="宋体"/>
          <w:b w:val="0"/>
          <w:sz w:val="28"/>
          <w:szCs w:val="28"/>
        </w:rPr>
      </w:pPr>
      <w:r>
        <w:rPr>
          <w:rFonts w:hint="eastAsia" w:ascii="宋体" w:hAnsi="宋体" w:cs="宋体"/>
          <w:b w:val="0"/>
          <w:sz w:val="28"/>
          <w:szCs w:val="28"/>
        </w:rPr>
        <w:t>5）《建筑设计防火规范（2018版）》（GB 50016-2014）</w:t>
      </w:r>
    </w:p>
    <w:p w14:paraId="62E46E88">
      <w:pPr>
        <w:spacing w:line="360" w:lineRule="auto"/>
        <w:ind w:firstLine="560" w:firstLineChars="200"/>
        <w:rPr>
          <w:rFonts w:ascii="宋体" w:hAnsi="宋体" w:cs="宋体"/>
          <w:b w:val="0"/>
          <w:sz w:val="28"/>
          <w:szCs w:val="28"/>
        </w:rPr>
      </w:pPr>
      <w:r>
        <w:rPr>
          <w:rFonts w:hint="eastAsia" w:ascii="宋体" w:hAnsi="宋体" w:cs="宋体"/>
          <w:b w:val="0"/>
          <w:sz w:val="28"/>
          <w:szCs w:val="28"/>
        </w:rPr>
        <w:t xml:space="preserve">6）《建筑防火通用规范》（GB </w:t>
      </w:r>
      <w:r>
        <w:rPr>
          <w:rFonts w:ascii="宋体" w:hAnsi="宋体" w:cs="宋体"/>
          <w:b w:val="0"/>
          <w:sz w:val="28"/>
          <w:szCs w:val="28"/>
        </w:rPr>
        <w:t>5</w:t>
      </w:r>
      <w:r>
        <w:rPr>
          <w:rFonts w:hint="eastAsia" w:ascii="宋体" w:hAnsi="宋体" w:cs="宋体"/>
          <w:b w:val="0"/>
          <w:sz w:val="28"/>
          <w:szCs w:val="28"/>
        </w:rPr>
        <w:t>5037-2022）</w:t>
      </w:r>
    </w:p>
    <w:p w14:paraId="07E08546">
      <w:pPr>
        <w:spacing w:line="360" w:lineRule="auto"/>
        <w:ind w:firstLine="560" w:firstLineChars="200"/>
        <w:rPr>
          <w:rFonts w:ascii="宋体" w:hAnsi="宋体" w:cs="宋体"/>
          <w:b w:val="0"/>
          <w:sz w:val="28"/>
          <w:szCs w:val="28"/>
        </w:rPr>
      </w:pPr>
      <w:r>
        <w:rPr>
          <w:rFonts w:hint="eastAsia" w:ascii="宋体" w:hAnsi="宋体" w:cs="宋体"/>
          <w:b w:val="0"/>
          <w:sz w:val="28"/>
          <w:szCs w:val="28"/>
        </w:rPr>
        <w:t>7）《消防设施通用规范》（GB 5</w:t>
      </w:r>
      <w:r>
        <w:rPr>
          <w:rFonts w:ascii="宋体" w:hAnsi="宋体" w:cs="宋体"/>
          <w:b w:val="0"/>
          <w:sz w:val="28"/>
          <w:szCs w:val="28"/>
        </w:rPr>
        <w:t>5</w:t>
      </w:r>
      <w:r>
        <w:rPr>
          <w:rFonts w:hint="eastAsia" w:ascii="宋体" w:hAnsi="宋体" w:cs="宋体"/>
          <w:b w:val="0"/>
          <w:sz w:val="28"/>
          <w:szCs w:val="28"/>
        </w:rPr>
        <w:t>036-2022）</w:t>
      </w:r>
    </w:p>
    <w:p w14:paraId="4CC0D9C0">
      <w:pPr>
        <w:spacing w:line="360" w:lineRule="auto"/>
        <w:ind w:firstLine="560" w:firstLineChars="200"/>
        <w:rPr>
          <w:rFonts w:ascii="宋体" w:hAnsi="宋体" w:cs="宋体"/>
          <w:b w:val="0"/>
          <w:sz w:val="28"/>
          <w:szCs w:val="28"/>
        </w:rPr>
      </w:pPr>
      <w:r>
        <w:rPr>
          <w:rFonts w:hint="eastAsia" w:ascii="宋体" w:hAnsi="宋体" w:cs="宋体"/>
          <w:b w:val="0"/>
          <w:sz w:val="28"/>
          <w:szCs w:val="28"/>
        </w:rPr>
        <w:t>8）《</w:t>
      </w:r>
      <w:r>
        <w:fldChar w:fldCharType="begin"/>
      </w:r>
      <w:r>
        <w:instrText xml:space="preserve"> HYPERLINK "https://gf.1190119.com/list-98.htm" \t "https://gf.1190119.com/_blank" </w:instrText>
      </w:r>
      <w:r>
        <w:fldChar w:fldCharType="separate"/>
      </w:r>
      <w:r>
        <w:rPr>
          <w:rFonts w:hint="eastAsia" w:ascii="宋体" w:hAnsi="宋体" w:cs="宋体"/>
          <w:b w:val="0"/>
          <w:sz w:val="28"/>
          <w:szCs w:val="28"/>
        </w:rPr>
        <w:t>消防给水及消火栓系统技术规范》（GB50974-2014</w:t>
      </w:r>
      <w:r>
        <w:rPr>
          <w:rFonts w:ascii="宋体" w:hAnsi="宋体" w:cs="宋体"/>
          <w:b w:val="0"/>
          <w:sz w:val="28"/>
          <w:szCs w:val="28"/>
        </w:rPr>
        <w:fldChar w:fldCharType="end"/>
      </w:r>
      <w:r>
        <w:rPr>
          <w:rFonts w:hint="eastAsia" w:ascii="宋体" w:hAnsi="宋体" w:cs="宋体"/>
          <w:b w:val="0"/>
          <w:sz w:val="28"/>
          <w:szCs w:val="28"/>
        </w:rPr>
        <w:t>）</w:t>
      </w:r>
    </w:p>
    <w:p w14:paraId="026F0D05">
      <w:pPr>
        <w:spacing w:line="360" w:lineRule="auto"/>
        <w:ind w:firstLine="560" w:firstLineChars="200"/>
        <w:rPr>
          <w:rFonts w:ascii="宋体" w:hAnsi="宋体" w:cs="宋体"/>
          <w:b w:val="0"/>
          <w:sz w:val="28"/>
          <w:szCs w:val="28"/>
        </w:rPr>
      </w:pPr>
      <w:r>
        <w:rPr>
          <w:rFonts w:hint="eastAsia" w:ascii="宋体" w:hAnsi="宋体" w:cs="宋体"/>
          <w:b w:val="0"/>
          <w:sz w:val="28"/>
          <w:szCs w:val="28"/>
        </w:rPr>
        <w:t>9）《建筑抗震设计标准》（GB 5</w:t>
      </w:r>
      <w:r>
        <w:rPr>
          <w:rFonts w:ascii="宋体" w:hAnsi="宋体" w:cs="宋体"/>
          <w:b w:val="0"/>
          <w:sz w:val="28"/>
          <w:szCs w:val="28"/>
        </w:rPr>
        <w:t>0</w:t>
      </w:r>
      <w:r>
        <w:rPr>
          <w:rFonts w:hint="eastAsia" w:ascii="宋体" w:hAnsi="宋体" w:cs="宋体"/>
          <w:b w:val="0"/>
          <w:sz w:val="28"/>
          <w:szCs w:val="28"/>
        </w:rPr>
        <w:t>011-2010）（2</w:t>
      </w:r>
      <w:r>
        <w:rPr>
          <w:rFonts w:ascii="宋体" w:hAnsi="宋体" w:cs="宋体"/>
          <w:b w:val="0"/>
          <w:sz w:val="28"/>
          <w:szCs w:val="28"/>
        </w:rPr>
        <w:t>024</w:t>
      </w:r>
      <w:r>
        <w:rPr>
          <w:rFonts w:hint="eastAsia" w:ascii="宋体" w:hAnsi="宋体" w:cs="宋体"/>
          <w:b w:val="0"/>
          <w:sz w:val="28"/>
          <w:szCs w:val="28"/>
        </w:rPr>
        <w:t>年版）</w:t>
      </w:r>
    </w:p>
    <w:p w14:paraId="608E377F">
      <w:pPr>
        <w:spacing w:line="360" w:lineRule="auto"/>
        <w:ind w:firstLine="560" w:firstLineChars="200"/>
        <w:rPr>
          <w:rFonts w:ascii="宋体" w:hAnsi="宋体" w:cs="宋体"/>
          <w:b w:val="0"/>
          <w:sz w:val="28"/>
          <w:szCs w:val="28"/>
        </w:rPr>
      </w:pPr>
      <w:r>
        <w:rPr>
          <w:rFonts w:hint="eastAsia" w:ascii="宋体" w:hAnsi="宋体" w:cs="宋体"/>
          <w:b w:val="0"/>
          <w:sz w:val="28"/>
          <w:szCs w:val="28"/>
        </w:rPr>
        <w:t>10）《建筑物防雷设计规范》（GB 50057-2010）</w:t>
      </w:r>
    </w:p>
    <w:p w14:paraId="2B2BC0BF">
      <w:pPr>
        <w:spacing w:line="360" w:lineRule="auto"/>
        <w:ind w:firstLine="560" w:firstLineChars="200"/>
        <w:rPr>
          <w:rFonts w:ascii="宋体" w:hAnsi="宋体" w:cs="宋体"/>
          <w:b w:val="0"/>
          <w:sz w:val="28"/>
          <w:szCs w:val="28"/>
        </w:rPr>
      </w:pPr>
      <w:r>
        <w:rPr>
          <w:rFonts w:hint="eastAsia" w:ascii="宋体" w:hAnsi="宋体" w:cs="宋体"/>
          <w:b w:val="0"/>
          <w:sz w:val="28"/>
          <w:szCs w:val="28"/>
        </w:rPr>
        <w:t>11）《低压配电设计规范》（GB 50054-2011）</w:t>
      </w:r>
    </w:p>
    <w:p w14:paraId="702CFF86">
      <w:pPr>
        <w:spacing w:line="360" w:lineRule="auto"/>
        <w:ind w:firstLine="560" w:firstLineChars="200"/>
        <w:rPr>
          <w:rFonts w:ascii="宋体" w:hAnsi="宋体" w:cs="宋体"/>
          <w:b w:val="0"/>
          <w:sz w:val="28"/>
          <w:szCs w:val="28"/>
        </w:rPr>
      </w:pPr>
      <w:r>
        <w:rPr>
          <w:rFonts w:hint="eastAsia" w:ascii="宋体" w:hAnsi="宋体" w:cs="宋体"/>
          <w:b w:val="0"/>
          <w:sz w:val="28"/>
          <w:szCs w:val="28"/>
        </w:rPr>
        <w:t>12）《安全色和安全标志》（GB 2894-2</w:t>
      </w:r>
      <w:r>
        <w:rPr>
          <w:rFonts w:ascii="宋体" w:hAnsi="宋体" w:cs="宋体"/>
          <w:b w:val="0"/>
          <w:sz w:val="28"/>
          <w:szCs w:val="28"/>
        </w:rPr>
        <w:t>025</w:t>
      </w:r>
      <w:r>
        <w:rPr>
          <w:rFonts w:hint="eastAsia" w:ascii="宋体" w:hAnsi="宋体" w:cs="宋体"/>
          <w:b w:val="0"/>
          <w:sz w:val="28"/>
          <w:szCs w:val="28"/>
        </w:rPr>
        <w:t>）</w:t>
      </w:r>
    </w:p>
    <w:p w14:paraId="156628E4">
      <w:pPr>
        <w:spacing w:line="360" w:lineRule="auto"/>
        <w:ind w:firstLine="560" w:firstLineChars="200"/>
        <w:rPr>
          <w:rFonts w:ascii="宋体" w:hAnsi="宋体" w:cs="宋体"/>
          <w:b w:val="0"/>
          <w:sz w:val="28"/>
          <w:szCs w:val="28"/>
        </w:rPr>
      </w:pPr>
      <w:r>
        <w:rPr>
          <w:rFonts w:hint="eastAsia" w:ascii="宋体" w:hAnsi="宋体" w:cs="宋体"/>
          <w:b w:val="0"/>
          <w:sz w:val="28"/>
          <w:szCs w:val="28"/>
        </w:rPr>
        <w:t>13）《企业职工伤亡事故分类》（GB 6441-1986）</w:t>
      </w:r>
    </w:p>
    <w:p w14:paraId="29ECAEAE">
      <w:pPr>
        <w:spacing w:line="360" w:lineRule="auto"/>
        <w:ind w:firstLine="560" w:firstLineChars="200"/>
        <w:rPr>
          <w:rFonts w:ascii="宋体" w:hAnsi="宋体" w:cs="宋体"/>
          <w:b w:val="0"/>
          <w:sz w:val="28"/>
          <w:szCs w:val="28"/>
        </w:rPr>
      </w:pPr>
      <w:r>
        <w:rPr>
          <w:rFonts w:hint="eastAsia" w:ascii="宋体" w:hAnsi="宋体" w:cs="宋体"/>
          <w:b w:val="0"/>
          <w:sz w:val="28"/>
          <w:szCs w:val="28"/>
        </w:rPr>
        <w:t>1</w:t>
      </w:r>
      <w:r>
        <w:rPr>
          <w:rFonts w:ascii="宋体" w:hAnsi="宋体" w:cs="宋体"/>
          <w:b w:val="0"/>
          <w:sz w:val="28"/>
          <w:szCs w:val="28"/>
        </w:rPr>
        <w:t>4</w:t>
      </w:r>
      <w:r>
        <w:rPr>
          <w:rFonts w:hint="eastAsia" w:ascii="宋体" w:hAnsi="宋体" w:cs="宋体"/>
          <w:b w:val="0"/>
          <w:sz w:val="28"/>
          <w:szCs w:val="28"/>
        </w:rPr>
        <w:t>）《供配电系统设计规范》（GB 50052-2009）</w:t>
      </w:r>
    </w:p>
    <w:p w14:paraId="6D45620F">
      <w:pPr>
        <w:spacing w:line="360" w:lineRule="auto"/>
        <w:ind w:firstLine="560" w:firstLineChars="200"/>
        <w:rPr>
          <w:rFonts w:ascii="宋体" w:hAnsi="宋体" w:cs="宋体"/>
          <w:b w:val="0"/>
          <w:sz w:val="28"/>
          <w:szCs w:val="28"/>
        </w:rPr>
      </w:pPr>
      <w:r>
        <w:rPr>
          <w:rFonts w:hint="eastAsia" w:ascii="宋体" w:hAnsi="宋体" w:cs="宋体"/>
          <w:b w:val="0"/>
          <w:sz w:val="28"/>
          <w:szCs w:val="28"/>
        </w:rPr>
        <w:t>1</w:t>
      </w:r>
      <w:r>
        <w:rPr>
          <w:rFonts w:ascii="宋体" w:hAnsi="宋体" w:cs="宋体"/>
          <w:b w:val="0"/>
          <w:sz w:val="28"/>
          <w:szCs w:val="28"/>
        </w:rPr>
        <w:t>5</w:t>
      </w:r>
      <w:r>
        <w:rPr>
          <w:rFonts w:hint="eastAsia" w:ascii="宋体" w:hAnsi="宋体" w:cs="宋体"/>
          <w:b w:val="0"/>
          <w:sz w:val="28"/>
          <w:szCs w:val="28"/>
        </w:rPr>
        <w:t>）《爆炸危险环境电力装置设计规范》（GB 50058-2014）</w:t>
      </w:r>
    </w:p>
    <w:p w14:paraId="09E15918">
      <w:pPr>
        <w:spacing w:line="360" w:lineRule="auto"/>
        <w:ind w:firstLine="560" w:firstLineChars="200"/>
        <w:jc w:val="left"/>
        <w:rPr>
          <w:rFonts w:ascii="宋体" w:hAnsi="宋体" w:cs="宋体"/>
          <w:b w:val="0"/>
          <w:sz w:val="28"/>
          <w:szCs w:val="28"/>
        </w:rPr>
      </w:pPr>
      <w:r>
        <w:rPr>
          <w:rFonts w:hint="eastAsia" w:ascii="宋体" w:hAnsi="宋体" w:cs="宋体"/>
          <w:b w:val="0"/>
          <w:sz w:val="28"/>
          <w:szCs w:val="28"/>
        </w:rPr>
        <w:t>1</w:t>
      </w:r>
      <w:r>
        <w:rPr>
          <w:rFonts w:ascii="宋体" w:hAnsi="宋体" w:cs="宋体"/>
          <w:b w:val="0"/>
          <w:sz w:val="28"/>
          <w:szCs w:val="28"/>
        </w:rPr>
        <w:t>6</w:t>
      </w:r>
      <w:r>
        <w:rPr>
          <w:rFonts w:hint="eastAsia" w:ascii="宋体" w:hAnsi="宋体" w:cs="宋体"/>
          <w:b w:val="0"/>
          <w:sz w:val="28"/>
          <w:szCs w:val="28"/>
        </w:rPr>
        <w:t>）《生产经营单位安全生产事故应急预案编制导则》（GB/T 29639-2020）</w:t>
      </w:r>
    </w:p>
    <w:p w14:paraId="1C0FBCF5">
      <w:pPr>
        <w:spacing w:line="360" w:lineRule="auto"/>
        <w:ind w:firstLine="560" w:firstLineChars="200"/>
        <w:rPr>
          <w:rFonts w:ascii="宋体" w:hAnsi="宋体" w:cs="宋体"/>
          <w:b w:val="0"/>
          <w:sz w:val="28"/>
          <w:szCs w:val="28"/>
        </w:rPr>
      </w:pPr>
      <w:r>
        <w:rPr>
          <w:rFonts w:hint="eastAsia" w:ascii="宋体" w:hAnsi="宋体" w:cs="宋体"/>
          <w:b w:val="0"/>
          <w:sz w:val="28"/>
          <w:szCs w:val="28"/>
        </w:rPr>
        <w:t>1</w:t>
      </w:r>
      <w:r>
        <w:rPr>
          <w:rFonts w:ascii="宋体" w:hAnsi="宋体" w:cs="宋体"/>
          <w:b w:val="0"/>
          <w:sz w:val="28"/>
          <w:szCs w:val="28"/>
        </w:rPr>
        <w:t>7</w:t>
      </w:r>
      <w:r>
        <w:rPr>
          <w:rFonts w:hint="eastAsia" w:ascii="宋体" w:hAnsi="宋体" w:cs="宋体"/>
          <w:b w:val="0"/>
          <w:sz w:val="28"/>
          <w:szCs w:val="28"/>
        </w:rPr>
        <w:t>） 《生产过程危险和有害因素分类与代码》（GB/T 13861-2022）</w:t>
      </w:r>
    </w:p>
    <w:p w14:paraId="409977DC">
      <w:pPr>
        <w:spacing w:line="360" w:lineRule="auto"/>
        <w:ind w:firstLine="560" w:firstLineChars="200"/>
        <w:rPr>
          <w:rFonts w:ascii="宋体" w:hAnsi="宋体" w:cs="宋体"/>
          <w:b w:val="0"/>
          <w:sz w:val="28"/>
          <w:szCs w:val="28"/>
        </w:rPr>
      </w:pPr>
      <w:r>
        <w:rPr>
          <w:rFonts w:hint="eastAsia" w:ascii="宋体" w:hAnsi="宋体" w:cs="宋体"/>
          <w:b w:val="0"/>
          <w:sz w:val="28"/>
          <w:szCs w:val="28"/>
        </w:rPr>
        <w:t>1</w:t>
      </w:r>
      <w:r>
        <w:rPr>
          <w:rFonts w:ascii="宋体" w:hAnsi="宋体" w:cs="宋体"/>
          <w:b w:val="0"/>
          <w:sz w:val="28"/>
          <w:szCs w:val="28"/>
        </w:rPr>
        <w:t>8</w:t>
      </w:r>
      <w:r>
        <w:rPr>
          <w:rFonts w:hint="eastAsia" w:ascii="宋体" w:hAnsi="宋体" w:cs="宋体"/>
          <w:b w:val="0"/>
          <w:sz w:val="28"/>
          <w:szCs w:val="28"/>
        </w:rPr>
        <w:t>）《烟花爆竹企业安全监控系统通用技术条件》（AQ 4101-2008）</w:t>
      </w:r>
    </w:p>
    <w:p w14:paraId="28F78305">
      <w:pPr>
        <w:spacing w:line="360" w:lineRule="auto"/>
        <w:ind w:firstLine="560" w:firstLineChars="200"/>
        <w:rPr>
          <w:rFonts w:ascii="宋体" w:hAnsi="宋体" w:cs="宋体"/>
          <w:b w:val="0"/>
          <w:sz w:val="28"/>
          <w:szCs w:val="28"/>
        </w:rPr>
      </w:pPr>
      <w:r>
        <w:rPr>
          <w:rFonts w:ascii="宋体" w:hAnsi="宋体" w:cs="宋体"/>
          <w:b w:val="0"/>
          <w:sz w:val="28"/>
          <w:szCs w:val="28"/>
        </w:rPr>
        <w:t>19</w:t>
      </w:r>
      <w:r>
        <w:rPr>
          <w:rFonts w:hint="eastAsia" w:ascii="宋体" w:hAnsi="宋体" w:cs="宋体"/>
          <w:b w:val="0"/>
          <w:sz w:val="28"/>
          <w:szCs w:val="28"/>
        </w:rPr>
        <w:t>）《烟花爆竹重大危险源辨识》（AQ 4131-2023）</w:t>
      </w:r>
    </w:p>
    <w:p w14:paraId="1E29A927">
      <w:pPr>
        <w:spacing w:line="360" w:lineRule="auto"/>
        <w:ind w:firstLine="560" w:firstLineChars="200"/>
        <w:rPr>
          <w:rFonts w:ascii="宋体" w:hAnsi="宋体" w:cs="宋体"/>
          <w:b w:val="0"/>
          <w:sz w:val="28"/>
          <w:szCs w:val="28"/>
        </w:rPr>
      </w:pPr>
      <w:r>
        <w:rPr>
          <w:rFonts w:hint="eastAsia" w:ascii="宋体" w:hAnsi="宋体" w:cs="宋体"/>
          <w:b w:val="0"/>
          <w:sz w:val="28"/>
          <w:szCs w:val="28"/>
        </w:rPr>
        <w:t>2</w:t>
      </w:r>
      <w:r>
        <w:rPr>
          <w:rFonts w:ascii="宋体" w:hAnsi="宋体" w:cs="宋体"/>
          <w:b w:val="0"/>
          <w:sz w:val="28"/>
          <w:szCs w:val="28"/>
        </w:rPr>
        <w:t>0</w:t>
      </w:r>
      <w:r>
        <w:rPr>
          <w:rFonts w:hint="eastAsia" w:ascii="宋体" w:hAnsi="宋体" w:cs="宋体"/>
          <w:b w:val="0"/>
          <w:sz w:val="28"/>
          <w:szCs w:val="28"/>
        </w:rPr>
        <w:t>）《烟花爆竹防止静电危害技术规范》（AQ 4115-2</w:t>
      </w:r>
      <w:r>
        <w:rPr>
          <w:rFonts w:ascii="宋体" w:hAnsi="宋体" w:cs="宋体"/>
          <w:b w:val="0"/>
          <w:sz w:val="28"/>
          <w:szCs w:val="28"/>
        </w:rPr>
        <w:t>025</w:t>
      </w:r>
      <w:r>
        <w:rPr>
          <w:rFonts w:hint="eastAsia" w:ascii="宋体" w:hAnsi="宋体" w:cs="宋体"/>
          <w:b w:val="0"/>
          <w:sz w:val="28"/>
          <w:szCs w:val="28"/>
        </w:rPr>
        <w:t>）</w:t>
      </w:r>
    </w:p>
    <w:p w14:paraId="2FAF36FC">
      <w:pPr>
        <w:spacing w:line="360" w:lineRule="auto"/>
        <w:ind w:firstLine="560" w:firstLineChars="200"/>
        <w:rPr>
          <w:rFonts w:ascii="宋体" w:hAnsi="宋体" w:cs="宋体"/>
          <w:b w:val="0"/>
          <w:sz w:val="28"/>
          <w:szCs w:val="28"/>
        </w:rPr>
      </w:pPr>
      <w:r>
        <w:rPr>
          <w:rFonts w:hint="eastAsia" w:ascii="宋体" w:hAnsi="宋体" w:cs="宋体"/>
          <w:b w:val="0"/>
          <w:sz w:val="28"/>
          <w:szCs w:val="28"/>
        </w:rPr>
        <w:t>2</w:t>
      </w:r>
      <w:r>
        <w:rPr>
          <w:rFonts w:ascii="宋体" w:hAnsi="宋体" w:cs="宋体"/>
          <w:b w:val="0"/>
          <w:sz w:val="28"/>
          <w:szCs w:val="28"/>
        </w:rPr>
        <w:t>1</w:t>
      </w:r>
      <w:r>
        <w:rPr>
          <w:rFonts w:hint="eastAsia" w:ascii="宋体" w:hAnsi="宋体" w:cs="宋体"/>
          <w:b w:val="0"/>
          <w:sz w:val="28"/>
          <w:szCs w:val="28"/>
        </w:rPr>
        <w:t>）《安全评价通则》（AQ 8001-2007）</w:t>
      </w:r>
    </w:p>
    <w:p w14:paraId="72BB002C">
      <w:pPr>
        <w:spacing w:line="360" w:lineRule="auto"/>
        <w:ind w:firstLine="560" w:firstLineChars="200"/>
        <w:rPr>
          <w:rFonts w:ascii="宋体" w:hAnsi="宋体" w:cs="宋体"/>
          <w:b w:val="0"/>
          <w:sz w:val="28"/>
          <w:szCs w:val="28"/>
        </w:rPr>
      </w:pPr>
      <w:r>
        <w:rPr>
          <w:rFonts w:hint="eastAsia" w:ascii="宋体" w:hAnsi="宋体" w:cs="宋体"/>
          <w:b w:val="0"/>
          <w:sz w:val="28"/>
          <w:szCs w:val="28"/>
        </w:rPr>
        <w:t>2</w:t>
      </w:r>
      <w:r>
        <w:rPr>
          <w:rFonts w:ascii="宋体" w:hAnsi="宋体" w:cs="宋体"/>
          <w:b w:val="0"/>
          <w:sz w:val="28"/>
          <w:szCs w:val="28"/>
        </w:rPr>
        <w:t>2</w:t>
      </w:r>
      <w:r>
        <w:rPr>
          <w:rFonts w:hint="eastAsia" w:ascii="宋体" w:hAnsi="宋体" w:cs="宋体"/>
          <w:b w:val="0"/>
          <w:sz w:val="28"/>
          <w:szCs w:val="28"/>
        </w:rPr>
        <w:t>）《安全预评价导则》（AQ 8002-2007）</w:t>
      </w:r>
    </w:p>
    <w:p w14:paraId="2085B253">
      <w:pPr>
        <w:spacing w:line="360" w:lineRule="auto"/>
        <w:ind w:firstLine="560" w:firstLineChars="200"/>
        <w:rPr>
          <w:rFonts w:ascii="宋体" w:hAnsi="宋体" w:cs="宋体"/>
          <w:b w:val="0"/>
          <w:sz w:val="28"/>
          <w:szCs w:val="28"/>
        </w:rPr>
      </w:pPr>
      <w:r>
        <w:rPr>
          <w:rFonts w:hint="eastAsia" w:ascii="宋体" w:hAnsi="宋体" w:cs="宋体"/>
          <w:b w:val="0"/>
          <w:sz w:val="28"/>
          <w:szCs w:val="28"/>
        </w:rPr>
        <w:t>2</w:t>
      </w:r>
      <w:r>
        <w:rPr>
          <w:rFonts w:ascii="宋体" w:hAnsi="宋体" w:cs="宋体"/>
          <w:b w:val="0"/>
          <w:sz w:val="28"/>
          <w:szCs w:val="28"/>
        </w:rPr>
        <w:t>3</w:t>
      </w:r>
      <w:r>
        <w:rPr>
          <w:rFonts w:hint="eastAsia" w:ascii="宋体" w:hAnsi="宋体" w:cs="宋体"/>
          <w:b w:val="0"/>
          <w:sz w:val="28"/>
          <w:szCs w:val="28"/>
        </w:rPr>
        <w:t>）《烟花爆竹安全生产标志》（AQ 4114-2011）</w:t>
      </w:r>
    </w:p>
    <w:p w14:paraId="2B2A04F6">
      <w:pPr>
        <w:spacing w:line="360" w:lineRule="auto"/>
        <w:ind w:firstLine="560" w:firstLineChars="200"/>
        <w:rPr>
          <w:rFonts w:ascii="宋体" w:hAnsi="宋体" w:cs="宋体"/>
          <w:b w:val="0"/>
          <w:sz w:val="28"/>
          <w:szCs w:val="28"/>
        </w:rPr>
      </w:pPr>
      <w:r>
        <w:rPr>
          <w:rFonts w:hint="eastAsia" w:ascii="宋体" w:hAnsi="宋体" w:cs="宋体"/>
          <w:b w:val="0"/>
          <w:sz w:val="28"/>
          <w:szCs w:val="28"/>
        </w:rPr>
        <w:t>2</w:t>
      </w:r>
      <w:r>
        <w:rPr>
          <w:rFonts w:ascii="宋体" w:hAnsi="宋体" w:cs="宋体"/>
          <w:b w:val="0"/>
          <w:sz w:val="28"/>
          <w:szCs w:val="28"/>
        </w:rPr>
        <w:t>4</w:t>
      </w:r>
      <w:r>
        <w:rPr>
          <w:rFonts w:hint="eastAsia" w:ascii="宋体" w:hAnsi="宋体" w:cs="宋体"/>
          <w:b w:val="0"/>
          <w:sz w:val="28"/>
          <w:szCs w:val="28"/>
        </w:rPr>
        <w:t>）《烟花爆竹流向登记通用规范》（AQ 4102-2008）</w:t>
      </w:r>
    </w:p>
    <w:p w14:paraId="6F0659A1">
      <w:pPr>
        <w:spacing w:line="360" w:lineRule="auto"/>
        <w:ind w:firstLine="560" w:firstLineChars="200"/>
        <w:rPr>
          <w:rFonts w:ascii="宋体" w:hAnsi="宋体" w:cs="宋体"/>
          <w:b w:val="0"/>
          <w:sz w:val="28"/>
          <w:szCs w:val="28"/>
        </w:rPr>
      </w:pPr>
      <w:r>
        <w:rPr>
          <w:rFonts w:hint="eastAsia" w:ascii="宋体" w:hAnsi="宋体" w:cs="宋体"/>
          <w:b w:val="0"/>
          <w:sz w:val="28"/>
          <w:szCs w:val="28"/>
        </w:rPr>
        <w:t>2</w:t>
      </w:r>
      <w:r>
        <w:rPr>
          <w:rFonts w:ascii="宋体" w:hAnsi="宋体" w:cs="宋体"/>
          <w:b w:val="0"/>
          <w:sz w:val="28"/>
          <w:szCs w:val="28"/>
        </w:rPr>
        <w:t>5</w:t>
      </w:r>
      <w:r>
        <w:rPr>
          <w:rFonts w:hint="eastAsia" w:ascii="宋体" w:hAnsi="宋体" w:cs="宋体"/>
          <w:b w:val="0"/>
          <w:sz w:val="28"/>
          <w:szCs w:val="28"/>
        </w:rPr>
        <w:t>） 《个体防护装备配备规范 第1部分：总则》（G</w:t>
      </w:r>
      <w:r>
        <w:rPr>
          <w:rFonts w:ascii="宋体" w:hAnsi="宋体" w:cs="宋体"/>
          <w:b w:val="0"/>
          <w:sz w:val="28"/>
          <w:szCs w:val="28"/>
        </w:rPr>
        <w:t>B 39800.1-2020</w:t>
      </w:r>
      <w:r>
        <w:rPr>
          <w:rFonts w:hint="eastAsia" w:ascii="宋体" w:hAnsi="宋体" w:cs="宋体"/>
          <w:b w:val="0"/>
          <w:sz w:val="28"/>
          <w:szCs w:val="28"/>
        </w:rPr>
        <w:t>）</w:t>
      </w:r>
    </w:p>
    <w:p w14:paraId="1BBB6E28">
      <w:pPr>
        <w:pStyle w:val="2"/>
        <w:ind w:firstLine="560"/>
        <w:rPr>
          <w:rFonts w:ascii="宋体" w:hAnsi="宋体" w:eastAsia="宋体" w:cs="宋体"/>
          <w:b w:val="0"/>
          <w:kern w:val="2"/>
          <w:szCs w:val="28"/>
        </w:rPr>
      </w:pPr>
      <w:r>
        <w:rPr>
          <w:rFonts w:hint="eastAsia" w:ascii="宋体" w:hAnsi="宋体" w:eastAsia="宋体" w:cs="宋体"/>
          <w:b w:val="0"/>
          <w:kern w:val="2"/>
          <w:szCs w:val="28"/>
        </w:rPr>
        <w:t>2</w:t>
      </w:r>
      <w:r>
        <w:rPr>
          <w:rFonts w:ascii="宋体" w:hAnsi="宋体" w:eastAsia="宋体" w:cs="宋体"/>
          <w:b w:val="0"/>
          <w:kern w:val="2"/>
          <w:szCs w:val="28"/>
        </w:rPr>
        <w:t>6</w:t>
      </w:r>
      <w:r>
        <w:rPr>
          <w:rFonts w:hint="eastAsia" w:ascii="宋体" w:hAnsi="宋体" w:eastAsia="宋体" w:cs="宋体"/>
          <w:b w:val="0"/>
          <w:kern w:val="2"/>
          <w:szCs w:val="28"/>
        </w:rPr>
        <w:t>）《烟花爆竹企业安全评价规范》（A</w:t>
      </w:r>
      <w:r>
        <w:rPr>
          <w:rFonts w:ascii="宋体" w:hAnsi="宋体" w:eastAsia="宋体" w:cs="宋体"/>
          <w:b w:val="0"/>
          <w:kern w:val="2"/>
          <w:szCs w:val="28"/>
        </w:rPr>
        <w:t>Q 4113-2008</w:t>
      </w:r>
      <w:r>
        <w:rPr>
          <w:rFonts w:hint="eastAsia" w:ascii="宋体" w:hAnsi="宋体" w:eastAsia="宋体" w:cs="宋体"/>
          <w:b w:val="0"/>
          <w:kern w:val="2"/>
          <w:szCs w:val="28"/>
        </w:rPr>
        <w:t>）</w:t>
      </w:r>
    </w:p>
    <w:p w14:paraId="18D3A45F">
      <w:pPr>
        <w:pStyle w:val="2"/>
        <w:ind w:firstLine="560"/>
        <w:rPr>
          <w:rFonts w:ascii="宋体" w:hAnsi="宋体" w:eastAsia="宋体" w:cs="宋体"/>
          <w:b w:val="0"/>
          <w:kern w:val="2"/>
          <w:szCs w:val="28"/>
        </w:rPr>
      </w:pPr>
      <w:r>
        <w:rPr>
          <w:rFonts w:hint="eastAsia" w:ascii="宋体" w:hAnsi="宋体" w:eastAsia="宋体" w:cs="宋体"/>
          <w:b w:val="0"/>
          <w:kern w:val="2"/>
          <w:szCs w:val="28"/>
        </w:rPr>
        <w:t>2</w:t>
      </w:r>
      <w:r>
        <w:rPr>
          <w:rFonts w:ascii="宋体" w:hAnsi="宋体" w:eastAsia="宋体" w:cs="宋体"/>
          <w:b w:val="0"/>
          <w:kern w:val="2"/>
          <w:szCs w:val="28"/>
        </w:rPr>
        <w:t>7</w:t>
      </w:r>
      <w:r>
        <w:rPr>
          <w:rFonts w:hint="eastAsia" w:ascii="宋体" w:hAnsi="宋体" w:eastAsia="宋体" w:cs="宋体"/>
          <w:b w:val="0"/>
          <w:kern w:val="2"/>
          <w:szCs w:val="28"/>
        </w:rPr>
        <w:t>）《烟花爆竹 爆竹》（G</w:t>
      </w:r>
      <w:r>
        <w:rPr>
          <w:rFonts w:ascii="宋体" w:hAnsi="宋体" w:eastAsia="宋体" w:cs="宋体"/>
          <w:b w:val="0"/>
          <w:kern w:val="2"/>
          <w:szCs w:val="28"/>
        </w:rPr>
        <w:t>B 47173-2026</w:t>
      </w:r>
      <w:r>
        <w:rPr>
          <w:rFonts w:hint="eastAsia" w:ascii="宋体" w:hAnsi="宋体" w:eastAsia="宋体" w:cs="宋体"/>
          <w:b w:val="0"/>
          <w:kern w:val="2"/>
          <w:szCs w:val="28"/>
        </w:rPr>
        <w:t>）</w:t>
      </w:r>
    </w:p>
    <w:p w14:paraId="2C7CC050">
      <w:pPr>
        <w:pStyle w:val="2"/>
        <w:ind w:firstLine="560"/>
        <w:rPr>
          <w:rFonts w:ascii="宋体" w:hAnsi="宋体" w:eastAsia="宋体" w:cs="宋体"/>
          <w:b w:val="0"/>
          <w:kern w:val="2"/>
          <w:szCs w:val="28"/>
        </w:rPr>
      </w:pPr>
      <w:r>
        <w:rPr>
          <w:rFonts w:hint="eastAsia" w:ascii="宋体" w:hAnsi="宋体" w:eastAsia="宋体" w:cs="宋体"/>
          <w:b w:val="0"/>
          <w:kern w:val="2"/>
          <w:szCs w:val="28"/>
        </w:rPr>
        <w:t>2</w:t>
      </w:r>
      <w:r>
        <w:rPr>
          <w:rFonts w:ascii="宋体" w:hAnsi="宋体" w:eastAsia="宋体" w:cs="宋体"/>
          <w:b w:val="0"/>
          <w:kern w:val="2"/>
          <w:szCs w:val="28"/>
        </w:rPr>
        <w:t>8）《烟花爆竹</w:t>
      </w:r>
      <w:r>
        <w:rPr>
          <w:rFonts w:hint="eastAsia" w:ascii="宋体" w:hAnsi="宋体" w:eastAsia="宋体" w:cs="宋体"/>
          <w:b w:val="0"/>
          <w:kern w:val="2"/>
          <w:szCs w:val="28"/>
        </w:rPr>
        <w:t xml:space="preserve"> </w:t>
      </w:r>
      <w:r>
        <w:rPr>
          <w:rFonts w:ascii="宋体" w:hAnsi="宋体" w:eastAsia="宋体" w:cs="宋体"/>
          <w:b w:val="0"/>
          <w:kern w:val="2"/>
          <w:szCs w:val="28"/>
        </w:rPr>
        <w:t>喷花》（</w:t>
      </w:r>
      <w:r>
        <w:rPr>
          <w:rFonts w:hint="eastAsia" w:ascii="宋体" w:hAnsi="宋体" w:eastAsia="宋体" w:cs="宋体"/>
          <w:b w:val="0"/>
          <w:kern w:val="2"/>
          <w:szCs w:val="28"/>
        </w:rPr>
        <w:t>G</w:t>
      </w:r>
      <w:r>
        <w:rPr>
          <w:rFonts w:ascii="宋体" w:hAnsi="宋体" w:eastAsia="宋体" w:cs="宋体"/>
          <w:b w:val="0"/>
          <w:kern w:val="2"/>
          <w:szCs w:val="28"/>
        </w:rPr>
        <w:t>B 47169-2026）</w:t>
      </w:r>
    </w:p>
    <w:p w14:paraId="684BE425">
      <w:pPr>
        <w:pStyle w:val="2"/>
        <w:ind w:firstLine="560"/>
        <w:rPr>
          <w:rFonts w:ascii="宋体" w:hAnsi="宋体" w:eastAsia="宋体" w:cs="宋体"/>
          <w:b w:val="0"/>
          <w:kern w:val="2"/>
          <w:szCs w:val="28"/>
        </w:rPr>
      </w:pPr>
      <w:r>
        <w:rPr>
          <w:rFonts w:hint="eastAsia" w:ascii="宋体" w:hAnsi="宋体" w:eastAsia="宋体" w:cs="宋体"/>
          <w:b w:val="0"/>
          <w:kern w:val="2"/>
          <w:szCs w:val="28"/>
        </w:rPr>
        <w:t>2</w:t>
      </w:r>
      <w:r>
        <w:rPr>
          <w:rFonts w:ascii="宋体" w:hAnsi="宋体" w:eastAsia="宋体" w:cs="宋体"/>
          <w:b w:val="0"/>
          <w:kern w:val="2"/>
          <w:szCs w:val="28"/>
        </w:rPr>
        <w:t>9）《烟花爆竹</w:t>
      </w:r>
      <w:r>
        <w:rPr>
          <w:rFonts w:hint="eastAsia" w:ascii="宋体" w:hAnsi="宋体" w:eastAsia="宋体" w:cs="宋体"/>
          <w:b w:val="0"/>
          <w:kern w:val="2"/>
          <w:szCs w:val="28"/>
        </w:rPr>
        <w:t xml:space="preserve"> </w:t>
      </w:r>
      <w:r>
        <w:rPr>
          <w:rFonts w:ascii="宋体" w:hAnsi="宋体" w:eastAsia="宋体" w:cs="宋体"/>
          <w:b w:val="0"/>
          <w:kern w:val="2"/>
          <w:szCs w:val="28"/>
        </w:rPr>
        <w:t>旋转》（</w:t>
      </w:r>
      <w:r>
        <w:rPr>
          <w:rFonts w:hint="eastAsia" w:ascii="宋体" w:hAnsi="宋体" w:eastAsia="宋体" w:cs="宋体"/>
          <w:b w:val="0"/>
          <w:kern w:val="2"/>
          <w:szCs w:val="28"/>
        </w:rPr>
        <w:t>G</w:t>
      </w:r>
      <w:r>
        <w:rPr>
          <w:rFonts w:ascii="宋体" w:hAnsi="宋体" w:eastAsia="宋体" w:cs="宋体"/>
          <w:b w:val="0"/>
          <w:kern w:val="2"/>
          <w:szCs w:val="28"/>
        </w:rPr>
        <w:t>B 47171-2026）</w:t>
      </w:r>
    </w:p>
    <w:p w14:paraId="0631E031">
      <w:pPr>
        <w:pStyle w:val="2"/>
        <w:ind w:firstLine="560"/>
        <w:rPr>
          <w:rFonts w:ascii="宋体" w:hAnsi="宋体" w:eastAsia="宋体" w:cs="宋体"/>
          <w:b w:val="0"/>
          <w:kern w:val="2"/>
          <w:szCs w:val="28"/>
        </w:rPr>
      </w:pPr>
      <w:r>
        <w:rPr>
          <w:rFonts w:ascii="宋体" w:hAnsi="宋体" w:eastAsia="宋体" w:cs="宋体"/>
          <w:b w:val="0"/>
          <w:kern w:val="2"/>
          <w:szCs w:val="28"/>
        </w:rPr>
        <w:t>30）《烟花爆竹</w:t>
      </w:r>
      <w:r>
        <w:rPr>
          <w:rFonts w:hint="eastAsia" w:ascii="宋体" w:hAnsi="宋体" w:eastAsia="宋体" w:cs="宋体"/>
          <w:b w:val="0"/>
          <w:kern w:val="2"/>
          <w:szCs w:val="28"/>
        </w:rPr>
        <w:t xml:space="preserve"> </w:t>
      </w:r>
      <w:r>
        <w:rPr>
          <w:rFonts w:ascii="宋体" w:hAnsi="宋体" w:eastAsia="宋体" w:cs="宋体"/>
          <w:b w:val="0"/>
          <w:kern w:val="2"/>
          <w:szCs w:val="28"/>
        </w:rPr>
        <w:t>升空》（</w:t>
      </w:r>
      <w:r>
        <w:rPr>
          <w:rFonts w:hint="eastAsia" w:ascii="宋体" w:hAnsi="宋体" w:eastAsia="宋体" w:cs="宋体"/>
          <w:b w:val="0"/>
          <w:kern w:val="2"/>
          <w:szCs w:val="28"/>
        </w:rPr>
        <w:t>G</w:t>
      </w:r>
      <w:r>
        <w:rPr>
          <w:rFonts w:ascii="宋体" w:hAnsi="宋体" w:eastAsia="宋体" w:cs="宋体"/>
          <w:b w:val="0"/>
          <w:kern w:val="2"/>
          <w:szCs w:val="28"/>
        </w:rPr>
        <w:t>B 47167-2026）</w:t>
      </w:r>
    </w:p>
    <w:p w14:paraId="79CFA384">
      <w:pPr>
        <w:pStyle w:val="2"/>
        <w:ind w:firstLine="560"/>
        <w:rPr>
          <w:rFonts w:ascii="宋体" w:hAnsi="宋体" w:eastAsia="宋体" w:cs="宋体"/>
          <w:b w:val="0"/>
          <w:kern w:val="2"/>
          <w:szCs w:val="28"/>
        </w:rPr>
      </w:pPr>
      <w:r>
        <w:rPr>
          <w:rFonts w:hint="eastAsia" w:ascii="宋体" w:hAnsi="宋体" w:eastAsia="宋体" w:cs="宋体"/>
          <w:b w:val="0"/>
          <w:kern w:val="2"/>
          <w:szCs w:val="28"/>
        </w:rPr>
        <w:t>3</w:t>
      </w:r>
      <w:r>
        <w:rPr>
          <w:rFonts w:ascii="宋体" w:hAnsi="宋体" w:eastAsia="宋体" w:cs="宋体"/>
          <w:b w:val="0"/>
          <w:kern w:val="2"/>
          <w:szCs w:val="28"/>
        </w:rPr>
        <w:t>1）《烟花爆竹</w:t>
      </w:r>
      <w:r>
        <w:rPr>
          <w:rFonts w:hint="eastAsia" w:ascii="宋体" w:hAnsi="宋体" w:eastAsia="宋体" w:cs="宋体"/>
          <w:b w:val="0"/>
          <w:kern w:val="2"/>
          <w:szCs w:val="28"/>
        </w:rPr>
        <w:t xml:space="preserve"> </w:t>
      </w:r>
      <w:r>
        <w:rPr>
          <w:rFonts w:ascii="宋体" w:hAnsi="宋体" w:eastAsia="宋体" w:cs="宋体"/>
          <w:b w:val="0"/>
          <w:kern w:val="2"/>
          <w:szCs w:val="28"/>
        </w:rPr>
        <w:t>吐珠》（</w:t>
      </w:r>
      <w:r>
        <w:rPr>
          <w:rFonts w:hint="eastAsia" w:ascii="宋体" w:hAnsi="宋体" w:eastAsia="宋体" w:cs="宋体"/>
          <w:b w:val="0"/>
          <w:kern w:val="2"/>
          <w:szCs w:val="28"/>
        </w:rPr>
        <w:t>G</w:t>
      </w:r>
      <w:r>
        <w:rPr>
          <w:rFonts w:ascii="宋体" w:hAnsi="宋体" w:eastAsia="宋体" w:cs="宋体"/>
          <w:b w:val="0"/>
          <w:kern w:val="2"/>
          <w:szCs w:val="28"/>
        </w:rPr>
        <w:t>B 47171-2026）</w:t>
      </w:r>
    </w:p>
    <w:p w14:paraId="50C1FA43">
      <w:pPr>
        <w:pStyle w:val="2"/>
        <w:ind w:firstLine="560"/>
        <w:rPr>
          <w:rFonts w:ascii="宋体" w:hAnsi="宋体" w:eastAsia="宋体" w:cs="宋体"/>
          <w:b w:val="0"/>
          <w:kern w:val="2"/>
          <w:szCs w:val="28"/>
        </w:rPr>
      </w:pPr>
      <w:r>
        <w:rPr>
          <w:rFonts w:hint="eastAsia" w:ascii="宋体" w:hAnsi="宋体" w:eastAsia="宋体" w:cs="宋体"/>
          <w:b w:val="0"/>
          <w:kern w:val="2"/>
          <w:szCs w:val="28"/>
        </w:rPr>
        <w:t>3</w:t>
      </w:r>
      <w:r>
        <w:rPr>
          <w:rFonts w:ascii="宋体" w:hAnsi="宋体" w:eastAsia="宋体" w:cs="宋体"/>
          <w:b w:val="0"/>
          <w:kern w:val="2"/>
          <w:szCs w:val="28"/>
        </w:rPr>
        <w:t>2）《烟花爆竹</w:t>
      </w:r>
      <w:r>
        <w:rPr>
          <w:rFonts w:hint="eastAsia" w:ascii="宋体" w:hAnsi="宋体" w:eastAsia="宋体" w:cs="宋体"/>
          <w:b w:val="0"/>
          <w:kern w:val="2"/>
          <w:szCs w:val="28"/>
        </w:rPr>
        <w:t xml:space="preserve"> </w:t>
      </w:r>
      <w:r>
        <w:rPr>
          <w:rFonts w:ascii="宋体" w:hAnsi="宋体" w:eastAsia="宋体" w:cs="宋体"/>
          <w:b w:val="0"/>
          <w:kern w:val="2"/>
          <w:szCs w:val="28"/>
        </w:rPr>
        <w:t>玩具》（</w:t>
      </w:r>
      <w:r>
        <w:rPr>
          <w:rFonts w:hint="eastAsia" w:ascii="宋体" w:hAnsi="宋体" w:eastAsia="宋体" w:cs="宋体"/>
          <w:b w:val="0"/>
          <w:kern w:val="2"/>
          <w:szCs w:val="28"/>
        </w:rPr>
        <w:t>G</w:t>
      </w:r>
      <w:r>
        <w:rPr>
          <w:rFonts w:ascii="宋体" w:hAnsi="宋体" w:eastAsia="宋体" w:cs="宋体"/>
          <w:b w:val="0"/>
          <w:kern w:val="2"/>
          <w:szCs w:val="28"/>
        </w:rPr>
        <w:t>B 47168-2026）</w:t>
      </w:r>
    </w:p>
    <w:p w14:paraId="14918C17">
      <w:pPr>
        <w:pStyle w:val="2"/>
        <w:ind w:firstLine="560"/>
        <w:rPr>
          <w:rFonts w:ascii="宋体" w:hAnsi="宋体" w:eastAsia="宋体" w:cs="宋体"/>
          <w:b w:val="0"/>
          <w:kern w:val="2"/>
          <w:szCs w:val="28"/>
        </w:rPr>
      </w:pPr>
      <w:r>
        <w:rPr>
          <w:rFonts w:hint="eastAsia" w:ascii="宋体" w:hAnsi="宋体" w:eastAsia="宋体" w:cs="宋体"/>
          <w:b w:val="0"/>
          <w:kern w:val="2"/>
          <w:szCs w:val="28"/>
        </w:rPr>
        <w:t>3</w:t>
      </w:r>
      <w:r>
        <w:rPr>
          <w:rFonts w:ascii="宋体" w:hAnsi="宋体" w:eastAsia="宋体" w:cs="宋体"/>
          <w:b w:val="0"/>
          <w:kern w:val="2"/>
          <w:szCs w:val="28"/>
        </w:rPr>
        <w:t>3）《烟花爆竹</w:t>
      </w:r>
      <w:r>
        <w:rPr>
          <w:rFonts w:hint="eastAsia" w:ascii="宋体" w:hAnsi="宋体" w:eastAsia="宋体" w:cs="宋体"/>
          <w:b w:val="0"/>
          <w:kern w:val="2"/>
          <w:szCs w:val="28"/>
        </w:rPr>
        <w:t xml:space="preserve"> </w:t>
      </w:r>
      <w:r>
        <w:rPr>
          <w:rFonts w:ascii="宋体" w:hAnsi="宋体" w:eastAsia="宋体" w:cs="宋体"/>
          <w:b w:val="0"/>
          <w:kern w:val="2"/>
          <w:szCs w:val="28"/>
        </w:rPr>
        <w:t>架子烟花》（</w:t>
      </w:r>
      <w:r>
        <w:rPr>
          <w:rFonts w:hint="eastAsia" w:ascii="宋体" w:hAnsi="宋体" w:eastAsia="宋体" w:cs="宋体"/>
          <w:b w:val="0"/>
          <w:kern w:val="2"/>
          <w:szCs w:val="28"/>
        </w:rPr>
        <w:t>G</w:t>
      </w:r>
      <w:r>
        <w:rPr>
          <w:rFonts w:ascii="宋体" w:hAnsi="宋体" w:eastAsia="宋体" w:cs="宋体"/>
          <w:b w:val="0"/>
          <w:kern w:val="2"/>
          <w:szCs w:val="28"/>
        </w:rPr>
        <w:t>B 47170-2026）</w:t>
      </w:r>
    </w:p>
    <w:p w14:paraId="5D04499F">
      <w:pPr>
        <w:pStyle w:val="2"/>
        <w:ind w:firstLine="560"/>
        <w:rPr>
          <w:rFonts w:ascii="宋体" w:hAnsi="宋体" w:eastAsia="宋体" w:cs="宋体"/>
          <w:b w:val="0"/>
          <w:kern w:val="2"/>
          <w:szCs w:val="28"/>
        </w:rPr>
      </w:pPr>
      <w:r>
        <w:rPr>
          <w:rFonts w:hint="eastAsia" w:ascii="宋体" w:hAnsi="宋体" w:eastAsia="宋体" w:cs="宋体"/>
          <w:b w:val="0"/>
          <w:kern w:val="2"/>
          <w:szCs w:val="28"/>
        </w:rPr>
        <w:t>3</w:t>
      </w:r>
      <w:r>
        <w:rPr>
          <w:rFonts w:ascii="宋体" w:hAnsi="宋体" w:eastAsia="宋体" w:cs="宋体"/>
          <w:b w:val="0"/>
          <w:kern w:val="2"/>
          <w:szCs w:val="28"/>
        </w:rPr>
        <w:t>4）</w:t>
      </w:r>
      <w:r>
        <w:rPr>
          <w:rFonts w:hint="eastAsia" w:ascii="宋体" w:hAnsi="宋体" w:eastAsia="宋体" w:cs="宋体"/>
          <w:b w:val="0"/>
          <w:kern w:val="2"/>
          <w:szCs w:val="28"/>
        </w:rPr>
        <w:t>《烟花爆竹 组合烟花》（</w:t>
      </w:r>
      <w:r>
        <w:rPr>
          <w:rFonts w:ascii="宋体" w:hAnsi="宋体" w:eastAsia="宋体" w:cs="宋体"/>
          <w:b w:val="0"/>
          <w:kern w:val="2"/>
          <w:szCs w:val="28"/>
        </w:rPr>
        <w:t>GB 19593-2026</w:t>
      </w:r>
      <w:r>
        <w:rPr>
          <w:rFonts w:hint="eastAsia" w:ascii="宋体" w:hAnsi="宋体" w:eastAsia="宋体" w:cs="宋体"/>
          <w:b w:val="0"/>
          <w:kern w:val="2"/>
          <w:szCs w:val="28"/>
        </w:rPr>
        <w:t>）</w:t>
      </w:r>
    </w:p>
    <w:p w14:paraId="5F1034A8">
      <w:pPr>
        <w:pStyle w:val="2"/>
        <w:ind w:firstLine="560"/>
        <w:rPr>
          <w:rFonts w:ascii="宋体" w:hAnsi="宋体" w:eastAsia="宋体" w:cs="宋体"/>
          <w:b w:val="0"/>
          <w:kern w:val="2"/>
          <w:szCs w:val="28"/>
        </w:rPr>
      </w:pPr>
      <w:r>
        <w:rPr>
          <w:rFonts w:ascii="宋体" w:hAnsi="宋体" w:eastAsia="宋体" w:cs="宋体"/>
          <w:b w:val="0"/>
          <w:kern w:val="2"/>
          <w:szCs w:val="28"/>
        </w:rPr>
        <w:t>35）</w:t>
      </w:r>
      <w:r>
        <w:rPr>
          <w:rFonts w:hint="eastAsia" w:ascii="宋体" w:hAnsi="宋体" w:eastAsia="宋体" w:cs="宋体"/>
          <w:b w:val="0"/>
          <w:kern w:val="2"/>
          <w:szCs w:val="28"/>
        </w:rPr>
        <w:t>《烟花爆竹 双响（升空类产品）》（G</w:t>
      </w:r>
      <w:r>
        <w:rPr>
          <w:rFonts w:ascii="宋体" w:hAnsi="宋体" w:eastAsia="宋体" w:cs="宋体"/>
          <w:b w:val="0"/>
          <w:kern w:val="2"/>
          <w:szCs w:val="28"/>
        </w:rPr>
        <w:t>B 21555-2008</w:t>
      </w:r>
      <w:r>
        <w:rPr>
          <w:rFonts w:hint="eastAsia" w:ascii="宋体" w:hAnsi="宋体" w:eastAsia="宋体" w:cs="宋体"/>
          <w:b w:val="0"/>
          <w:kern w:val="2"/>
          <w:szCs w:val="28"/>
        </w:rPr>
        <w:t>）</w:t>
      </w:r>
    </w:p>
    <w:p w14:paraId="0C2D2EDB">
      <w:pPr>
        <w:pStyle w:val="2"/>
        <w:ind w:firstLine="560"/>
        <w:rPr>
          <w:rFonts w:ascii="宋体" w:hAnsi="宋体" w:eastAsia="宋体" w:cs="宋体"/>
          <w:b w:val="0"/>
          <w:kern w:val="2"/>
          <w:szCs w:val="28"/>
        </w:rPr>
      </w:pPr>
      <w:r>
        <w:rPr>
          <w:rFonts w:hint="eastAsia" w:ascii="宋体" w:hAnsi="宋体" w:eastAsia="宋体" w:cs="宋体"/>
          <w:b w:val="0"/>
          <w:kern w:val="2"/>
          <w:szCs w:val="28"/>
        </w:rPr>
        <w:t>3</w:t>
      </w:r>
      <w:r>
        <w:rPr>
          <w:rFonts w:ascii="宋体" w:hAnsi="宋体" w:eastAsia="宋体" w:cs="宋体"/>
          <w:b w:val="0"/>
          <w:kern w:val="2"/>
          <w:szCs w:val="28"/>
        </w:rPr>
        <w:t>6）</w:t>
      </w:r>
      <w:r>
        <w:rPr>
          <w:rFonts w:hint="eastAsia" w:ascii="宋体" w:hAnsi="宋体" w:eastAsia="宋体" w:cs="宋体"/>
          <w:b w:val="0"/>
          <w:kern w:val="2"/>
          <w:szCs w:val="28"/>
        </w:rPr>
        <w:t>《中国地震动参数区划图》（</w:t>
      </w:r>
      <w:r>
        <w:rPr>
          <w:rFonts w:ascii="宋体" w:hAnsi="宋体" w:eastAsia="宋体" w:cs="宋体"/>
          <w:b w:val="0"/>
          <w:kern w:val="2"/>
          <w:szCs w:val="28"/>
        </w:rPr>
        <w:t>GB18306-2015</w:t>
      </w:r>
      <w:r>
        <w:rPr>
          <w:rFonts w:hint="eastAsia" w:ascii="宋体" w:hAnsi="宋体" w:eastAsia="宋体" w:cs="宋体"/>
          <w:b w:val="0"/>
          <w:kern w:val="2"/>
          <w:szCs w:val="28"/>
        </w:rPr>
        <w:t>）</w:t>
      </w:r>
    </w:p>
    <w:p w14:paraId="776FC6DF">
      <w:pPr>
        <w:pStyle w:val="2"/>
        <w:ind w:firstLine="560"/>
        <w:rPr>
          <w:rFonts w:ascii="宋体" w:hAnsi="宋体" w:eastAsia="宋体" w:cs="宋体"/>
          <w:b w:val="0"/>
          <w:kern w:val="2"/>
          <w:szCs w:val="28"/>
        </w:rPr>
      </w:pPr>
      <w:r>
        <w:rPr>
          <w:rFonts w:ascii="宋体" w:hAnsi="宋体" w:eastAsia="宋体" w:cs="宋体"/>
          <w:b w:val="0"/>
          <w:kern w:val="2"/>
          <w:szCs w:val="28"/>
        </w:rPr>
        <w:t>37）</w:t>
      </w:r>
      <w:r>
        <w:rPr>
          <w:rFonts w:hint="eastAsia" w:ascii="宋体" w:hAnsi="宋体" w:eastAsia="宋体" w:cs="宋体"/>
          <w:b w:val="0"/>
          <w:kern w:val="2"/>
          <w:szCs w:val="28"/>
        </w:rPr>
        <w:t>《重大火灾隐患判定规则》（G</w:t>
      </w:r>
      <w:r>
        <w:rPr>
          <w:rFonts w:ascii="宋体" w:hAnsi="宋体" w:eastAsia="宋体" w:cs="宋体"/>
          <w:b w:val="0"/>
          <w:kern w:val="2"/>
          <w:szCs w:val="28"/>
        </w:rPr>
        <w:t>B35181-2025</w:t>
      </w:r>
      <w:r>
        <w:rPr>
          <w:rFonts w:hint="eastAsia" w:ascii="宋体" w:hAnsi="宋体" w:eastAsia="宋体" w:cs="宋体"/>
          <w:b w:val="0"/>
          <w:kern w:val="2"/>
          <w:szCs w:val="28"/>
        </w:rPr>
        <w:t>）</w:t>
      </w:r>
    </w:p>
    <w:p w14:paraId="5A78C1E8">
      <w:pPr>
        <w:pStyle w:val="6"/>
        <w:rPr>
          <w:rFonts w:ascii="黑体" w:hAnsi="宋体" w:eastAsia="黑体"/>
          <w:b w:val="0"/>
          <w:bCs w:val="0"/>
          <w:snapToGrid w:val="0"/>
          <w:sz w:val="30"/>
          <w:szCs w:val="30"/>
        </w:rPr>
      </w:pPr>
      <w:bookmarkStart w:id="27" w:name="_Toc165038760"/>
      <w:r>
        <w:rPr>
          <w:rFonts w:hint="eastAsia" w:ascii="黑体" w:hAnsi="宋体" w:eastAsia="黑体"/>
          <w:b w:val="0"/>
          <w:snapToGrid w:val="0"/>
          <w:sz w:val="30"/>
          <w:szCs w:val="30"/>
        </w:rPr>
        <w:t>1.2.3其他参考的资料</w:t>
      </w:r>
      <w:bookmarkEnd w:id="27"/>
    </w:p>
    <w:p w14:paraId="0EDF0DD9">
      <w:pPr>
        <w:spacing w:line="360" w:lineRule="auto"/>
        <w:ind w:firstLine="560" w:firstLineChars="200"/>
        <w:rPr>
          <w:rFonts w:ascii="宋体" w:hAnsi="宋体" w:cs="宋体"/>
          <w:b w:val="0"/>
          <w:sz w:val="28"/>
          <w:szCs w:val="28"/>
        </w:rPr>
      </w:pPr>
      <w:r>
        <w:rPr>
          <w:rFonts w:hint="eastAsia" w:ascii="宋体" w:hAnsi="宋体" w:cs="宋体"/>
          <w:b w:val="0"/>
          <w:sz w:val="28"/>
          <w:szCs w:val="28"/>
        </w:rPr>
        <w:t>1）企业《营业执照》、原烟花爆竹经营（批发）许可证；</w:t>
      </w:r>
    </w:p>
    <w:p w14:paraId="4DA5961C">
      <w:pPr>
        <w:pStyle w:val="2"/>
        <w:ind w:firstLine="560"/>
        <w:rPr>
          <w:rFonts w:ascii="宋体" w:hAnsi="宋体" w:eastAsia="宋体" w:cs="宋体"/>
          <w:b w:val="0"/>
          <w:kern w:val="2"/>
          <w:szCs w:val="28"/>
        </w:rPr>
      </w:pPr>
      <w:r>
        <w:rPr>
          <w:rFonts w:hint="eastAsia" w:ascii="宋体" w:hAnsi="宋体" w:eastAsia="宋体" w:cs="宋体"/>
          <w:b w:val="0"/>
          <w:kern w:val="2"/>
          <w:szCs w:val="28"/>
        </w:rPr>
        <w:t>2）烟花爆竹批发经营企业新改扩建申请表；</w:t>
      </w:r>
    </w:p>
    <w:p w14:paraId="51EAC99B">
      <w:pPr>
        <w:pStyle w:val="2"/>
        <w:ind w:firstLine="560"/>
        <w:rPr>
          <w:rFonts w:ascii="宋体" w:hAnsi="宋体" w:eastAsia="宋体" w:cs="宋体"/>
          <w:b w:val="0"/>
          <w:kern w:val="2"/>
          <w:szCs w:val="28"/>
        </w:rPr>
      </w:pPr>
      <w:r>
        <w:rPr>
          <w:rFonts w:hint="eastAsia" w:ascii="宋体" w:hAnsi="宋体" w:eastAsia="宋体" w:cs="宋体"/>
          <w:b w:val="0"/>
          <w:kern w:val="2"/>
          <w:szCs w:val="28"/>
        </w:rPr>
        <w:t>3）企业投资项目备案承诺书；</w:t>
      </w:r>
    </w:p>
    <w:p w14:paraId="2BC1C367">
      <w:pPr>
        <w:pStyle w:val="2"/>
        <w:ind w:firstLine="560"/>
        <w:rPr>
          <w:rFonts w:ascii="宋体" w:hAnsi="宋体" w:eastAsia="宋体" w:cs="宋体"/>
          <w:b w:val="0"/>
          <w:kern w:val="2"/>
          <w:szCs w:val="28"/>
        </w:rPr>
      </w:pPr>
      <w:r>
        <w:rPr>
          <w:rFonts w:hint="eastAsia" w:ascii="宋体" w:hAnsi="宋体" w:eastAsia="宋体" w:cs="宋体"/>
          <w:b w:val="0"/>
          <w:kern w:val="2"/>
          <w:szCs w:val="28"/>
        </w:rPr>
        <w:t>4）可行性研究报告（封面、目录、结论页）；</w:t>
      </w:r>
    </w:p>
    <w:p w14:paraId="5E539E9F">
      <w:pPr>
        <w:pStyle w:val="2"/>
        <w:ind w:firstLine="560"/>
        <w:rPr>
          <w:rFonts w:ascii="宋体" w:hAnsi="宋体" w:eastAsia="宋体" w:cs="宋体"/>
          <w:b w:val="0"/>
          <w:kern w:val="2"/>
          <w:szCs w:val="28"/>
        </w:rPr>
      </w:pPr>
      <w:r>
        <w:rPr>
          <w:rFonts w:hint="eastAsia" w:ascii="宋体" w:hAnsi="宋体" w:eastAsia="宋体" w:cs="宋体"/>
          <w:b w:val="0"/>
          <w:kern w:val="2"/>
          <w:szCs w:val="28"/>
        </w:rPr>
        <w:t>5）黑龙江泰运烟花有限公司异地新建烟花爆竹库区项目总平面布置图；</w:t>
      </w:r>
    </w:p>
    <w:p w14:paraId="200CA9EF">
      <w:pPr>
        <w:pStyle w:val="2"/>
        <w:ind w:firstLine="560"/>
        <w:rPr>
          <w:rFonts w:ascii="宋体" w:hAnsi="宋体" w:eastAsia="宋体" w:cs="宋体"/>
          <w:b w:val="0"/>
          <w:kern w:val="2"/>
          <w:szCs w:val="28"/>
        </w:rPr>
      </w:pPr>
      <w:r>
        <w:rPr>
          <w:rFonts w:hint="eastAsia" w:ascii="宋体" w:hAnsi="宋体" w:eastAsia="宋体" w:cs="宋体"/>
          <w:b w:val="0"/>
          <w:kern w:val="2"/>
          <w:szCs w:val="28"/>
        </w:rPr>
        <w:t>6）其他文件。</w:t>
      </w:r>
    </w:p>
    <w:p w14:paraId="4D78F33C">
      <w:pPr>
        <w:keepNext/>
        <w:keepLines/>
        <w:spacing w:before="120" w:beforeLines="50" w:after="120" w:afterLines="50" w:line="360" w:lineRule="auto"/>
        <w:outlineLvl w:val="1"/>
        <w:rPr>
          <w:rFonts w:ascii="黑体" w:hAnsi="宋体" w:eastAsia="黑体"/>
          <w:b w:val="0"/>
          <w:bCs/>
          <w:snapToGrid w:val="0"/>
          <w:sz w:val="30"/>
          <w:szCs w:val="30"/>
        </w:rPr>
      </w:pPr>
      <w:bookmarkStart w:id="28" w:name="_Toc372793482"/>
      <w:bookmarkStart w:id="29" w:name="_Toc211769673"/>
      <w:bookmarkStart w:id="30" w:name="_Toc235865665"/>
      <w:bookmarkStart w:id="31" w:name="_Toc205979618"/>
      <w:bookmarkStart w:id="32" w:name="_Toc235352182"/>
      <w:bookmarkStart w:id="33" w:name="_Toc235862370"/>
      <w:bookmarkStart w:id="34" w:name="_Toc235865480"/>
      <w:bookmarkStart w:id="35" w:name="_Toc221454603"/>
      <w:bookmarkStart w:id="36" w:name="_Toc235352313"/>
      <w:r>
        <w:rPr>
          <w:rFonts w:hint="eastAsia" w:ascii="黑体" w:hAnsi="宋体" w:eastAsia="黑体"/>
          <w:b w:val="0"/>
          <w:bCs/>
          <w:snapToGrid w:val="0"/>
          <w:sz w:val="30"/>
          <w:szCs w:val="30"/>
        </w:rPr>
        <w:t>1.3预评价范围和程序</w:t>
      </w:r>
      <w:bookmarkEnd w:id="28"/>
      <w:bookmarkEnd w:id="29"/>
      <w:bookmarkEnd w:id="30"/>
      <w:bookmarkEnd w:id="31"/>
      <w:bookmarkEnd w:id="32"/>
      <w:bookmarkEnd w:id="33"/>
      <w:bookmarkEnd w:id="34"/>
      <w:bookmarkEnd w:id="35"/>
      <w:bookmarkEnd w:id="36"/>
    </w:p>
    <w:p w14:paraId="7BC6AE39">
      <w:pPr>
        <w:keepNext/>
        <w:keepLines/>
        <w:adjustRightInd w:val="0"/>
        <w:snapToGrid w:val="0"/>
        <w:spacing w:line="360" w:lineRule="auto"/>
        <w:outlineLvl w:val="2"/>
        <w:rPr>
          <w:rFonts w:ascii="Arial" w:hAnsi="Arial" w:eastAsia="仿宋_GB2312"/>
          <w:sz w:val="28"/>
          <w:szCs w:val="20"/>
        </w:rPr>
      </w:pPr>
      <w:bookmarkStart w:id="37" w:name="_Toc171001531"/>
      <w:r>
        <w:rPr>
          <w:rFonts w:hint="eastAsia" w:ascii="黑体" w:hAnsi="宋体" w:eastAsia="黑体"/>
          <w:b w:val="0"/>
          <w:bCs/>
          <w:snapToGrid w:val="0"/>
          <w:sz w:val="30"/>
          <w:szCs w:val="30"/>
        </w:rPr>
        <w:t>1.3.1预评价范围</w:t>
      </w:r>
      <w:bookmarkEnd w:id="37"/>
    </w:p>
    <w:p w14:paraId="02B8C411">
      <w:pPr>
        <w:spacing w:line="360" w:lineRule="auto"/>
        <w:ind w:firstLine="560" w:firstLineChars="200"/>
        <w:rPr>
          <w:rFonts w:ascii="宋体" w:hAnsi="宋体" w:cs="宋体"/>
          <w:b w:val="0"/>
          <w:sz w:val="28"/>
          <w:szCs w:val="28"/>
        </w:rPr>
      </w:pPr>
      <w:bookmarkStart w:id="38" w:name="_Toc171001532"/>
      <w:r>
        <w:rPr>
          <w:rFonts w:hint="eastAsia" w:ascii="宋体" w:hAnsi="宋体" w:cs="宋体"/>
          <w:b w:val="0"/>
          <w:sz w:val="28"/>
          <w:szCs w:val="28"/>
        </w:rPr>
        <w:t>本次预评价的评价范围仅限于对黑龙江泰运烟花有限公司异地新建烟花爆竹库区项目选址、总平面布置、建筑结构、安全设施、配套公用工程及辅助设施等进行安全预评价。涉及本项目的环境和职业卫生等问题，应执行国家有关规定和相关标准，由具有相应资质的单位予以评价，不在此次评价范围内。</w:t>
      </w:r>
    </w:p>
    <w:p w14:paraId="0C07098B">
      <w:pPr>
        <w:pStyle w:val="6"/>
        <w:rPr>
          <w:rFonts w:ascii="黑体" w:hAnsi="宋体" w:eastAsia="黑体"/>
          <w:b w:val="0"/>
          <w:bCs w:val="0"/>
          <w:snapToGrid w:val="0"/>
          <w:sz w:val="30"/>
          <w:szCs w:val="30"/>
        </w:rPr>
      </w:pPr>
      <w:r>
        <w:rPr>
          <w:rFonts w:hint="eastAsia" w:ascii="黑体" w:hAnsi="宋体" w:eastAsia="黑体"/>
          <w:b w:val="0"/>
          <w:bCs w:val="0"/>
          <w:snapToGrid w:val="0"/>
          <w:sz w:val="30"/>
          <w:szCs w:val="30"/>
        </w:rPr>
        <w:t>1.3.2预评价工作程序</w:t>
      </w:r>
      <w:bookmarkEnd w:id="38"/>
    </w:p>
    <w:p w14:paraId="62FD28D8">
      <w:pPr>
        <w:jc w:val="center"/>
        <w:rPr>
          <w:rFonts w:ascii="宋体" w:hAnsi="宋体"/>
          <w:sz w:val="24"/>
        </w:rPr>
      </w:pPr>
      <w:r>
        <w:rPr>
          <w:rFonts w:hint="eastAsia" w:ascii="宋体" w:hAnsi="宋体"/>
          <w:sz w:val="24"/>
        </w:rPr>
        <w:drawing>
          <wp:inline distT="0" distB="0" distL="0" distR="0">
            <wp:extent cx="4037330" cy="4628515"/>
            <wp:effectExtent l="0" t="0" r="1270" b="63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039112" cy="4630440"/>
                    </a:xfrm>
                    <a:prstGeom prst="rect">
                      <a:avLst/>
                    </a:prstGeom>
                    <a:noFill/>
                    <a:ln>
                      <a:noFill/>
                    </a:ln>
                    <a:effectLst/>
                  </pic:spPr>
                </pic:pic>
              </a:graphicData>
            </a:graphic>
          </wp:inline>
        </w:drawing>
      </w:r>
    </w:p>
    <w:p w14:paraId="3EF28269">
      <w:pPr>
        <w:spacing w:line="360" w:lineRule="auto"/>
        <w:jc w:val="center"/>
        <w:rPr>
          <w:rFonts w:ascii="Arial" w:hAnsi="Arial" w:eastAsia="黑体" w:cs="Arial"/>
          <w:b w:val="0"/>
          <w:sz w:val="24"/>
        </w:rPr>
      </w:pPr>
      <w:r>
        <w:rPr>
          <w:rFonts w:ascii="Arial" w:hAnsi="Arial" w:eastAsia="黑体" w:cs="Arial"/>
          <w:b w:val="0"/>
          <w:sz w:val="24"/>
        </w:rPr>
        <w:t>图1.3.2　安全预评价程序框图</w:t>
      </w:r>
    </w:p>
    <w:p w14:paraId="5D1C6643">
      <w:pPr>
        <w:keepNext/>
        <w:pageBreakBefore/>
        <w:widowControl/>
        <w:spacing w:before="120" w:beforeLines="50" w:line="360" w:lineRule="auto"/>
        <w:jc w:val="center"/>
        <w:outlineLvl w:val="0"/>
        <w:rPr>
          <w:rFonts w:ascii="黑体" w:hAnsi="宋体" w:eastAsia="黑体"/>
          <w:b w:val="0"/>
          <w:sz w:val="32"/>
          <w:szCs w:val="32"/>
        </w:rPr>
      </w:pPr>
      <w:bookmarkStart w:id="39" w:name="_Toc205979619"/>
      <w:r>
        <w:rPr>
          <w:rFonts w:hint="eastAsia" w:ascii="黑体" w:hAnsi="宋体" w:eastAsia="黑体"/>
          <w:b w:val="0"/>
          <w:sz w:val="32"/>
          <w:szCs w:val="32"/>
        </w:rPr>
        <w:t>第二章  建设项目概况</w:t>
      </w:r>
      <w:bookmarkEnd w:id="39"/>
    </w:p>
    <w:p w14:paraId="3603CBD3">
      <w:pPr>
        <w:keepNext/>
        <w:keepLines/>
        <w:spacing w:before="240" w:beforeLines="100" w:after="120" w:afterLines="50" w:line="360" w:lineRule="auto"/>
        <w:outlineLvl w:val="1"/>
        <w:rPr>
          <w:rFonts w:ascii="黑体" w:hAnsi="宋体" w:eastAsia="黑体"/>
          <w:b w:val="0"/>
          <w:bCs/>
          <w:snapToGrid w:val="0"/>
          <w:sz w:val="30"/>
          <w:szCs w:val="30"/>
        </w:rPr>
      </w:pPr>
      <w:bookmarkStart w:id="40" w:name="_Toc233449762"/>
      <w:bookmarkStart w:id="41" w:name="_Toc205979620"/>
      <w:r>
        <w:rPr>
          <w:rFonts w:hint="eastAsia" w:ascii="黑体" w:hAnsi="宋体" w:eastAsia="黑体"/>
          <w:b w:val="0"/>
          <w:bCs/>
          <w:snapToGrid w:val="0"/>
          <w:sz w:val="30"/>
          <w:szCs w:val="30"/>
        </w:rPr>
        <w:t>2.1</w:t>
      </w:r>
      <w:bookmarkEnd w:id="40"/>
      <w:r>
        <w:rPr>
          <w:rFonts w:hint="eastAsia" w:ascii="黑体" w:hAnsi="宋体" w:eastAsia="黑体"/>
          <w:b w:val="0"/>
          <w:bCs/>
          <w:snapToGrid w:val="0"/>
          <w:sz w:val="30"/>
          <w:szCs w:val="30"/>
        </w:rPr>
        <w:t>建设单位概况</w:t>
      </w:r>
      <w:bookmarkEnd w:id="41"/>
    </w:p>
    <w:p w14:paraId="30B634AC">
      <w:pPr>
        <w:adjustRightInd w:val="0"/>
        <w:snapToGrid w:val="0"/>
        <w:spacing w:line="360" w:lineRule="auto"/>
        <w:ind w:firstLine="560" w:firstLineChars="200"/>
        <w:rPr>
          <w:rFonts w:ascii="宋体" w:hAnsi="宋体" w:cs="Arial"/>
          <w:b w:val="0"/>
          <w:sz w:val="28"/>
        </w:rPr>
      </w:pPr>
      <w:bookmarkStart w:id="42" w:name="_Toc372793485"/>
      <w:bookmarkStart w:id="43" w:name="_Toc205979621"/>
      <w:r>
        <w:rPr>
          <w:rFonts w:hint="eastAsia" w:ascii="宋体" w:hAnsi="宋体" w:cs="Arial"/>
          <w:b w:val="0"/>
          <w:sz w:val="28"/>
        </w:rPr>
        <w:t>黑龙江泰运烟花有限公司成立于</w:t>
      </w:r>
      <w:r>
        <w:rPr>
          <w:rFonts w:ascii="宋体" w:hAnsi="宋体" w:cs="Arial"/>
          <w:b w:val="0"/>
          <w:sz w:val="28"/>
        </w:rPr>
        <w:t>2017年7月31日</w:t>
      </w:r>
      <w:r>
        <w:rPr>
          <w:rFonts w:hint="eastAsia" w:ascii="宋体" w:hAnsi="宋体" w:cs="Arial"/>
          <w:b w:val="0"/>
          <w:sz w:val="28"/>
        </w:rPr>
        <w:t>，住所：黑龙江省大庆市肇州县新福乡新福村，公司类型：有限责任公司（自然人独资），统一社会信用代码:91230621MA19JJJ112，法定代表人张志勇。</w:t>
      </w:r>
    </w:p>
    <w:p w14:paraId="4E23AFA9">
      <w:pPr>
        <w:adjustRightInd w:val="0"/>
        <w:snapToGrid w:val="0"/>
        <w:spacing w:line="360" w:lineRule="auto"/>
        <w:ind w:firstLine="560" w:firstLineChars="200"/>
        <w:rPr>
          <w:rFonts w:ascii="宋体" w:hAnsi="宋体" w:cs="Arial"/>
          <w:b w:val="0"/>
          <w:sz w:val="28"/>
        </w:rPr>
      </w:pPr>
      <w:r>
        <w:rPr>
          <w:rFonts w:hint="eastAsia" w:ascii="宋体" w:hAnsi="宋体" w:cs="Arial"/>
          <w:b w:val="0"/>
          <w:sz w:val="28"/>
        </w:rPr>
        <w:t>该企业于2</w:t>
      </w:r>
      <w:r>
        <w:rPr>
          <w:rFonts w:ascii="宋体" w:hAnsi="宋体" w:cs="Arial"/>
          <w:b w:val="0"/>
          <w:sz w:val="28"/>
        </w:rPr>
        <w:t>023</w:t>
      </w:r>
      <w:r>
        <w:rPr>
          <w:rFonts w:hint="eastAsia" w:ascii="宋体" w:hAnsi="宋体" w:cs="Arial"/>
          <w:b w:val="0"/>
          <w:sz w:val="28"/>
        </w:rPr>
        <w:t>年5月</w:t>
      </w:r>
      <w:r>
        <w:rPr>
          <w:rFonts w:ascii="宋体" w:hAnsi="宋体" w:cs="Arial"/>
          <w:b w:val="0"/>
          <w:sz w:val="28"/>
        </w:rPr>
        <w:t>22</w:t>
      </w:r>
      <w:r>
        <w:rPr>
          <w:rFonts w:hint="eastAsia" w:ascii="宋体" w:hAnsi="宋体" w:cs="Arial"/>
          <w:b w:val="0"/>
          <w:sz w:val="28"/>
        </w:rPr>
        <w:t>日取得大庆市应急管理局核发的烟花爆竹经营（批发）许可证，编号：（黑）P</w:t>
      </w:r>
      <w:r>
        <w:rPr>
          <w:rFonts w:ascii="宋体" w:hAnsi="宋体" w:cs="Arial"/>
          <w:b w:val="0"/>
          <w:sz w:val="28"/>
        </w:rPr>
        <w:t>F</w:t>
      </w:r>
      <w:r>
        <w:rPr>
          <w:rFonts w:hint="eastAsia" w:ascii="宋体" w:hAnsi="宋体" w:cs="Arial"/>
          <w:b w:val="0"/>
          <w:bCs/>
          <w:sz w:val="28"/>
        </w:rPr>
        <w:t>〔2023〕000</w:t>
      </w:r>
      <w:r>
        <w:rPr>
          <w:rFonts w:ascii="宋体" w:hAnsi="宋体" w:cs="Arial"/>
          <w:b w:val="0"/>
          <w:bCs/>
          <w:sz w:val="28"/>
        </w:rPr>
        <w:t>59</w:t>
      </w:r>
      <w:r>
        <w:rPr>
          <w:rFonts w:hint="eastAsia" w:ascii="宋体" w:hAnsi="宋体" w:cs="Arial"/>
          <w:b w:val="0"/>
          <w:bCs/>
          <w:sz w:val="28"/>
        </w:rPr>
        <w:t>；有效期2023年</w:t>
      </w:r>
      <w:r>
        <w:rPr>
          <w:rFonts w:ascii="宋体" w:hAnsi="宋体" w:cs="Arial"/>
          <w:b w:val="0"/>
          <w:bCs/>
          <w:sz w:val="28"/>
        </w:rPr>
        <w:t>7</w:t>
      </w:r>
      <w:r>
        <w:rPr>
          <w:rFonts w:hint="eastAsia" w:ascii="宋体" w:hAnsi="宋体" w:cs="Arial"/>
          <w:b w:val="0"/>
          <w:bCs/>
          <w:sz w:val="28"/>
        </w:rPr>
        <w:t>月</w:t>
      </w:r>
      <w:r>
        <w:rPr>
          <w:rFonts w:ascii="宋体" w:hAnsi="宋体" w:cs="Arial"/>
          <w:b w:val="0"/>
          <w:bCs/>
          <w:sz w:val="28"/>
        </w:rPr>
        <w:t>15</w:t>
      </w:r>
      <w:r>
        <w:rPr>
          <w:rFonts w:hint="eastAsia" w:ascii="宋体" w:hAnsi="宋体" w:cs="Arial"/>
          <w:b w:val="0"/>
          <w:bCs/>
          <w:sz w:val="28"/>
        </w:rPr>
        <w:t>日至</w:t>
      </w:r>
      <w:r>
        <w:rPr>
          <w:rFonts w:hint="eastAsia" w:ascii="宋体" w:hAnsi="宋体" w:cs="Arial"/>
          <w:b w:val="0"/>
          <w:sz w:val="28"/>
        </w:rPr>
        <w:t>2026年</w:t>
      </w:r>
      <w:r>
        <w:rPr>
          <w:rFonts w:ascii="宋体" w:hAnsi="宋体" w:cs="Arial"/>
          <w:b w:val="0"/>
          <w:sz w:val="28"/>
        </w:rPr>
        <w:t>7</w:t>
      </w:r>
      <w:r>
        <w:rPr>
          <w:rFonts w:hint="eastAsia" w:ascii="宋体" w:hAnsi="宋体" w:cs="Arial"/>
          <w:b w:val="0"/>
          <w:sz w:val="28"/>
        </w:rPr>
        <w:t>月</w:t>
      </w:r>
      <w:r>
        <w:rPr>
          <w:rFonts w:ascii="宋体" w:hAnsi="宋体" w:cs="Arial"/>
          <w:b w:val="0"/>
          <w:sz w:val="28"/>
        </w:rPr>
        <w:t>14</w:t>
      </w:r>
      <w:r>
        <w:rPr>
          <w:rFonts w:hint="eastAsia" w:ascii="宋体" w:hAnsi="宋体" w:cs="Arial"/>
          <w:b w:val="0"/>
          <w:sz w:val="28"/>
        </w:rPr>
        <w:t>日，许可范围：爆竹类（C级）、喷花类（C级、D级）、旋转类（C级、D级）、升空类（C级）、吐珠类（C级）、玩具类（C级、D级）、架子烟花类（B级、C级）、组合烟花类（B级、C级、D级），仓储地址位于黑龙江省大庆市肇州县新福乡新福村，库区面积</w:t>
      </w:r>
      <w:r>
        <w:rPr>
          <w:rFonts w:ascii="宋体" w:hAnsi="宋体" w:cs="Arial"/>
          <w:b w:val="0"/>
          <w:sz w:val="28"/>
        </w:rPr>
        <w:t>52900</w:t>
      </w:r>
      <w:r>
        <w:rPr>
          <w:rFonts w:hint="eastAsia" w:ascii="宋体" w:hAnsi="宋体" w:cs="Arial"/>
          <w:b w:val="0"/>
          <w:sz w:val="28"/>
        </w:rPr>
        <w:t>m</w:t>
      </w:r>
      <w:r>
        <w:rPr>
          <w:rFonts w:hint="eastAsia" w:ascii="宋体" w:hAnsi="宋体" w:cs="Arial"/>
          <w:b w:val="0"/>
          <w:sz w:val="28"/>
          <w:vertAlign w:val="superscript"/>
        </w:rPr>
        <w:t>2</w:t>
      </w:r>
      <w:r>
        <w:rPr>
          <w:rFonts w:hint="eastAsia" w:ascii="宋体" w:hAnsi="宋体" w:cs="Arial"/>
          <w:b w:val="0"/>
          <w:sz w:val="28"/>
        </w:rPr>
        <w:t>，库房面积</w:t>
      </w:r>
      <w:r>
        <w:rPr>
          <w:rFonts w:ascii="宋体" w:hAnsi="宋体" w:cs="Arial"/>
          <w:b w:val="0"/>
          <w:sz w:val="28"/>
        </w:rPr>
        <w:t>2680</w:t>
      </w:r>
      <w:r>
        <w:rPr>
          <w:rFonts w:hint="eastAsia" w:ascii="宋体" w:hAnsi="宋体" w:cs="Arial"/>
          <w:b w:val="0"/>
          <w:sz w:val="28"/>
        </w:rPr>
        <w:t>m</w:t>
      </w:r>
      <w:r>
        <w:rPr>
          <w:rFonts w:hint="eastAsia" w:ascii="宋体" w:hAnsi="宋体" w:cs="Arial"/>
          <w:b w:val="0"/>
          <w:sz w:val="28"/>
          <w:vertAlign w:val="superscript"/>
        </w:rPr>
        <w:t>2</w:t>
      </w:r>
      <w:r>
        <w:rPr>
          <w:rFonts w:hint="eastAsia" w:ascii="宋体" w:hAnsi="宋体" w:cs="Arial"/>
          <w:b w:val="0"/>
          <w:sz w:val="28"/>
        </w:rPr>
        <w:t>，核定药量</w:t>
      </w:r>
      <w:r>
        <w:rPr>
          <w:rFonts w:ascii="宋体" w:hAnsi="宋体" w:cs="Arial"/>
          <w:b w:val="0"/>
          <w:sz w:val="28"/>
        </w:rPr>
        <w:t>53600</w:t>
      </w:r>
      <w:r>
        <w:rPr>
          <w:rFonts w:hint="eastAsia" w:ascii="宋体" w:hAnsi="宋体" w:cs="Arial"/>
          <w:b w:val="0"/>
          <w:sz w:val="28"/>
        </w:rPr>
        <w:t>kg。</w:t>
      </w:r>
    </w:p>
    <w:p w14:paraId="30752CD0">
      <w:pPr>
        <w:keepNext/>
        <w:keepLines/>
        <w:spacing w:before="120" w:beforeLines="50" w:after="120" w:afterLines="50" w:line="360" w:lineRule="auto"/>
        <w:outlineLvl w:val="1"/>
        <w:rPr>
          <w:rFonts w:ascii="黑体" w:hAnsi="宋体" w:eastAsia="黑体"/>
          <w:b w:val="0"/>
          <w:bCs/>
          <w:snapToGrid w:val="0"/>
          <w:sz w:val="30"/>
          <w:szCs w:val="30"/>
        </w:rPr>
      </w:pPr>
      <w:r>
        <w:rPr>
          <w:rFonts w:hint="eastAsia" w:ascii="黑体" w:hAnsi="宋体" w:eastAsia="黑体"/>
          <w:b w:val="0"/>
          <w:bCs/>
          <w:snapToGrid w:val="0"/>
          <w:sz w:val="30"/>
          <w:szCs w:val="30"/>
        </w:rPr>
        <w:t>2.2建设项目概况</w:t>
      </w:r>
      <w:bookmarkEnd w:id="42"/>
      <w:bookmarkEnd w:id="43"/>
    </w:p>
    <w:p w14:paraId="54CBF100">
      <w:pPr>
        <w:pStyle w:val="6"/>
        <w:rPr>
          <w:rFonts w:ascii="黑体" w:hAnsi="宋体" w:eastAsia="黑体"/>
          <w:b w:val="0"/>
          <w:bCs w:val="0"/>
          <w:snapToGrid w:val="0"/>
          <w:sz w:val="30"/>
          <w:szCs w:val="30"/>
        </w:rPr>
      </w:pPr>
      <w:bookmarkStart w:id="44" w:name="_Toc165038765"/>
      <w:r>
        <w:rPr>
          <w:rFonts w:hint="eastAsia" w:ascii="黑体" w:hAnsi="宋体" w:eastAsia="黑体"/>
          <w:b w:val="0"/>
          <w:bCs w:val="0"/>
          <w:snapToGrid w:val="0"/>
          <w:sz w:val="30"/>
          <w:szCs w:val="30"/>
        </w:rPr>
        <w:t>2.2.1建设项目简介</w:t>
      </w:r>
      <w:bookmarkEnd w:id="44"/>
    </w:p>
    <w:p w14:paraId="1A945ADD">
      <w:pPr>
        <w:spacing w:line="360" w:lineRule="auto"/>
        <w:ind w:firstLine="560" w:firstLineChars="200"/>
        <w:rPr>
          <w:rFonts w:ascii="宋体" w:hAnsi="宋体" w:cs="宋体"/>
          <w:b w:val="0"/>
          <w:sz w:val="28"/>
          <w:szCs w:val="28"/>
        </w:rPr>
      </w:pPr>
      <w:r>
        <w:rPr>
          <w:rFonts w:hint="eastAsia" w:ascii="宋体" w:hAnsi="宋体" w:cs="宋体"/>
          <w:b w:val="0"/>
          <w:sz w:val="28"/>
          <w:szCs w:val="28"/>
        </w:rPr>
        <w:t>公司名称：黑龙江泰运烟花有限公司；</w:t>
      </w:r>
    </w:p>
    <w:p w14:paraId="24DC35CF">
      <w:pPr>
        <w:spacing w:line="360" w:lineRule="auto"/>
        <w:ind w:firstLine="560" w:firstLineChars="200"/>
        <w:rPr>
          <w:rFonts w:ascii="宋体" w:hAnsi="宋体" w:cs="宋体"/>
          <w:b w:val="0"/>
          <w:sz w:val="28"/>
          <w:szCs w:val="28"/>
        </w:rPr>
      </w:pPr>
      <w:r>
        <w:rPr>
          <w:rFonts w:hint="eastAsia" w:ascii="宋体" w:hAnsi="宋体" w:cs="宋体"/>
          <w:b w:val="0"/>
          <w:sz w:val="28"/>
          <w:szCs w:val="28"/>
        </w:rPr>
        <w:t>项目名称：黑龙江泰运烟花有限公司异地新建烟花爆竹库区项目；</w:t>
      </w:r>
    </w:p>
    <w:p w14:paraId="4E87EDC6">
      <w:pPr>
        <w:spacing w:line="360" w:lineRule="auto"/>
        <w:ind w:firstLine="560" w:firstLineChars="200"/>
        <w:rPr>
          <w:rFonts w:ascii="宋体" w:hAnsi="宋体" w:cs="宋体"/>
          <w:b w:val="0"/>
          <w:sz w:val="28"/>
          <w:szCs w:val="28"/>
        </w:rPr>
      </w:pPr>
      <w:r>
        <w:rPr>
          <w:rFonts w:hint="eastAsia" w:ascii="宋体" w:hAnsi="宋体" w:cs="宋体"/>
          <w:b w:val="0"/>
          <w:sz w:val="28"/>
          <w:szCs w:val="28"/>
        </w:rPr>
        <w:t>新建1</w:t>
      </w:r>
      <w:r>
        <w:rPr>
          <w:rFonts w:ascii="宋体" w:hAnsi="宋体" w:cs="宋体"/>
          <w:b w:val="0"/>
          <w:sz w:val="28"/>
          <w:szCs w:val="28"/>
        </w:rPr>
        <w:t>0</w:t>
      </w:r>
      <w:r>
        <w:rPr>
          <w:rFonts w:hint="eastAsia" w:ascii="宋体" w:hAnsi="宋体" w:cs="宋体"/>
          <w:b w:val="0"/>
          <w:sz w:val="28"/>
          <w:szCs w:val="28"/>
        </w:rPr>
        <w:t>栋库房总建筑面积：8</w:t>
      </w:r>
      <w:r>
        <w:rPr>
          <w:rFonts w:ascii="宋体" w:hAnsi="宋体" w:cs="宋体"/>
          <w:b w:val="0"/>
          <w:sz w:val="28"/>
          <w:szCs w:val="28"/>
        </w:rPr>
        <w:t>522m</w:t>
      </w:r>
      <w:r>
        <w:rPr>
          <w:rFonts w:ascii="宋体" w:hAnsi="宋体" w:cs="宋体"/>
          <w:b w:val="0"/>
          <w:sz w:val="28"/>
          <w:szCs w:val="28"/>
          <w:vertAlign w:val="superscript"/>
        </w:rPr>
        <w:t>2</w:t>
      </w:r>
      <w:r>
        <w:rPr>
          <w:rFonts w:hint="eastAsia" w:ascii="宋体" w:hAnsi="宋体" w:cs="宋体"/>
          <w:b w:val="0"/>
          <w:sz w:val="28"/>
          <w:szCs w:val="28"/>
        </w:rPr>
        <w:t>；</w:t>
      </w:r>
    </w:p>
    <w:p w14:paraId="7E7D6154">
      <w:pPr>
        <w:spacing w:line="360" w:lineRule="auto"/>
        <w:ind w:firstLine="560" w:firstLineChars="200"/>
        <w:rPr>
          <w:rFonts w:ascii="宋体" w:hAnsi="宋体" w:cs="宋体"/>
          <w:b w:val="0"/>
          <w:sz w:val="28"/>
          <w:szCs w:val="28"/>
        </w:rPr>
      </w:pPr>
      <w:r>
        <w:rPr>
          <w:rFonts w:hint="eastAsia" w:ascii="宋体" w:hAnsi="宋体" w:cs="宋体"/>
          <w:b w:val="0"/>
          <w:sz w:val="28"/>
          <w:szCs w:val="28"/>
        </w:rPr>
        <w:t>新建1</w:t>
      </w:r>
      <w:r>
        <w:rPr>
          <w:rFonts w:ascii="宋体" w:hAnsi="宋体" w:cs="宋体"/>
          <w:b w:val="0"/>
          <w:sz w:val="28"/>
          <w:szCs w:val="28"/>
        </w:rPr>
        <w:t>0</w:t>
      </w:r>
      <w:r>
        <w:rPr>
          <w:rFonts w:hint="eastAsia" w:ascii="宋体" w:hAnsi="宋体" w:cs="宋体"/>
          <w:b w:val="0"/>
          <w:sz w:val="28"/>
          <w:szCs w:val="28"/>
        </w:rPr>
        <w:t>栋库房危险等级：1</w:t>
      </w:r>
      <w:r>
        <w:rPr>
          <w:rFonts w:ascii="宋体" w:hAnsi="宋体" w:cs="宋体"/>
          <w:b w:val="0"/>
          <w:sz w:val="28"/>
          <w:szCs w:val="28"/>
        </w:rPr>
        <w:t>.3</w:t>
      </w:r>
      <w:r>
        <w:rPr>
          <w:rFonts w:hint="eastAsia" w:ascii="宋体" w:hAnsi="宋体" w:cs="宋体"/>
          <w:b w:val="0"/>
          <w:sz w:val="28"/>
          <w:szCs w:val="28"/>
        </w:rPr>
        <w:t>级9栋，1</w:t>
      </w:r>
      <w:r>
        <w:rPr>
          <w:rFonts w:ascii="宋体" w:hAnsi="宋体" w:cs="宋体"/>
          <w:b w:val="0"/>
          <w:sz w:val="28"/>
          <w:szCs w:val="28"/>
        </w:rPr>
        <w:t>.1</w:t>
      </w:r>
      <w:r>
        <w:rPr>
          <w:rFonts w:ascii="宋体" w:hAnsi="宋体" w:cs="宋体"/>
          <w:b w:val="0"/>
          <w:sz w:val="28"/>
          <w:szCs w:val="28"/>
          <w:vertAlign w:val="superscript"/>
        </w:rPr>
        <w:t>-2</w:t>
      </w:r>
      <w:r>
        <w:rPr>
          <w:rFonts w:hint="eastAsia" w:ascii="宋体" w:hAnsi="宋体" w:cs="宋体"/>
          <w:b w:val="0"/>
          <w:sz w:val="28"/>
          <w:szCs w:val="28"/>
        </w:rPr>
        <w:t>级1栋；</w:t>
      </w:r>
    </w:p>
    <w:p w14:paraId="5E125106">
      <w:pPr>
        <w:spacing w:line="360" w:lineRule="auto"/>
        <w:ind w:firstLine="560" w:firstLineChars="200"/>
        <w:rPr>
          <w:rFonts w:ascii="宋体" w:hAnsi="宋体" w:cs="宋体"/>
          <w:b w:val="0"/>
          <w:sz w:val="28"/>
          <w:szCs w:val="28"/>
        </w:rPr>
      </w:pPr>
      <w:r>
        <w:rPr>
          <w:rFonts w:hint="eastAsia" w:ascii="宋体" w:hAnsi="宋体" w:cs="宋体"/>
          <w:b w:val="0"/>
          <w:sz w:val="28"/>
          <w:szCs w:val="28"/>
        </w:rPr>
        <w:t>新建1</w:t>
      </w:r>
      <w:r>
        <w:rPr>
          <w:rFonts w:ascii="宋体" w:hAnsi="宋体" w:cs="宋体"/>
          <w:b w:val="0"/>
          <w:sz w:val="28"/>
          <w:szCs w:val="28"/>
        </w:rPr>
        <w:t>0</w:t>
      </w:r>
      <w:r>
        <w:rPr>
          <w:rFonts w:hint="eastAsia" w:ascii="宋体" w:hAnsi="宋体" w:cs="宋体"/>
          <w:b w:val="0"/>
          <w:sz w:val="28"/>
          <w:szCs w:val="28"/>
        </w:rPr>
        <w:t>栋库房拟定储存总药量：1</w:t>
      </w:r>
      <w:r>
        <w:rPr>
          <w:rFonts w:ascii="宋体" w:hAnsi="宋体" w:cs="宋体"/>
          <w:b w:val="0"/>
          <w:sz w:val="28"/>
          <w:szCs w:val="28"/>
        </w:rPr>
        <w:t>59280kg</w:t>
      </w:r>
      <w:r>
        <w:rPr>
          <w:rFonts w:hint="eastAsia" w:ascii="宋体" w:hAnsi="宋体" w:cs="宋体"/>
          <w:b w:val="0"/>
          <w:sz w:val="28"/>
          <w:szCs w:val="28"/>
        </w:rPr>
        <w:t>；</w:t>
      </w:r>
    </w:p>
    <w:p w14:paraId="35B7B6FB">
      <w:pPr>
        <w:spacing w:line="360" w:lineRule="auto"/>
        <w:ind w:firstLine="560" w:firstLineChars="200"/>
        <w:rPr>
          <w:rFonts w:ascii="宋体" w:hAnsi="宋体" w:cs="宋体"/>
          <w:b w:val="0"/>
          <w:sz w:val="28"/>
          <w:szCs w:val="28"/>
        </w:rPr>
      </w:pPr>
      <w:r>
        <w:rPr>
          <w:rFonts w:hint="eastAsia" w:ascii="宋体" w:hAnsi="宋体" w:cs="宋体"/>
          <w:b w:val="0"/>
          <w:sz w:val="28"/>
          <w:szCs w:val="28"/>
        </w:rPr>
        <w:t>建设内容和规模：新建</w:t>
      </w:r>
      <w:r>
        <w:rPr>
          <w:rFonts w:ascii="宋体" w:hAnsi="宋体" w:cs="宋体"/>
          <w:b w:val="0"/>
          <w:sz w:val="28"/>
          <w:szCs w:val="28"/>
        </w:rPr>
        <w:t>9</w:t>
      </w:r>
      <w:r>
        <w:rPr>
          <w:rFonts w:hint="eastAsia" w:ascii="宋体" w:hAnsi="宋体" w:cs="宋体"/>
          <w:b w:val="0"/>
          <w:sz w:val="28"/>
          <w:szCs w:val="28"/>
        </w:rPr>
        <w:t>栋1.3级库房，</w:t>
      </w:r>
      <w:bookmarkStart w:id="45" w:name="_Hlk197523518"/>
      <w:r>
        <w:rPr>
          <w:rFonts w:hint="eastAsia" w:ascii="宋体" w:hAnsi="宋体" w:cs="宋体"/>
          <w:b w:val="0"/>
          <w:sz w:val="28"/>
          <w:szCs w:val="28"/>
        </w:rPr>
        <w:t>其中1</w:t>
      </w:r>
      <w:r>
        <w:rPr>
          <w:rFonts w:ascii="宋体" w:hAnsi="宋体" w:cs="宋体"/>
          <w:b w:val="0"/>
          <w:sz w:val="28"/>
          <w:szCs w:val="28"/>
        </w:rPr>
        <w:t>#</w:t>
      </w:r>
      <w:r>
        <w:rPr>
          <w:rFonts w:hint="eastAsia" w:ascii="宋体" w:hAnsi="宋体" w:cs="宋体"/>
          <w:b w:val="0"/>
          <w:sz w:val="28"/>
          <w:szCs w:val="28"/>
        </w:rPr>
        <w:t>库房建筑面积为</w:t>
      </w:r>
      <w:r>
        <w:rPr>
          <w:rFonts w:ascii="宋体" w:hAnsi="宋体" w:cs="宋体"/>
          <w:b w:val="0"/>
          <w:sz w:val="28"/>
          <w:szCs w:val="28"/>
        </w:rPr>
        <w:t>558m</w:t>
      </w:r>
      <w:r>
        <w:rPr>
          <w:rFonts w:ascii="宋体" w:hAnsi="宋体" w:cs="宋体"/>
          <w:b w:val="0"/>
          <w:sz w:val="28"/>
          <w:szCs w:val="28"/>
          <w:vertAlign w:val="superscript"/>
        </w:rPr>
        <w:t>2</w:t>
      </w:r>
      <w:r>
        <w:rPr>
          <w:rFonts w:hint="eastAsia" w:ascii="宋体" w:hAnsi="宋体" w:cs="宋体"/>
          <w:b w:val="0"/>
          <w:sz w:val="28"/>
          <w:szCs w:val="28"/>
        </w:rPr>
        <w:t>，拟定储存药量为</w:t>
      </w:r>
      <w:r>
        <w:rPr>
          <w:rFonts w:ascii="宋体" w:hAnsi="宋体" w:cs="宋体"/>
          <w:b w:val="0"/>
          <w:sz w:val="28"/>
          <w:szCs w:val="28"/>
        </w:rPr>
        <w:t>11160kg</w:t>
      </w:r>
      <w:r>
        <w:rPr>
          <w:rFonts w:hint="eastAsia" w:ascii="宋体" w:hAnsi="宋体" w:cs="宋体"/>
          <w:b w:val="0"/>
          <w:sz w:val="28"/>
          <w:szCs w:val="28"/>
        </w:rPr>
        <w:t>，内设抗爆墙；</w:t>
      </w:r>
      <w:bookmarkEnd w:id="45"/>
      <w:r>
        <w:rPr>
          <w:rFonts w:hint="eastAsia" w:ascii="宋体" w:hAnsi="宋体" w:cs="宋体"/>
          <w:b w:val="0"/>
          <w:sz w:val="28"/>
          <w:szCs w:val="28"/>
        </w:rPr>
        <w:t>2</w:t>
      </w:r>
      <w:r>
        <w:rPr>
          <w:rFonts w:ascii="宋体" w:hAnsi="宋体" w:cs="宋体"/>
          <w:b w:val="0"/>
          <w:sz w:val="28"/>
          <w:szCs w:val="28"/>
        </w:rPr>
        <w:t>#</w:t>
      </w:r>
      <w:r>
        <w:rPr>
          <w:rFonts w:hint="eastAsia" w:ascii="宋体" w:hAnsi="宋体" w:cs="宋体"/>
          <w:b w:val="0"/>
          <w:sz w:val="28"/>
          <w:szCs w:val="28"/>
        </w:rPr>
        <w:t>、3</w:t>
      </w:r>
      <w:r>
        <w:rPr>
          <w:rFonts w:ascii="宋体" w:hAnsi="宋体" w:cs="宋体"/>
          <w:b w:val="0"/>
          <w:sz w:val="28"/>
          <w:szCs w:val="28"/>
        </w:rPr>
        <w:t>#</w:t>
      </w:r>
      <w:r>
        <w:rPr>
          <w:rFonts w:hint="eastAsia" w:ascii="宋体" w:hAnsi="宋体" w:cs="宋体"/>
          <w:b w:val="0"/>
          <w:sz w:val="28"/>
          <w:szCs w:val="28"/>
        </w:rPr>
        <w:t>、4</w:t>
      </w:r>
      <w:r>
        <w:rPr>
          <w:rFonts w:ascii="宋体" w:hAnsi="宋体" w:cs="宋体"/>
          <w:b w:val="0"/>
          <w:sz w:val="28"/>
          <w:szCs w:val="28"/>
        </w:rPr>
        <w:t>#</w:t>
      </w:r>
      <w:r>
        <w:rPr>
          <w:rFonts w:hint="eastAsia" w:ascii="宋体" w:hAnsi="宋体" w:cs="宋体"/>
          <w:b w:val="0"/>
          <w:sz w:val="28"/>
          <w:szCs w:val="28"/>
        </w:rPr>
        <w:t>、5</w:t>
      </w:r>
      <w:r>
        <w:rPr>
          <w:rFonts w:ascii="宋体" w:hAnsi="宋体" w:cs="宋体"/>
          <w:b w:val="0"/>
          <w:sz w:val="28"/>
          <w:szCs w:val="28"/>
        </w:rPr>
        <w:t>#</w:t>
      </w:r>
      <w:r>
        <w:rPr>
          <w:rFonts w:hint="eastAsia" w:ascii="宋体" w:hAnsi="宋体" w:cs="宋体"/>
          <w:b w:val="0"/>
          <w:sz w:val="28"/>
          <w:szCs w:val="28"/>
        </w:rPr>
        <w:t>、6</w:t>
      </w:r>
      <w:r>
        <w:rPr>
          <w:rFonts w:ascii="宋体" w:hAnsi="宋体" w:cs="宋体"/>
          <w:b w:val="0"/>
          <w:sz w:val="28"/>
          <w:szCs w:val="28"/>
        </w:rPr>
        <w:t>#</w:t>
      </w:r>
      <w:r>
        <w:rPr>
          <w:rFonts w:hint="eastAsia" w:ascii="宋体" w:hAnsi="宋体" w:cs="宋体"/>
          <w:b w:val="0"/>
          <w:sz w:val="28"/>
          <w:szCs w:val="28"/>
        </w:rPr>
        <w:t>、7</w:t>
      </w:r>
      <w:r>
        <w:rPr>
          <w:rFonts w:ascii="宋体" w:hAnsi="宋体" w:cs="宋体"/>
          <w:b w:val="0"/>
          <w:sz w:val="28"/>
          <w:szCs w:val="28"/>
        </w:rPr>
        <w:t>#</w:t>
      </w:r>
      <w:r>
        <w:rPr>
          <w:rFonts w:hint="eastAsia" w:ascii="宋体" w:hAnsi="宋体" w:cs="宋体"/>
          <w:b w:val="0"/>
          <w:sz w:val="28"/>
          <w:szCs w:val="28"/>
        </w:rPr>
        <w:t>、8</w:t>
      </w:r>
      <w:r>
        <w:rPr>
          <w:rFonts w:ascii="宋体" w:hAnsi="宋体" w:cs="宋体"/>
          <w:b w:val="0"/>
          <w:sz w:val="28"/>
          <w:szCs w:val="28"/>
        </w:rPr>
        <w:t>#</w:t>
      </w:r>
      <w:r>
        <w:rPr>
          <w:rFonts w:hint="eastAsia" w:ascii="宋体" w:hAnsi="宋体" w:cs="宋体"/>
          <w:b w:val="0"/>
          <w:sz w:val="28"/>
          <w:szCs w:val="28"/>
        </w:rPr>
        <w:t>库房建筑面积均为9</w:t>
      </w:r>
      <w:r>
        <w:rPr>
          <w:rFonts w:ascii="宋体" w:hAnsi="宋体" w:cs="宋体"/>
          <w:b w:val="0"/>
          <w:sz w:val="28"/>
          <w:szCs w:val="28"/>
        </w:rPr>
        <w:t>90m</w:t>
      </w:r>
      <w:r>
        <w:rPr>
          <w:rFonts w:ascii="宋体" w:hAnsi="宋体" w:cs="宋体"/>
          <w:b w:val="0"/>
          <w:sz w:val="28"/>
          <w:szCs w:val="28"/>
          <w:vertAlign w:val="superscript"/>
        </w:rPr>
        <w:t>2</w:t>
      </w:r>
      <w:r>
        <w:rPr>
          <w:rFonts w:ascii="宋体" w:hAnsi="宋体" w:cs="宋体"/>
          <w:b w:val="0"/>
          <w:sz w:val="28"/>
          <w:szCs w:val="28"/>
        </w:rPr>
        <w:t>/</w:t>
      </w:r>
      <w:r>
        <w:rPr>
          <w:rFonts w:hint="eastAsia" w:ascii="宋体" w:hAnsi="宋体" w:cs="宋体"/>
          <w:b w:val="0"/>
          <w:sz w:val="28"/>
          <w:szCs w:val="28"/>
        </w:rPr>
        <w:t>栋，拟定储存药量均为1</w:t>
      </w:r>
      <w:r>
        <w:rPr>
          <w:rFonts w:ascii="宋体" w:hAnsi="宋体" w:cs="宋体"/>
          <w:b w:val="0"/>
          <w:sz w:val="28"/>
          <w:szCs w:val="28"/>
        </w:rPr>
        <w:t>9800kg/</w:t>
      </w:r>
      <w:r>
        <w:rPr>
          <w:rFonts w:hint="eastAsia" w:ascii="宋体" w:hAnsi="宋体" w:cs="宋体"/>
          <w:b w:val="0"/>
          <w:sz w:val="28"/>
          <w:szCs w:val="28"/>
        </w:rPr>
        <w:t>栋，3</w:t>
      </w:r>
      <w:r>
        <w:rPr>
          <w:rFonts w:ascii="宋体" w:hAnsi="宋体" w:cs="宋体"/>
          <w:b w:val="0"/>
          <w:sz w:val="28"/>
          <w:szCs w:val="28"/>
        </w:rPr>
        <w:t>#</w:t>
      </w:r>
      <w:r>
        <w:rPr>
          <w:rFonts w:hint="eastAsia" w:ascii="宋体" w:hAnsi="宋体" w:cs="宋体"/>
          <w:b w:val="0"/>
          <w:sz w:val="28"/>
          <w:szCs w:val="28"/>
        </w:rPr>
        <w:t>库房内设抗爆墙，其余各栋均设防火墙；9</w:t>
      </w:r>
      <w:r>
        <w:rPr>
          <w:rFonts w:ascii="宋体" w:hAnsi="宋体" w:cs="宋体"/>
          <w:b w:val="0"/>
          <w:sz w:val="28"/>
          <w:szCs w:val="28"/>
        </w:rPr>
        <w:t>#</w:t>
      </w:r>
      <w:r>
        <w:rPr>
          <w:rFonts w:hint="eastAsia" w:ascii="宋体" w:hAnsi="宋体" w:cs="宋体"/>
          <w:b w:val="0"/>
          <w:sz w:val="28"/>
          <w:szCs w:val="28"/>
        </w:rPr>
        <w:t>库房建筑面积为9</w:t>
      </w:r>
      <w:r>
        <w:rPr>
          <w:rFonts w:ascii="宋体" w:hAnsi="宋体" w:cs="宋体"/>
          <w:b w:val="0"/>
          <w:sz w:val="28"/>
          <w:szCs w:val="28"/>
        </w:rPr>
        <w:t>24m</w:t>
      </w:r>
      <w:r>
        <w:rPr>
          <w:rFonts w:ascii="宋体" w:hAnsi="宋体" w:cs="宋体"/>
          <w:b w:val="0"/>
          <w:sz w:val="28"/>
          <w:szCs w:val="28"/>
          <w:vertAlign w:val="superscript"/>
        </w:rPr>
        <w:t>2</w:t>
      </w:r>
      <w:r>
        <w:rPr>
          <w:rFonts w:hint="eastAsia" w:ascii="宋体" w:hAnsi="宋体" w:cs="宋体"/>
          <w:b w:val="0"/>
          <w:sz w:val="28"/>
          <w:szCs w:val="28"/>
        </w:rPr>
        <w:t>，拟定储存药量为1</w:t>
      </w:r>
      <w:r>
        <w:rPr>
          <w:rFonts w:ascii="宋体" w:hAnsi="宋体" w:cs="宋体"/>
          <w:b w:val="0"/>
          <w:sz w:val="28"/>
          <w:szCs w:val="28"/>
        </w:rPr>
        <w:t>8480kg</w:t>
      </w:r>
      <w:r>
        <w:rPr>
          <w:rFonts w:hint="eastAsia" w:ascii="宋体" w:hAnsi="宋体" w:cs="宋体"/>
          <w:b w:val="0"/>
          <w:sz w:val="28"/>
          <w:szCs w:val="28"/>
        </w:rPr>
        <w:t>，内设防火墙。新建1栋1</w:t>
      </w:r>
      <w:r>
        <w:rPr>
          <w:rFonts w:ascii="宋体" w:hAnsi="宋体" w:cs="宋体"/>
          <w:b w:val="0"/>
          <w:sz w:val="28"/>
          <w:szCs w:val="28"/>
        </w:rPr>
        <w:t>.1</w:t>
      </w:r>
      <w:r>
        <w:rPr>
          <w:rFonts w:ascii="宋体" w:hAnsi="宋体" w:cs="宋体"/>
          <w:b w:val="0"/>
          <w:sz w:val="28"/>
          <w:szCs w:val="28"/>
          <w:vertAlign w:val="superscript"/>
        </w:rPr>
        <w:t>-2</w:t>
      </w:r>
      <w:r>
        <w:rPr>
          <w:rFonts w:hint="eastAsia" w:ascii="宋体" w:hAnsi="宋体" w:cs="宋体"/>
          <w:b w:val="0"/>
          <w:sz w:val="28"/>
          <w:szCs w:val="28"/>
        </w:rPr>
        <w:t>级库房，1</w:t>
      </w:r>
      <w:r>
        <w:rPr>
          <w:rFonts w:ascii="宋体" w:hAnsi="宋体" w:cs="宋体"/>
          <w:b w:val="0"/>
          <w:sz w:val="28"/>
          <w:szCs w:val="28"/>
        </w:rPr>
        <w:t>0#</w:t>
      </w:r>
      <w:r>
        <w:rPr>
          <w:rFonts w:hint="eastAsia" w:ascii="宋体" w:hAnsi="宋体" w:cs="宋体"/>
          <w:b w:val="0"/>
          <w:sz w:val="28"/>
          <w:szCs w:val="28"/>
        </w:rPr>
        <w:t>库房建筑面积为1</w:t>
      </w:r>
      <w:r>
        <w:rPr>
          <w:rFonts w:ascii="宋体" w:hAnsi="宋体" w:cs="宋体"/>
          <w:b w:val="0"/>
          <w:sz w:val="28"/>
          <w:szCs w:val="28"/>
        </w:rPr>
        <w:t>10m</w:t>
      </w:r>
      <w:r>
        <w:rPr>
          <w:rFonts w:ascii="宋体" w:hAnsi="宋体" w:cs="宋体"/>
          <w:b w:val="0"/>
          <w:sz w:val="28"/>
          <w:szCs w:val="28"/>
          <w:vertAlign w:val="superscript"/>
        </w:rPr>
        <w:t>2</w:t>
      </w:r>
      <w:r>
        <w:rPr>
          <w:rFonts w:hint="eastAsia" w:ascii="宋体" w:hAnsi="宋体" w:cs="宋体"/>
          <w:b w:val="0"/>
          <w:sz w:val="28"/>
          <w:szCs w:val="28"/>
        </w:rPr>
        <w:t>，拟定储存药量为2</w:t>
      </w:r>
      <w:r>
        <w:rPr>
          <w:rFonts w:ascii="宋体" w:hAnsi="宋体" w:cs="宋体"/>
          <w:b w:val="0"/>
          <w:sz w:val="28"/>
          <w:szCs w:val="28"/>
        </w:rPr>
        <w:t>200kg</w:t>
      </w:r>
      <w:r>
        <w:rPr>
          <w:rFonts w:hint="eastAsia" w:ascii="宋体" w:hAnsi="宋体" w:cs="宋体"/>
          <w:b w:val="0"/>
          <w:sz w:val="28"/>
          <w:szCs w:val="28"/>
        </w:rPr>
        <w:t>，室外周边设置防护屏障；新建库房拟定储存总药量为1</w:t>
      </w:r>
      <w:r>
        <w:rPr>
          <w:rFonts w:ascii="宋体" w:hAnsi="宋体" w:cs="宋体"/>
          <w:b w:val="0"/>
          <w:sz w:val="28"/>
          <w:szCs w:val="28"/>
        </w:rPr>
        <w:t>59280kg</w:t>
      </w:r>
      <w:r>
        <w:rPr>
          <w:rFonts w:hint="eastAsia" w:ascii="宋体" w:hAnsi="宋体" w:cs="宋体"/>
          <w:b w:val="0"/>
          <w:sz w:val="28"/>
          <w:szCs w:val="28"/>
        </w:rPr>
        <w:t>。拟利旧2栋建筑面积均为4</w:t>
      </w:r>
      <w:r>
        <w:rPr>
          <w:rFonts w:ascii="宋体" w:hAnsi="宋体" w:cs="宋体"/>
          <w:b w:val="0"/>
          <w:sz w:val="28"/>
          <w:szCs w:val="28"/>
        </w:rPr>
        <w:t>2m</w:t>
      </w:r>
      <w:r>
        <w:rPr>
          <w:rFonts w:ascii="宋体" w:hAnsi="宋体" w:cs="宋体"/>
          <w:b w:val="0"/>
          <w:sz w:val="28"/>
          <w:szCs w:val="28"/>
          <w:vertAlign w:val="superscript"/>
        </w:rPr>
        <w:t>2</w:t>
      </w:r>
      <w:r>
        <w:rPr>
          <w:rFonts w:hint="eastAsia" w:ascii="宋体" w:hAnsi="宋体" w:cs="宋体"/>
          <w:b w:val="0"/>
          <w:sz w:val="28"/>
          <w:szCs w:val="28"/>
        </w:rPr>
        <w:t>的值班室，新建建筑面积为</w:t>
      </w:r>
      <w:r>
        <w:rPr>
          <w:rFonts w:ascii="宋体" w:hAnsi="宋体" w:cs="宋体"/>
          <w:b w:val="0"/>
          <w:sz w:val="28"/>
          <w:szCs w:val="28"/>
        </w:rPr>
        <w:t>717.6m</w:t>
      </w:r>
      <w:r>
        <w:rPr>
          <w:rFonts w:ascii="宋体" w:hAnsi="宋体" w:cs="宋体"/>
          <w:b w:val="0"/>
          <w:sz w:val="28"/>
          <w:szCs w:val="28"/>
          <w:vertAlign w:val="superscript"/>
        </w:rPr>
        <w:t>2</w:t>
      </w:r>
      <w:r>
        <w:rPr>
          <w:rFonts w:hint="eastAsia" w:ascii="宋体" w:hAnsi="宋体" w:cs="宋体"/>
          <w:b w:val="0"/>
          <w:sz w:val="28"/>
          <w:szCs w:val="28"/>
        </w:rPr>
        <w:t>的综合办公室1栋（内含样品室、销售厅、办公室、业务室）；新建建筑面积为2</w:t>
      </w:r>
      <w:r>
        <w:rPr>
          <w:rFonts w:ascii="宋体" w:hAnsi="宋体" w:cs="宋体"/>
          <w:b w:val="0"/>
          <w:sz w:val="28"/>
          <w:szCs w:val="28"/>
        </w:rPr>
        <w:t>64.62m</w:t>
      </w:r>
      <w:r>
        <w:rPr>
          <w:rFonts w:ascii="宋体" w:hAnsi="宋体" w:cs="宋体"/>
          <w:b w:val="0"/>
          <w:sz w:val="28"/>
          <w:szCs w:val="28"/>
          <w:vertAlign w:val="superscript"/>
        </w:rPr>
        <w:t>2</w:t>
      </w:r>
      <w:r>
        <w:rPr>
          <w:rFonts w:hint="eastAsia" w:ascii="宋体" w:hAnsi="宋体" w:cs="宋体"/>
          <w:b w:val="0"/>
          <w:sz w:val="28"/>
          <w:szCs w:val="28"/>
        </w:rPr>
        <w:t>的消防泵房1栋（内设消防水池），消防水池有效容积为3</w:t>
      </w:r>
      <w:r>
        <w:rPr>
          <w:rFonts w:ascii="宋体" w:hAnsi="宋体" w:cs="宋体"/>
          <w:b w:val="0"/>
          <w:sz w:val="28"/>
          <w:szCs w:val="28"/>
        </w:rPr>
        <w:t>00m</w:t>
      </w:r>
      <w:r>
        <w:rPr>
          <w:rFonts w:ascii="宋体" w:hAnsi="宋体" w:cs="宋体"/>
          <w:b w:val="0"/>
          <w:sz w:val="28"/>
          <w:szCs w:val="28"/>
          <w:vertAlign w:val="superscript"/>
        </w:rPr>
        <w:t>3</w:t>
      </w:r>
      <w:r>
        <w:rPr>
          <w:rFonts w:hint="eastAsia" w:ascii="宋体" w:hAnsi="宋体" w:cs="宋体"/>
          <w:b w:val="0"/>
          <w:sz w:val="28"/>
          <w:szCs w:val="28"/>
        </w:rPr>
        <w:t>。</w:t>
      </w:r>
    </w:p>
    <w:p w14:paraId="06BC7748">
      <w:pPr>
        <w:pStyle w:val="2"/>
        <w:ind w:firstLine="560"/>
        <w:rPr>
          <w:rFonts w:ascii="宋体" w:hAnsi="宋体" w:eastAsia="宋体" w:cs="Arial"/>
          <w:b w:val="0"/>
          <w:kern w:val="2"/>
          <w:szCs w:val="24"/>
        </w:rPr>
      </w:pPr>
      <w:r>
        <w:rPr>
          <w:rFonts w:hint="eastAsia" w:ascii="宋体" w:hAnsi="宋体" w:eastAsia="宋体" w:cs="Arial"/>
          <w:b w:val="0"/>
          <w:kern w:val="2"/>
          <w:szCs w:val="24"/>
        </w:rPr>
        <w:t>所经营的烟花爆竹分类按照最新G</w:t>
      </w:r>
      <w:r>
        <w:rPr>
          <w:rFonts w:ascii="宋体" w:hAnsi="宋体" w:eastAsia="宋体" w:cs="Arial"/>
          <w:b w:val="0"/>
          <w:kern w:val="2"/>
          <w:szCs w:val="24"/>
        </w:rPr>
        <w:t>B10631</w:t>
      </w:r>
      <w:r>
        <w:rPr>
          <w:rFonts w:hint="eastAsia" w:ascii="宋体" w:hAnsi="宋体" w:eastAsia="宋体" w:cs="Arial"/>
          <w:b w:val="0"/>
          <w:kern w:val="2"/>
          <w:szCs w:val="24"/>
        </w:rPr>
        <w:t>的要求为1</w:t>
      </w:r>
      <w:r>
        <w:rPr>
          <w:rFonts w:ascii="宋体" w:hAnsi="宋体" w:eastAsia="宋体" w:cs="Arial"/>
          <w:b w:val="0"/>
          <w:kern w:val="2"/>
          <w:szCs w:val="24"/>
        </w:rPr>
        <w:t>1</w:t>
      </w:r>
      <w:r>
        <w:rPr>
          <w:rFonts w:hint="eastAsia" w:ascii="宋体" w:hAnsi="宋体" w:eastAsia="宋体" w:cs="Arial"/>
          <w:b w:val="0"/>
          <w:kern w:val="2"/>
          <w:szCs w:val="24"/>
        </w:rPr>
        <w:t>大类和2</w:t>
      </w:r>
      <w:r>
        <w:rPr>
          <w:rFonts w:ascii="宋体" w:hAnsi="宋体" w:eastAsia="宋体" w:cs="Arial"/>
          <w:b w:val="0"/>
          <w:kern w:val="2"/>
          <w:szCs w:val="24"/>
        </w:rPr>
        <w:t>5</w:t>
      </w:r>
      <w:r>
        <w:rPr>
          <w:rFonts w:hint="eastAsia" w:ascii="宋体" w:hAnsi="宋体" w:eastAsia="宋体" w:cs="Arial"/>
          <w:b w:val="0"/>
          <w:kern w:val="2"/>
          <w:szCs w:val="24"/>
        </w:rPr>
        <w:t>小类。</w:t>
      </w:r>
    </w:p>
    <w:p w14:paraId="61A96261">
      <w:pPr>
        <w:spacing w:line="360" w:lineRule="auto"/>
        <w:ind w:firstLine="560" w:firstLineChars="200"/>
        <w:rPr>
          <w:rFonts w:ascii="宋体" w:hAnsi="宋体" w:cs="宋体"/>
          <w:b w:val="0"/>
          <w:sz w:val="28"/>
          <w:szCs w:val="28"/>
        </w:rPr>
      </w:pPr>
      <w:r>
        <w:rPr>
          <w:rFonts w:hint="eastAsia" w:ascii="宋体" w:hAnsi="宋体" w:cs="宋体"/>
          <w:b w:val="0"/>
          <w:sz w:val="28"/>
          <w:szCs w:val="28"/>
        </w:rPr>
        <w:t>拟定储存产品：</w:t>
      </w:r>
      <w:r>
        <w:rPr>
          <w:rFonts w:hint="eastAsia" w:ascii="宋体" w:hAnsi="宋体" w:cs="Arial"/>
          <w:b w:val="0"/>
          <w:sz w:val="28"/>
        </w:rPr>
        <w:t>爆竹类（C级）、喷花类（C级、D级）、旋转类（C级、D级）、升空类（C级）、吐珠类（C级）、玩具类（C级、D级）、架子烟花类（B级、C级）、组合烟花类（B级、C级、D级）</w:t>
      </w:r>
      <w:r>
        <w:rPr>
          <w:rFonts w:hint="eastAsia" w:ascii="宋体" w:hAnsi="宋体" w:cs="宋体"/>
          <w:b w:val="0"/>
          <w:sz w:val="28"/>
        </w:rPr>
        <w:t>。</w:t>
      </w:r>
    </w:p>
    <w:p w14:paraId="749D3575">
      <w:pPr>
        <w:spacing w:line="360" w:lineRule="auto"/>
        <w:ind w:firstLine="560" w:firstLineChars="200"/>
        <w:rPr>
          <w:rFonts w:ascii="宋体" w:hAnsi="宋体" w:cs="宋体"/>
          <w:b w:val="0"/>
          <w:sz w:val="28"/>
          <w:szCs w:val="28"/>
        </w:rPr>
      </w:pPr>
      <w:r>
        <w:rPr>
          <w:rFonts w:hint="eastAsia" w:ascii="宋体" w:hAnsi="宋体" w:cs="宋体"/>
          <w:b w:val="0"/>
          <w:sz w:val="28"/>
          <w:szCs w:val="28"/>
        </w:rPr>
        <w:t>新建仓库拟定人数：定员</w:t>
      </w:r>
      <w:r>
        <w:rPr>
          <w:rFonts w:ascii="宋体" w:hAnsi="宋体" w:cs="宋体"/>
          <w:b w:val="0"/>
          <w:sz w:val="28"/>
          <w:szCs w:val="28"/>
        </w:rPr>
        <w:t>2</w:t>
      </w:r>
      <w:r>
        <w:rPr>
          <w:rFonts w:hint="eastAsia" w:ascii="宋体" w:hAnsi="宋体" w:cs="宋体"/>
          <w:b w:val="0"/>
          <w:sz w:val="28"/>
          <w:szCs w:val="28"/>
        </w:rPr>
        <w:t>人（</w:t>
      </w:r>
      <w:r>
        <w:rPr>
          <w:rFonts w:ascii="宋体" w:hAnsi="宋体" w:cs="宋体"/>
          <w:b w:val="0"/>
          <w:sz w:val="28"/>
          <w:szCs w:val="28"/>
        </w:rPr>
        <w:t>装卸</w:t>
      </w:r>
      <w:r>
        <w:rPr>
          <w:rFonts w:hint="eastAsia" w:ascii="宋体" w:hAnsi="宋体" w:cs="宋体"/>
          <w:b w:val="0"/>
          <w:sz w:val="28"/>
          <w:szCs w:val="28"/>
        </w:rPr>
        <w:t>8人）/栋 ；</w:t>
      </w:r>
    </w:p>
    <w:p w14:paraId="373DFAB3">
      <w:pPr>
        <w:spacing w:line="360" w:lineRule="auto"/>
        <w:ind w:firstLine="560" w:firstLineChars="200"/>
        <w:rPr>
          <w:rFonts w:ascii="宋体" w:hAnsi="宋体" w:cs="宋体"/>
          <w:b w:val="0"/>
          <w:sz w:val="28"/>
          <w:szCs w:val="28"/>
        </w:rPr>
      </w:pPr>
      <w:r>
        <w:rPr>
          <w:rFonts w:hint="eastAsia" w:ascii="宋体" w:hAnsi="宋体" w:cs="宋体"/>
          <w:b w:val="0"/>
          <w:sz w:val="28"/>
          <w:szCs w:val="28"/>
        </w:rPr>
        <w:t>项目拟新建地点：黑龙江省大庆市肇州县新福乡新福村；</w:t>
      </w:r>
    </w:p>
    <w:p w14:paraId="2B21A83D">
      <w:pPr>
        <w:spacing w:line="360" w:lineRule="auto"/>
        <w:ind w:firstLine="560" w:firstLineChars="200"/>
        <w:rPr>
          <w:rFonts w:ascii="宋体" w:hAnsi="宋体" w:cs="宋体"/>
          <w:b w:val="0"/>
          <w:sz w:val="28"/>
          <w:szCs w:val="28"/>
        </w:rPr>
      </w:pPr>
      <w:r>
        <w:rPr>
          <w:rFonts w:hint="eastAsia" w:ascii="宋体" w:hAnsi="宋体" w:cs="宋体"/>
          <w:b w:val="0"/>
          <w:sz w:val="28"/>
          <w:szCs w:val="28"/>
        </w:rPr>
        <w:t>建设规模：规划库区总占地面积预计约</w:t>
      </w:r>
      <w:r>
        <w:rPr>
          <w:rFonts w:ascii="宋体" w:hAnsi="宋体" w:cs="宋体"/>
          <w:b w:val="0"/>
          <w:sz w:val="28"/>
          <w:szCs w:val="28"/>
        </w:rPr>
        <w:t>66000</w:t>
      </w:r>
      <w:r>
        <w:rPr>
          <w:rFonts w:hint="eastAsia" w:ascii="宋体" w:hAnsi="宋体" w:cs="宋体"/>
          <w:b w:val="0"/>
          <w:sz w:val="28"/>
          <w:szCs w:val="28"/>
        </w:rPr>
        <w:t>m²。</w:t>
      </w:r>
    </w:p>
    <w:p w14:paraId="32F002BB">
      <w:pPr>
        <w:spacing w:line="360" w:lineRule="auto"/>
        <w:ind w:firstLine="560" w:firstLineChars="200"/>
        <w:rPr>
          <w:rFonts w:ascii="宋体" w:hAnsi="宋体" w:cs="宋体"/>
          <w:b w:val="0"/>
          <w:sz w:val="28"/>
          <w:szCs w:val="28"/>
        </w:rPr>
      </w:pPr>
      <w:r>
        <w:rPr>
          <w:rFonts w:ascii="宋体" w:hAnsi="宋体" w:cs="宋体"/>
          <w:b w:val="0"/>
          <w:sz w:val="28"/>
          <w:szCs w:val="28"/>
        </w:rPr>
        <w:t>1）</w:t>
      </w:r>
      <w:r>
        <w:rPr>
          <w:rFonts w:hint="eastAsia" w:ascii="宋体" w:hAnsi="宋体" w:cs="宋体"/>
          <w:b w:val="0"/>
          <w:sz w:val="28"/>
          <w:szCs w:val="28"/>
        </w:rPr>
        <w:t>拟新建1</w:t>
      </w:r>
      <w:r>
        <w:rPr>
          <w:rFonts w:ascii="宋体" w:hAnsi="宋体" w:cs="宋体"/>
          <w:b w:val="0"/>
          <w:sz w:val="28"/>
          <w:szCs w:val="28"/>
        </w:rPr>
        <w:t>.3</w:t>
      </w:r>
      <w:r>
        <w:rPr>
          <w:rFonts w:hint="eastAsia" w:ascii="宋体" w:hAnsi="宋体" w:cs="宋体"/>
          <w:b w:val="0"/>
          <w:sz w:val="28"/>
          <w:szCs w:val="28"/>
        </w:rPr>
        <w:t>级库房</w:t>
      </w:r>
      <w:r>
        <w:rPr>
          <w:rFonts w:ascii="宋体" w:hAnsi="宋体" w:cs="宋体"/>
          <w:b w:val="0"/>
          <w:sz w:val="28"/>
          <w:szCs w:val="28"/>
        </w:rPr>
        <w:t>9</w:t>
      </w:r>
      <w:r>
        <w:rPr>
          <w:rFonts w:hint="eastAsia" w:ascii="宋体" w:hAnsi="宋体" w:cs="宋体"/>
          <w:b w:val="0"/>
          <w:sz w:val="28"/>
          <w:szCs w:val="28"/>
        </w:rPr>
        <w:t>栋，其中1</w:t>
      </w:r>
      <w:r>
        <w:rPr>
          <w:rFonts w:ascii="宋体" w:hAnsi="宋体" w:cs="宋体"/>
          <w:b w:val="0"/>
          <w:sz w:val="28"/>
          <w:szCs w:val="28"/>
        </w:rPr>
        <w:t>#</w:t>
      </w:r>
      <w:r>
        <w:rPr>
          <w:rFonts w:hint="eastAsia" w:ascii="宋体" w:hAnsi="宋体" w:cs="宋体"/>
          <w:b w:val="0"/>
          <w:sz w:val="28"/>
          <w:szCs w:val="28"/>
        </w:rPr>
        <w:t>库房建筑面积为</w:t>
      </w:r>
      <w:r>
        <w:rPr>
          <w:rFonts w:ascii="宋体" w:hAnsi="宋体" w:cs="宋体"/>
          <w:b w:val="0"/>
          <w:sz w:val="28"/>
          <w:szCs w:val="28"/>
        </w:rPr>
        <w:t>558</w:t>
      </w:r>
      <w:r>
        <w:rPr>
          <w:rFonts w:hint="eastAsia" w:ascii="宋体" w:hAnsi="宋体" w:cs="宋体"/>
          <w:b w:val="0"/>
          <w:sz w:val="28"/>
          <w:szCs w:val="28"/>
        </w:rPr>
        <w:t>m²，2</w:t>
      </w:r>
      <w:r>
        <w:rPr>
          <w:rFonts w:ascii="宋体" w:hAnsi="宋体" w:cs="宋体"/>
          <w:b w:val="0"/>
          <w:sz w:val="28"/>
          <w:szCs w:val="28"/>
        </w:rPr>
        <w:t>#</w:t>
      </w:r>
      <w:r>
        <w:rPr>
          <w:rFonts w:hint="eastAsia" w:ascii="宋体" w:hAnsi="宋体" w:cs="宋体"/>
          <w:b w:val="0"/>
          <w:sz w:val="28"/>
          <w:szCs w:val="28"/>
        </w:rPr>
        <w:t>、3</w:t>
      </w:r>
      <w:r>
        <w:rPr>
          <w:rFonts w:ascii="宋体" w:hAnsi="宋体" w:cs="宋体"/>
          <w:b w:val="0"/>
          <w:sz w:val="28"/>
          <w:szCs w:val="28"/>
        </w:rPr>
        <w:t>#</w:t>
      </w:r>
      <w:r>
        <w:rPr>
          <w:rFonts w:hint="eastAsia" w:ascii="宋体" w:hAnsi="宋体" w:cs="宋体"/>
          <w:b w:val="0"/>
          <w:sz w:val="28"/>
          <w:szCs w:val="28"/>
        </w:rPr>
        <w:t>、4</w:t>
      </w:r>
      <w:r>
        <w:rPr>
          <w:rFonts w:ascii="宋体" w:hAnsi="宋体" w:cs="宋体"/>
          <w:b w:val="0"/>
          <w:sz w:val="28"/>
          <w:szCs w:val="28"/>
        </w:rPr>
        <w:t>#</w:t>
      </w:r>
      <w:r>
        <w:rPr>
          <w:rFonts w:hint="eastAsia" w:ascii="宋体" w:hAnsi="宋体" w:cs="宋体"/>
          <w:b w:val="0"/>
          <w:sz w:val="28"/>
          <w:szCs w:val="28"/>
        </w:rPr>
        <w:t>、5</w:t>
      </w:r>
      <w:r>
        <w:rPr>
          <w:rFonts w:ascii="宋体" w:hAnsi="宋体" w:cs="宋体"/>
          <w:b w:val="0"/>
          <w:sz w:val="28"/>
          <w:szCs w:val="28"/>
        </w:rPr>
        <w:t>#</w:t>
      </w:r>
      <w:r>
        <w:rPr>
          <w:rFonts w:hint="eastAsia" w:ascii="宋体" w:hAnsi="宋体" w:cs="宋体"/>
          <w:b w:val="0"/>
          <w:sz w:val="28"/>
          <w:szCs w:val="28"/>
        </w:rPr>
        <w:t>、6</w:t>
      </w:r>
      <w:r>
        <w:rPr>
          <w:rFonts w:ascii="宋体" w:hAnsi="宋体" w:cs="宋体"/>
          <w:b w:val="0"/>
          <w:sz w:val="28"/>
          <w:szCs w:val="28"/>
        </w:rPr>
        <w:t>#</w:t>
      </w:r>
      <w:r>
        <w:rPr>
          <w:rFonts w:hint="eastAsia" w:ascii="宋体" w:hAnsi="宋体" w:cs="宋体"/>
          <w:b w:val="0"/>
          <w:sz w:val="28"/>
          <w:szCs w:val="28"/>
        </w:rPr>
        <w:t>、7</w:t>
      </w:r>
      <w:r>
        <w:rPr>
          <w:rFonts w:ascii="宋体" w:hAnsi="宋体" w:cs="宋体"/>
          <w:b w:val="0"/>
          <w:sz w:val="28"/>
          <w:szCs w:val="28"/>
        </w:rPr>
        <w:t>#</w:t>
      </w:r>
      <w:r>
        <w:rPr>
          <w:rFonts w:hint="eastAsia" w:ascii="宋体" w:hAnsi="宋体" w:cs="宋体"/>
          <w:b w:val="0"/>
          <w:sz w:val="28"/>
          <w:szCs w:val="28"/>
        </w:rPr>
        <w:t>、8</w:t>
      </w:r>
      <w:r>
        <w:rPr>
          <w:rFonts w:ascii="宋体" w:hAnsi="宋体" w:cs="宋体"/>
          <w:b w:val="0"/>
          <w:sz w:val="28"/>
          <w:szCs w:val="28"/>
        </w:rPr>
        <w:t>#</w:t>
      </w:r>
      <w:r>
        <w:rPr>
          <w:rFonts w:hint="eastAsia" w:ascii="宋体" w:hAnsi="宋体" w:cs="宋体"/>
          <w:b w:val="0"/>
          <w:sz w:val="28"/>
          <w:szCs w:val="28"/>
        </w:rPr>
        <w:t>库房建筑面积均为9</w:t>
      </w:r>
      <w:r>
        <w:rPr>
          <w:rFonts w:ascii="宋体" w:hAnsi="宋体" w:cs="宋体"/>
          <w:b w:val="0"/>
          <w:sz w:val="28"/>
          <w:szCs w:val="28"/>
        </w:rPr>
        <w:t>90m</w:t>
      </w:r>
      <w:r>
        <w:rPr>
          <w:rFonts w:ascii="宋体" w:hAnsi="宋体" w:cs="宋体"/>
          <w:b w:val="0"/>
          <w:sz w:val="28"/>
          <w:szCs w:val="28"/>
          <w:vertAlign w:val="superscript"/>
        </w:rPr>
        <w:t>2</w:t>
      </w:r>
      <w:r>
        <w:rPr>
          <w:rFonts w:ascii="宋体" w:hAnsi="宋体" w:cs="宋体"/>
          <w:b w:val="0"/>
          <w:sz w:val="28"/>
          <w:szCs w:val="28"/>
        </w:rPr>
        <w:t>/</w:t>
      </w:r>
      <w:r>
        <w:rPr>
          <w:rFonts w:hint="eastAsia" w:ascii="宋体" w:hAnsi="宋体" w:cs="宋体"/>
          <w:b w:val="0"/>
          <w:sz w:val="28"/>
          <w:szCs w:val="28"/>
        </w:rPr>
        <w:t>栋,</w:t>
      </w:r>
      <w:r>
        <w:rPr>
          <w:rFonts w:ascii="宋体" w:hAnsi="宋体" w:cs="宋体"/>
          <w:b w:val="0"/>
          <w:sz w:val="28"/>
          <w:szCs w:val="28"/>
        </w:rPr>
        <w:t>9#</w:t>
      </w:r>
      <w:r>
        <w:rPr>
          <w:rFonts w:hint="eastAsia" w:ascii="宋体" w:hAnsi="宋体" w:cs="宋体"/>
          <w:b w:val="0"/>
          <w:sz w:val="28"/>
          <w:szCs w:val="28"/>
        </w:rPr>
        <w:t>库房建筑面积为9</w:t>
      </w:r>
      <w:r>
        <w:rPr>
          <w:rFonts w:ascii="宋体" w:hAnsi="宋体" w:cs="宋体"/>
          <w:b w:val="0"/>
          <w:sz w:val="28"/>
          <w:szCs w:val="28"/>
        </w:rPr>
        <w:t>24m</w:t>
      </w:r>
      <w:r>
        <w:rPr>
          <w:rFonts w:ascii="宋体" w:hAnsi="宋体" w:cs="宋体"/>
          <w:b w:val="0"/>
          <w:sz w:val="28"/>
          <w:szCs w:val="28"/>
          <w:vertAlign w:val="superscript"/>
        </w:rPr>
        <w:t>2</w:t>
      </w:r>
      <w:r>
        <w:rPr>
          <w:rFonts w:hint="eastAsia" w:ascii="宋体" w:hAnsi="宋体" w:cs="宋体"/>
          <w:b w:val="0"/>
          <w:sz w:val="28"/>
          <w:szCs w:val="28"/>
        </w:rPr>
        <w:t>；</w:t>
      </w:r>
    </w:p>
    <w:p w14:paraId="641E27EE">
      <w:pPr>
        <w:spacing w:line="360" w:lineRule="auto"/>
        <w:ind w:firstLine="560" w:firstLineChars="200"/>
        <w:rPr>
          <w:rFonts w:ascii="宋体" w:hAnsi="宋体" w:cs="宋体"/>
          <w:b w:val="0"/>
          <w:sz w:val="28"/>
          <w:szCs w:val="28"/>
        </w:rPr>
      </w:pPr>
      <w:r>
        <w:rPr>
          <w:rFonts w:ascii="宋体" w:hAnsi="宋体" w:cs="宋体"/>
          <w:b w:val="0"/>
          <w:sz w:val="28"/>
          <w:szCs w:val="28"/>
        </w:rPr>
        <w:t>2）</w:t>
      </w:r>
      <w:r>
        <w:rPr>
          <w:rFonts w:hint="eastAsia" w:ascii="宋体" w:hAnsi="宋体" w:cs="宋体"/>
          <w:b w:val="0"/>
          <w:sz w:val="28"/>
          <w:szCs w:val="28"/>
        </w:rPr>
        <w:t>拟新建1</w:t>
      </w:r>
      <w:r>
        <w:rPr>
          <w:rFonts w:ascii="宋体" w:hAnsi="宋体" w:cs="宋体"/>
          <w:b w:val="0"/>
          <w:sz w:val="28"/>
          <w:szCs w:val="28"/>
        </w:rPr>
        <w:t>.1</w:t>
      </w:r>
      <w:r>
        <w:rPr>
          <w:rFonts w:ascii="宋体" w:hAnsi="宋体" w:cs="宋体"/>
          <w:b w:val="0"/>
          <w:sz w:val="28"/>
          <w:szCs w:val="28"/>
          <w:vertAlign w:val="superscript"/>
        </w:rPr>
        <w:t>-2</w:t>
      </w:r>
      <w:r>
        <w:rPr>
          <w:rFonts w:hint="eastAsia" w:ascii="宋体" w:hAnsi="宋体" w:cs="宋体"/>
          <w:b w:val="0"/>
          <w:sz w:val="28"/>
          <w:szCs w:val="28"/>
        </w:rPr>
        <w:t>级库房1栋，1</w:t>
      </w:r>
      <w:r>
        <w:rPr>
          <w:rFonts w:ascii="宋体" w:hAnsi="宋体" w:cs="宋体"/>
          <w:b w:val="0"/>
          <w:sz w:val="28"/>
          <w:szCs w:val="28"/>
        </w:rPr>
        <w:t>0#</w:t>
      </w:r>
      <w:r>
        <w:rPr>
          <w:rFonts w:hint="eastAsia" w:ascii="宋体" w:hAnsi="宋体" w:cs="宋体"/>
          <w:b w:val="0"/>
          <w:sz w:val="28"/>
          <w:szCs w:val="28"/>
        </w:rPr>
        <w:t>库房建筑面积为</w:t>
      </w:r>
      <w:r>
        <w:rPr>
          <w:rFonts w:ascii="宋体" w:hAnsi="宋体" w:cs="宋体"/>
          <w:b w:val="0"/>
          <w:sz w:val="28"/>
          <w:szCs w:val="28"/>
        </w:rPr>
        <w:t>110m</w:t>
      </w:r>
      <w:r>
        <w:rPr>
          <w:rFonts w:ascii="宋体" w:hAnsi="宋体" w:cs="宋体"/>
          <w:b w:val="0"/>
          <w:sz w:val="28"/>
          <w:szCs w:val="28"/>
          <w:vertAlign w:val="superscript"/>
        </w:rPr>
        <w:t>2</w:t>
      </w:r>
      <w:r>
        <w:rPr>
          <w:rFonts w:ascii="宋体" w:hAnsi="宋体" w:cs="宋体"/>
          <w:b w:val="0"/>
          <w:sz w:val="28"/>
          <w:szCs w:val="28"/>
        </w:rPr>
        <w:t>/</w:t>
      </w:r>
      <w:r>
        <w:rPr>
          <w:rFonts w:hint="eastAsia" w:ascii="宋体" w:hAnsi="宋体" w:cs="宋体"/>
          <w:b w:val="0"/>
          <w:sz w:val="28"/>
          <w:szCs w:val="28"/>
        </w:rPr>
        <w:t>栋；</w:t>
      </w:r>
    </w:p>
    <w:p w14:paraId="4952FCE4">
      <w:pPr>
        <w:spacing w:line="360" w:lineRule="auto"/>
        <w:ind w:firstLine="560" w:firstLineChars="200"/>
        <w:rPr>
          <w:rFonts w:ascii="宋体" w:hAnsi="宋体" w:cs="宋体"/>
          <w:b w:val="0"/>
          <w:sz w:val="28"/>
          <w:szCs w:val="28"/>
        </w:rPr>
      </w:pPr>
      <w:r>
        <w:rPr>
          <w:rFonts w:ascii="宋体" w:hAnsi="宋体" w:cs="宋体"/>
          <w:b w:val="0"/>
          <w:sz w:val="28"/>
          <w:szCs w:val="28"/>
        </w:rPr>
        <w:t>3）</w:t>
      </w:r>
      <w:r>
        <w:rPr>
          <w:rFonts w:hint="eastAsia" w:ascii="宋体" w:hAnsi="宋体" w:cs="宋体"/>
          <w:b w:val="0"/>
          <w:sz w:val="28"/>
          <w:szCs w:val="28"/>
        </w:rPr>
        <w:t>拟新建综合办公室1栋，建筑面积为</w:t>
      </w:r>
      <w:r>
        <w:rPr>
          <w:rFonts w:ascii="宋体" w:hAnsi="宋体" w:cs="宋体"/>
          <w:b w:val="0"/>
          <w:sz w:val="28"/>
          <w:szCs w:val="28"/>
        </w:rPr>
        <w:t>717.6</w:t>
      </w:r>
      <w:r>
        <w:rPr>
          <w:rFonts w:hint="eastAsia" w:ascii="宋体" w:hAnsi="宋体" w:cs="宋体"/>
          <w:b w:val="0"/>
          <w:sz w:val="28"/>
          <w:szCs w:val="28"/>
        </w:rPr>
        <w:t>m</w:t>
      </w:r>
      <w:r>
        <w:rPr>
          <w:rFonts w:ascii="宋体" w:hAnsi="宋体" w:cs="宋体"/>
          <w:b w:val="0"/>
          <w:sz w:val="28"/>
          <w:szCs w:val="28"/>
          <w:vertAlign w:val="superscript"/>
        </w:rPr>
        <w:t>2</w:t>
      </w:r>
      <w:r>
        <w:rPr>
          <w:rFonts w:hint="eastAsia" w:ascii="宋体" w:hAnsi="宋体" w:cs="宋体"/>
          <w:b w:val="0"/>
          <w:sz w:val="28"/>
          <w:szCs w:val="28"/>
        </w:rPr>
        <w:t>（内含样品室、销售厅、办公室、业务室）；</w:t>
      </w:r>
    </w:p>
    <w:p w14:paraId="4E4A2F88">
      <w:pPr>
        <w:pStyle w:val="2"/>
        <w:ind w:firstLine="560"/>
        <w:rPr>
          <w:rFonts w:asciiTheme="minorEastAsia" w:hAnsiTheme="minorEastAsia" w:eastAsiaTheme="minorEastAsia"/>
          <w:b w:val="0"/>
          <w:bCs/>
        </w:rPr>
      </w:pPr>
      <w:r>
        <w:rPr>
          <w:rFonts w:asciiTheme="minorEastAsia" w:hAnsiTheme="minorEastAsia" w:eastAsiaTheme="minorEastAsia"/>
          <w:b w:val="0"/>
          <w:bCs/>
        </w:rPr>
        <w:t>4</w:t>
      </w:r>
      <w:r>
        <w:rPr>
          <w:rFonts w:hint="eastAsia" w:asciiTheme="minorEastAsia" w:hAnsiTheme="minorEastAsia" w:eastAsiaTheme="minorEastAsia"/>
          <w:b w:val="0"/>
          <w:bCs/>
        </w:rPr>
        <w:t>）拟新建消防泵房1栋（内设消防水池），建筑面积为</w:t>
      </w:r>
      <w:r>
        <w:rPr>
          <w:rFonts w:asciiTheme="minorEastAsia" w:hAnsiTheme="minorEastAsia" w:eastAsiaTheme="minorEastAsia"/>
          <w:b w:val="0"/>
          <w:bCs/>
        </w:rPr>
        <w:t>264.62m</w:t>
      </w:r>
      <w:r>
        <w:rPr>
          <w:rFonts w:asciiTheme="minorEastAsia" w:hAnsiTheme="minorEastAsia" w:eastAsiaTheme="minorEastAsia"/>
          <w:b w:val="0"/>
          <w:bCs/>
          <w:vertAlign w:val="superscript"/>
        </w:rPr>
        <w:t>2</w:t>
      </w:r>
      <w:r>
        <w:rPr>
          <w:rFonts w:hint="eastAsia" w:asciiTheme="minorEastAsia" w:hAnsiTheme="minorEastAsia" w:eastAsiaTheme="minorEastAsia"/>
          <w:b w:val="0"/>
          <w:bCs/>
        </w:rPr>
        <w:t>；</w:t>
      </w:r>
    </w:p>
    <w:p w14:paraId="7B203215">
      <w:pPr>
        <w:pStyle w:val="2"/>
        <w:ind w:firstLine="560"/>
        <w:rPr>
          <w:rFonts w:asciiTheme="minorEastAsia" w:hAnsiTheme="minorEastAsia" w:eastAsiaTheme="minorEastAsia"/>
          <w:b w:val="0"/>
          <w:bCs/>
        </w:rPr>
      </w:pPr>
      <w:r>
        <w:rPr>
          <w:rFonts w:asciiTheme="minorEastAsia" w:hAnsiTheme="minorEastAsia" w:eastAsiaTheme="minorEastAsia"/>
          <w:b w:val="0"/>
          <w:bCs/>
        </w:rPr>
        <w:t>5</w:t>
      </w:r>
      <w:r>
        <w:rPr>
          <w:rFonts w:hint="eastAsia" w:asciiTheme="minorEastAsia" w:hAnsiTheme="minorEastAsia" w:eastAsiaTheme="minorEastAsia"/>
          <w:b w:val="0"/>
          <w:bCs/>
        </w:rPr>
        <w:t>）拟新建消防水池1座，有效容积为3</w:t>
      </w:r>
      <w:r>
        <w:rPr>
          <w:rFonts w:asciiTheme="minorEastAsia" w:hAnsiTheme="minorEastAsia" w:eastAsiaTheme="minorEastAsia"/>
          <w:b w:val="0"/>
          <w:bCs/>
        </w:rPr>
        <w:t>00m</w:t>
      </w:r>
      <w:r>
        <w:rPr>
          <w:rFonts w:asciiTheme="minorEastAsia" w:hAnsiTheme="minorEastAsia" w:eastAsiaTheme="minorEastAsia"/>
          <w:b w:val="0"/>
          <w:bCs/>
          <w:vertAlign w:val="superscript"/>
        </w:rPr>
        <w:t>3</w:t>
      </w:r>
      <w:r>
        <w:rPr>
          <w:rFonts w:hint="eastAsia" w:asciiTheme="minorEastAsia" w:hAnsiTheme="minorEastAsia" w:eastAsiaTheme="minorEastAsia"/>
          <w:b w:val="0"/>
          <w:bCs/>
        </w:rPr>
        <w:t>。</w:t>
      </w:r>
    </w:p>
    <w:p w14:paraId="524D26AE">
      <w:pPr>
        <w:spacing w:line="360" w:lineRule="auto"/>
        <w:ind w:firstLine="560" w:firstLineChars="200"/>
        <w:rPr>
          <w:rFonts w:ascii="宋体" w:hAnsi="宋体" w:cs="宋体"/>
          <w:b w:val="0"/>
          <w:sz w:val="28"/>
          <w:szCs w:val="28"/>
        </w:rPr>
      </w:pPr>
      <w:r>
        <w:rPr>
          <w:rFonts w:hint="eastAsia" w:ascii="宋体" w:hAnsi="宋体" w:cs="宋体"/>
          <w:b w:val="0"/>
          <w:sz w:val="28"/>
          <w:szCs w:val="28"/>
        </w:rPr>
        <w:t>根据《烟花爆竹批发仓库建设标准》（建标125-2009）的规定：拟新建后本项目库区仓库总面积为</w:t>
      </w:r>
      <w:r>
        <w:rPr>
          <w:rFonts w:ascii="宋体" w:hAnsi="宋体" w:cs="宋体"/>
          <w:b w:val="0"/>
          <w:sz w:val="28"/>
          <w:szCs w:val="28"/>
        </w:rPr>
        <w:t>8522</w:t>
      </w:r>
      <w:r>
        <w:rPr>
          <w:rFonts w:hint="eastAsia" w:ascii="宋体" w:hAnsi="宋体" w:cs="宋体"/>
          <w:b w:val="0"/>
          <w:sz w:val="28"/>
          <w:szCs w:val="28"/>
        </w:rPr>
        <w:t>m</w:t>
      </w:r>
      <w:r>
        <w:rPr>
          <w:rFonts w:hint="eastAsia" w:ascii="宋体" w:hAnsi="宋体" w:cs="宋体"/>
          <w:b w:val="0"/>
          <w:sz w:val="28"/>
          <w:szCs w:val="28"/>
          <w:vertAlign w:val="superscript"/>
        </w:rPr>
        <w:t>2</w:t>
      </w:r>
      <w:r>
        <w:rPr>
          <w:rFonts w:hint="eastAsia" w:ascii="宋体" w:hAnsi="宋体" w:cs="宋体"/>
          <w:b w:val="0"/>
          <w:sz w:val="28"/>
          <w:szCs w:val="28"/>
        </w:rPr>
        <w:t>，库房面积在</w:t>
      </w:r>
      <w:r>
        <w:rPr>
          <w:rFonts w:ascii="宋体" w:hAnsi="宋体" w:cs="宋体"/>
          <w:b w:val="0"/>
          <w:sz w:val="28"/>
          <w:szCs w:val="28"/>
        </w:rPr>
        <w:t>5000</w:t>
      </w:r>
      <w:r>
        <w:rPr>
          <w:rFonts w:ascii="Times New Roman" w:hAnsi="Times New Roman"/>
          <w:b w:val="0"/>
          <w:sz w:val="28"/>
          <w:szCs w:val="28"/>
        </w:rPr>
        <w:t>~</w:t>
      </w:r>
      <w:r>
        <w:rPr>
          <w:rFonts w:ascii="宋体" w:hAnsi="宋体" w:cs="宋体"/>
          <w:b w:val="0"/>
          <w:sz w:val="28"/>
          <w:szCs w:val="28"/>
        </w:rPr>
        <w:t>10000</w:t>
      </w:r>
      <w:r>
        <w:rPr>
          <w:rFonts w:hint="eastAsia" w:ascii="宋体" w:hAnsi="宋体" w:cs="宋体"/>
          <w:b w:val="0"/>
          <w:sz w:val="28"/>
          <w:szCs w:val="28"/>
        </w:rPr>
        <w:t>m</w:t>
      </w:r>
      <w:r>
        <w:rPr>
          <w:rFonts w:hint="eastAsia" w:ascii="宋体" w:hAnsi="宋体" w:cs="宋体"/>
          <w:b w:val="0"/>
          <w:sz w:val="28"/>
          <w:szCs w:val="28"/>
          <w:vertAlign w:val="superscript"/>
        </w:rPr>
        <w:t>2</w:t>
      </w:r>
      <w:r>
        <w:rPr>
          <w:rFonts w:hint="eastAsia" w:ascii="宋体" w:hAnsi="宋体" w:cs="宋体"/>
          <w:b w:val="0"/>
          <w:sz w:val="28"/>
          <w:szCs w:val="28"/>
        </w:rPr>
        <w:t>（含）之间，因此，该项目烟花爆竹批发仓库类别为二类。</w:t>
      </w:r>
    </w:p>
    <w:p w14:paraId="78703174">
      <w:pPr>
        <w:spacing w:line="360" w:lineRule="auto"/>
        <w:ind w:firstLine="560" w:firstLineChars="200"/>
        <w:rPr>
          <w:rFonts w:ascii="宋体" w:hAnsi="宋体" w:cs="宋体"/>
          <w:b w:val="0"/>
          <w:sz w:val="28"/>
          <w:szCs w:val="28"/>
        </w:rPr>
      </w:pPr>
      <w:r>
        <w:rPr>
          <w:rFonts w:hint="eastAsia" w:ascii="宋体" w:hAnsi="宋体" w:cs="宋体"/>
          <w:b w:val="0"/>
          <w:sz w:val="28"/>
          <w:szCs w:val="28"/>
        </w:rPr>
        <w:t>新建项目拟投资：</w:t>
      </w:r>
      <w:r>
        <w:rPr>
          <w:rFonts w:ascii="宋体" w:hAnsi="宋体" w:cs="宋体"/>
          <w:b w:val="0"/>
          <w:sz w:val="28"/>
          <w:szCs w:val="28"/>
        </w:rPr>
        <w:t>2000万元</w:t>
      </w:r>
      <w:r>
        <w:rPr>
          <w:rFonts w:hint="eastAsia" w:ascii="宋体" w:hAnsi="宋体" w:cs="宋体"/>
          <w:b w:val="0"/>
          <w:sz w:val="28"/>
          <w:szCs w:val="28"/>
        </w:rPr>
        <w:t>。</w:t>
      </w:r>
    </w:p>
    <w:p w14:paraId="5CAE677B">
      <w:pPr>
        <w:pStyle w:val="2"/>
        <w:ind w:firstLine="560"/>
        <w:rPr>
          <w:rFonts w:ascii="宋体" w:hAnsi="宋体" w:eastAsia="宋体" w:cs="宋体"/>
          <w:b w:val="0"/>
          <w:kern w:val="2"/>
          <w:szCs w:val="28"/>
        </w:rPr>
      </w:pPr>
      <w:r>
        <w:rPr>
          <w:rFonts w:hint="eastAsia" w:ascii="宋体" w:hAnsi="宋体" w:eastAsia="宋体" w:cs="宋体"/>
          <w:b w:val="0"/>
          <w:kern w:val="2"/>
          <w:szCs w:val="28"/>
        </w:rPr>
        <w:t>项目发起缘由：该企业为了更有利于集中、安全存储烟花爆竹产品。</w:t>
      </w:r>
    </w:p>
    <w:p w14:paraId="3E52B917">
      <w:pPr>
        <w:adjustRightInd w:val="0"/>
        <w:snapToGrid w:val="0"/>
        <w:spacing w:line="360" w:lineRule="auto"/>
        <w:ind w:firstLine="560" w:firstLineChars="200"/>
        <w:rPr>
          <w:rFonts w:ascii="宋体" w:hAnsi="宋体" w:cs="Arial"/>
          <w:b w:val="0"/>
          <w:bCs/>
          <w:sz w:val="28"/>
          <w:lang w:val="en-GB"/>
        </w:rPr>
      </w:pPr>
      <w:r>
        <w:rPr>
          <w:rFonts w:hint="eastAsia" w:ascii="宋体" w:hAnsi="宋体" w:cs="宋体"/>
          <w:b w:val="0"/>
          <w:sz w:val="28"/>
          <w:szCs w:val="28"/>
        </w:rPr>
        <w:t>项目审批情况：该企业于2</w:t>
      </w:r>
      <w:r>
        <w:rPr>
          <w:rFonts w:ascii="宋体" w:hAnsi="宋体" w:cs="宋体"/>
          <w:b w:val="0"/>
          <w:sz w:val="28"/>
          <w:szCs w:val="28"/>
        </w:rPr>
        <w:t>025</w:t>
      </w:r>
      <w:r>
        <w:rPr>
          <w:rFonts w:hint="eastAsia" w:ascii="宋体" w:hAnsi="宋体" w:cs="宋体"/>
          <w:b w:val="0"/>
          <w:sz w:val="28"/>
          <w:szCs w:val="28"/>
        </w:rPr>
        <w:t>年8月向有关部门提出了异地新建烟花爆竹库区的申请，经相关部门审批通过（见附件《烟花爆竹批发经营企业新改扩建申请表》）；2</w:t>
      </w:r>
      <w:r>
        <w:rPr>
          <w:rFonts w:ascii="宋体" w:hAnsi="宋体" w:cs="宋体"/>
          <w:b w:val="0"/>
          <w:sz w:val="28"/>
          <w:szCs w:val="28"/>
        </w:rPr>
        <w:t>025</w:t>
      </w:r>
      <w:r>
        <w:rPr>
          <w:rFonts w:hint="eastAsia" w:ascii="宋体" w:hAnsi="宋体" w:cs="宋体"/>
          <w:b w:val="0"/>
          <w:sz w:val="28"/>
          <w:szCs w:val="28"/>
        </w:rPr>
        <w:t>年6月1</w:t>
      </w:r>
      <w:r>
        <w:rPr>
          <w:rFonts w:ascii="宋体" w:hAnsi="宋体" w:cs="宋体"/>
          <w:b w:val="0"/>
          <w:sz w:val="28"/>
          <w:szCs w:val="28"/>
        </w:rPr>
        <w:t>2</w:t>
      </w:r>
      <w:r>
        <w:rPr>
          <w:rFonts w:hint="eastAsia" w:ascii="宋体" w:hAnsi="宋体" w:cs="宋体"/>
          <w:b w:val="0"/>
          <w:sz w:val="28"/>
          <w:szCs w:val="28"/>
        </w:rPr>
        <w:t>日在</w:t>
      </w:r>
      <w:r>
        <w:rPr>
          <w:rFonts w:hint="eastAsia" w:ascii="宋体" w:hAnsi="宋体" w:cs="Arial"/>
          <w:b w:val="0"/>
          <w:bCs/>
          <w:sz w:val="28"/>
          <w:lang w:val="en-GB"/>
        </w:rPr>
        <w:t>黑龙江省投资项目监管平台审批通过（见《企业投资项目备案承诺书》），项目代码：</w:t>
      </w:r>
      <w:r>
        <w:rPr>
          <w:rFonts w:ascii="宋体" w:hAnsi="宋体" w:cs="Arial"/>
          <w:b w:val="0"/>
          <w:bCs/>
          <w:sz w:val="28"/>
          <w:lang w:val="en-GB"/>
        </w:rPr>
        <w:t>2506-230621-04-01-531271</w:t>
      </w:r>
      <w:r>
        <w:rPr>
          <w:rFonts w:hint="eastAsia" w:ascii="宋体" w:hAnsi="宋体" w:cs="Arial"/>
          <w:b w:val="0"/>
          <w:bCs/>
          <w:sz w:val="28"/>
          <w:lang w:val="en-GB"/>
        </w:rPr>
        <w:t>。</w:t>
      </w:r>
    </w:p>
    <w:p w14:paraId="1AB576ED">
      <w:pPr>
        <w:spacing w:line="360" w:lineRule="auto"/>
        <w:ind w:firstLine="560" w:firstLineChars="200"/>
        <w:rPr>
          <w:rFonts w:ascii="宋体" w:hAnsi="宋体" w:cs="宋体"/>
          <w:b w:val="0"/>
          <w:sz w:val="28"/>
          <w:szCs w:val="28"/>
        </w:rPr>
      </w:pPr>
      <w:r>
        <w:rPr>
          <w:rFonts w:hint="eastAsia" w:ascii="宋体" w:hAnsi="宋体" w:cs="宋体"/>
          <w:b w:val="0"/>
          <w:sz w:val="28"/>
          <w:szCs w:val="28"/>
        </w:rPr>
        <w:t>新建项目应按照建设项目安全设施“三同时”要求进行。</w:t>
      </w:r>
    </w:p>
    <w:p w14:paraId="7B35F400">
      <w:pPr>
        <w:pStyle w:val="6"/>
        <w:rPr>
          <w:rFonts w:ascii="黑体" w:hAnsi="宋体" w:eastAsia="黑体"/>
          <w:b w:val="0"/>
          <w:bCs w:val="0"/>
          <w:snapToGrid w:val="0"/>
          <w:sz w:val="30"/>
          <w:szCs w:val="30"/>
        </w:rPr>
      </w:pPr>
      <w:bookmarkStart w:id="46" w:name="_Toc300329554"/>
      <w:bookmarkStart w:id="47" w:name="_Toc165038766"/>
      <w:bookmarkStart w:id="48" w:name="_Toc300344376"/>
      <w:bookmarkStart w:id="49" w:name="_Toc278054168"/>
      <w:bookmarkStart w:id="50" w:name="_Toc300256179"/>
      <w:r>
        <w:rPr>
          <w:rFonts w:hint="eastAsia" w:ascii="黑体" w:hAnsi="宋体" w:eastAsia="黑体"/>
          <w:b w:val="0"/>
          <w:bCs w:val="0"/>
          <w:snapToGrid w:val="0"/>
          <w:sz w:val="30"/>
          <w:szCs w:val="30"/>
        </w:rPr>
        <w:t>2.2.2产品储存方案</w:t>
      </w:r>
      <w:bookmarkEnd w:id="46"/>
      <w:bookmarkEnd w:id="47"/>
      <w:bookmarkEnd w:id="48"/>
      <w:bookmarkEnd w:id="49"/>
      <w:bookmarkEnd w:id="50"/>
    </w:p>
    <w:p w14:paraId="252311C9">
      <w:pPr>
        <w:tabs>
          <w:tab w:val="left" w:pos="2410"/>
        </w:tabs>
        <w:spacing w:line="360" w:lineRule="auto"/>
        <w:ind w:firstLine="560" w:firstLineChars="200"/>
        <w:rPr>
          <w:rFonts w:ascii="宋体" w:hAnsi="宋体" w:cs="宋体"/>
          <w:b w:val="0"/>
          <w:sz w:val="28"/>
        </w:rPr>
      </w:pPr>
      <w:r>
        <w:rPr>
          <w:rFonts w:hint="eastAsia" w:ascii="宋体" w:hAnsi="宋体" w:cs="宋体"/>
          <w:b w:val="0"/>
          <w:sz w:val="28"/>
        </w:rPr>
        <w:t>黑龙江泰运烟花有限公司库区拟新建后烟花爆竹仓库计划储存的产品种类如下：</w:t>
      </w:r>
    </w:p>
    <w:p w14:paraId="4CEE2BB5">
      <w:pPr>
        <w:spacing w:line="360" w:lineRule="auto"/>
        <w:ind w:firstLine="560" w:firstLineChars="200"/>
        <w:rPr>
          <w:rFonts w:ascii="宋体" w:hAnsi="宋体" w:cs="宋体"/>
          <w:b w:val="0"/>
          <w:sz w:val="28"/>
          <w:szCs w:val="28"/>
        </w:rPr>
      </w:pPr>
      <w:r>
        <w:rPr>
          <w:rFonts w:hint="eastAsia" w:ascii="宋体" w:hAnsi="宋体" w:cs="宋体"/>
          <w:b w:val="0"/>
          <w:sz w:val="28"/>
        </w:rPr>
        <w:t>储存品种：</w:t>
      </w:r>
      <w:r>
        <w:rPr>
          <w:rFonts w:hint="eastAsia" w:ascii="宋体" w:hAnsi="宋体" w:cs="Arial"/>
          <w:b w:val="0"/>
          <w:sz w:val="28"/>
        </w:rPr>
        <w:t>爆竹类（C级）、喷花类（C级、D级）、旋转类（C级、D级）、升空类（C级）、吐珠类（C级）、玩具类（C级、D级）、架子烟花类（B级、C级）、组合烟花类（B级、C级、D级）</w:t>
      </w:r>
      <w:r>
        <w:rPr>
          <w:rFonts w:hint="eastAsia" w:ascii="宋体" w:hAnsi="宋体" w:cs="宋体"/>
          <w:b w:val="0"/>
          <w:sz w:val="28"/>
        </w:rPr>
        <w:t>。</w:t>
      </w:r>
    </w:p>
    <w:p w14:paraId="7F24ADC5">
      <w:pPr>
        <w:pStyle w:val="6"/>
        <w:rPr>
          <w:rFonts w:ascii="黑体" w:hAnsi="宋体" w:eastAsia="黑体"/>
          <w:b w:val="0"/>
          <w:bCs w:val="0"/>
          <w:snapToGrid w:val="0"/>
          <w:sz w:val="30"/>
          <w:szCs w:val="30"/>
        </w:rPr>
      </w:pPr>
      <w:bookmarkStart w:id="51" w:name="_Toc300256180"/>
      <w:bookmarkStart w:id="52" w:name="_Toc300329555"/>
      <w:bookmarkStart w:id="53" w:name="_Toc300344377"/>
      <w:bookmarkStart w:id="54" w:name="_Toc278054169"/>
      <w:bookmarkStart w:id="55" w:name="_Toc165038767"/>
      <w:r>
        <w:rPr>
          <w:rFonts w:hint="eastAsia" w:ascii="黑体" w:hAnsi="宋体" w:eastAsia="黑体"/>
          <w:b w:val="0"/>
          <w:bCs w:val="0"/>
          <w:snapToGrid w:val="0"/>
          <w:sz w:val="30"/>
          <w:szCs w:val="30"/>
        </w:rPr>
        <w:t>2.2.3地理位置及周边环境</w:t>
      </w:r>
      <w:bookmarkEnd w:id="51"/>
      <w:bookmarkEnd w:id="52"/>
      <w:bookmarkEnd w:id="53"/>
      <w:bookmarkEnd w:id="54"/>
      <w:bookmarkEnd w:id="55"/>
    </w:p>
    <w:p w14:paraId="1E04000F">
      <w:pPr>
        <w:adjustRightInd w:val="0"/>
        <w:snapToGrid w:val="0"/>
        <w:spacing w:line="360" w:lineRule="auto"/>
        <w:ind w:firstLine="560" w:firstLineChars="200"/>
        <w:rPr>
          <w:rFonts w:ascii="Arial" w:hAnsi="Arial" w:cs="Arial"/>
          <w:b w:val="0"/>
          <w:sz w:val="28"/>
        </w:rPr>
      </w:pPr>
      <w:r>
        <w:rPr>
          <w:rFonts w:hint="eastAsia" w:cs="Arial" w:asciiTheme="minorEastAsia" w:hAnsiTheme="minorEastAsia" w:eastAsiaTheme="minorEastAsia"/>
          <w:b w:val="0"/>
          <w:sz w:val="28"/>
        </w:rPr>
        <w:t>拟新建库区位于黑龙江省大庆市肇州县新福乡新福村，库址远离城镇、学校，在安全允许距离范围内，</w:t>
      </w:r>
      <w:r>
        <w:rPr>
          <w:rFonts w:hint="eastAsia" w:ascii="Arial" w:hAnsi="Arial" w:cs="Arial"/>
          <w:b w:val="0"/>
          <w:sz w:val="28"/>
        </w:rPr>
        <w:t>无国家铁路和旅游景点、生态保护区等。库区东侧有一家养猪场，南侧、西侧、北侧均为荒地。有一条乡村公路直通库区，交通便利。建设项目区域位置图见下图。</w:t>
      </w:r>
    </w:p>
    <w:p w14:paraId="414B5BB7">
      <w:pPr>
        <w:pStyle w:val="2"/>
        <w:ind w:firstLine="0" w:firstLineChars="0"/>
        <w:jc w:val="center"/>
      </w:pPr>
      <w:r>
        <w:drawing>
          <wp:inline distT="0" distB="0" distL="0" distR="0">
            <wp:extent cx="5201285" cy="30327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03563" cy="3034055"/>
                    </a:xfrm>
                    <a:prstGeom prst="rect">
                      <a:avLst/>
                    </a:prstGeom>
                  </pic:spPr>
                </pic:pic>
              </a:graphicData>
            </a:graphic>
          </wp:inline>
        </w:drawing>
      </w:r>
    </w:p>
    <w:p w14:paraId="3480E4CE">
      <w:pPr>
        <w:adjustRightInd w:val="0"/>
        <w:snapToGrid w:val="0"/>
        <w:jc w:val="center"/>
        <w:rPr>
          <w:rFonts w:ascii="黑体" w:hAnsi="黑体" w:eastAsia="黑体" w:cs="Arial"/>
          <w:b w:val="0"/>
          <w:sz w:val="24"/>
        </w:rPr>
      </w:pPr>
      <w:r>
        <w:rPr>
          <w:rFonts w:hint="eastAsia" w:ascii="黑体" w:hAnsi="黑体" w:eastAsia="黑体" w:cs="Arial"/>
          <w:b w:val="0"/>
          <w:sz w:val="24"/>
        </w:rPr>
        <w:t>图2</w:t>
      </w:r>
      <w:r>
        <w:rPr>
          <w:rFonts w:ascii="黑体" w:hAnsi="黑体" w:eastAsia="黑体" w:cs="Arial"/>
          <w:b w:val="0"/>
          <w:sz w:val="24"/>
        </w:rPr>
        <w:t xml:space="preserve">.2-1 </w:t>
      </w:r>
      <w:r>
        <w:rPr>
          <w:rFonts w:hint="eastAsia" w:ascii="黑体" w:hAnsi="黑体" w:eastAsia="黑体" w:cs="Arial"/>
          <w:b w:val="0"/>
          <w:sz w:val="24"/>
        </w:rPr>
        <w:t>区域位置图</w:t>
      </w:r>
    </w:p>
    <w:p w14:paraId="44B7938C">
      <w:pPr>
        <w:pStyle w:val="2"/>
        <w:spacing w:before="120" w:beforeLines="50"/>
        <w:ind w:firstLine="560"/>
        <w:rPr>
          <w:rFonts w:asciiTheme="minorEastAsia" w:hAnsiTheme="minorEastAsia" w:eastAsiaTheme="minorEastAsia"/>
          <w:b w:val="0"/>
          <w:bCs/>
        </w:rPr>
      </w:pPr>
      <w:r>
        <w:rPr>
          <w:rFonts w:hint="eastAsia" w:asciiTheme="minorEastAsia" w:hAnsiTheme="minorEastAsia" w:eastAsiaTheme="minorEastAsia"/>
          <w:b w:val="0"/>
          <w:bCs/>
        </w:rPr>
        <w:t>建设项目周边环境见下图：</w:t>
      </w:r>
    </w:p>
    <w:p w14:paraId="09C48C5F">
      <w:pPr>
        <w:pStyle w:val="2"/>
        <w:ind w:firstLine="0" w:firstLineChars="0"/>
        <w:jc w:val="center"/>
        <w:rPr>
          <w:rFonts w:asciiTheme="minorEastAsia" w:hAnsiTheme="minorEastAsia" w:eastAsiaTheme="minorEastAsia"/>
          <w:b w:val="0"/>
          <w:bCs/>
        </w:rPr>
      </w:pPr>
      <w:r>
        <w:rPr>
          <w:rFonts w:asciiTheme="minorEastAsia" w:hAnsiTheme="minorEastAsia" w:eastAsiaTheme="minorEastAsia"/>
          <w:b w:val="0"/>
          <w:bCs/>
        </w:rPr>
        <w:drawing>
          <wp:inline distT="0" distB="0" distL="0" distR="0">
            <wp:extent cx="5153660" cy="28848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157725" cy="2887481"/>
                    </a:xfrm>
                    <a:prstGeom prst="rect">
                      <a:avLst/>
                    </a:prstGeom>
                    <a:noFill/>
                    <a:ln>
                      <a:noFill/>
                    </a:ln>
                  </pic:spPr>
                </pic:pic>
              </a:graphicData>
            </a:graphic>
          </wp:inline>
        </w:drawing>
      </w:r>
    </w:p>
    <w:p w14:paraId="3DC1AF22">
      <w:pPr>
        <w:pStyle w:val="2"/>
        <w:ind w:firstLine="480"/>
        <w:jc w:val="center"/>
        <w:rPr>
          <w:rFonts w:ascii="黑体" w:hAnsi="黑体" w:eastAsia="黑体"/>
          <w:b w:val="0"/>
          <w:bCs/>
          <w:sz w:val="24"/>
          <w:szCs w:val="24"/>
        </w:rPr>
      </w:pPr>
      <w:r>
        <w:rPr>
          <w:rFonts w:hint="eastAsia" w:ascii="黑体" w:hAnsi="黑体" w:eastAsia="黑体"/>
          <w:b w:val="0"/>
          <w:bCs/>
          <w:sz w:val="24"/>
          <w:szCs w:val="24"/>
        </w:rPr>
        <w:t>图2</w:t>
      </w:r>
      <w:r>
        <w:rPr>
          <w:rFonts w:ascii="黑体" w:hAnsi="黑体" w:eastAsia="黑体"/>
          <w:b w:val="0"/>
          <w:bCs/>
          <w:sz w:val="24"/>
          <w:szCs w:val="24"/>
        </w:rPr>
        <w:t xml:space="preserve">.2-2 </w:t>
      </w:r>
      <w:r>
        <w:rPr>
          <w:rFonts w:hint="eastAsia" w:ascii="黑体" w:hAnsi="黑体" w:eastAsia="黑体"/>
          <w:b w:val="0"/>
          <w:bCs/>
          <w:sz w:val="24"/>
          <w:szCs w:val="24"/>
        </w:rPr>
        <w:t>周边环境图</w:t>
      </w:r>
    </w:p>
    <w:p w14:paraId="0449E8FB">
      <w:pPr>
        <w:adjustRightInd w:val="0"/>
        <w:snapToGrid w:val="0"/>
        <w:jc w:val="center"/>
        <w:rPr>
          <w:rFonts w:ascii="黑体" w:hAnsi="黑体" w:eastAsia="黑体" w:cs="Arial"/>
          <w:b w:val="0"/>
          <w:sz w:val="24"/>
        </w:rPr>
      </w:pPr>
      <w:r>
        <w:rPr>
          <w:rFonts w:hint="eastAsia" w:ascii="黑体" w:hAnsi="黑体" w:eastAsia="黑体" w:cs="Arial"/>
          <w:b w:val="0"/>
          <w:sz w:val="24"/>
        </w:rPr>
        <w:t>表2.2.3  拟新建仓库外部设施距离明细表</w:t>
      </w:r>
    </w:p>
    <w:tbl>
      <w:tblPr>
        <w:tblStyle w:val="49"/>
        <w:tblW w:w="90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708"/>
        <w:gridCol w:w="1088"/>
        <w:gridCol w:w="3582"/>
        <w:gridCol w:w="817"/>
        <w:gridCol w:w="2026"/>
      </w:tblGrid>
      <w:tr w14:paraId="48F33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2" w:type="dxa"/>
            <w:shd w:val="clear" w:color="auto" w:fill="auto"/>
            <w:vAlign w:val="center"/>
          </w:tcPr>
          <w:p w14:paraId="26506755">
            <w:pPr>
              <w:spacing w:line="260" w:lineRule="exact"/>
              <w:jc w:val="center"/>
              <w:rPr>
                <w:rFonts w:ascii="宋体" w:hAnsi="宋体"/>
                <w:szCs w:val="21"/>
              </w:rPr>
            </w:pPr>
            <w:r>
              <w:rPr>
                <w:rFonts w:hint="eastAsia" w:ascii="宋体" w:hAnsi="宋体"/>
                <w:szCs w:val="21"/>
              </w:rPr>
              <w:t>仓库</w:t>
            </w:r>
          </w:p>
          <w:p w14:paraId="02BCC369">
            <w:pPr>
              <w:spacing w:line="260" w:lineRule="exact"/>
              <w:jc w:val="center"/>
              <w:rPr>
                <w:rFonts w:ascii="宋体" w:hAnsi="宋体"/>
                <w:szCs w:val="21"/>
              </w:rPr>
            </w:pPr>
            <w:r>
              <w:rPr>
                <w:rFonts w:hint="eastAsia" w:ascii="宋体" w:hAnsi="宋体"/>
                <w:szCs w:val="21"/>
              </w:rPr>
              <w:t>名称</w:t>
            </w:r>
          </w:p>
        </w:tc>
        <w:tc>
          <w:tcPr>
            <w:tcW w:w="708" w:type="dxa"/>
            <w:shd w:val="clear" w:color="auto" w:fill="auto"/>
            <w:vAlign w:val="center"/>
          </w:tcPr>
          <w:p w14:paraId="37AF03B6">
            <w:pPr>
              <w:spacing w:line="260" w:lineRule="exact"/>
              <w:jc w:val="center"/>
              <w:rPr>
                <w:rFonts w:ascii="宋体" w:hAnsi="宋体"/>
                <w:szCs w:val="21"/>
              </w:rPr>
            </w:pPr>
            <w:r>
              <w:rPr>
                <w:rFonts w:hint="eastAsia" w:ascii="宋体" w:hAnsi="宋体"/>
                <w:szCs w:val="21"/>
              </w:rPr>
              <w:t>危险等级</w:t>
            </w:r>
          </w:p>
        </w:tc>
        <w:tc>
          <w:tcPr>
            <w:tcW w:w="1088" w:type="dxa"/>
            <w:shd w:val="clear" w:color="auto" w:fill="auto"/>
            <w:vAlign w:val="center"/>
          </w:tcPr>
          <w:p w14:paraId="70C3BFAE">
            <w:pPr>
              <w:spacing w:line="260" w:lineRule="exact"/>
              <w:jc w:val="center"/>
              <w:rPr>
                <w:rFonts w:ascii="宋体" w:hAnsi="宋体"/>
                <w:szCs w:val="21"/>
              </w:rPr>
            </w:pPr>
            <w:r>
              <w:rPr>
                <w:rFonts w:hint="eastAsia" w:ascii="宋体" w:hAnsi="宋体"/>
                <w:szCs w:val="21"/>
              </w:rPr>
              <w:t>拟定最大限存药量（t）</w:t>
            </w:r>
          </w:p>
        </w:tc>
        <w:tc>
          <w:tcPr>
            <w:tcW w:w="3582" w:type="dxa"/>
            <w:shd w:val="clear" w:color="auto" w:fill="auto"/>
            <w:vAlign w:val="center"/>
          </w:tcPr>
          <w:p w14:paraId="05452145">
            <w:pPr>
              <w:spacing w:line="260" w:lineRule="exact"/>
              <w:jc w:val="center"/>
              <w:rPr>
                <w:rFonts w:ascii="宋体" w:hAnsi="宋体"/>
                <w:szCs w:val="21"/>
              </w:rPr>
            </w:pPr>
            <w:r>
              <w:rPr>
                <w:rFonts w:hint="eastAsia" w:ascii="宋体" w:hAnsi="宋体"/>
                <w:szCs w:val="21"/>
              </w:rPr>
              <w:t>周边建（构）筑物</w:t>
            </w:r>
          </w:p>
        </w:tc>
        <w:tc>
          <w:tcPr>
            <w:tcW w:w="817" w:type="dxa"/>
            <w:shd w:val="clear" w:color="auto" w:fill="auto"/>
            <w:vAlign w:val="center"/>
          </w:tcPr>
          <w:p w14:paraId="3F5547B0">
            <w:pPr>
              <w:spacing w:line="260" w:lineRule="exact"/>
              <w:jc w:val="center"/>
              <w:rPr>
                <w:rFonts w:ascii="宋体" w:hAnsi="宋体"/>
                <w:szCs w:val="21"/>
              </w:rPr>
            </w:pPr>
            <w:r>
              <w:rPr>
                <w:rFonts w:hint="eastAsia" w:ascii="宋体" w:hAnsi="宋体"/>
                <w:szCs w:val="21"/>
              </w:rPr>
              <w:t>标准要求（m）</w:t>
            </w:r>
          </w:p>
        </w:tc>
        <w:tc>
          <w:tcPr>
            <w:tcW w:w="2026" w:type="dxa"/>
            <w:shd w:val="clear" w:color="auto" w:fill="auto"/>
            <w:vAlign w:val="center"/>
          </w:tcPr>
          <w:p w14:paraId="4A3DFB09">
            <w:pPr>
              <w:spacing w:line="260" w:lineRule="exact"/>
              <w:jc w:val="center"/>
              <w:rPr>
                <w:rFonts w:ascii="宋体" w:hAnsi="宋体"/>
                <w:szCs w:val="21"/>
              </w:rPr>
            </w:pPr>
            <w:r>
              <w:rPr>
                <w:rFonts w:hint="eastAsia" w:ascii="宋体" w:hAnsi="宋体"/>
                <w:szCs w:val="21"/>
              </w:rPr>
              <w:t>实际距离（m）</w:t>
            </w:r>
          </w:p>
        </w:tc>
      </w:tr>
      <w:tr w14:paraId="5CA8A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shd w:val="clear" w:color="auto" w:fill="auto"/>
            <w:vAlign w:val="center"/>
          </w:tcPr>
          <w:p w14:paraId="250BD21E">
            <w:pPr>
              <w:spacing w:line="260" w:lineRule="exact"/>
              <w:jc w:val="center"/>
              <w:rPr>
                <w:rFonts w:ascii="宋体" w:hAnsi="宋体"/>
                <w:b w:val="0"/>
                <w:szCs w:val="21"/>
              </w:rPr>
            </w:pPr>
            <w:r>
              <w:rPr>
                <w:rFonts w:ascii="宋体" w:hAnsi="宋体"/>
                <w:b w:val="0"/>
                <w:szCs w:val="21"/>
              </w:rPr>
              <w:t>1</w:t>
            </w:r>
            <w:r>
              <w:rPr>
                <w:rFonts w:hint="eastAsia" w:ascii="宋体" w:hAnsi="宋体"/>
                <w:b w:val="0"/>
                <w:szCs w:val="21"/>
              </w:rPr>
              <w:t>#库房</w:t>
            </w:r>
          </w:p>
        </w:tc>
        <w:tc>
          <w:tcPr>
            <w:tcW w:w="708" w:type="dxa"/>
            <w:vMerge w:val="restart"/>
            <w:shd w:val="clear" w:color="auto" w:fill="auto"/>
            <w:vAlign w:val="center"/>
          </w:tcPr>
          <w:p w14:paraId="5AB39C75">
            <w:pPr>
              <w:spacing w:line="260" w:lineRule="exact"/>
              <w:jc w:val="center"/>
              <w:rPr>
                <w:rFonts w:ascii="宋体" w:hAnsi="宋体"/>
                <w:b w:val="0"/>
                <w:szCs w:val="21"/>
              </w:rPr>
            </w:pPr>
            <w:r>
              <w:rPr>
                <w:rFonts w:hint="eastAsia" w:ascii="宋体" w:hAnsi="宋体"/>
                <w:b w:val="0"/>
                <w:szCs w:val="21"/>
              </w:rPr>
              <w:t>1.3</w:t>
            </w:r>
          </w:p>
        </w:tc>
        <w:tc>
          <w:tcPr>
            <w:tcW w:w="1088" w:type="dxa"/>
            <w:vMerge w:val="restart"/>
            <w:shd w:val="clear" w:color="auto" w:fill="auto"/>
            <w:vAlign w:val="center"/>
          </w:tcPr>
          <w:p w14:paraId="6C7D54F3">
            <w:pPr>
              <w:spacing w:line="260" w:lineRule="exact"/>
              <w:jc w:val="center"/>
              <w:rPr>
                <w:rFonts w:ascii="宋体" w:hAnsi="宋体"/>
                <w:b w:val="0"/>
                <w:szCs w:val="21"/>
              </w:rPr>
            </w:pPr>
            <w:r>
              <w:rPr>
                <w:rFonts w:ascii="宋体" w:hAnsi="宋体"/>
                <w:b w:val="0"/>
                <w:szCs w:val="21"/>
              </w:rPr>
              <w:t>11.16</w:t>
            </w:r>
          </w:p>
        </w:tc>
        <w:tc>
          <w:tcPr>
            <w:tcW w:w="3582" w:type="dxa"/>
            <w:shd w:val="clear" w:color="auto" w:fill="auto"/>
            <w:vAlign w:val="center"/>
          </w:tcPr>
          <w:p w14:paraId="6094EC62">
            <w:pPr>
              <w:spacing w:line="260" w:lineRule="exact"/>
              <w:rPr>
                <w:rFonts w:ascii="宋体" w:hAnsi="宋体"/>
                <w:b w:val="0"/>
                <w:szCs w:val="21"/>
              </w:rPr>
            </w:pPr>
            <w:r>
              <w:rPr>
                <w:rFonts w:ascii="宋体" w:hAnsi="宋体"/>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817" w:type="dxa"/>
            <w:shd w:val="clear" w:color="auto" w:fill="auto"/>
            <w:vAlign w:val="center"/>
          </w:tcPr>
          <w:p w14:paraId="181ED737">
            <w:pPr>
              <w:spacing w:line="260" w:lineRule="exact"/>
              <w:jc w:val="center"/>
              <w:rPr>
                <w:rFonts w:ascii="宋体" w:hAnsi="宋体"/>
                <w:b w:val="0"/>
                <w:szCs w:val="21"/>
              </w:rPr>
            </w:pPr>
            <w:r>
              <w:rPr>
                <w:rFonts w:hint="eastAsia" w:ascii="宋体" w:hAnsi="宋体"/>
                <w:b w:val="0"/>
                <w:szCs w:val="21"/>
              </w:rPr>
              <w:t>85</w:t>
            </w:r>
          </w:p>
        </w:tc>
        <w:tc>
          <w:tcPr>
            <w:tcW w:w="2026" w:type="dxa"/>
            <w:shd w:val="clear" w:color="auto" w:fill="auto"/>
            <w:vAlign w:val="center"/>
          </w:tcPr>
          <w:p w14:paraId="222BE2BB">
            <w:pPr>
              <w:spacing w:line="260" w:lineRule="exact"/>
              <w:rPr>
                <w:rFonts w:ascii="宋体" w:hAnsi="宋体"/>
                <w:b w:val="0"/>
                <w:szCs w:val="21"/>
              </w:rPr>
            </w:pPr>
            <w:r>
              <w:rPr>
                <w:rFonts w:hint="eastAsia" w:ascii="宋体" w:hAnsi="宋体"/>
                <w:b w:val="0"/>
                <w:szCs w:val="21"/>
              </w:rPr>
              <w:t>85m范围内无本条款的所有控制项目；</w:t>
            </w:r>
            <w:r>
              <w:rPr>
                <w:rFonts w:ascii="宋体" w:hAnsi="宋体"/>
                <w:b w:val="0"/>
                <w:szCs w:val="21"/>
              </w:rPr>
              <w:t xml:space="preserve"> </w:t>
            </w:r>
          </w:p>
        </w:tc>
      </w:tr>
      <w:tr w14:paraId="29A29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7DDC311A">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708" w:type="dxa"/>
            <w:vMerge w:val="continue"/>
            <w:shd w:val="clear" w:color="auto" w:fill="auto"/>
            <w:vAlign w:val="center"/>
          </w:tcPr>
          <w:p w14:paraId="29F7AEBE">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1088" w:type="dxa"/>
            <w:vMerge w:val="continue"/>
            <w:shd w:val="clear" w:color="auto" w:fill="auto"/>
            <w:vAlign w:val="center"/>
          </w:tcPr>
          <w:p w14:paraId="73FA8A5A">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3582" w:type="dxa"/>
            <w:shd w:val="clear" w:color="auto" w:fill="auto"/>
            <w:vAlign w:val="center"/>
          </w:tcPr>
          <w:p w14:paraId="433F51AB">
            <w:pPr>
              <w:spacing w:line="260" w:lineRule="exact"/>
              <w:rPr>
                <w:rFonts w:ascii="宋体" w:hAnsi="宋体"/>
                <w:b w:val="0"/>
                <w:szCs w:val="21"/>
              </w:rPr>
            </w:pPr>
            <w:r>
              <w:rPr>
                <w:rFonts w:ascii="宋体" w:hAnsi="宋体"/>
                <w:b w:val="0"/>
                <w:szCs w:val="21"/>
              </w:rPr>
              <w:t>人数大于50人</w:t>
            </w:r>
            <w:r>
              <w:rPr>
                <w:rFonts w:hint="eastAsia" w:ascii="宋体" w:hAnsi="宋体"/>
                <w:b w:val="0"/>
                <w:szCs w:val="21"/>
              </w:rPr>
              <w:t>的居民点边缘、职工人数大于50人的企业围墙、有摘挂作业的铁路车站站界及建筑物边缘、110</w:t>
            </w:r>
            <w:r>
              <w:rPr>
                <w:rFonts w:ascii="宋体" w:hAnsi="宋体"/>
                <w:b w:val="0"/>
                <w:szCs w:val="21"/>
              </w:rPr>
              <w:t>kV</w:t>
            </w:r>
            <w:r>
              <w:rPr>
                <w:rFonts w:hint="eastAsia" w:ascii="宋体" w:hAnsi="宋体"/>
                <w:b w:val="0"/>
                <w:szCs w:val="21"/>
              </w:rPr>
              <w:t>区域变电站围墙、220</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53E7A352">
            <w:pPr>
              <w:spacing w:line="260" w:lineRule="exact"/>
              <w:jc w:val="center"/>
              <w:rPr>
                <w:rFonts w:ascii="宋体" w:hAnsi="宋体"/>
                <w:b w:val="0"/>
                <w:szCs w:val="21"/>
              </w:rPr>
            </w:pPr>
            <w:r>
              <w:rPr>
                <w:rFonts w:hint="eastAsia" w:ascii="宋体" w:hAnsi="宋体"/>
                <w:b w:val="0"/>
                <w:szCs w:val="21"/>
              </w:rPr>
              <w:t>140</w:t>
            </w:r>
          </w:p>
        </w:tc>
        <w:tc>
          <w:tcPr>
            <w:tcW w:w="2026" w:type="dxa"/>
            <w:shd w:val="clear" w:color="auto" w:fill="auto"/>
            <w:vAlign w:val="center"/>
          </w:tcPr>
          <w:p w14:paraId="79009151">
            <w:pPr>
              <w:spacing w:line="260" w:lineRule="exact"/>
              <w:rPr>
                <w:rFonts w:ascii="宋体" w:hAnsi="宋体"/>
                <w:b w:val="0"/>
                <w:szCs w:val="21"/>
              </w:rPr>
            </w:pPr>
            <w:r>
              <w:rPr>
                <w:rFonts w:ascii="宋体" w:hAnsi="宋体"/>
                <w:b w:val="0"/>
                <w:szCs w:val="21"/>
              </w:rPr>
              <w:t>140</w:t>
            </w:r>
            <w:r>
              <w:rPr>
                <w:rFonts w:hint="eastAsia" w:ascii="宋体" w:hAnsi="宋体"/>
                <w:b w:val="0"/>
                <w:szCs w:val="21"/>
              </w:rPr>
              <w:t xml:space="preserve">m范围内无本条款的所有控制项目 </w:t>
            </w:r>
          </w:p>
        </w:tc>
      </w:tr>
      <w:tr w14:paraId="708C5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672A46E4">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708" w:type="dxa"/>
            <w:vMerge w:val="continue"/>
            <w:shd w:val="clear" w:color="auto" w:fill="auto"/>
            <w:vAlign w:val="center"/>
          </w:tcPr>
          <w:p w14:paraId="7192D203">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07A34B07">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5FEDE75F">
            <w:pPr>
              <w:spacing w:line="260" w:lineRule="exact"/>
              <w:rPr>
                <w:rFonts w:ascii="宋体" w:hAnsi="宋体"/>
                <w:b w:val="0"/>
                <w:szCs w:val="21"/>
              </w:rPr>
            </w:pPr>
            <w:r>
              <w:rPr>
                <w:rFonts w:hint="eastAsia" w:ascii="宋体" w:hAnsi="宋体"/>
                <w:b w:val="0"/>
                <w:szCs w:val="21"/>
              </w:rPr>
              <w:t>城镇规划边缘、学校、220</w:t>
            </w:r>
            <w:r>
              <w:rPr>
                <w:rFonts w:ascii="宋体" w:hAnsi="宋体"/>
                <w:b w:val="0"/>
                <w:szCs w:val="21"/>
              </w:rPr>
              <w:t>kV</w:t>
            </w:r>
            <w:r>
              <w:rPr>
                <w:rFonts w:hint="eastAsia" w:ascii="宋体" w:hAnsi="宋体"/>
                <w:b w:val="0"/>
                <w:szCs w:val="21"/>
              </w:rPr>
              <w:t>及以上的区域变电站围墙、220</w:t>
            </w:r>
            <w:r>
              <w:rPr>
                <w:rFonts w:ascii="宋体" w:hAnsi="宋体"/>
                <w:b w:val="0"/>
                <w:szCs w:val="21"/>
              </w:rPr>
              <w:t>kV</w:t>
            </w:r>
            <w:r>
              <w:rPr>
                <w:rFonts w:hint="eastAsia" w:ascii="宋体" w:hAnsi="宋体"/>
                <w:b w:val="0"/>
                <w:szCs w:val="21"/>
              </w:rPr>
              <w:t>以上的架空输电线路</w:t>
            </w:r>
          </w:p>
        </w:tc>
        <w:tc>
          <w:tcPr>
            <w:tcW w:w="817" w:type="dxa"/>
            <w:shd w:val="clear" w:color="auto" w:fill="auto"/>
            <w:vAlign w:val="center"/>
          </w:tcPr>
          <w:p w14:paraId="193D64D9">
            <w:pPr>
              <w:spacing w:line="260" w:lineRule="exact"/>
              <w:jc w:val="center"/>
              <w:rPr>
                <w:rFonts w:ascii="宋体" w:hAnsi="宋体"/>
                <w:b w:val="0"/>
                <w:szCs w:val="21"/>
              </w:rPr>
            </w:pPr>
            <w:r>
              <w:rPr>
                <w:rFonts w:hint="eastAsia" w:ascii="宋体" w:hAnsi="宋体"/>
                <w:b w:val="0"/>
                <w:szCs w:val="21"/>
              </w:rPr>
              <w:t>250</w:t>
            </w:r>
          </w:p>
        </w:tc>
        <w:tc>
          <w:tcPr>
            <w:tcW w:w="2026" w:type="dxa"/>
            <w:shd w:val="clear" w:color="auto" w:fill="auto"/>
            <w:vAlign w:val="center"/>
          </w:tcPr>
          <w:p w14:paraId="2163A2B3">
            <w:pPr>
              <w:spacing w:line="260" w:lineRule="exact"/>
              <w:rPr>
                <w:rFonts w:ascii="宋体" w:hAnsi="宋体"/>
                <w:b w:val="0"/>
                <w:szCs w:val="21"/>
              </w:rPr>
            </w:pPr>
            <w:r>
              <w:rPr>
                <w:rFonts w:hint="eastAsia" w:ascii="宋体" w:hAnsi="宋体"/>
                <w:b w:val="0"/>
                <w:szCs w:val="21"/>
              </w:rPr>
              <w:t>250m范围内无本条款的所有控制项目；</w:t>
            </w:r>
          </w:p>
        </w:tc>
      </w:tr>
      <w:tr w14:paraId="24482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2426AEE2">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708" w:type="dxa"/>
            <w:vMerge w:val="continue"/>
            <w:shd w:val="clear" w:color="auto" w:fill="auto"/>
            <w:vAlign w:val="center"/>
          </w:tcPr>
          <w:p w14:paraId="2A8C1D9A">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31646E46">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42669954">
            <w:pPr>
              <w:spacing w:line="260" w:lineRule="exact"/>
              <w:rPr>
                <w:rFonts w:ascii="宋体" w:hAnsi="宋体"/>
                <w:b w:val="0"/>
                <w:szCs w:val="21"/>
              </w:rPr>
            </w:pPr>
            <w:r>
              <w:rPr>
                <w:rFonts w:hint="eastAsia" w:ascii="宋体" w:hAnsi="宋体"/>
                <w:b w:val="0"/>
                <w:szCs w:val="21"/>
              </w:rPr>
              <w:t>国家铁路线、省级以上公路用地外缘、通航的河流航道边缘</w:t>
            </w:r>
          </w:p>
        </w:tc>
        <w:tc>
          <w:tcPr>
            <w:tcW w:w="817" w:type="dxa"/>
            <w:shd w:val="clear" w:color="auto" w:fill="auto"/>
            <w:vAlign w:val="center"/>
          </w:tcPr>
          <w:p w14:paraId="47F7522E">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2809C0E7">
            <w:pPr>
              <w:spacing w:line="260" w:lineRule="exact"/>
              <w:rPr>
                <w:rFonts w:ascii="宋体" w:hAnsi="宋体"/>
                <w:b w:val="0"/>
                <w:szCs w:val="21"/>
              </w:rPr>
            </w:pPr>
            <w:r>
              <w:rPr>
                <w:rFonts w:hint="eastAsia" w:ascii="宋体" w:hAnsi="宋体"/>
                <w:b w:val="0"/>
                <w:szCs w:val="21"/>
              </w:rPr>
              <w:t>70m范围内无本条款的所有控制项目；</w:t>
            </w:r>
          </w:p>
        </w:tc>
      </w:tr>
      <w:tr w14:paraId="04023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0EF93504">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708" w:type="dxa"/>
            <w:vMerge w:val="continue"/>
            <w:shd w:val="clear" w:color="auto" w:fill="auto"/>
            <w:vAlign w:val="center"/>
          </w:tcPr>
          <w:p w14:paraId="4D10D46E">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0BC83843">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4371F762">
            <w:pPr>
              <w:spacing w:line="260" w:lineRule="exact"/>
              <w:rPr>
                <w:rFonts w:ascii="宋体" w:hAnsi="宋体"/>
                <w:b w:val="0"/>
                <w:szCs w:val="21"/>
              </w:rPr>
            </w:pPr>
            <w:r>
              <w:rPr>
                <w:rFonts w:hint="eastAsia" w:ascii="宋体" w:hAnsi="宋体"/>
                <w:b w:val="0"/>
                <w:szCs w:val="21"/>
              </w:rPr>
              <w:t>非本厂的工厂铁路支线、县级公路用地外缘、35</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58A34010">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37598253">
            <w:pPr>
              <w:spacing w:line="260" w:lineRule="exact"/>
              <w:rPr>
                <w:rFonts w:ascii="宋体" w:hAnsi="宋体"/>
                <w:b w:val="0"/>
                <w:szCs w:val="21"/>
              </w:rPr>
            </w:pPr>
            <w:r>
              <w:rPr>
                <w:rFonts w:ascii="宋体" w:hAnsi="宋体"/>
                <w:b w:val="0"/>
                <w:szCs w:val="21"/>
              </w:rPr>
              <w:t>70</w:t>
            </w:r>
            <w:r>
              <w:rPr>
                <w:rFonts w:hint="eastAsia" w:ascii="宋体" w:hAnsi="宋体"/>
                <w:b w:val="0"/>
                <w:szCs w:val="21"/>
              </w:rPr>
              <w:t>m范围内无本条款的所有控制项目</w:t>
            </w:r>
          </w:p>
        </w:tc>
      </w:tr>
      <w:tr w14:paraId="58493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0F9F7622">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708" w:type="dxa"/>
            <w:vMerge w:val="continue"/>
            <w:shd w:val="clear" w:color="auto" w:fill="auto"/>
            <w:vAlign w:val="center"/>
          </w:tcPr>
          <w:p w14:paraId="307DFAB0">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4BEE5D90">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522B2735">
            <w:pPr>
              <w:spacing w:line="260" w:lineRule="exact"/>
              <w:rPr>
                <w:rFonts w:ascii="宋体" w:hAnsi="宋体"/>
                <w:b w:val="0"/>
                <w:szCs w:val="21"/>
              </w:rPr>
            </w:pPr>
            <w:r>
              <w:rPr>
                <w:rFonts w:hint="eastAsia" w:ascii="宋体" w:hAnsi="宋体"/>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817" w:type="dxa"/>
            <w:shd w:val="clear" w:color="auto" w:fill="auto"/>
            <w:vAlign w:val="center"/>
          </w:tcPr>
          <w:p w14:paraId="56E4CDB8">
            <w:pPr>
              <w:spacing w:line="260" w:lineRule="exact"/>
              <w:jc w:val="center"/>
              <w:rPr>
                <w:rFonts w:ascii="宋体" w:hAnsi="宋体"/>
                <w:b w:val="0"/>
                <w:szCs w:val="21"/>
              </w:rPr>
            </w:pPr>
            <w:r>
              <w:rPr>
                <w:rFonts w:hint="eastAsia" w:ascii="宋体" w:hAnsi="宋体"/>
                <w:b w:val="0"/>
                <w:szCs w:val="21"/>
              </w:rPr>
              <w:t>100</w:t>
            </w:r>
          </w:p>
        </w:tc>
        <w:tc>
          <w:tcPr>
            <w:tcW w:w="2026" w:type="dxa"/>
            <w:shd w:val="clear" w:color="auto" w:fill="auto"/>
            <w:vAlign w:val="center"/>
          </w:tcPr>
          <w:p w14:paraId="70054A90">
            <w:pPr>
              <w:spacing w:line="260" w:lineRule="exact"/>
              <w:rPr>
                <w:rFonts w:ascii="宋体" w:hAnsi="宋体"/>
                <w:b w:val="0"/>
                <w:szCs w:val="21"/>
              </w:rPr>
            </w:pPr>
            <w:r>
              <w:rPr>
                <w:rFonts w:hint="eastAsia" w:ascii="宋体" w:hAnsi="宋体"/>
                <w:b w:val="0"/>
                <w:szCs w:val="21"/>
              </w:rPr>
              <w:t>100m范围内无条款的所有控制项目</w:t>
            </w:r>
            <w:r>
              <w:rPr>
                <w:rFonts w:ascii="宋体" w:hAnsi="宋体"/>
                <w:b w:val="0"/>
                <w:szCs w:val="21"/>
              </w:rPr>
              <w:t xml:space="preserve"> </w:t>
            </w:r>
          </w:p>
        </w:tc>
      </w:tr>
      <w:tr w14:paraId="4B7F6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shd w:val="clear" w:color="auto" w:fill="auto"/>
            <w:vAlign w:val="center"/>
          </w:tcPr>
          <w:p w14:paraId="719FD26F">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ascii="宋体" w:hAnsi="宋体"/>
                <w:b w:val="0"/>
                <w:szCs w:val="21"/>
              </w:rPr>
              <w:t>2</w:t>
            </w:r>
            <w:r>
              <w:rPr>
                <w:rFonts w:hint="eastAsia" w:ascii="宋体" w:hAnsi="宋体"/>
                <w:b w:val="0"/>
                <w:szCs w:val="21"/>
              </w:rPr>
              <w:t>#库房</w:t>
            </w:r>
          </w:p>
        </w:tc>
        <w:tc>
          <w:tcPr>
            <w:tcW w:w="708" w:type="dxa"/>
            <w:vMerge w:val="restart"/>
            <w:shd w:val="clear" w:color="auto" w:fill="auto"/>
            <w:vAlign w:val="center"/>
          </w:tcPr>
          <w:p w14:paraId="34BDBE2B">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hint="eastAsia" w:ascii="宋体" w:hAnsi="宋体" w:cs="宋体"/>
                <w:b w:val="0"/>
                <w:snapToGrid w:val="0"/>
                <w:spacing w:val="-1"/>
                <w:kern w:val="0"/>
                <w:szCs w:val="21"/>
              </w:rPr>
              <w:t>1.3</w:t>
            </w:r>
          </w:p>
        </w:tc>
        <w:tc>
          <w:tcPr>
            <w:tcW w:w="1088" w:type="dxa"/>
            <w:vMerge w:val="restart"/>
            <w:shd w:val="clear" w:color="auto" w:fill="auto"/>
            <w:vAlign w:val="center"/>
          </w:tcPr>
          <w:p w14:paraId="1E059FD5">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ascii="宋体" w:hAnsi="宋体" w:cs="宋体"/>
                <w:b w:val="0"/>
                <w:snapToGrid w:val="0"/>
                <w:spacing w:val="-1"/>
                <w:kern w:val="0"/>
                <w:szCs w:val="21"/>
              </w:rPr>
              <w:t>19.8</w:t>
            </w:r>
          </w:p>
        </w:tc>
        <w:tc>
          <w:tcPr>
            <w:tcW w:w="3582" w:type="dxa"/>
            <w:shd w:val="clear" w:color="auto" w:fill="auto"/>
            <w:vAlign w:val="center"/>
          </w:tcPr>
          <w:p w14:paraId="20524219">
            <w:pPr>
              <w:spacing w:line="260" w:lineRule="exact"/>
              <w:rPr>
                <w:rFonts w:ascii="宋体" w:hAnsi="宋体"/>
                <w:b w:val="0"/>
                <w:szCs w:val="21"/>
              </w:rPr>
            </w:pPr>
            <w:r>
              <w:rPr>
                <w:rFonts w:ascii="宋体" w:hAnsi="宋体"/>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817" w:type="dxa"/>
            <w:shd w:val="clear" w:color="auto" w:fill="auto"/>
            <w:vAlign w:val="center"/>
          </w:tcPr>
          <w:p w14:paraId="516827FD">
            <w:pPr>
              <w:spacing w:line="260" w:lineRule="exact"/>
              <w:jc w:val="center"/>
              <w:rPr>
                <w:rFonts w:ascii="宋体" w:hAnsi="宋体"/>
                <w:b w:val="0"/>
                <w:szCs w:val="21"/>
              </w:rPr>
            </w:pPr>
            <w:r>
              <w:rPr>
                <w:rFonts w:hint="eastAsia" w:ascii="宋体" w:hAnsi="宋体"/>
                <w:b w:val="0"/>
                <w:szCs w:val="21"/>
              </w:rPr>
              <w:t>85</w:t>
            </w:r>
          </w:p>
        </w:tc>
        <w:tc>
          <w:tcPr>
            <w:tcW w:w="2026" w:type="dxa"/>
            <w:shd w:val="clear" w:color="auto" w:fill="auto"/>
            <w:vAlign w:val="center"/>
          </w:tcPr>
          <w:p w14:paraId="330F20DB">
            <w:pPr>
              <w:spacing w:line="260" w:lineRule="exact"/>
              <w:rPr>
                <w:rFonts w:ascii="宋体" w:hAnsi="宋体"/>
                <w:b w:val="0"/>
                <w:szCs w:val="21"/>
              </w:rPr>
            </w:pPr>
            <w:r>
              <w:rPr>
                <w:rFonts w:hint="eastAsia" w:ascii="宋体" w:hAnsi="宋体"/>
                <w:b w:val="0"/>
                <w:szCs w:val="21"/>
              </w:rPr>
              <w:t>85m范围内无本条款的所有控制项目；西面1</w:t>
            </w:r>
            <w:r>
              <w:rPr>
                <w:rFonts w:ascii="宋体" w:hAnsi="宋体"/>
                <w:b w:val="0"/>
                <w:szCs w:val="21"/>
              </w:rPr>
              <w:t>20</w:t>
            </w:r>
            <w:r>
              <w:rPr>
                <w:rFonts w:hint="eastAsia" w:ascii="宋体" w:hAnsi="宋体"/>
                <w:b w:val="0"/>
                <w:szCs w:val="21"/>
              </w:rPr>
              <w:t>米处为本企业办公室</w:t>
            </w:r>
            <w:r>
              <w:rPr>
                <w:rFonts w:ascii="宋体" w:hAnsi="宋体"/>
                <w:b w:val="0"/>
                <w:szCs w:val="21"/>
              </w:rPr>
              <w:t xml:space="preserve"> </w:t>
            </w:r>
          </w:p>
        </w:tc>
      </w:tr>
      <w:tr w14:paraId="0E1C7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68B01C18">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2F065F0A">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4CDD13E6">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3D5650FF">
            <w:pPr>
              <w:spacing w:line="260" w:lineRule="exact"/>
              <w:jc w:val="left"/>
              <w:rPr>
                <w:rFonts w:ascii="宋体" w:hAnsi="宋体"/>
                <w:b w:val="0"/>
                <w:szCs w:val="21"/>
              </w:rPr>
            </w:pPr>
            <w:r>
              <w:rPr>
                <w:rFonts w:ascii="宋体" w:hAnsi="宋体"/>
                <w:b w:val="0"/>
                <w:szCs w:val="21"/>
              </w:rPr>
              <w:t>人数大于50人</w:t>
            </w:r>
            <w:r>
              <w:rPr>
                <w:rFonts w:hint="eastAsia" w:ascii="宋体" w:hAnsi="宋体"/>
                <w:b w:val="0"/>
                <w:szCs w:val="21"/>
              </w:rPr>
              <w:t>的居民点边缘、职工人数大于50人的企业围墙、有摘挂作业的铁路车站站界及建筑物边缘、110</w:t>
            </w:r>
            <w:r>
              <w:rPr>
                <w:rFonts w:ascii="宋体" w:hAnsi="宋体"/>
                <w:b w:val="0"/>
                <w:szCs w:val="21"/>
              </w:rPr>
              <w:t>kV</w:t>
            </w:r>
            <w:r>
              <w:rPr>
                <w:rFonts w:hint="eastAsia" w:ascii="宋体" w:hAnsi="宋体"/>
                <w:b w:val="0"/>
                <w:szCs w:val="21"/>
              </w:rPr>
              <w:t>区域变电站围墙、220</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154D74AA">
            <w:pPr>
              <w:spacing w:line="260" w:lineRule="exact"/>
              <w:jc w:val="center"/>
              <w:rPr>
                <w:rFonts w:ascii="宋体" w:hAnsi="宋体"/>
                <w:b w:val="0"/>
                <w:szCs w:val="21"/>
              </w:rPr>
            </w:pPr>
            <w:r>
              <w:rPr>
                <w:rFonts w:hint="eastAsia" w:ascii="宋体" w:hAnsi="宋体"/>
                <w:b w:val="0"/>
                <w:szCs w:val="21"/>
              </w:rPr>
              <w:t>140</w:t>
            </w:r>
          </w:p>
        </w:tc>
        <w:tc>
          <w:tcPr>
            <w:tcW w:w="2026" w:type="dxa"/>
            <w:shd w:val="clear" w:color="auto" w:fill="auto"/>
            <w:vAlign w:val="center"/>
          </w:tcPr>
          <w:p w14:paraId="15D17482">
            <w:pPr>
              <w:spacing w:line="260" w:lineRule="exact"/>
              <w:rPr>
                <w:rFonts w:ascii="宋体" w:hAnsi="宋体"/>
                <w:b w:val="0"/>
                <w:szCs w:val="21"/>
              </w:rPr>
            </w:pPr>
            <w:r>
              <w:rPr>
                <w:rFonts w:ascii="宋体" w:hAnsi="宋体"/>
                <w:b w:val="0"/>
                <w:szCs w:val="21"/>
              </w:rPr>
              <w:t>140</w:t>
            </w:r>
            <w:r>
              <w:rPr>
                <w:rFonts w:hint="eastAsia" w:ascii="宋体" w:hAnsi="宋体"/>
                <w:b w:val="0"/>
                <w:szCs w:val="21"/>
              </w:rPr>
              <w:t>m范围内无本条款的所有控制项目；</w:t>
            </w:r>
          </w:p>
        </w:tc>
      </w:tr>
      <w:tr w14:paraId="3AF00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27598200">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2951DACC">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29B30F20">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3835151F">
            <w:pPr>
              <w:spacing w:line="260" w:lineRule="exact"/>
              <w:jc w:val="left"/>
              <w:rPr>
                <w:rFonts w:ascii="宋体" w:hAnsi="宋体"/>
                <w:b w:val="0"/>
                <w:szCs w:val="21"/>
              </w:rPr>
            </w:pPr>
            <w:r>
              <w:rPr>
                <w:rFonts w:hint="eastAsia" w:ascii="宋体" w:hAnsi="宋体"/>
                <w:b w:val="0"/>
                <w:szCs w:val="21"/>
              </w:rPr>
              <w:t>城镇规划边缘、学校、220</w:t>
            </w:r>
            <w:r>
              <w:rPr>
                <w:rFonts w:ascii="宋体" w:hAnsi="宋体"/>
                <w:b w:val="0"/>
                <w:szCs w:val="21"/>
              </w:rPr>
              <w:t>kV</w:t>
            </w:r>
            <w:r>
              <w:rPr>
                <w:rFonts w:hint="eastAsia" w:ascii="宋体" w:hAnsi="宋体"/>
                <w:b w:val="0"/>
                <w:szCs w:val="21"/>
              </w:rPr>
              <w:t>及以上的区域变电站围墙、220</w:t>
            </w:r>
            <w:r>
              <w:rPr>
                <w:rFonts w:ascii="宋体" w:hAnsi="宋体"/>
                <w:b w:val="0"/>
                <w:szCs w:val="21"/>
              </w:rPr>
              <w:t>kV</w:t>
            </w:r>
            <w:r>
              <w:rPr>
                <w:rFonts w:hint="eastAsia" w:ascii="宋体" w:hAnsi="宋体"/>
                <w:b w:val="0"/>
                <w:szCs w:val="21"/>
              </w:rPr>
              <w:t>以上的架空输电线路</w:t>
            </w:r>
          </w:p>
        </w:tc>
        <w:tc>
          <w:tcPr>
            <w:tcW w:w="817" w:type="dxa"/>
            <w:shd w:val="clear" w:color="auto" w:fill="auto"/>
            <w:vAlign w:val="center"/>
          </w:tcPr>
          <w:p w14:paraId="31786BBA">
            <w:pPr>
              <w:spacing w:line="260" w:lineRule="exact"/>
              <w:jc w:val="center"/>
              <w:rPr>
                <w:rFonts w:ascii="宋体" w:hAnsi="宋体"/>
                <w:b w:val="0"/>
                <w:szCs w:val="21"/>
              </w:rPr>
            </w:pPr>
            <w:r>
              <w:rPr>
                <w:rFonts w:hint="eastAsia" w:ascii="宋体" w:hAnsi="宋体"/>
                <w:b w:val="0"/>
                <w:szCs w:val="21"/>
              </w:rPr>
              <w:t>250</w:t>
            </w:r>
          </w:p>
        </w:tc>
        <w:tc>
          <w:tcPr>
            <w:tcW w:w="2026" w:type="dxa"/>
            <w:shd w:val="clear" w:color="auto" w:fill="auto"/>
            <w:vAlign w:val="center"/>
          </w:tcPr>
          <w:p w14:paraId="76B46F05">
            <w:pPr>
              <w:spacing w:line="260" w:lineRule="exact"/>
              <w:rPr>
                <w:rFonts w:ascii="宋体" w:hAnsi="宋体"/>
                <w:b w:val="0"/>
                <w:szCs w:val="21"/>
              </w:rPr>
            </w:pPr>
            <w:r>
              <w:rPr>
                <w:rFonts w:hint="eastAsia" w:ascii="宋体" w:hAnsi="宋体"/>
                <w:b w:val="0"/>
                <w:szCs w:val="21"/>
              </w:rPr>
              <w:t xml:space="preserve">250m范围内无本条款的所有控制项目 </w:t>
            </w:r>
          </w:p>
        </w:tc>
      </w:tr>
      <w:tr w14:paraId="1E73F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3F060A26">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5F8EBBA4">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3FE91D03">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7E93358E">
            <w:pPr>
              <w:spacing w:line="260" w:lineRule="exact"/>
              <w:jc w:val="left"/>
              <w:rPr>
                <w:rFonts w:ascii="宋体" w:hAnsi="宋体"/>
                <w:b w:val="0"/>
                <w:szCs w:val="21"/>
              </w:rPr>
            </w:pPr>
            <w:r>
              <w:rPr>
                <w:rFonts w:hint="eastAsia" w:ascii="宋体" w:hAnsi="宋体"/>
                <w:b w:val="0"/>
                <w:szCs w:val="21"/>
              </w:rPr>
              <w:t>国家铁路线、省级以上公路用地外缘、通航的河流航道边缘</w:t>
            </w:r>
          </w:p>
        </w:tc>
        <w:tc>
          <w:tcPr>
            <w:tcW w:w="817" w:type="dxa"/>
            <w:shd w:val="clear" w:color="auto" w:fill="auto"/>
            <w:vAlign w:val="center"/>
          </w:tcPr>
          <w:p w14:paraId="67794D64">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7726D808">
            <w:pPr>
              <w:spacing w:line="260" w:lineRule="exact"/>
              <w:rPr>
                <w:rFonts w:ascii="宋体" w:hAnsi="宋体"/>
                <w:b w:val="0"/>
                <w:szCs w:val="21"/>
              </w:rPr>
            </w:pPr>
            <w:r>
              <w:rPr>
                <w:rFonts w:hint="eastAsia" w:ascii="宋体" w:hAnsi="宋体"/>
                <w:b w:val="0"/>
                <w:szCs w:val="21"/>
              </w:rPr>
              <w:t>70m范围内无本条款的所有控制项目；</w:t>
            </w:r>
          </w:p>
        </w:tc>
      </w:tr>
      <w:tr w14:paraId="36E976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7F786DC2">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3BA201CF">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23ADC053">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05E0ECF9">
            <w:pPr>
              <w:spacing w:line="260" w:lineRule="exact"/>
              <w:jc w:val="left"/>
              <w:rPr>
                <w:rFonts w:ascii="宋体" w:hAnsi="宋体"/>
                <w:b w:val="0"/>
                <w:szCs w:val="21"/>
              </w:rPr>
            </w:pPr>
            <w:r>
              <w:rPr>
                <w:rFonts w:hint="eastAsia" w:ascii="宋体" w:hAnsi="宋体"/>
                <w:b w:val="0"/>
                <w:szCs w:val="21"/>
              </w:rPr>
              <w:t>非本厂的工厂铁路支线、县级公路用地外缘、35</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20F68008">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32609ACD">
            <w:pPr>
              <w:spacing w:line="260" w:lineRule="exact"/>
              <w:rPr>
                <w:rFonts w:ascii="宋体" w:hAnsi="宋体"/>
                <w:b w:val="0"/>
                <w:szCs w:val="21"/>
              </w:rPr>
            </w:pPr>
            <w:r>
              <w:rPr>
                <w:rFonts w:ascii="宋体" w:hAnsi="宋体"/>
                <w:b w:val="0"/>
                <w:szCs w:val="21"/>
              </w:rPr>
              <w:t>70</w:t>
            </w:r>
            <w:r>
              <w:rPr>
                <w:rFonts w:hint="eastAsia" w:ascii="宋体" w:hAnsi="宋体"/>
                <w:b w:val="0"/>
                <w:szCs w:val="21"/>
              </w:rPr>
              <w:t>m范围内无本条款的所有控制项目</w:t>
            </w:r>
          </w:p>
        </w:tc>
      </w:tr>
      <w:tr w14:paraId="7A810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4D85E6AA">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1FA3A209">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5A1B3203">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15A0DCEF">
            <w:pPr>
              <w:spacing w:line="260" w:lineRule="exact"/>
              <w:jc w:val="left"/>
              <w:rPr>
                <w:rFonts w:ascii="宋体" w:hAnsi="宋体"/>
                <w:b w:val="0"/>
                <w:szCs w:val="21"/>
              </w:rPr>
            </w:pPr>
            <w:r>
              <w:rPr>
                <w:rFonts w:hint="eastAsia" w:ascii="宋体" w:hAnsi="宋体"/>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817" w:type="dxa"/>
            <w:shd w:val="clear" w:color="auto" w:fill="auto"/>
            <w:vAlign w:val="center"/>
          </w:tcPr>
          <w:p w14:paraId="7E31F529">
            <w:pPr>
              <w:spacing w:line="260" w:lineRule="exact"/>
              <w:jc w:val="center"/>
              <w:rPr>
                <w:rFonts w:ascii="宋体" w:hAnsi="宋体"/>
                <w:b w:val="0"/>
                <w:szCs w:val="21"/>
              </w:rPr>
            </w:pPr>
            <w:r>
              <w:rPr>
                <w:rFonts w:hint="eastAsia" w:ascii="宋体" w:hAnsi="宋体"/>
                <w:b w:val="0"/>
                <w:szCs w:val="21"/>
              </w:rPr>
              <w:t>100</w:t>
            </w:r>
          </w:p>
        </w:tc>
        <w:tc>
          <w:tcPr>
            <w:tcW w:w="2026" w:type="dxa"/>
            <w:shd w:val="clear" w:color="auto" w:fill="auto"/>
            <w:vAlign w:val="center"/>
          </w:tcPr>
          <w:p w14:paraId="7E415B54">
            <w:pPr>
              <w:spacing w:line="260" w:lineRule="exact"/>
              <w:rPr>
                <w:rFonts w:ascii="宋体" w:hAnsi="宋体"/>
                <w:b w:val="0"/>
                <w:szCs w:val="21"/>
              </w:rPr>
            </w:pPr>
            <w:r>
              <w:rPr>
                <w:rFonts w:hint="eastAsia" w:ascii="宋体" w:hAnsi="宋体"/>
                <w:b w:val="0"/>
                <w:szCs w:val="21"/>
              </w:rPr>
              <w:t>100m范围内无条款的所有控制项目</w:t>
            </w:r>
            <w:r>
              <w:rPr>
                <w:rFonts w:ascii="宋体" w:hAnsi="宋体"/>
                <w:b w:val="0"/>
                <w:szCs w:val="21"/>
              </w:rPr>
              <w:t xml:space="preserve"> </w:t>
            </w:r>
          </w:p>
        </w:tc>
      </w:tr>
      <w:tr w14:paraId="57BBA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shd w:val="clear" w:color="auto" w:fill="auto"/>
            <w:vAlign w:val="center"/>
          </w:tcPr>
          <w:p w14:paraId="22749876">
            <w:pPr>
              <w:widowControl/>
              <w:autoSpaceDE w:val="0"/>
              <w:autoSpaceDN w:val="0"/>
              <w:adjustRightInd w:val="0"/>
              <w:snapToGrid w:val="0"/>
              <w:spacing w:line="260" w:lineRule="exact"/>
              <w:jc w:val="center"/>
              <w:textAlignment w:val="baseline"/>
              <w:rPr>
                <w:rFonts w:ascii="宋体" w:hAnsi="宋体"/>
                <w:b w:val="0"/>
                <w:szCs w:val="21"/>
              </w:rPr>
            </w:pPr>
            <w:r>
              <w:rPr>
                <w:rFonts w:ascii="宋体" w:hAnsi="宋体"/>
                <w:b w:val="0"/>
                <w:szCs w:val="21"/>
              </w:rPr>
              <w:t>3#</w:t>
            </w:r>
            <w:r>
              <w:rPr>
                <w:rFonts w:hint="eastAsia" w:ascii="宋体" w:hAnsi="宋体"/>
                <w:b w:val="0"/>
                <w:szCs w:val="21"/>
              </w:rPr>
              <w:t>库房</w:t>
            </w:r>
          </w:p>
        </w:tc>
        <w:tc>
          <w:tcPr>
            <w:tcW w:w="708" w:type="dxa"/>
            <w:vMerge w:val="restart"/>
            <w:shd w:val="clear" w:color="auto" w:fill="auto"/>
            <w:vAlign w:val="center"/>
          </w:tcPr>
          <w:p w14:paraId="6346337C">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hint="eastAsia" w:ascii="宋体" w:hAnsi="宋体" w:cs="宋体"/>
                <w:b w:val="0"/>
                <w:snapToGrid w:val="0"/>
                <w:spacing w:val="-1"/>
                <w:kern w:val="0"/>
                <w:szCs w:val="21"/>
              </w:rPr>
              <w:t>1</w:t>
            </w:r>
            <w:r>
              <w:rPr>
                <w:rFonts w:ascii="宋体" w:hAnsi="宋体" w:cs="宋体"/>
                <w:b w:val="0"/>
                <w:snapToGrid w:val="0"/>
                <w:spacing w:val="-1"/>
                <w:kern w:val="0"/>
                <w:szCs w:val="21"/>
              </w:rPr>
              <w:t>.3</w:t>
            </w:r>
          </w:p>
        </w:tc>
        <w:tc>
          <w:tcPr>
            <w:tcW w:w="1088" w:type="dxa"/>
            <w:vMerge w:val="restart"/>
            <w:shd w:val="clear" w:color="auto" w:fill="auto"/>
            <w:vAlign w:val="center"/>
          </w:tcPr>
          <w:p w14:paraId="0265F85A">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ascii="宋体" w:hAnsi="宋体" w:cs="宋体"/>
                <w:b w:val="0"/>
                <w:snapToGrid w:val="0"/>
                <w:spacing w:val="-1"/>
                <w:kern w:val="0"/>
                <w:szCs w:val="21"/>
              </w:rPr>
              <w:t>19.8</w:t>
            </w:r>
          </w:p>
        </w:tc>
        <w:tc>
          <w:tcPr>
            <w:tcW w:w="3582" w:type="dxa"/>
            <w:shd w:val="clear" w:color="auto" w:fill="auto"/>
            <w:vAlign w:val="center"/>
          </w:tcPr>
          <w:p w14:paraId="0597450E">
            <w:pPr>
              <w:spacing w:line="260" w:lineRule="exact"/>
              <w:jc w:val="left"/>
              <w:rPr>
                <w:rFonts w:ascii="宋体" w:hAnsi="宋体"/>
                <w:b w:val="0"/>
                <w:szCs w:val="21"/>
              </w:rPr>
            </w:pPr>
            <w:r>
              <w:rPr>
                <w:rFonts w:ascii="宋体" w:hAnsi="宋体"/>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817" w:type="dxa"/>
            <w:shd w:val="clear" w:color="auto" w:fill="auto"/>
            <w:vAlign w:val="center"/>
          </w:tcPr>
          <w:p w14:paraId="1ACB5CDB">
            <w:pPr>
              <w:spacing w:line="260" w:lineRule="exact"/>
              <w:jc w:val="center"/>
              <w:rPr>
                <w:rFonts w:ascii="宋体" w:hAnsi="宋体"/>
                <w:b w:val="0"/>
                <w:szCs w:val="21"/>
              </w:rPr>
            </w:pPr>
            <w:r>
              <w:rPr>
                <w:rFonts w:hint="eastAsia" w:ascii="宋体" w:hAnsi="宋体"/>
                <w:b w:val="0"/>
                <w:szCs w:val="21"/>
              </w:rPr>
              <w:t>85</w:t>
            </w:r>
          </w:p>
        </w:tc>
        <w:tc>
          <w:tcPr>
            <w:tcW w:w="2026" w:type="dxa"/>
            <w:shd w:val="clear" w:color="auto" w:fill="auto"/>
            <w:vAlign w:val="center"/>
          </w:tcPr>
          <w:p w14:paraId="2D1B9137">
            <w:pPr>
              <w:spacing w:line="260" w:lineRule="exact"/>
              <w:rPr>
                <w:rFonts w:ascii="宋体" w:hAnsi="宋体"/>
                <w:b w:val="0"/>
                <w:szCs w:val="21"/>
              </w:rPr>
            </w:pPr>
            <w:r>
              <w:rPr>
                <w:rFonts w:hint="eastAsia" w:ascii="宋体" w:hAnsi="宋体"/>
                <w:b w:val="0"/>
                <w:szCs w:val="21"/>
              </w:rPr>
              <w:t>85m范围内无本条款的所有控制项目</w:t>
            </w:r>
          </w:p>
        </w:tc>
      </w:tr>
      <w:tr w14:paraId="6B277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406B27C9">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00C53FA7">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47D34268">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4C6FCC51">
            <w:pPr>
              <w:spacing w:line="260" w:lineRule="exact"/>
              <w:jc w:val="left"/>
              <w:rPr>
                <w:rFonts w:ascii="宋体" w:hAnsi="宋体"/>
                <w:b w:val="0"/>
                <w:szCs w:val="21"/>
              </w:rPr>
            </w:pPr>
            <w:r>
              <w:rPr>
                <w:rFonts w:ascii="宋体" w:hAnsi="宋体"/>
                <w:b w:val="0"/>
                <w:szCs w:val="21"/>
              </w:rPr>
              <w:t>人数大于50人</w:t>
            </w:r>
            <w:r>
              <w:rPr>
                <w:rFonts w:hint="eastAsia" w:ascii="宋体" w:hAnsi="宋体"/>
                <w:b w:val="0"/>
                <w:szCs w:val="21"/>
              </w:rPr>
              <w:t>的居民点边缘、职工人数大于50人的企业围墙、有摘挂作业的铁路车站站界及建筑物边缘、110</w:t>
            </w:r>
            <w:r>
              <w:rPr>
                <w:rFonts w:ascii="宋体" w:hAnsi="宋体"/>
                <w:b w:val="0"/>
                <w:szCs w:val="21"/>
              </w:rPr>
              <w:t>kV</w:t>
            </w:r>
            <w:r>
              <w:rPr>
                <w:rFonts w:hint="eastAsia" w:ascii="宋体" w:hAnsi="宋体"/>
                <w:b w:val="0"/>
                <w:szCs w:val="21"/>
              </w:rPr>
              <w:t>区域变电站围墙、220</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5EAC3578">
            <w:pPr>
              <w:spacing w:line="260" w:lineRule="exact"/>
              <w:jc w:val="center"/>
              <w:rPr>
                <w:rFonts w:ascii="宋体" w:hAnsi="宋体"/>
                <w:b w:val="0"/>
                <w:szCs w:val="21"/>
              </w:rPr>
            </w:pPr>
            <w:r>
              <w:rPr>
                <w:rFonts w:hint="eastAsia" w:ascii="宋体" w:hAnsi="宋体"/>
                <w:b w:val="0"/>
                <w:szCs w:val="21"/>
              </w:rPr>
              <w:t>140</w:t>
            </w:r>
          </w:p>
        </w:tc>
        <w:tc>
          <w:tcPr>
            <w:tcW w:w="2026" w:type="dxa"/>
            <w:shd w:val="clear" w:color="auto" w:fill="auto"/>
            <w:vAlign w:val="center"/>
          </w:tcPr>
          <w:p w14:paraId="1FF4433D">
            <w:pPr>
              <w:spacing w:line="260" w:lineRule="exact"/>
              <w:rPr>
                <w:rFonts w:ascii="宋体" w:hAnsi="宋体"/>
                <w:b w:val="0"/>
                <w:szCs w:val="21"/>
              </w:rPr>
            </w:pPr>
            <w:r>
              <w:rPr>
                <w:rFonts w:ascii="宋体" w:hAnsi="宋体"/>
                <w:b w:val="0"/>
                <w:szCs w:val="21"/>
              </w:rPr>
              <w:t>140</w:t>
            </w:r>
            <w:r>
              <w:rPr>
                <w:rFonts w:hint="eastAsia" w:ascii="宋体" w:hAnsi="宋体"/>
                <w:b w:val="0"/>
                <w:szCs w:val="21"/>
              </w:rPr>
              <w:t>m范围内无本条款的所有控制项目；</w:t>
            </w:r>
          </w:p>
        </w:tc>
      </w:tr>
      <w:tr w14:paraId="14841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6C8E8B22">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039EF971">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58C5AB00">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6BAD42DA">
            <w:pPr>
              <w:spacing w:line="260" w:lineRule="exact"/>
              <w:jc w:val="left"/>
              <w:rPr>
                <w:rFonts w:ascii="宋体" w:hAnsi="宋体"/>
                <w:b w:val="0"/>
                <w:szCs w:val="21"/>
              </w:rPr>
            </w:pPr>
            <w:r>
              <w:rPr>
                <w:rFonts w:hint="eastAsia" w:ascii="宋体" w:hAnsi="宋体"/>
                <w:b w:val="0"/>
                <w:szCs w:val="21"/>
              </w:rPr>
              <w:t>城镇规划边缘、学校、220</w:t>
            </w:r>
            <w:r>
              <w:rPr>
                <w:rFonts w:ascii="宋体" w:hAnsi="宋体"/>
                <w:b w:val="0"/>
                <w:szCs w:val="21"/>
              </w:rPr>
              <w:t>kV</w:t>
            </w:r>
            <w:r>
              <w:rPr>
                <w:rFonts w:hint="eastAsia" w:ascii="宋体" w:hAnsi="宋体"/>
                <w:b w:val="0"/>
                <w:szCs w:val="21"/>
              </w:rPr>
              <w:t>及以上的区域变电站围墙、220</w:t>
            </w:r>
            <w:r>
              <w:rPr>
                <w:rFonts w:ascii="宋体" w:hAnsi="宋体"/>
                <w:b w:val="0"/>
                <w:szCs w:val="21"/>
              </w:rPr>
              <w:t>kV</w:t>
            </w:r>
            <w:r>
              <w:rPr>
                <w:rFonts w:hint="eastAsia" w:ascii="宋体" w:hAnsi="宋体"/>
                <w:b w:val="0"/>
                <w:szCs w:val="21"/>
              </w:rPr>
              <w:t>以上的架空输电线路</w:t>
            </w:r>
          </w:p>
        </w:tc>
        <w:tc>
          <w:tcPr>
            <w:tcW w:w="817" w:type="dxa"/>
            <w:shd w:val="clear" w:color="auto" w:fill="auto"/>
            <w:vAlign w:val="center"/>
          </w:tcPr>
          <w:p w14:paraId="66C032A6">
            <w:pPr>
              <w:spacing w:line="260" w:lineRule="exact"/>
              <w:jc w:val="center"/>
              <w:rPr>
                <w:rFonts w:ascii="宋体" w:hAnsi="宋体"/>
                <w:b w:val="0"/>
                <w:szCs w:val="21"/>
              </w:rPr>
            </w:pPr>
            <w:r>
              <w:rPr>
                <w:rFonts w:hint="eastAsia" w:ascii="宋体" w:hAnsi="宋体"/>
                <w:b w:val="0"/>
                <w:szCs w:val="21"/>
              </w:rPr>
              <w:t>250</w:t>
            </w:r>
          </w:p>
        </w:tc>
        <w:tc>
          <w:tcPr>
            <w:tcW w:w="2026" w:type="dxa"/>
            <w:shd w:val="clear" w:color="auto" w:fill="auto"/>
            <w:vAlign w:val="center"/>
          </w:tcPr>
          <w:p w14:paraId="4703A6C0">
            <w:pPr>
              <w:spacing w:line="260" w:lineRule="exact"/>
              <w:rPr>
                <w:rFonts w:ascii="宋体" w:hAnsi="宋体"/>
                <w:b w:val="0"/>
                <w:szCs w:val="21"/>
              </w:rPr>
            </w:pPr>
            <w:r>
              <w:rPr>
                <w:rFonts w:hint="eastAsia" w:ascii="宋体" w:hAnsi="宋体"/>
                <w:b w:val="0"/>
                <w:szCs w:val="21"/>
              </w:rPr>
              <w:t xml:space="preserve">250m范围内无本条款的所有控制项目 </w:t>
            </w:r>
          </w:p>
        </w:tc>
      </w:tr>
      <w:tr w14:paraId="6234C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55A9D114">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3628EB29">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2ED360AE">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4490D02C">
            <w:pPr>
              <w:spacing w:line="260" w:lineRule="exact"/>
              <w:jc w:val="left"/>
              <w:rPr>
                <w:rFonts w:ascii="宋体" w:hAnsi="宋体"/>
                <w:b w:val="0"/>
                <w:szCs w:val="21"/>
              </w:rPr>
            </w:pPr>
            <w:r>
              <w:rPr>
                <w:rFonts w:hint="eastAsia" w:ascii="宋体" w:hAnsi="宋体"/>
                <w:b w:val="0"/>
                <w:szCs w:val="21"/>
              </w:rPr>
              <w:t>国家铁路线、省级以上公路用地外缘、通航的河流航道边缘</w:t>
            </w:r>
          </w:p>
        </w:tc>
        <w:tc>
          <w:tcPr>
            <w:tcW w:w="817" w:type="dxa"/>
            <w:shd w:val="clear" w:color="auto" w:fill="auto"/>
            <w:vAlign w:val="center"/>
          </w:tcPr>
          <w:p w14:paraId="11879720">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0BAC0960">
            <w:pPr>
              <w:spacing w:line="260" w:lineRule="exact"/>
              <w:rPr>
                <w:rFonts w:ascii="宋体" w:hAnsi="宋体"/>
                <w:b w:val="0"/>
                <w:szCs w:val="21"/>
              </w:rPr>
            </w:pPr>
            <w:r>
              <w:rPr>
                <w:rFonts w:hint="eastAsia" w:ascii="宋体" w:hAnsi="宋体"/>
                <w:b w:val="0"/>
                <w:szCs w:val="21"/>
              </w:rPr>
              <w:t>70m范围内无本条款的所有控制项目；</w:t>
            </w:r>
          </w:p>
        </w:tc>
      </w:tr>
      <w:tr w14:paraId="46BB7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26812040">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2FD70AA1">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64DC3755">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441F9E02">
            <w:pPr>
              <w:spacing w:line="260" w:lineRule="exact"/>
              <w:jc w:val="left"/>
              <w:rPr>
                <w:rFonts w:ascii="宋体" w:hAnsi="宋体"/>
                <w:b w:val="0"/>
                <w:szCs w:val="21"/>
              </w:rPr>
            </w:pPr>
            <w:r>
              <w:rPr>
                <w:rFonts w:hint="eastAsia" w:ascii="宋体" w:hAnsi="宋体"/>
                <w:b w:val="0"/>
                <w:szCs w:val="21"/>
              </w:rPr>
              <w:t>非本厂的工厂铁路支线、县级公路用地外缘、35</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0F57A9D2">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7A8A37DC">
            <w:pPr>
              <w:spacing w:line="260" w:lineRule="exact"/>
              <w:rPr>
                <w:rFonts w:ascii="宋体" w:hAnsi="宋体"/>
                <w:b w:val="0"/>
                <w:szCs w:val="21"/>
              </w:rPr>
            </w:pPr>
            <w:r>
              <w:rPr>
                <w:rFonts w:ascii="宋体" w:hAnsi="宋体"/>
                <w:b w:val="0"/>
                <w:szCs w:val="21"/>
              </w:rPr>
              <w:t>70</w:t>
            </w:r>
            <w:r>
              <w:rPr>
                <w:rFonts w:hint="eastAsia" w:ascii="宋体" w:hAnsi="宋体"/>
                <w:b w:val="0"/>
                <w:szCs w:val="21"/>
              </w:rPr>
              <w:t>m范围内无本条款的所有控制项目</w:t>
            </w:r>
          </w:p>
        </w:tc>
      </w:tr>
      <w:tr w14:paraId="6C6E5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14139F8D">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3B3F8D7E">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1C8B7769">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2BFC98BA">
            <w:pPr>
              <w:spacing w:line="260" w:lineRule="exact"/>
              <w:jc w:val="left"/>
              <w:rPr>
                <w:rFonts w:ascii="宋体" w:hAnsi="宋体"/>
                <w:b w:val="0"/>
                <w:szCs w:val="21"/>
              </w:rPr>
            </w:pPr>
            <w:r>
              <w:rPr>
                <w:rFonts w:hint="eastAsia" w:ascii="宋体" w:hAnsi="宋体"/>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817" w:type="dxa"/>
            <w:shd w:val="clear" w:color="auto" w:fill="auto"/>
            <w:vAlign w:val="center"/>
          </w:tcPr>
          <w:p w14:paraId="5700BA9B">
            <w:pPr>
              <w:spacing w:line="260" w:lineRule="exact"/>
              <w:jc w:val="center"/>
              <w:rPr>
                <w:rFonts w:ascii="宋体" w:hAnsi="宋体"/>
                <w:b w:val="0"/>
                <w:szCs w:val="21"/>
              </w:rPr>
            </w:pPr>
            <w:r>
              <w:rPr>
                <w:rFonts w:hint="eastAsia" w:ascii="宋体" w:hAnsi="宋体"/>
                <w:b w:val="0"/>
                <w:szCs w:val="21"/>
              </w:rPr>
              <w:t>100</w:t>
            </w:r>
          </w:p>
        </w:tc>
        <w:tc>
          <w:tcPr>
            <w:tcW w:w="2026" w:type="dxa"/>
            <w:shd w:val="clear" w:color="auto" w:fill="auto"/>
            <w:vAlign w:val="center"/>
          </w:tcPr>
          <w:p w14:paraId="4BBB74C3">
            <w:pPr>
              <w:spacing w:line="260" w:lineRule="exact"/>
              <w:rPr>
                <w:rFonts w:ascii="宋体" w:hAnsi="宋体"/>
                <w:b w:val="0"/>
                <w:szCs w:val="21"/>
              </w:rPr>
            </w:pPr>
            <w:r>
              <w:rPr>
                <w:rFonts w:hint="eastAsia" w:ascii="宋体" w:hAnsi="宋体"/>
                <w:b w:val="0"/>
                <w:szCs w:val="21"/>
              </w:rPr>
              <w:t>100m范围内无条款的所有控制项目</w:t>
            </w:r>
            <w:r>
              <w:rPr>
                <w:rFonts w:ascii="宋体" w:hAnsi="宋体"/>
                <w:b w:val="0"/>
                <w:szCs w:val="21"/>
              </w:rPr>
              <w:t xml:space="preserve"> </w:t>
            </w:r>
          </w:p>
        </w:tc>
      </w:tr>
      <w:tr w14:paraId="5F50D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shd w:val="clear" w:color="auto" w:fill="auto"/>
            <w:vAlign w:val="center"/>
          </w:tcPr>
          <w:p w14:paraId="3970C96F">
            <w:pPr>
              <w:widowControl/>
              <w:autoSpaceDE w:val="0"/>
              <w:autoSpaceDN w:val="0"/>
              <w:adjustRightInd w:val="0"/>
              <w:snapToGrid w:val="0"/>
              <w:spacing w:line="260" w:lineRule="exact"/>
              <w:jc w:val="center"/>
              <w:textAlignment w:val="baseline"/>
              <w:rPr>
                <w:rFonts w:ascii="宋体" w:hAnsi="宋体"/>
                <w:b w:val="0"/>
                <w:szCs w:val="21"/>
              </w:rPr>
            </w:pPr>
            <w:r>
              <w:rPr>
                <w:rFonts w:ascii="宋体" w:hAnsi="宋体"/>
                <w:b w:val="0"/>
                <w:szCs w:val="21"/>
              </w:rPr>
              <w:t>4#</w:t>
            </w:r>
            <w:r>
              <w:rPr>
                <w:rFonts w:hint="eastAsia" w:ascii="宋体" w:hAnsi="宋体"/>
                <w:b w:val="0"/>
                <w:szCs w:val="21"/>
              </w:rPr>
              <w:t>库房</w:t>
            </w:r>
          </w:p>
        </w:tc>
        <w:tc>
          <w:tcPr>
            <w:tcW w:w="708" w:type="dxa"/>
            <w:vMerge w:val="restart"/>
            <w:shd w:val="clear" w:color="auto" w:fill="auto"/>
            <w:vAlign w:val="center"/>
          </w:tcPr>
          <w:p w14:paraId="574FC59E">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hint="eastAsia" w:ascii="宋体" w:hAnsi="宋体" w:cs="宋体"/>
                <w:b w:val="0"/>
                <w:snapToGrid w:val="0"/>
                <w:spacing w:val="-1"/>
                <w:kern w:val="0"/>
                <w:szCs w:val="21"/>
              </w:rPr>
              <w:t>1</w:t>
            </w:r>
            <w:r>
              <w:rPr>
                <w:rFonts w:ascii="宋体" w:hAnsi="宋体" w:cs="宋体"/>
                <w:b w:val="0"/>
                <w:snapToGrid w:val="0"/>
                <w:spacing w:val="-1"/>
                <w:kern w:val="0"/>
                <w:szCs w:val="21"/>
              </w:rPr>
              <w:t>.3</w:t>
            </w:r>
          </w:p>
        </w:tc>
        <w:tc>
          <w:tcPr>
            <w:tcW w:w="1088" w:type="dxa"/>
            <w:vMerge w:val="restart"/>
            <w:shd w:val="clear" w:color="auto" w:fill="auto"/>
            <w:vAlign w:val="center"/>
          </w:tcPr>
          <w:p w14:paraId="5E1A27BF">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ascii="宋体" w:hAnsi="宋体" w:cs="宋体"/>
                <w:b w:val="0"/>
                <w:snapToGrid w:val="0"/>
                <w:spacing w:val="-1"/>
                <w:kern w:val="0"/>
                <w:szCs w:val="21"/>
              </w:rPr>
              <w:t>19.8</w:t>
            </w:r>
          </w:p>
        </w:tc>
        <w:tc>
          <w:tcPr>
            <w:tcW w:w="3582" w:type="dxa"/>
            <w:shd w:val="clear" w:color="auto" w:fill="auto"/>
            <w:vAlign w:val="center"/>
          </w:tcPr>
          <w:p w14:paraId="1D1EAA57">
            <w:pPr>
              <w:spacing w:line="260" w:lineRule="exact"/>
              <w:jc w:val="left"/>
              <w:rPr>
                <w:rFonts w:ascii="宋体" w:hAnsi="宋体"/>
                <w:b w:val="0"/>
                <w:szCs w:val="21"/>
              </w:rPr>
            </w:pPr>
            <w:r>
              <w:rPr>
                <w:rFonts w:ascii="宋体" w:hAnsi="宋体"/>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817" w:type="dxa"/>
            <w:shd w:val="clear" w:color="auto" w:fill="auto"/>
            <w:vAlign w:val="center"/>
          </w:tcPr>
          <w:p w14:paraId="60022A1E">
            <w:pPr>
              <w:spacing w:line="260" w:lineRule="exact"/>
              <w:jc w:val="center"/>
              <w:rPr>
                <w:rFonts w:ascii="宋体" w:hAnsi="宋体"/>
                <w:b w:val="0"/>
                <w:szCs w:val="21"/>
              </w:rPr>
            </w:pPr>
            <w:r>
              <w:rPr>
                <w:rFonts w:hint="eastAsia" w:ascii="宋体" w:hAnsi="宋体"/>
                <w:b w:val="0"/>
                <w:szCs w:val="21"/>
              </w:rPr>
              <w:t>85</w:t>
            </w:r>
          </w:p>
        </w:tc>
        <w:tc>
          <w:tcPr>
            <w:tcW w:w="2026" w:type="dxa"/>
            <w:shd w:val="clear" w:color="auto" w:fill="auto"/>
            <w:vAlign w:val="center"/>
          </w:tcPr>
          <w:p w14:paraId="44462CB7">
            <w:pPr>
              <w:spacing w:line="260" w:lineRule="exact"/>
              <w:rPr>
                <w:rFonts w:ascii="宋体" w:hAnsi="宋体"/>
                <w:b w:val="0"/>
                <w:szCs w:val="21"/>
              </w:rPr>
            </w:pPr>
            <w:r>
              <w:rPr>
                <w:rFonts w:hint="eastAsia" w:ascii="宋体" w:hAnsi="宋体"/>
                <w:b w:val="0"/>
                <w:szCs w:val="21"/>
              </w:rPr>
              <w:t>85m范围内无本条款的所有控制项目</w:t>
            </w:r>
          </w:p>
        </w:tc>
      </w:tr>
      <w:tr w14:paraId="7F0B7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2B80C522">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22D3358E">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4D783BF0">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6714B0E4">
            <w:pPr>
              <w:spacing w:line="260" w:lineRule="exact"/>
              <w:jc w:val="left"/>
              <w:rPr>
                <w:rFonts w:ascii="宋体" w:hAnsi="宋体"/>
                <w:b w:val="0"/>
                <w:szCs w:val="21"/>
              </w:rPr>
            </w:pPr>
            <w:r>
              <w:rPr>
                <w:rFonts w:ascii="宋体" w:hAnsi="宋体"/>
                <w:b w:val="0"/>
                <w:szCs w:val="21"/>
              </w:rPr>
              <w:t>人数大于50人</w:t>
            </w:r>
            <w:r>
              <w:rPr>
                <w:rFonts w:hint="eastAsia" w:ascii="宋体" w:hAnsi="宋体"/>
                <w:b w:val="0"/>
                <w:szCs w:val="21"/>
              </w:rPr>
              <w:t>的居民点边缘、职工人数大于50人的企业围墙、有摘挂作业的铁路车站站界及建筑物边缘、110</w:t>
            </w:r>
            <w:r>
              <w:rPr>
                <w:rFonts w:ascii="宋体" w:hAnsi="宋体"/>
                <w:b w:val="0"/>
                <w:szCs w:val="21"/>
              </w:rPr>
              <w:t>kV</w:t>
            </w:r>
            <w:r>
              <w:rPr>
                <w:rFonts w:hint="eastAsia" w:ascii="宋体" w:hAnsi="宋体"/>
                <w:b w:val="0"/>
                <w:szCs w:val="21"/>
              </w:rPr>
              <w:t>区域变电站围墙、220</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4E99CCAF">
            <w:pPr>
              <w:spacing w:line="260" w:lineRule="exact"/>
              <w:jc w:val="center"/>
              <w:rPr>
                <w:rFonts w:ascii="宋体" w:hAnsi="宋体"/>
                <w:b w:val="0"/>
                <w:szCs w:val="21"/>
              </w:rPr>
            </w:pPr>
            <w:r>
              <w:rPr>
                <w:rFonts w:hint="eastAsia" w:ascii="宋体" w:hAnsi="宋体"/>
                <w:b w:val="0"/>
                <w:szCs w:val="21"/>
              </w:rPr>
              <w:t>140</w:t>
            </w:r>
          </w:p>
        </w:tc>
        <w:tc>
          <w:tcPr>
            <w:tcW w:w="2026" w:type="dxa"/>
            <w:shd w:val="clear" w:color="auto" w:fill="auto"/>
            <w:vAlign w:val="center"/>
          </w:tcPr>
          <w:p w14:paraId="69F10F69">
            <w:pPr>
              <w:spacing w:line="260" w:lineRule="exact"/>
              <w:rPr>
                <w:rFonts w:ascii="宋体" w:hAnsi="宋体"/>
                <w:b w:val="0"/>
                <w:szCs w:val="21"/>
              </w:rPr>
            </w:pPr>
            <w:r>
              <w:rPr>
                <w:rFonts w:ascii="宋体" w:hAnsi="宋体"/>
                <w:b w:val="0"/>
                <w:szCs w:val="21"/>
              </w:rPr>
              <w:t>140</w:t>
            </w:r>
            <w:r>
              <w:rPr>
                <w:rFonts w:hint="eastAsia" w:ascii="宋体" w:hAnsi="宋体"/>
                <w:b w:val="0"/>
                <w:szCs w:val="21"/>
              </w:rPr>
              <w:t>m范围内无本条款的所有控制项目；</w:t>
            </w:r>
          </w:p>
        </w:tc>
      </w:tr>
      <w:tr w14:paraId="2E5DE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64B997D3">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61E5354A">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116B7384">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15B5085C">
            <w:pPr>
              <w:spacing w:line="260" w:lineRule="exact"/>
              <w:jc w:val="left"/>
              <w:rPr>
                <w:rFonts w:ascii="宋体" w:hAnsi="宋体"/>
                <w:b w:val="0"/>
                <w:szCs w:val="21"/>
              </w:rPr>
            </w:pPr>
            <w:r>
              <w:rPr>
                <w:rFonts w:hint="eastAsia" w:ascii="宋体" w:hAnsi="宋体"/>
                <w:b w:val="0"/>
                <w:szCs w:val="21"/>
              </w:rPr>
              <w:t>城镇规划边缘、学校、220</w:t>
            </w:r>
            <w:r>
              <w:rPr>
                <w:rFonts w:ascii="宋体" w:hAnsi="宋体"/>
                <w:b w:val="0"/>
                <w:szCs w:val="21"/>
              </w:rPr>
              <w:t>kV</w:t>
            </w:r>
            <w:r>
              <w:rPr>
                <w:rFonts w:hint="eastAsia" w:ascii="宋体" w:hAnsi="宋体"/>
                <w:b w:val="0"/>
                <w:szCs w:val="21"/>
              </w:rPr>
              <w:t>及以上的区域变电站围墙、220</w:t>
            </w:r>
            <w:r>
              <w:rPr>
                <w:rFonts w:ascii="宋体" w:hAnsi="宋体"/>
                <w:b w:val="0"/>
                <w:szCs w:val="21"/>
              </w:rPr>
              <w:t>kV</w:t>
            </w:r>
            <w:r>
              <w:rPr>
                <w:rFonts w:hint="eastAsia" w:ascii="宋体" w:hAnsi="宋体"/>
                <w:b w:val="0"/>
                <w:szCs w:val="21"/>
              </w:rPr>
              <w:t>以上的架空输电线路</w:t>
            </w:r>
          </w:p>
        </w:tc>
        <w:tc>
          <w:tcPr>
            <w:tcW w:w="817" w:type="dxa"/>
            <w:shd w:val="clear" w:color="auto" w:fill="auto"/>
            <w:vAlign w:val="center"/>
          </w:tcPr>
          <w:p w14:paraId="45C495F5">
            <w:pPr>
              <w:spacing w:line="260" w:lineRule="exact"/>
              <w:jc w:val="center"/>
              <w:rPr>
                <w:rFonts w:ascii="宋体" w:hAnsi="宋体"/>
                <w:b w:val="0"/>
                <w:szCs w:val="21"/>
              </w:rPr>
            </w:pPr>
            <w:r>
              <w:rPr>
                <w:rFonts w:hint="eastAsia" w:ascii="宋体" w:hAnsi="宋体"/>
                <w:b w:val="0"/>
                <w:szCs w:val="21"/>
              </w:rPr>
              <w:t>250</w:t>
            </w:r>
          </w:p>
        </w:tc>
        <w:tc>
          <w:tcPr>
            <w:tcW w:w="2026" w:type="dxa"/>
            <w:shd w:val="clear" w:color="auto" w:fill="auto"/>
            <w:vAlign w:val="center"/>
          </w:tcPr>
          <w:p w14:paraId="22EC935E">
            <w:pPr>
              <w:spacing w:line="260" w:lineRule="exact"/>
              <w:rPr>
                <w:rFonts w:ascii="宋体" w:hAnsi="宋体"/>
                <w:b w:val="0"/>
                <w:szCs w:val="21"/>
              </w:rPr>
            </w:pPr>
            <w:r>
              <w:rPr>
                <w:rFonts w:hint="eastAsia" w:ascii="宋体" w:hAnsi="宋体"/>
                <w:b w:val="0"/>
                <w:szCs w:val="21"/>
              </w:rPr>
              <w:t xml:space="preserve">250m范围内无本条款的所有控制项目 </w:t>
            </w:r>
          </w:p>
        </w:tc>
      </w:tr>
      <w:tr w14:paraId="7155D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0523758A">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247ACD4E">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56AE696B">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1BFC3F2D">
            <w:pPr>
              <w:spacing w:line="260" w:lineRule="exact"/>
              <w:jc w:val="left"/>
              <w:rPr>
                <w:rFonts w:ascii="宋体" w:hAnsi="宋体"/>
                <w:b w:val="0"/>
                <w:szCs w:val="21"/>
              </w:rPr>
            </w:pPr>
            <w:r>
              <w:rPr>
                <w:rFonts w:hint="eastAsia" w:ascii="宋体" w:hAnsi="宋体"/>
                <w:b w:val="0"/>
                <w:szCs w:val="21"/>
              </w:rPr>
              <w:t>国家铁路线、省级以上公路用地外缘、通航的河流航道边缘</w:t>
            </w:r>
          </w:p>
        </w:tc>
        <w:tc>
          <w:tcPr>
            <w:tcW w:w="817" w:type="dxa"/>
            <w:shd w:val="clear" w:color="auto" w:fill="auto"/>
            <w:vAlign w:val="center"/>
          </w:tcPr>
          <w:p w14:paraId="75EE6D96">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28F1A27E">
            <w:pPr>
              <w:spacing w:line="260" w:lineRule="exact"/>
              <w:rPr>
                <w:rFonts w:ascii="宋体" w:hAnsi="宋体"/>
                <w:b w:val="0"/>
                <w:szCs w:val="21"/>
              </w:rPr>
            </w:pPr>
            <w:r>
              <w:rPr>
                <w:rFonts w:hint="eastAsia" w:ascii="宋体" w:hAnsi="宋体"/>
                <w:b w:val="0"/>
                <w:szCs w:val="21"/>
              </w:rPr>
              <w:t>70m范围内无本条款的所有控制项目；</w:t>
            </w:r>
          </w:p>
        </w:tc>
      </w:tr>
      <w:tr w14:paraId="728D9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699797D9">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4E73CCE3">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2880FD2A">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7000659E">
            <w:pPr>
              <w:spacing w:line="260" w:lineRule="exact"/>
              <w:jc w:val="left"/>
              <w:rPr>
                <w:rFonts w:ascii="宋体" w:hAnsi="宋体"/>
                <w:b w:val="0"/>
                <w:szCs w:val="21"/>
              </w:rPr>
            </w:pPr>
            <w:r>
              <w:rPr>
                <w:rFonts w:hint="eastAsia" w:ascii="宋体" w:hAnsi="宋体"/>
                <w:b w:val="0"/>
                <w:szCs w:val="21"/>
              </w:rPr>
              <w:t>非本厂的工厂铁路支线、县级公路用地外缘、35</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19D06098">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7F6D6D57">
            <w:pPr>
              <w:spacing w:line="260" w:lineRule="exact"/>
              <w:rPr>
                <w:rFonts w:ascii="宋体" w:hAnsi="宋体"/>
                <w:b w:val="0"/>
                <w:szCs w:val="21"/>
              </w:rPr>
            </w:pPr>
            <w:r>
              <w:rPr>
                <w:rFonts w:ascii="宋体" w:hAnsi="宋体"/>
                <w:b w:val="0"/>
                <w:szCs w:val="21"/>
              </w:rPr>
              <w:t>70</w:t>
            </w:r>
            <w:r>
              <w:rPr>
                <w:rFonts w:hint="eastAsia" w:ascii="宋体" w:hAnsi="宋体"/>
                <w:b w:val="0"/>
                <w:szCs w:val="21"/>
              </w:rPr>
              <w:t>m范围内无本条款的所有控制项目</w:t>
            </w:r>
          </w:p>
        </w:tc>
      </w:tr>
      <w:tr w14:paraId="34066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5C54FED8">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2D15D9DF">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40A4477E">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7C925DCB">
            <w:pPr>
              <w:spacing w:line="260" w:lineRule="exact"/>
              <w:jc w:val="left"/>
              <w:rPr>
                <w:rFonts w:ascii="宋体" w:hAnsi="宋体"/>
                <w:b w:val="0"/>
                <w:szCs w:val="21"/>
              </w:rPr>
            </w:pPr>
            <w:r>
              <w:rPr>
                <w:rFonts w:hint="eastAsia" w:ascii="宋体" w:hAnsi="宋体"/>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817" w:type="dxa"/>
            <w:shd w:val="clear" w:color="auto" w:fill="auto"/>
            <w:vAlign w:val="center"/>
          </w:tcPr>
          <w:p w14:paraId="1E15A52E">
            <w:pPr>
              <w:spacing w:line="260" w:lineRule="exact"/>
              <w:jc w:val="center"/>
              <w:rPr>
                <w:rFonts w:ascii="宋体" w:hAnsi="宋体"/>
                <w:b w:val="0"/>
                <w:szCs w:val="21"/>
              </w:rPr>
            </w:pPr>
            <w:r>
              <w:rPr>
                <w:rFonts w:hint="eastAsia" w:ascii="宋体" w:hAnsi="宋体"/>
                <w:b w:val="0"/>
                <w:szCs w:val="21"/>
              </w:rPr>
              <w:t>100</w:t>
            </w:r>
          </w:p>
        </w:tc>
        <w:tc>
          <w:tcPr>
            <w:tcW w:w="2026" w:type="dxa"/>
            <w:shd w:val="clear" w:color="auto" w:fill="auto"/>
            <w:vAlign w:val="center"/>
          </w:tcPr>
          <w:p w14:paraId="53F42FAA">
            <w:pPr>
              <w:spacing w:line="260" w:lineRule="exact"/>
              <w:rPr>
                <w:rFonts w:ascii="宋体" w:hAnsi="宋体"/>
                <w:b w:val="0"/>
                <w:szCs w:val="21"/>
              </w:rPr>
            </w:pPr>
            <w:r>
              <w:rPr>
                <w:rFonts w:hint="eastAsia" w:ascii="宋体" w:hAnsi="宋体"/>
                <w:b w:val="0"/>
                <w:szCs w:val="21"/>
              </w:rPr>
              <w:t>100m范围内无条款的所有控制项目</w:t>
            </w:r>
            <w:r>
              <w:rPr>
                <w:rFonts w:ascii="宋体" w:hAnsi="宋体"/>
                <w:b w:val="0"/>
                <w:szCs w:val="21"/>
              </w:rPr>
              <w:t xml:space="preserve"> </w:t>
            </w:r>
          </w:p>
        </w:tc>
      </w:tr>
      <w:tr w14:paraId="4642B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shd w:val="clear" w:color="auto" w:fill="auto"/>
            <w:vAlign w:val="center"/>
          </w:tcPr>
          <w:p w14:paraId="3B7604DB">
            <w:pPr>
              <w:widowControl/>
              <w:autoSpaceDE w:val="0"/>
              <w:autoSpaceDN w:val="0"/>
              <w:adjustRightInd w:val="0"/>
              <w:snapToGrid w:val="0"/>
              <w:spacing w:line="260" w:lineRule="exact"/>
              <w:jc w:val="center"/>
              <w:textAlignment w:val="baseline"/>
              <w:rPr>
                <w:rFonts w:ascii="宋体" w:hAnsi="宋体"/>
                <w:b w:val="0"/>
                <w:szCs w:val="21"/>
              </w:rPr>
            </w:pPr>
            <w:r>
              <w:rPr>
                <w:rFonts w:ascii="宋体" w:hAnsi="宋体"/>
                <w:b w:val="0"/>
                <w:szCs w:val="21"/>
              </w:rPr>
              <w:t>5#</w:t>
            </w:r>
            <w:r>
              <w:rPr>
                <w:rFonts w:hint="eastAsia" w:ascii="宋体" w:hAnsi="宋体"/>
                <w:b w:val="0"/>
                <w:szCs w:val="21"/>
              </w:rPr>
              <w:t>库房</w:t>
            </w:r>
          </w:p>
        </w:tc>
        <w:tc>
          <w:tcPr>
            <w:tcW w:w="708" w:type="dxa"/>
            <w:vMerge w:val="restart"/>
            <w:shd w:val="clear" w:color="auto" w:fill="auto"/>
            <w:vAlign w:val="center"/>
          </w:tcPr>
          <w:p w14:paraId="0E49387E">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hint="eastAsia" w:ascii="宋体" w:hAnsi="宋体" w:cs="宋体"/>
                <w:b w:val="0"/>
                <w:snapToGrid w:val="0"/>
                <w:spacing w:val="-1"/>
                <w:kern w:val="0"/>
                <w:szCs w:val="21"/>
              </w:rPr>
              <w:t>1</w:t>
            </w:r>
            <w:r>
              <w:rPr>
                <w:rFonts w:ascii="宋体" w:hAnsi="宋体" w:cs="宋体"/>
                <w:b w:val="0"/>
                <w:snapToGrid w:val="0"/>
                <w:spacing w:val="-1"/>
                <w:kern w:val="0"/>
                <w:szCs w:val="21"/>
              </w:rPr>
              <w:t>.3</w:t>
            </w:r>
          </w:p>
        </w:tc>
        <w:tc>
          <w:tcPr>
            <w:tcW w:w="1088" w:type="dxa"/>
            <w:vMerge w:val="restart"/>
            <w:shd w:val="clear" w:color="auto" w:fill="auto"/>
            <w:vAlign w:val="center"/>
          </w:tcPr>
          <w:p w14:paraId="39C66E36">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ascii="宋体" w:hAnsi="宋体" w:cs="宋体"/>
                <w:b w:val="0"/>
                <w:snapToGrid w:val="0"/>
                <w:spacing w:val="-1"/>
                <w:kern w:val="0"/>
                <w:szCs w:val="21"/>
              </w:rPr>
              <w:t>19.8</w:t>
            </w:r>
          </w:p>
        </w:tc>
        <w:tc>
          <w:tcPr>
            <w:tcW w:w="3582" w:type="dxa"/>
            <w:shd w:val="clear" w:color="auto" w:fill="auto"/>
            <w:vAlign w:val="center"/>
          </w:tcPr>
          <w:p w14:paraId="2BEE7CD2">
            <w:pPr>
              <w:spacing w:line="260" w:lineRule="exact"/>
              <w:jc w:val="left"/>
              <w:rPr>
                <w:rFonts w:ascii="宋体" w:hAnsi="宋体"/>
                <w:b w:val="0"/>
                <w:szCs w:val="21"/>
              </w:rPr>
            </w:pPr>
            <w:r>
              <w:rPr>
                <w:rFonts w:ascii="宋体" w:hAnsi="宋体"/>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817" w:type="dxa"/>
            <w:shd w:val="clear" w:color="auto" w:fill="auto"/>
            <w:vAlign w:val="center"/>
          </w:tcPr>
          <w:p w14:paraId="60E912CE">
            <w:pPr>
              <w:spacing w:line="260" w:lineRule="exact"/>
              <w:jc w:val="center"/>
              <w:rPr>
                <w:rFonts w:ascii="宋体" w:hAnsi="宋体"/>
                <w:b w:val="0"/>
                <w:szCs w:val="21"/>
              </w:rPr>
            </w:pPr>
            <w:r>
              <w:rPr>
                <w:rFonts w:hint="eastAsia" w:ascii="宋体" w:hAnsi="宋体"/>
                <w:b w:val="0"/>
                <w:szCs w:val="21"/>
              </w:rPr>
              <w:t>85</w:t>
            </w:r>
          </w:p>
        </w:tc>
        <w:tc>
          <w:tcPr>
            <w:tcW w:w="2026" w:type="dxa"/>
            <w:shd w:val="clear" w:color="auto" w:fill="auto"/>
            <w:vAlign w:val="center"/>
          </w:tcPr>
          <w:p w14:paraId="71C35CFD">
            <w:pPr>
              <w:spacing w:line="260" w:lineRule="exact"/>
              <w:rPr>
                <w:rFonts w:ascii="宋体" w:hAnsi="宋体"/>
                <w:b w:val="0"/>
                <w:szCs w:val="21"/>
              </w:rPr>
            </w:pPr>
            <w:r>
              <w:rPr>
                <w:rFonts w:hint="eastAsia" w:ascii="宋体" w:hAnsi="宋体"/>
                <w:b w:val="0"/>
                <w:szCs w:val="21"/>
              </w:rPr>
              <w:t>85m范围内无本条款的所有控制项目</w:t>
            </w:r>
          </w:p>
        </w:tc>
      </w:tr>
      <w:tr w14:paraId="5B2B8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72061DC0">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35AD48D2">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2895F924">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05BC51EE">
            <w:pPr>
              <w:spacing w:line="260" w:lineRule="exact"/>
              <w:jc w:val="left"/>
              <w:rPr>
                <w:rFonts w:ascii="宋体" w:hAnsi="宋体"/>
                <w:b w:val="0"/>
                <w:szCs w:val="21"/>
              </w:rPr>
            </w:pPr>
            <w:r>
              <w:rPr>
                <w:rFonts w:ascii="宋体" w:hAnsi="宋体"/>
                <w:b w:val="0"/>
                <w:szCs w:val="21"/>
              </w:rPr>
              <w:t>人数大于50人</w:t>
            </w:r>
            <w:r>
              <w:rPr>
                <w:rFonts w:hint="eastAsia" w:ascii="宋体" w:hAnsi="宋体"/>
                <w:b w:val="0"/>
                <w:szCs w:val="21"/>
              </w:rPr>
              <w:t>的居民点边缘、职工人数大于50人的企业围墙、有摘挂作业的铁路车站站界及建筑物边缘、110</w:t>
            </w:r>
            <w:r>
              <w:rPr>
                <w:rFonts w:ascii="宋体" w:hAnsi="宋体"/>
                <w:b w:val="0"/>
                <w:szCs w:val="21"/>
              </w:rPr>
              <w:t>kV</w:t>
            </w:r>
            <w:r>
              <w:rPr>
                <w:rFonts w:hint="eastAsia" w:ascii="宋体" w:hAnsi="宋体"/>
                <w:b w:val="0"/>
                <w:szCs w:val="21"/>
              </w:rPr>
              <w:t>区域变电站围墙、220</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0334FCEA">
            <w:pPr>
              <w:spacing w:line="260" w:lineRule="exact"/>
              <w:jc w:val="center"/>
              <w:rPr>
                <w:rFonts w:ascii="宋体" w:hAnsi="宋体"/>
                <w:b w:val="0"/>
                <w:szCs w:val="21"/>
              </w:rPr>
            </w:pPr>
            <w:r>
              <w:rPr>
                <w:rFonts w:hint="eastAsia" w:ascii="宋体" w:hAnsi="宋体"/>
                <w:b w:val="0"/>
                <w:szCs w:val="21"/>
              </w:rPr>
              <w:t>140</w:t>
            </w:r>
          </w:p>
        </w:tc>
        <w:tc>
          <w:tcPr>
            <w:tcW w:w="2026" w:type="dxa"/>
            <w:shd w:val="clear" w:color="auto" w:fill="auto"/>
            <w:vAlign w:val="center"/>
          </w:tcPr>
          <w:p w14:paraId="4C6B7D6A">
            <w:pPr>
              <w:spacing w:line="260" w:lineRule="exact"/>
              <w:rPr>
                <w:rFonts w:ascii="宋体" w:hAnsi="宋体"/>
                <w:b w:val="0"/>
                <w:szCs w:val="21"/>
              </w:rPr>
            </w:pPr>
            <w:r>
              <w:rPr>
                <w:rFonts w:ascii="宋体" w:hAnsi="宋体"/>
                <w:b w:val="0"/>
                <w:szCs w:val="21"/>
              </w:rPr>
              <w:t>140</w:t>
            </w:r>
            <w:r>
              <w:rPr>
                <w:rFonts w:hint="eastAsia" w:ascii="宋体" w:hAnsi="宋体"/>
                <w:b w:val="0"/>
                <w:szCs w:val="21"/>
              </w:rPr>
              <w:t>m范围内无本条款的所有控制项目；</w:t>
            </w:r>
          </w:p>
        </w:tc>
      </w:tr>
      <w:tr w14:paraId="603EF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691C3F79">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46877F5B">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54A7FC2A">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4779C230">
            <w:pPr>
              <w:spacing w:line="260" w:lineRule="exact"/>
              <w:jc w:val="left"/>
              <w:rPr>
                <w:rFonts w:ascii="宋体" w:hAnsi="宋体"/>
                <w:b w:val="0"/>
                <w:szCs w:val="21"/>
              </w:rPr>
            </w:pPr>
            <w:r>
              <w:rPr>
                <w:rFonts w:hint="eastAsia" w:ascii="宋体" w:hAnsi="宋体"/>
                <w:b w:val="0"/>
                <w:szCs w:val="21"/>
              </w:rPr>
              <w:t>城镇规划边缘、学校、220</w:t>
            </w:r>
            <w:r>
              <w:rPr>
                <w:rFonts w:ascii="宋体" w:hAnsi="宋体"/>
                <w:b w:val="0"/>
                <w:szCs w:val="21"/>
              </w:rPr>
              <w:t>kV</w:t>
            </w:r>
            <w:r>
              <w:rPr>
                <w:rFonts w:hint="eastAsia" w:ascii="宋体" w:hAnsi="宋体"/>
                <w:b w:val="0"/>
                <w:szCs w:val="21"/>
              </w:rPr>
              <w:t>及以上的区域变电站围墙、220</w:t>
            </w:r>
            <w:r>
              <w:rPr>
                <w:rFonts w:ascii="宋体" w:hAnsi="宋体"/>
                <w:b w:val="0"/>
                <w:szCs w:val="21"/>
              </w:rPr>
              <w:t>kV</w:t>
            </w:r>
            <w:r>
              <w:rPr>
                <w:rFonts w:hint="eastAsia" w:ascii="宋体" w:hAnsi="宋体"/>
                <w:b w:val="0"/>
                <w:szCs w:val="21"/>
              </w:rPr>
              <w:t>以上的架空输电线路</w:t>
            </w:r>
          </w:p>
        </w:tc>
        <w:tc>
          <w:tcPr>
            <w:tcW w:w="817" w:type="dxa"/>
            <w:shd w:val="clear" w:color="auto" w:fill="auto"/>
            <w:vAlign w:val="center"/>
          </w:tcPr>
          <w:p w14:paraId="26D18E20">
            <w:pPr>
              <w:spacing w:line="260" w:lineRule="exact"/>
              <w:jc w:val="center"/>
              <w:rPr>
                <w:rFonts w:ascii="宋体" w:hAnsi="宋体"/>
                <w:b w:val="0"/>
                <w:szCs w:val="21"/>
              </w:rPr>
            </w:pPr>
            <w:r>
              <w:rPr>
                <w:rFonts w:hint="eastAsia" w:ascii="宋体" w:hAnsi="宋体"/>
                <w:b w:val="0"/>
                <w:szCs w:val="21"/>
              </w:rPr>
              <w:t>250</w:t>
            </w:r>
          </w:p>
        </w:tc>
        <w:tc>
          <w:tcPr>
            <w:tcW w:w="2026" w:type="dxa"/>
            <w:shd w:val="clear" w:color="auto" w:fill="auto"/>
            <w:vAlign w:val="center"/>
          </w:tcPr>
          <w:p w14:paraId="7D099BD5">
            <w:pPr>
              <w:spacing w:line="260" w:lineRule="exact"/>
              <w:rPr>
                <w:rFonts w:ascii="宋体" w:hAnsi="宋体"/>
                <w:b w:val="0"/>
                <w:szCs w:val="21"/>
              </w:rPr>
            </w:pPr>
            <w:r>
              <w:rPr>
                <w:rFonts w:hint="eastAsia" w:ascii="宋体" w:hAnsi="宋体"/>
                <w:b w:val="0"/>
                <w:szCs w:val="21"/>
              </w:rPr>
              <w:t xml:space="preserve">250m范围内无本条款的所有控制项目 </w:t>
            </w:r>
          </w:p>
        </w:tc>
      </w:tr>
      <w:tr w14:paraId="624DA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12554CFF">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2931CDC3">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60669BA8">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24A9ED4C">
            <w:pPr>
              <w:spacing w:line="260" w:lineRule="exact"/>
              <w:jc w:val="left"/>
              <w:rPr>
                <w:rFonts w:ascii="宋体" w:hAnsi="宋体"/>
                <w:b w:val="0"/>
                <w:szCs w:val="21"/>
              </w:rPr>
            </w:pPr>
            <w:r>
              <w:rPr>
                <w:rFonts w:hint="eastAsia" w:ascii="宋体" w:hAnsi="宋体"/>
                <w:b w:val="0"/>
                <w:szCs w:val="21"/>
              </w:rPr>
              <w:t>国家铁路线、省级以上公路用地外缘、通航的河流航道边缘</w:t>
            </w:r>
          </w:p>
        </w:tc>
        <w:tc>
          <w:tcPr>
            <w:tcW w:w="817" w:type="dxa"/>
            <w:shd w:val="clear" w:color="auto" w:fill="auto"/>
            <w:vAlign w:val="center"/>
          </w:tcPr>
          <w:p w14:paraId="562A2777">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1E30CB4F">
            <w:pPr>
              <w:spacing w:line="260" w:lineRule="exact"/>
              <w:rPr>
                <w:rFonts w:ascii="宋体" w:hAnsi="宋体"/>
                <w:b w:val="0"/>
                <w:szCs w:val="21"/>
              </w:rPr>
            </w:pPr>
            <w:r>
              <w:rPr>
                <w:rFonts w:hint="eastAsia" w:ascii="宋体" w:hAnsi="宋体"/>
                <w:b w:val="0"/>
                <w:szCs w:val="21"/>
              </w:rPr>
              <w:t>70m范围内无本条款的所有控制项目；</w:t>
            </w:r>
          </w:p>
        </w:tc>
      </w:tr>
      <w:tr w14:paraId="66643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58A6BC12">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36A1BB94">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7EA86B6A">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1B301908">
            <w:pPr>
              <w:spacing w:line="260" w:lineRule="exact"/>
              <w:jc w:val="left"/>
              <w:rPr>
                <w:rFonts w:ascii="宋体" w:hAnsi="宋体"/>
                <w:b w:val="0"/>
                <w:szCs w:val="21"/>
              </w:rPr>
            </w:pPr>
            <w:r>
              <w:rPr>
                <w:rFonts w:hint="eastAsia" w:ascii="宋体" w:hAnsi="宋体"/>
                <w:b w:val="0"/>
                <w:szCs w:val="21"/>
              </w:rPr>
              <w:t>非本厂的工厂铁路支线、县级公路用地外缘、35</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30D2B67E">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27C8A653">
            <w:pPr>
              <w:spacing w:line="260" w:lineRule="exact"/>
              <w:rPr>
                <w:rFonts w:ascii="宋体" w:hAnsi="宋体"/>
                <w:b w:val="0"/>
                <w:szCs w:val="21"/>
              </w:rPr>
            </w:pPr>
            <w:r>
              <w:rPr>
                <w:rFonts w:ascii="宋体" w:hAnsi="宋体"/>
                <w:b w:val="0"/>
                <w:szCs w:val="21"/>
              </w:rPr>
              <w:t>70</w:t>
            </w:r>
            <w:r>
              <w:rPr>
                <w:rFonts w:hint="eastAsia" w:ascii="宋体" w:hAnsi="宋体"/>
                <w:b w:val="0"/>
                <w:szCs w:val="21"/>
              </w:rPr>
              <w:t>m范围内无本条款的所有控制项目</w:t>
            </w:r>
          </w:p>
        </w:tc>
      </w:tr>
      <w:tr w14:paraId="6EB99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4947B798">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36E23C9F">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623A3C92">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589C7545">
            <w:pPr>
              <w:spacing w:line="260" w:lineRule="exact"/>
              <w:jc w:val="left"/>
              <w:rPr>
                <w:rFonts w:ascii="宋体" w:hAnsi="宋体"/>
                <w:b w:val="0"/>
                <w:szCs w:val="21"/>
              </w:rPr>
            </w:pPr>
            <w:r>
              <w:rPr>
                <w:rFonts w:hint="eastAsia" w:ascii="宋体" w:hAnsi="宋体"/>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817" w:type="dxa"/>
            <w:shd w:val="clear" w:color="auto" w:fill="auto"/>
            <w:vAlign w:val="center"/>
          </w:tcPr>
          <w:p w14:paraId="3C536E34">
            <w:pPr>
              <w:spacing w:line="260" w:lineRule="exact"/>
              <w:jc w:val="center"/>
              <w:rPr>
                <w:rFonts w:ascii="宋体" w:hAnsi="宋体"/>
                <w:b w:val="0"/>
                <w:szCs w:val="21"/>
              </w:rPr>
            </w:pPr>
            <w:r>
              <w:rPr>
                <w:rFonts w:hint="eastAsia" w:ascii="宋体" w:hAnsi="宋体"/>
                <w:b w:val="0"/>
                <w:szCs w:val="21"/>
              </w:rPr>
              <w:t>100</w:t>
            </w:r>
          </w:p>
        </w:tc>
        <w:tc>
          <w:tcPr>
            <w:tcW w:w="2026" w:type="dxa"/>
            <w:shd w:val="clear" w:color="auto" w:fill="auto"/>
            <w:vAlign w:val="center"/>
          </w:tcPr>
          <w:p w14:paraId="48165625">
            <w:pPr>
              <w:spacing w:line="260" w:lineRule="exact"/>
              <w:rPr>
                <w:rFonts w:ascii="宋体" w:hAnsi="宋体"/>
                <w:b w:val="0"/>
                <w:szCs w:val="21"/>
              </w:rPr>
            </w:pPr>
            <w:r>
              <w:rPr>
                <w:rFonts w:hint="eastAsia" w:ascii="宋体" w:hAnsi="宋体"/>
                <w:b w:val="0"/>
                <w:szCs w:val="21"/>
              </w:rPr>
              <w:t>100m范围内无条款的所有控制项目</w:t>
            </w:r>
            <w:r>
              <w:rPr>
                <w:rFonts w:ascii="宋体" w:hAnsi="宋体"/>
                <w:b w:val="0"/>
                <w:szCs w:val="21"/>
              </w:rPr>
              <w:t xml:space="preserve"> </w:t>
            </w:r>
          </w:p>
        </w:tc>
      </w:tr>
      <w:tr w14:paraId="0C1BD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shd w:val="clear" w:color="auto" w:fill="auto"/>
            <w:vAlign w:val="center"/>
          </w:tcPr>
          <w:p w14:paraId="558AF35C">
            <w:pPr>
              <w:widowControl/>
              <w:autoSpaceDE w:val="0"/>
              <w:autoSpaceDN w:val="0"/>
              <w:adjustRightInd w:val="0"/>
              <w:snapToGrid w:val="0"/>
              <w:spacing w:line="260" w:lineRule="exact"/>
              <w:jc w:val="center"/>
              <w:textAlignment w:val="baseline"/>
              <w:rPr>
                <w:rFonts w:ascii="宋体" w:hAnsi="宋体"/>
                <w:b w:val="0"/>
                <w:szCs w:val="21"/>
              </w:rPr>
            </w:pPr>
            <w:r>
              <w:rPr>
                <w:rFonts w:ascii="宋体" w:hAnsi="宋体"/>
                <w:b w:val="0"/>
                <w:szCs w:val="21"/>
              </w:rPr>
              <w:t>6#</w:t>
            </w:r>
            <w:r>
              <w:rPr>
                <w:rFonts w:hint="eastAsia" w:ascii="宋体" w:hAnsi="宋体"/>
                <w:b w:val="0"/>
                <w:szCs w:val="21"/>
              </w:rPr>
              <w:t>库房</w:t>
            </w:r>
          </w:p>
        </w:tc>
        <w:tc>
          <w:tcPr>
            <w:tcW w:w="708" w:type="dxa"/>
            <w:vMerge w:val="restart"/>
            <w:shd w:val="clear" w:color="auto" w:fill="auto"/>
            <w:vAlign w:val="center"/>
          </w:tcPr>
          <w:p w14:paraId="04B4A932">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hint="eastAsia" w:ascii="宋体" w:hAnsi="宋体" w:cs="宋体"/>
                <w:b w:val="0"/>
                <w:snapToGrid w:val="0"/>
                <w:spacing w:val="-1"/>
                <w:kern w:val="0"/>
                <w:szCs w:val="21"/>
              </w:rPr>
              <w:t>1</w:t>
            </w:r>
            <w:r>
              <w:rPr>
                <w:rFonts w:ascii="宋体" w:hAnsi="宋体" w:cs="宋体"/>
                <w:b w:val="0"/>
                <w:snapToGrid w:val="0"/>
                <w:spacing w:val="-1"/>
                <w:kern w:val="0"/>
                <w:szCs w:val="21"/>
              </w:rPr>
              <w:t>.3</w:t>
            </w:r>
          </w:p>
        </w:tc>
        <w:tc>
          <w:tcPr>
            <w:tcW w:w="1088" w:type="dxa"/>
            <w:vMerge w:val="restart"/>
            <w:shd w:val="clear" w:color="auto" w:fill="auto"/>
            <w:vAlign w:val="center"/>
          </w:tcPr>
          <w:p w14:paraId="609451FC">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ascii="宋体" w:hAnsi="宋体" w:cs="宋体"/>
                <w:b w:val="0"/>
                <w:snapToGrid w:val="0"/>
                <w:spacing w:val="-1"/>
                <w:kern w:val="0"/>
                <w:szCs w:val="21"/>
              </w:rPr>
              <w:t>19.8</w:t>
            </w:r>
          </w:p>
        </w:tc>
        <w:tc>
          <w:tcPr>
            <w:tcW w:w="3582" w:type="dxa"/>
            <w:shd w:val="clear" w:color="auto" w:fill="auto"/>
            <w:vAlign w:val="center"/>
          </w:tcPr>
          <w:p w14:paraId="0F9E18F0">
            <w:pPr>
              <w:spacing w:line="260" w:lineRule="exact"/>
              <w:jc w:val="left"/>
              <w:rPr>
                <w:rFonts w:ascii="宋体" w:hAnsi="宋体"/>
                <w:b w:val="0"/>
                <w:szCs w:val="21"/>
              </w:rPr>
            </w:pPr>
            <w:r>
              <w:rPr>
                <w:rFonts w:ascii="宋体" w:hAnsi="宋体"/>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817" w:type="dxa"/>
            <w:shd w:val="clear" w:color="auto" w:fill="auto"/>
            <w:vAlign w:val="center"/>
          </w:tcPr>
          <w:p w14:paraId="057EF22D">
            <w:pPr>
              <w:spacing w:line="260" w:lineRule="exact"/>
              <w:jc w:val="center"/>
              <w:rPr>
                <w:rFonts w:ascii="宋体" w:hAnsi="宋体"/>
                <w:b w:val="0"/>
                <w:szCs w:val="21"/>
              </w:rPr>
            </w:pPr>
            <w:r>
              <w:rPr>
                <w:rFonts w:hint="eastAsia" w:ascii="宋体" w:hAnsi="宋体"/>
                <w:b w:val="0"/>
                <w:szCs w:val="21"/>
              </w:rPr>
              <w:t>85</w:t>
            </w:r>
          </w:p>
        </w:tc>
        <w:tc>
          <w:tcPr>
            <w:tcW w:w="2026" w:type="dxa"/>
            <w:shd w:val="clear" w:color="auto" w:fill="auto"/>
            <w:vAlign w:val="center"/>
          </w:tcPr>
          <w:p w14:paraId="042B22FA">
            <w:pPr>
              <w:spacing w:line="260" w:lineRule="exact"/>
              <w:rPr>
                <w:rFonts w:ascii="宋体" w:hAnsi="宋体"/>
                <w:b w:val="0"/>
                <w:szCs w:val="21"/>
              </w:rPr>
            </w:pPr>
            <w:r>
              <w:rPr>
                <w:rFonts w:hint="eastAsia" w:ascii="宋体" w:hAnsi="宋体"/>
                <w:b w:val="0"/>
                <w:szCs w:val="21"/>
              </w:rPr>
              <w:t>85m范围内无本条款的所有控制项目</w:t>
            </w:r>
          </w:p>
        </w:tc>
      </w:tr>
      <w:tr w14:paraId="09DE0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55BD48F6">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148014E3">
            <w:pPr>
              <w:widowControl/>
              <w:autoSpaceDE w:val="0"/>
              <w:autoSpaceDN w:val="0"/>
              <w:adjustRightInd w:val="0"/>
              <w:snapToGrid w:val="0"/>
              <w:spacing w:line="260" w:lineRule="exact"/>
              <w:jc w:val="center"/>
              <w:textAlignment w:val="baseline"/>
              <w:rPr>
                <w:rFonts w:ascii="宋体" w:hAnsi="宋体" w:cs="宋体"/>
                <w:b w:val="0"/>
                <w:snapToGrid w:val="0"/>
                <w:color w:val="FF0000"/>
                <w:spacing w:val="-1"/>
                <w:kern w:val="0"/>
                <w:szCs w:val="21"/>
                <w:highlight w:val="yellow"/>
              </w:rPr>
            </w:pPr>
          </w:p>
        </w:tc>
        <w:tc>
          <w:tcPr>
            <w:tcW w:w="1088" w:type="dxa"/>
            <w:vMerge w:val="continue"/>
            <w:shd w:val="clear" w:color="auto" w:fill="auto"/>
            <w:vAlign w:val="center"/>
          </w:tcPr>
          <w:p w14:paraId="0ED5721B">
            <w:pPr>
              <w:widowControl/>
              <w:autoSpaceDE w:val="0"/>
              <w:autoSpaceDN w:val="0"/>
              <w:adjustRightInd w:val="0"/>
              <w:snapToGrid w:val="0"/>
              <w:spacing w:line="260" w:lineRule="exact"/>
              <w:jc w:val="center"/>
              <w:textAlignment w:val="baseline"/>
              <w:rPr>
                <w:rFonts w:ascii="宋体" w:hAnsi="宋体" w:cs="宋体"/>
                <w:b w:val="0"/>
                <w:snapToGrid w:val="0"/>
                <w:color w:val="FF0000"/>
                <w:spacing w:val="-1"/>
                <w:kern w:val="0"/>
                <w:szCs w:val="21"/>
                <w:highlight w:val="yellow"/>
              </w:rPr>
            </w:pPr>
          </w:p>
        </w:tc>
        <w:tc>
          <w:tcPr>
            <w:tcW w:w="3582" w:type="dxa"/>
            <w:shd w:val="clear" w:color="auto" w:fill="auto"/>
            <w:vAlign w:val="center"/>
          </w:tcPr>
          <w:p w14:paraId="0A3A89BB">
            <w:pPr>
              <w:spacing w:line="260" w:lineRule="exact"/>
              <w:jc w:val="left"/>
              <w:rPr>
                <w:rFonts w:ascii="宋体" w:hAnsi="宋体"/>
                <w:b w:val="0"/>
                <w:szCs w:val="21"/>
              </w:rPr>
            </w:pPr>
            <w:r>
              <w:rPr>
                <w:rFonts w:ascii="宋体" w:hAnsi="宋体"/>
                <w:b w:val="0"/>
                <w:szCs w:val="21"/>
              </w:rPr>
              <w:t>人数大于50人</w:t>
            </w:r>
            <w:r>
              <w:rPr>
                <w:rFonts w:hint="eastAsia" w:ascii="宋体" w:hAnsi="宋体"/>
                <w:b w:val="0"/>
                <w:szCs w:val="21"/>
              </w:rPr>
              <w:t>的居民点边缘、职工人数大于50人的企业围墙、有摘挂作业的铁路车站站界及建筑物边缘、110</w:t>
            </w:r>
            <w:r>
              <w:rPr>
                <w:rFonts w:ascii="宋体" w:hAnsi="宋体"/>
                <w:b w:val="0"/>
                <w:szCs w:val="21"/>
              </w:rPr>
              <w:t>kV</w:t>
            </w:r>
            <w:r>
              <w:rPr>
                <w:rFonts w:hint="eastAsia" w:ascii="宋体" w:hAnsi="宋体"/>
                <w:b w:val="0"/>
                <w:szCs w:val="21"/>
              </w:rPr>
              <w:t>区域变电站围墙、220</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2C5CC428">
            <w:pPr>
              <w:spacing w:line="260" w:lineRule="exact"/>
              <w:jc w:val="center"/>
              <w:rPr>
                <w:rFonts w:ascii="宋体" w:hAnsi="宋体"/>
                <w:b w:val="0"/>
                <w:szCs w:val="21"/>
              </w:rPr>
            </w:pPr>
            <w:r>
              <w:rPr>
                <w:rFonts w:hint="eastAsia" w:ascii="宋体" w:hAnsi="宋体"/>
                <w:b w:val="0"/>
                <w:szCs w:val="21"/>
              </w:rPr>
              <w:t>140</w:t>
            </w:r>
          </w:p>
        </w:tc>
        <w:tc>
          <w:tcPr>
            <w:tcW w:w="2026" w:type="dxa"/>
            <w:shd w:val="clear" w:color="auto" w:fill="auto"/>
            <w:vAlign w:val="center"/>
          </w:tcPr>
          <w:p w14:paraId="509776EE">
            <w:pPr>
              <w:spacing w:line="260" w:lineRule="exact"/>
              <w:rPr>
                <w:rFonts w:ascii="宋体" w:hAnsi="宋体"/>
                <w:b w:val="0"/>
                <w:szCs w:val="21"/>
              </w:rPr>
            </w:pPr>
            <w:r>
              <w:rPr>
                <w:rFonts w:ascii="宋体" w:hAnsi="宋体"/>
                <w:b w:val="0"/>
                <w:szCs w:val="21"/>
              </w:rPr>
              <w:t>140</w:t>
            </w:r>
            <w:r>
              <w:rPr>
                <w:rFonts w:hint="eastAsia" w:ascii="宋体" w:hAnsi="宋体"/>
                <w:b w:val="0"/>
                <w:szCs w:val="21"/>
              </w:rPr>
              <w:t>m范围内无本条款的所有控制项目；</w:t>
            </w:r>
          </w:p>
        </w:tc>
      </w:tr>
      <w:tr w14:paraId="30DF0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2BFA46A4">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724CE0DA">
            <w:pPr>
              <w:widowControl/>
              <w:autoSpaceDE w:val="0"/>
              <w:autoSpaceDN w:val="0"/>
              <w:adjustRightInd w:val="0"/>
              <w:snapToGrid w:val="0"/>
              <w:spacing w:line="260" w:lineRule="exact"/>
              <w:jc w:val="center"/>
              <w:textAlignment w:val="baseline"/>
              <w:rPr>
                <w:rFonts w:ascii="宋体" w:hAnsi="宋体" w:cs="宋体"/>
                <w:b w:val="0"/>
                <w:snapToGrid w:val="0"/>
                <w:color w:val="FF0000"/>
                <w:spacing w:val="-1"/>
                <w:kern w:val="0"/>
                <w:szCs w:val="21"/>
                <w:highlight w:val="yellow"/>
              </w:rPr>
            </w:pPr>
          </w:p>
        </w:tc>
        <w:tc>
          <w:tcPr>
            <w:tcW w:w="1088" w:type="dxa"/>
            <w:vMerge w:val="continue"/>
            <w:shd w:val="clear" w:color="auto" w:fill="auto"/>
            <w:vAlign w:val="center"/>
          </w:tcPr>
          <w:p w14:paraId="71D3B678">
            <w:pPr>
              <w:widowControl/>
              <w:autoSpaceDE w:val="0"/>
              <w:autoSpaceDN w:val="0"/>
              <w:adjustRightInd w:val="0"/>
              <w:snapToGrid w:val="0"/>
              <w:spacing w:line="260" w:lineRule="exact"/>
              <w:jc w:val="center"/>
              <w:textAlignment w:val="baseline"/>
              <w:rPr>
                <w:rFonts w:ascii="宋体" w:hAnsi="宋体" w:cs="宋体"/>
                <w:b w:val="0"/>
                <w:snapToGrid w:val="0"/>
                <w:color w:val="FF0000"/>
                <w:spacing w:val="-1"/>
                <w:kern w:val="0"/>
                <w:szCs w:val="21"/>
                <w:highlight w:val="yellow"/>
              </w:rPr>
            </w:pPr>
          </w:p>
        </w:tc>
        <w:tc>
          <w:tcPr>
            <w:tcW w:w="3582" w:type="dxa"/>
            <w:shd w:val="clear" w:color="auto" w:fill="auto"/>
            <w:vAlign w:val="center"/>
          </w:tcPr>
          <w:p w14:paraId="5877D12D">
            <w:pPr>
              <w:spacing w:line="260" w:lineRule="exact"/>
              <w:jc w:val="left"/>
              <w:rPr>
                <w:rFonts w:ascii="宋体" w:hAnsi="宋体"/>
                <w:b w:val="0"/>
                <w:szCs w:val="21"/>
              </w:rPr>
            </w:pPr>
            <w:r>
              <w:rPr>
                <w:rFonts w:hint="eastAsia" w:ascii="宋体" w:hAnsi="宋体"/>
                <w:b w:val="0"/>
                <w:szCs w:val="21"/>
              </w:rPr>
              <w:t>城镇规划边缘、学校、220</w:t>
            </w:r>
            <w:r>
              <w:rPr>
                <w:rFonts w:ascii="宋体" w:hAnsi="宋体"/>
                <w:b w:val="0"/>
                <w:szCs w:val="21"/>
              </w:rPr>
              <w:t>kV</w:t>
            </w:r>
            <w:r>
              <w:rPr>
                <w:rFonts w:hint="eastAsia" w:ascii="宋体" w:hAnsi="宋体"/>
                <w:b w:val="0"/>
                <w:szCs w:val="21"/>
              </w:rPr>
              <w:t>及以上的区域变电站围墙、220</w:t>
            </w:r>
            <w:r>
              <w:rPr>
                <w:rFonts w:ascii="宋体" w:hAnsi="宋体"/>
                <w:b w:val="0"/>
                <w:szCs w:val="21"/>
              </w:rPr>
              <w:t>kV</w:t>
            </w:r>
            <w:r>
              <w:rPr>
                <w:rFonts w:hint="eastAsia" w:ascii="宋体" w:hAnsi="宋体"/>
                <w:b w:val="0"/>
                <w:szCs w:val="21"/>
              </w:rPr>
              <w:t>以上的架空输电线路</w:t>
            </w:r>
          </w:p>
        </w:tc>
        <w:tc>
          <w:tcPr>
            <w:tcW w:w="817" w:type="dxa"/>
            <w:shd w:val="clear" w:color="auto" w:fill="auto"/>
            <w:vAlign w:val="center"/>
          </w:tcPr>
          <w:p w14:paraId="36B4DDCD">
            <w:pPr>
              <w:spacing w:line="260" w:lineRule="exact"/>
              <w:jc w:val="center"/>
              <w:rPr>
                <w:rFonts w:ascii="宋体" w:hAnsi="宋体"/>
                <w:b w:val="0"/>
                <w:szCs w:val="21"/>
              </w:rPr>
            </w:pPr>
            <w:r>
              <w:rPr>
                <w:rFonts w:hint="eastAsia" w:ascii="宋体" w:hAnsi="宋体"/>
                <w:b w:val="0"/>
                <w:szCs w:val="21"/>
              </w:rPr>
              <w:t>250</w:t>
            </w:r>
          </w:p>
        </w:tc>
        <w:tc>
          <w:tcPr>
            <w:tcW w:w="2026" w:type="dxa"/>
            <w:shd w:val="clear" w:color="auto" w:fill="auto"/>
            <w:vAlign w:val="center"/>
          </w:tcPr>
          <w:p w14:paraId="25814B18">
            <w:pPr>
              <w:spacing w:line="260" w:lineRule="exact"/>
              <w:rPr>
                <w:rFonts w:ascii="宋体" w:hAnsi="宋体"/>
                <w:b w:val="0"/>
                <w:szCs w:val="21"/>
              </w:rPr>
            </w:pPr>
            <w:r>
              <w:rPr>
                <w:rFonts w:hint="eastAsia" w:ascii="宋体" w:hAnsi="宋体"/>
                <w:b w:val="0"/>
                <w:szCs w:val="21"/>
              </w:rPr>
              <w:t xml:space="preserve">250m范围内无本条款的所有控制项目 </w:t>
            </w:r>
          </w:p>
        </w:tc>
      </w:tr>
      <w:tr w14:paraId="6BBDE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474F5181">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37FCFA01">
            <w:pPr>
              <w:widowControl/>
              <w:autoSpaceDE w:val="0"/>
              <w:autoSpaceDN w:val="0"/>
              <w:adjustRightInd w:val="0"/>
              <w:snapToGrid w:val="0"/>
              <w:spacing w:line="260" w:lineRule="exact"/>
              <w:jc w:val="center"/>
              <w:textAlignment w:val="baseline"/>
              <w:rPr>
                <w:rFonts w:ascii="宋体" w:hAnsi="宋体" w:cs="宋体"/>
                <w:b w:val="0"/>
                <w:snapToGrid w:val="0"/>
                <w:color w:val="FF0000"/>
                <w:spacing w:val="-1"/>
                <w:kern w:val="0"/>
                <w:szCs w:val="21"/>
                <w:highlight w:val="yellow"/>
              </w:rPr>
            </w:pPr>
          </w:p>
        </w:tc>
        <w:tc>
          <w:tcPr>
            <w:tcW w:w="1088" w:type="dxa"/>
            <w:vMerge w:val="continue"/>
            <w:shd w:val="clear" w:color="auto" w:fill="auto"/>
            <w:vAlign w:val="center"/>
          </w:tcPr>
          <w:p w14:paraId="5F8909B8">
            <w:pPr>
              <w:widowControl/>
              <w:autoSpaceDE w:val="0"/>
              <w:autoSpaceDN w:val="0"/>
              <w:adjustRightInd w:val="0"/>
              <w:snapToGrid w:val="0"/>
              <w:spacing w:line="260" w:lineRule="exact"/>
              <w:jc w:val="center"/>
              <w:textAlignment w:val="baseline"/>
              <w:rPr>
                <w:rFonts w:ascii="宋体" w:hAnsi="宋体" w:cs="宋体"/>
                <w:b w:val="0"/>
                <w:snapToGrid w:val="0"/>
                <w:color w:val="FF0000"/>
                <w:spacing w:val="-1"/>
                <w:kern w:val="0"/>
                <w:szCs w:val="21"/>
                <w:highlight w:val="yellow"/>
              </w:rPr>
            </w:pPr>
          </w:p>
        </w:tc>
        <w:tc>
          <w:tcPr>
            <w:tcW w:w="3582" w:type="dxa"/>
            <w:shd w:val="clear" w:color="auto" w:fill="auto"/>
            <w:vAlign w:val="center"/>
          </w:tcPr>
          <w:p w14:paraId="6DA4C51E">
            <w:pPr>
              <w:spacing w:line="260" w:lineRule="exact"/>
              <w:jc w:val="left"/>
              <w:rPr>
                <w:rFonts w:ascii="宋体" w:hAnsi="宋体"/>
                <w:b w:val="0"/>
                <w:szCs w:val="21"/>
              </w:rPr>
            </w:pPr>
            <w:r>
              <w:rPr>
                <w:rFonts w:hint="eastAsia" w:ascii="宋体" w:hAnsi="宋体"/>
                <w:b w:val="0"/>
                <w:szCs w:val="21"/>
              </w:rPr>
              <w:t>国家铁路线、省级以上公路用地外缘、通航的河流航道边缘</w:t>
            </w:r>
          </w:p>
        </w:tc>
        <w:tc>
          <w:tcPr>
            <w:tcW w:w="817" w:type="dxa"/>
            <w:shd w:val="clear" w:color="auto" w:fill="auto"/>
            <w:vAlign w:val="center"/>
          </w:tcPr>
          <w:p w14:paraId="70F26C99">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0A80CB2F">
            <w:pPr>
              <w:spacing w:line="260" w:lineRule="exact"/>
              <w:rPr>
                <w:rFonts w:ascii="宋体" w:hAnsi="宋体"/>
                <w:b w:val="0"/>
                <w:szCs w:val="21"/>
              </w:rPr>
            </w:pPr>
            <w:r>
              <w:rPr>
                <w:rFonts w:hint="eastAsia" w:ascii="宋体" w:hAnsi="宋体"/>
                <w:b w:val="0"/>
                <w:szCs w:val="21"/>
              </w:rPr>
              <w:t>70m范围内无本条款的所有控制项目；</w:t>
            </w:r>
          </w:p>
        </w:tc>
      </w:tr>
      <w:tr w14:paraId="79C8B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710C88EF">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5389C051">
            <w:pPr>
              <w:widowControl/>
              <w:autoSpaceDE w:val="0"/>
              <w:autoSpaceDN w:val="0"/>
              <w:adjustRightInd w:val="0"/>
              <w:snapToGrid w:val="0"/>
              <w:spacing w:line="260" w:lineRule="exact"/>
              <w:jc w:val="center"/>
              <w:textAlignment w:val="baseline"/>
              <w:rPr>
                <w:rFonts w:ascii="宋体" w:hAnsi="宋体" w:cs="宋体"/>
                <w:b w:val="0"/>
                <w:snapToGrid w:val="0"/>
                <w:color w:val="FF0000"/>
                <w:spacing w:val="-1"/>
                <w:kern w:val="0"/>
                <w:szCs w:val="21"/>
                <w:highlight w:val="yellow"/>
              </w:rPr>
            </w:pPr>
          </w:p>
        </w:tc>
        <w:tc>
          <w:tcPr>
            <w:tcW w:w="1088" w:type="dxa"/>
            <w:vMerge w:val="continue"/>
            <w:shd w:val="clear" w:color="auto" w:fill="auto"/>
            <w:vAlign w:val="center"/>
          </w:tcPr>
          <w:p w14:paraId="63F66851">
            <w:pPr>
              <w:widowControl/>
              <w:autoSpaceDE w:val="0"/>
              <w:autoSpaceDN w:val="0"/>
              <w:adjustRightInd w:val="0"/>
              <w:snapToGrid w:val="0"/>
              <w:spacing w:line="260" w:lineRule="exact"/>
              <w:jc w:val="center"/>
              <w:textAlignment w:val="baseline"/>
              <w:rPr>
                <w:rFonts w:ascii="宋体" w:hAnsi="宋体" w:cs="宋体"/>
                <w:b w:val="0"/>
                <w:snapToGrid w:val="0"/>
                <w:color w:val="FF0000"/>
                <w:spacing w:val="-1"/>
                <w:kern w:val="0"/>
                <w:szCs w:val="21"/>
                <w:highlight w:val="yellow"/>
              </w:rPr>
            </w:pPr>
          </w:p>
        </w:tc>
        <w:tc>
          <w:tcPr>
            <w:tcW w:w="3582" w:type="dxa"/>
            <w:shd w:val="clear" w:color="auto" w:fill="auto"/>
            <w:vAlign w:val="center"/>
          </w:tcPr>
          <w:p w14:paraId="4DC75E4F">
            <w:pPr>
              <w:spacing w:line="260" w:lineRule="exact"/>
              <w:jc w:val="left"/>
              <w:rPr>
                <w:rFonts w:ascii="宋体" w:hAnsi="宋体"/>
                <w:b w:val="0"/>
                <w:szCs w:val="21"/>
              </w:rPr>
            </w:pPr>
            <w:r>
              <w:rPr>
                <w:rFonts w:hint="eastAsia" w:ascii="宋体" w:hAnsi="宋体"/>
                <w:b w:val="0"/>
                <w:szCs w:val="21"/>
              </w:rPr>
              <w:t>非本厂的工厂铁路支线、县级公路用地外缘、35</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3EFE0518">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35835175">
            <w:pPr>
              <w:spacing w:line="260" w:lineRule="exact"/>
              <w:rPr>
                <w:rFonts w:ascii="宋体" w:hAnsi="宋体"/>
                <w:b w:val="0"/>
                <w:szCs w:val="21"/>
              </w:rPr>
            </w:pPr>
            <w:r>
              <w:rPr>
                <w:rFonts w:ascii="宋体" w:hAnsi="宋体"/>
                <w:b w:val="0"/>
                <w:szCs w:val="21"/>
              </w:rPr>
              <w:t>70</w:t>
            </w:r>
            <w:r>
              <w:rPr>
                <w:rFonts w:hint="eastAsia" w:ascii="宋体" w:hAnsi="宋体"/>
                <w:b w:val="0"/>
                <w:szCs w:val="21"/>
              </w:rPr>
              <w:t>m范围内无本条款的所有控制项目</w:t>
            </w:r>
          </w:p>
        </w:tc>
      </w:tr>
      <w:tr w14:paraId="484F5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7296A9B1">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72373FEC">
            <w:pPr>
              <w:widowControl/>
              <w:autoSpaceDE w:val="0"/>
              <w:autoSpaceDN w:val="0"/>
              <w:adjustRightInd w:val="0"/>
              <w:snapToGrid w:val="0"/>
              <w:spacing w:line="260" w:lineRule="exact"/>
              <w:jc w:val="center"/>
              <w:textAlignment w:val="baseline"/>
              <w:rPr>
                <w:rFonts w:ascii="宋体" w:hAnsi="宋体" w:cs="宋体"/>
                <w:b w:val="0"/>
                <w:snapToGrid w:val="0"/>
                <w:color w:val="FF0000"/>
                <w:spacing w:val="-1"/>
                <w:kern w:val="0"/>
                <w:szCs w:val="21"/>
                <w:highlight w:val="yellow"/>
              </w:rPr>
            </w:pPr>
          </w:p>
        </w:tc>
        <w:tc>
          <w:tcPr>
            <w:tcW w:w="1088" w:type="dxa"/>
            <w:vMerge w:val="continue"/>
            <w:shd w:val="clear" w:color="auto" w:fill="auto"/>
            <w:vAlign w:val="center"/>
          </w:tcPr>
          <w:p w14:paraId="39961BE9">
            <w:pPr>
              <w:widowControl/>
              <w:autoSpaceDE w:val="0"/>
              <w:autoSpaceDN w:val="0"/>
              <w:adjustRightInd w:val="0"/>
              <w:snapToGrid w:val="0"/>
              <w:spacing w:line="260" w:lineRule="exact"/>
              <w:jc w:val="center"/>
              <w:textAlignment w:val="baseline"/>
              <w:rPr>
                <w:rFonts w:ascii="宋体" w:hAnsi="宋体" w:cs="宋体"/>
                <w:b w:val="0"/>
                <w:snapToGrid w:val="0"/>
                <w:color w:val="FF0000"/>
                <w:spacing w:val="-1"/>
                <w:kern w:val="0"/>
                <w:szCs w:val="21"/>
                <w:highlight w:val="yellow"/>
              </w:rPr>
            </w:pPr>
          </w:p>
        </w:tc>
        <w:tc>
          <w:tcPr>
            <w:tcW w:w="3582" w:type="dxa"/>
            <w:shd w:val="clear" w:color="auto" w:fill="auto"/>
            <w:vAlign w:val="center"/>
          </w:tcPr>
          <w:p w14:paraId="5267F323">
            <w:pPr>
              <w:spacing w:line="260" w:lineRule="exact"/>
              <w:jc w:val="left"/>
              <w:rPr>
                <w:rFonts w:ascii="宋体" w:hAnsi="宋体"/>
                <w:b w:val="0"/>
                <w:szCs w:val="21"/>
              </w:rPr>
            </w:pPr>
            <w:r>
              <w:rPr>
                <w:rFonts w:hint="eastAsia" w:ascii="宋体" w:hAnsi="宋体"/>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817" w:type="dxa"/>
            <w:shd w:val="clear" w:color="auto" w:fill="auto"/>
            <w:vAlign w:val="center"/>
          </w:tcPr>
          <w:p w14:paraId="1CB66FCE">
            <w:pPr>
              <w:spacing w:line="260" w:lineRule="exact"/>
              <w:jc w:val="center"/>
              <w:rPr>
                <w:rFonts w:ascii="宋体" w:hAnsi="宋体"/>
                <w:b w:val="0"/>
                <w:szCs w:val="21"/>
              </w:rPr>
            </w:pPr>
            <w:r>
              <w:rPr>
                <w:rFonts w:hint="eastAsia" w:ascii="宋体" w:hAnsi="宋体"/>
                <w:b w:val="0"/>
                <w:szCs w:val="21"/>
              </w:rPr>
              <w:t>100</w:t>
            </w:r>
          </w:p>
        </w:tc>
        <w:tc>
          <w:tcPr>
            <w:tcW w:w="2026" w:type="dxa"/>
            <w:shd w:val="clear" w:color="auto" w:fill="auto"/>
            <w:vAlign w:val="center"/>
          </w:tcPr>
          <w:p w14:paraId="320A5844">
            <w:pPr>
              <w:spacing w:line="260" w:lineRule="exact"/>
              <w:rPr>
                <w:rFonts w:ascii="宋体" w:hAnsi="宋体"/>
                <w:b w:val="0"/>
                <w:szCs w:val="21"/>
              </w:rPr>
            </w:pPr>
            <w:r>
              <w:rPr>
                <w:rFonts w:hint="eastAsia" w:ascii="宋体" w:hAnsi="宋体"/>
                <w:b w:val="0"/>
                <w:szCs w:val="21"/>
              </w:rPr>
              <w:t>100m范围内无条款的所有控制项目</w:t>
            </w:r>
            <w:r>
              <w:rPr>
                <w:rFonts w:ascii="宋体" w:hAnsi="宋体"/>
                <w:b w:val="0"/>
                <w:szCs w:val="21"/>
              </w:rPr>
              <w:t xml:space="preserve"> </w:t>
            </w:r>
          </w:p>
        </w:tc>
      </w:tr>
      <w:tr w14:paraId="730A3D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shd w:val="clear" w:color="auto" w:fill="auto"/>
            <w:vAlign w:val="center"/>
          </w:tcPr>
          <w:p w14:paraId="25713B44">
            <w:pPr>
              <w:widowControl/>
              <w:autoSpaceDE w:val="0"/>
              <w:autoSpaceDN w:val="0"/>
              <w:adjustRightInd w:val="0"/>
              <w:snapToGrid w:val="0"/>
              <w:spacing w:line="260" w:lineRule="exact"/>
              <w:jc w:val="center"/>
              <w:textAlignment w:val="baseline"/>
              <w:rPr>
                <w:rFonts w:ascii="宋体" w:hAnsi="宋体"/>
                <w:b w:val="0"/>
                <w:szCs w:val="21"/>
              </w:rPr>
            </w:pPr>
            <w:r>
              <w:rPr>
                <w:rFonts w:ascii="宋体" w:hAnsi="宋体"/>
                <w:b w:val="0"/>
                <w:szCs w:val="21"/>
              </w:rPr>
              <w:t>7#</w:t>
            </w:r>
            <w:r>
              <w:rPr>
                <w:rFonts w:hint="eastAsia" w:ascii="宋体" w:hAnsi="宋体"/>
                <w:b w:val="0"/>
                <w:szCs w:val="21"/>
              </w:rPr>
              <w:t>库房</w:t>
            </w:r>
          </w:p>
        </w:tc>
        <w:tc>
          <w:tcPr>
            <w:tcW w:w="708" w:type="dxa"/>
            <w:vMerge w:val="restart"/>
            <w:shd w:val="clear" w:color="auto" w:fill="auto"/>
            <w:vAlign w:val="center"/>
          </w:tcPr>
          <w:p w14:paraId="1AE66AF2">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hint="eastAsia" w:ascii="宋体" w:hAnsi="宋体" w:cs="宋体"/>
                <w:b w:val="0"/>
                <w:snapToGrid w:val="0"/>
                <w:spacing w:val="-1"/>
                <w:kern w:val="0"/>
                <w:szCs w:val="21"/>
              </w:rPr>
              <w:t>1</w:t>
            </w:r>
            <w:r>
              <w:rPr>
                <w:rFonts w:ascii="宋体" w:hAnsi="宋体" w:cs="宋体"/>
                <w:b w:val="0"/>
                <w:snapToGrid w:val="0"/>
                <w:spacing w:val="-1"/>
                <w:kern w:val="0"/>
                <w:szCs w:val="21"/>
              </w:rPr>
              <w:t>.3</w:t>
            </w:r>
          </w:p>
        </w:tc>
        <w:tc>
          <w:tcPr>
            <w:tcW w:w="1088" w:type="dxa"/>
            <w:vMerge w:val="restart"/>
            <w:shd w:val="clear" w:color="auto" w:fill="auto"/>
            <w:vAlign w:val="center"/>
          </w:tcPr>
          <w:p w14:paraId="67F2F7E7">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ascii="宋体" w:hAnsi="宋体" w:cs="宋体"/>
                <w:b w:val="0"/>
                <w:snapToGrid w:val="0"/>
                <w:spacing w:val="-1"/>
                <w:kern w:val="0"/>
                <w:szCs w:val="21"/>
              </w:rPr>
              <w:t>19.8</w:t>
            </w:r>
          </w:p>
        </w:tc>
        <w:tc>
          <w:tcPr>
            <w:tcW w:w="3582" w:type="dxa"/>
            <w:shd w:val="clear" w:color="auto" w:fill="auto"/>
            <w:vAlign w:val="center"/>
          </w:tcPr>
          <w:p w14:paraId="53C1FF1E">
            <w:pPr>
              <w:spacing w:line="260" w:lineRule="exact"/>
              <w:jc w:val="left"/>
              <w:rPr>
                <w:rFonts w:ascii="宋体" w:hAnsi="宋体"/>
                <w:b w:val="0"/>
                <w:szCs w:val="21"/>
              </w:rPr>
            </w:pPr>
            <w:r>
              <w:rPr>
                <w:rFonts w:ascii="宋体" w:hAnsi="宋体"/>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817" w:type="dxa"/>
            <w:shd w:val="clear" w:color="auto" w:fill="auto"/>
            <w:vAlign w:val="center"/>
          </w:tcPr>
          <w:p w14:paraId="3FD62CF2">
            <w:pPr>
              <w:spacing w:line="260" w:lineRule="exact"/>
              <w:jc w:val="center"/>
              <w:rPr>
                <w:rFonts w:ascii="宋体" w:hAnsi="宋体"/>
                <w:b w:val="0"/>
                <w:szCs w:val="21"/>
              </w:rPr>
            </w:pPr>
            <w:r>
              <w:rPr>
                <w:rFonts w:hint="eastAsia" w:ascii="宋体" w:hAnsi="宋体"/>
                <w:b w:val="0"/>
                <w:szCs w:val="21"/>
              </w:rPr>
              <w:t>85</w:t>
            </w:r>
          </w:p>
        </w:tc>
        <w:tc>
          <w:tcPr>
            <w:tcW w:w="2026" w:type="dxa"/>
            <w:shd w:val="clear" w:color="auto" w:fill="auto"/>
            <w:vAlign w:val="center"/>
          </w:tcPr>
          <w:p w14:paraId="209401C5">
            <w:pPr>
              <w:spacing w:line="260" w:lineRule="exact"/>
              <w:rPr>
                <w:rFonts w:ascii="宋体" w:hAnsi="宋体"/>
                <w:b w:val="0"/>
                <w:szCs w:val="21"/>
              </w:rPr>
            </w:pPr>
            <w:r>
              <w:rPr>
                <w:rFonts w:hint="eastAsia" w:ascii="宋体" w:hAnsi="宋体"/>
                <w:b w:val="0"/>
                <w:szCs w:val="21"/>
              </w:rPr>
              <w:t>85m范围内无本条款的所有控制项目</w:t>
            </w:r>
          </w:p>
        </w:tc>
      </w:tr>
      <w:tr w14:paraId="58B69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72B38203">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4BBA5CB9">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3EA3E4F5">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63D9DADB">
            <w:pPr>
              <w:spacing w:line="260" w:lineRule="exact"/>
              <w:jc w:val="left"/>
              <w:rPr>
                <w:rFonts w:ascii="宋体" w:hAnsi="宋体"/>
                <w:b w:val="0"/>
                <w:szCs w:val="21"/>
              </w:rPr>
            </w:pPr>
            <w:r>
              <w:rPr>
                <w:rFonts w:ascii="宋体" w:hAnsi="宋体"/>
                <w:b w:val="0"/>
                <w:szCs w:val="21"/>
              </w:rPr>
              <w:t>人数大于50人</w:t>
            </w:r>
            <w:r>
              <w:rPr>
                <w:rFonts w:hint="eastAsia" w:ascii="宋体" w:hAnsi="宋体"/>
                <w:b w:val="0"/>
                <w:szCs w:val="21"/>
              </w:rPr>
              <w:t>的居民点边缘、职工人数大于50人的企业围墙、有摘挂作业的铁路车站站界及建筑物边缘、110</w:t>
            </w:r>
            <w:r>
              <w:rPr>
                <w:rFonts w:ascii="宋体" w:hAnsi="宋体"/>
                <w:b w:val="0"/>
                <w:szCs w:val="21"/>
              </w:rPr>
              <w:t>kV</w:t>
            </w:r>
            <w:r>
              <w:rPr>
                <w:rFonts w:hint="eastAsia" w:ascii="宋体" w:hAnsi="宋体"/>
                <w:b w:val="0"/>
                <w:szCs w:val="21"/>
              </w:rPr>
              <w:t>区域变电站围墙、220</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06EDCE3F">
            <w:pPr>
              <w:spacing w:line="260" w:lineRule="exact"/>
              <w:jc w:val="center"/>
              <w:rPr>
                <w:rFonts w:ascii="宋体" w:hAnsi="宋体"/>
                <w:b w:val="0"/>
                <w:szCs w:val="21"/>
              </w:rPr>
            </w:pPr>
            <w:r>
              <w:rPr>
                <w:rFonts w:hint="eastAsia" w:ascii="宋体" w:hAnsi="宋体"/>
                <w:b w:val="0"/>
                <w:szCs w:val="21"/>
              </w:rPr>
              <w:t>140</w:t>
            </w:r>
          </w:p>
        </w:tc>
        <w:tc>
          <w:tcPr>
            <w:tcW w:w="2026" w:type="dxa"/>
            <w:shd w:val="clear" w:color="auto" w:fill="auto"/>
            <w:vAlign w:val="center"/>
          </w:tcPr>
          <w:p w14:paraId="413F7F7F">
            <w:pPr>
              <w:spacing w:line="260" w:lineRule="exact"/>
              <w:rPr>
                <w:rFonts w:ascii="宋体" w:hAnsi="宋体"/>
                <w:b w:val="0"/>
                <w:szCs w:val="21"/>
              </w:rPr>
            </w:pPr>
            <w:r>
              <w:rPr>
                <w:rFonts w:ascii="宋体" w:hAnsi="宋体"/>
                <w:b w:val="0"/>
                <w:szCs w:val="21"/>
              </w:rPr>
              <w:t>140</w:t>
            </w:r>
            <w:r>
              <w:rPr>
                <w:rFonts w:hint="eastAsia" w:ascii="宋体" w:hAnsi="宋体"/>
                <w:b w:val="0"/>
                <w:szCs w:val="21"/>
              </w:rPr>
              <w:t>m范围内无本条款的所有控制项目；</w:t>
            </w:r>
          </w:p>
        </w:tc>
      </w:tr>
      <w:tr w14:paraId="0F0F2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5A6FF810">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68200292">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560A19DF">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79E9E833">
            <w:pPr>
              <w:spacing w:line="260" w:lineRule="exact"/>
              <w:jc w:val="left"/>
              <w:rPr>
                <w:rFonts w:ascii="宋体" w:hAnsi="宋体"/>
                <w:b w:val="0"/>
                <w:szCs w:val="21"/>
              </w:rPr>
            </w:pPr>
            <w:r>
              <w:rPr>
                <w:rFonts w:hint="eastAsia" w:ascii="宋体" w:hAnsi="宋体"/>
                <w:b w:val="0"/>
                <w:szCs w:val="21"/>
              </w:rPr>
              <w:t>城镇规划边缘、学校、220</w:t>
            </w:r>
            <w:r>
              <w:rPr>
                <w:rFonts w:ascii="宋体" w:hAnsi="宋体"/>
                <w:b w:val="0"/>
                <w:szCs w:val="21"/>
              </w:rPr>
              <w:t>kV</w:t>
            </w:r>
            <w:r>
              <w:rPr>
                <w:rFonts w:hint="eastAsia" w:ascii="宋体" w:hAnsi="宋体"/>
                <w:b w:val="0"/>
                <w:szCs w:val="21"/>
              </w:rPr>
              <w:t>及以上的区域变电站围墙、220</w:t>
            </w:r>
            <w:r>
              <w:rPr>
                <w:rFonts w:ascii="宋体" w:hAnsi="宋体"/>
                <w:b w:val="0"/>
                <w:szCs w:val="21"/>
              </w:rPr>
              <w:t>kV</w:t>
            </w:r>
            <w:r>
              <w:rPr>
                <w:rFonts w:hint="eastAsia" w:ascii="宋体" w:hAnsi="宋体"/>
                <w:b w:val="0"/>
                <w:szCs w:val="21"/>
              </w:rPr>
              <w:t>以上的架空输电线路</w:t>
            </w:r>
          </w:p>
        </w:tc>
        <w:tc>
          <w:tcPr>
            <w:tcW w:w="817" w:type="dxa"/>
            <w:shd w:val="clear" w:color="auto" w:fill="auto"/>
            <w:vAlign w:val="center"/>
          </w:tcPr>
          <w:p w14:paraId="693F009C">
            <w:pPr>
              <w:spacing w:line="260" w:lineRule="exact"/>
              <w:jc w:val="center"/>
              <w:rPr>
                <w:rFonts w:ascii="宋体" w:hAnsi="宋体"/>
                <w:b w:val="0"/>
                <w:szCs w:val="21"/>
              </w:rPr>
            </w:pPr>
            <w:r>
              <w:rPr>
                <w:rFonts w:hint="eastAsia" w:ascii="宋体" w:hAnsi="宋体"/>
                <w:b w:val="0"/>
                <w:szCs w:val="21"/>
              </w:rPr>
              <w:t>250</w:t>
            </w:r>
          </w:p>
        </w:tc>
        <w:tc>
          <w:tcPr>
            <w:tcW w:w="2026" w:type="dxa"/>
            <w:shd w:val="clear" w:color="auto" w:fill="auto"/>
            <w:vAlign w:val="center"/>
          </w:tcPr>
          <w:p w14:paraId="0F8ADDB3">
            <w:pPr>
              <w:spacing w:line="260" w:lineRule="exact"/>
              <w:rPr>
                <w:rFonts w:ascii="宋体" w:hAnsi="宋体"/>
                <w:b w:val="0"/>
                <w:szCs w:val="21"/>
              </w:rPr>
            </w:pPr>
            <w:r>
              <w:rPr>
                <w:rFonts w:hint="eastAsia" w:ascii="宋体" w:hAnsi="宋体"/>
                <w:b w:val="0"/>
                <w:szCs w:val="21"/>
              </w:rPr>
              <w:t xml:space="preserve">250m范围内无本条款的所有控制项目 </w:t>
            </w:r>
          </w:p>
        </w:tc>
      </w:tr>
      <w:tr w14:paraId="7CB49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15DF9221">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55C148CA">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6EE2D7E5">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389CB1C7">
            <w:pPr>
              <w:spacing w:line="260" w:lineRule="exact"/>
              <w:jc w:val="left"/>
              <w:rPr>
                <w:rFonts w:ascii="宋体" w:hAnsi="宋体"/>
                <w:b w:val="0"/>
                <w:szCs w:val="21"/>
              </w:rPr>
            </w:pPr>
            <w:r>
              <w:rPr>
                <w:rFonts w:hint="eastAsia" w:ascii="宋体" w:hAnsi="宋体"/>
                <w:b w:val="0"/>
                <w:szCs w:val="21"/>
              </w:rPr>
              <w:t>国家铁路线、省级以上公路用地外缘、通航的河流航道边缘</w:t>
            </w:r>
          </w:p>
        </w:tc>
        <w:tc>
          <w:tcPr>
            <w:tcW w:w="817" w:type="dxa"/>
            <w:shd w:val="clear" w:color="auto" w:fill="auto"/>
            <w:vAlign w:val="center"/>
          </w:tcPr>
          <w:p w14:paraId="1355E1A6">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69FBC366">
            <w:pPr>
              <w:spacing w:line="260" w:lineRule="exact"/>
              <w:rPr>
                <w:rFonts w:ascii="宋体" w:hAnsi="宋体"/>
                <w:b w:val="0"/>
                <w:szCs w:val="21"/>
              </w:rPr>
            </w:pPr>
            <w:r>
              <w:rPr>
                <w:rFonts w:hint="eastAsia" w:ascii="宋体" w:hAnsi="宋体"/>
                <w:b w:val="0"/>
                <w:szCs w:val="21"/>
              </w:rPr>
              <w:t>70m范围内无本条款的所有控制项目；</w:t>
            </w:r>
          </w:p>
        </w:tc>
      </w:tr>
      <w:tr w14:paraId="45B1D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08DB013E">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37FE3EA3">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1D311518">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0E1B3E76">
            <w:pPr>
              <w:spacing w:line="260" w:lineRule="exact"/>
              <w:jc w:val="left"/>
              <w:rPr>
                <w:rFonts w:ascii="宋体" w:hAnsi="宋体"/>
                <w:b w:val="0"/>
                <w:szCs w:val="21"/>
              </w:rPr>
            </w:pPr>
            <w:r>
              <w:rPr>
                <w:rFonts w:hint="eastAsia" w:ascii="宋体" w:hAnsi="宋体"/>
                <w:b w:val="0"/>
                <w:szCs w:val="21"/>
              </w:rPr>
              <w:t>非本厂的工厂铁路支线、县级公路用地外缘、35</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00CD0A6D">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1667E106">
            <w:pPr>
              <w:spacing w:line="260" w:lineRule="exact"/>
              <w:rPr>
                <w:rFonts w:ascii="宋体" w:hAnsi="宋体"/>
                <w:b w:val="0"/>
                <w:szCs w:val="21"/>
              </w:rPr>
            </w:pPr>
            <w:r>
              <w:rPr>
                <w:rFonts w:ascii="宋体" w:hAnsi="宋体"/>
                <w:b w:val="0"/>
                <w:szCs w:val="21"/>
              </w:rPr>
              <w:t>70</w:t>
            </w:r>
            <w:r>
              <w:rPr>
                <w:rFonts w:hint="eastAsia" w:ascii="宋体" w:hAnsi="宋体"/>
                <w:b w:val="0"/>
                <w:szCs w:val="21"/>
              </w:rPr>
              <w:t>m范围内无本条款的所有控制项目</w:t>
            </w:r>
          </w:p>
        </w:tc>
      </w:tr>
      <w:tr w14:paraId="05CBF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7173AD3A">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64904C40">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21820C08">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242516E8">
            <w:pPr>
              <w:spacing w:line="260" w:lineRule="exact"/>
              <w:jc w:val="left"/>
              <w:rPr>
                <w:rFonts w:ascii="宋体" w:hAnsi="宋体"/>
                <w:b w:val="0"/>
                <w:szCs w:val="21"/>
              </w:rPr>
            </w:pPr>
            <w:r>
              <w:rPr>
                <w:rFonts w:hint="eastAsia" w:ascii="宋体" w:hAnsi="宋体"/>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817" w:type="dxa"/>
            <w:shd w:val="clear" w:color="auto" w:fill="auto"/>
            <w:vAlign w:val="center"/>
          </w:tcPr>
          <w:p w14:paraId="488A4120">
            <w:pPr>
              <w:spacing w:line="260" w:lineRule="exact"/>
              <w:jc w:val="center"/>
              <w:rPr>
                <w:rFonts w:ascii="宋体" w:hAnsi="宋体"/>
                <w:b w:val="0"/>
                <w:szCs w:val="21"/>
              </w:rPr>
            </w:pPr>
            <w:r>
              <w:rPr>
                <w:rFonts w:hint="eastAsia" w:ascii="宋体" w:hAnsi="宋体"/>
                <w:b w:val="0"/>
                <w:szCs w:val="21"/>
              </w:rPr>
              <w:t>100</w:t>
            </w:r>
          </w:p>
        </w:tc>
        <w:tc>
          <w:tcPr>
            <w:tcW w:w="2026" w:type="dxa"/>
            <w:shd w:val="clear" w:color="auto" w:fill="auto"/>
            <w:vAlign w:val="center"/>
          </w:tcPr>
          <w:p w14:paraId="66014D92">
            <w:pPr>
              <w:spacing w:line="260" w:lineRule="exact"/>
              <w:rPr>
                <w:rFonts w:ascii="宋体" w:hAnsi="宋体"/>
                <w:b w:val="0"/>
                <w:szCs w:val="21"/>
              </w:rPr>
            </w:pPr>
            <w:r>
              <w:rPr>
                <w:rFonts w:hint="eastAsia" w:ascii="宋体" w:hAnsi="宋体"/>
                <w:b w:val="0"/>
                <w:szCs w:val="21"/>
              </w:rPr>
              <w:t>100m范围内无条款的所有控制项目</w:t>
            </w:r>
            <w:r>
              <w:rPr>
                <w:rFonts w:ascii="宋体" w:hAnsi="宋体"/>
                <w:b w:val="0"/>
                <w:szCs w:val="21"/>
              </w:rPr>
              <w:t xml:space="preserve"> </w:t>
            </w:r>
          </w:p>
        </w:tc>
      </w:tr>
      <w:tr w14:paraId="4E4DE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shd w:val="clear" w:color="auto" w:fill="auto"/>
            <w:vAlign w:val="center"/>
          </w:tcPr>
          <w:p w14:paraId="074CBC62">
            <w:pPr>
              <w:widowControl/>
              <w:autoSpaceDE w:val="0"/>
              <w:autoSpaceDN w:val="0"/>
              <w:adjustRightInd w:val="0"/>
              <w:snapToGrid w:val="0"/>
              <w:spacing w:line="260" w:lineRule="exact"/>
              <w:jc w:val="center"/>
              <w:textAlignment w:val="baseline"/>
              <w:rPr>
                <w:rFonts w:ascii="宋体" w:hAnsi="宋体"/>
                <w:b w:val="0"/>
                <w:szCs w:val="21"/>
              </w:rPr>
            </w:pPr>
            <w:r>
              <w:rPr>
                <w:rFonts w:ascii="宋体" w:hAnsi="宋体"/>
                <w:b w:val="0"/>
                <w:szCs w:val="21"/>
              </w:rPr>
              <w:t>8#</w:t>
            </w:r>
            <w:r>
              <w:rPr>
                <w:rFonts w:hint="eastAsia" w:ascii="宋体" w:hAnsi="宋体"/>
                <w:b w:val="0"/>
                <w:szCs w:val="21"/>
              </w:rPr>
              <w:t>库房</w:t>
            </w:r>
          </w:p>
        </w:tc>
        <w:tc>
          <w:tcPr>
            <w:tcW w:w="708" w:type="dxa"/>
            <w:vMerge w:val="restart"/>
            <w:shd w:val="clear" w:color="auto" w:fill="auto"/>
            <w:vAlign w:val="center"/>
          </w:tcPr>
          <w:p w14:paraId="0DCA0BC9">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hint="eastAsia" w:ascii="宋体" w:hAnsi="宋体" w:cs="宋体"/>
                <w:b w:val="0"/>
                <w:snapToGrid w:val="0"/>
                <w:spacing w:val="-1"/>
                <w:kern w:val="0"/>
                <w:szCs w:val="21"/>
              </w:rPr>
              <w:t>1</w:t>
            </w:r>
            <w:r>
              <w:rPr>
                <w:rFonts w:ascii="宋体" w:hAnsi="宋体" w:cs="宋体"/>
                <w:b w:val="0"/>
                <w:snapToGrid w:val="0"/>
                <w:spacing w:val="-1"/>
                <w:kern w:val="0"/>
                <w:szCs w:val="21"/>
              </w:rPr>
              <w:t>.3</w:t>
            </w:r>
          </w:p>
        </w:tc>
        <w:tc>
          <w:tcPr>
            <w:tcW w:w="1088" w:type="dxa"/>
            <w:vMerge w:val="restart"/>
            <w:shd w:val="clear" w:color="auto" w:fill="auto"/>
            <w:vAlign w:val="center"/>
          </w:tcPr>
          <w:p w14:paraId="560085CA">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ascii="宋体" w:hAnsi="宋体" w:cs="宋体"/>
                <w:b w:val="0"/>
                <w:snapToGrid w:val="0"/>
                <w:spacing w:val="-1"/>
                <w:kern w:val="0"/>
                <w:szCs w:val="21"/>
              </w:rPr>
              <w:t>19.8</w:t>
            </w:r>
          </w:p>
        </w:tc>
        <w:tc>
          <w:tcPr>
            <w:tcW w:w="3582" w:type="dxa"/>
            <w:shd w:val="clear" w:color="auto" w:fill="auto"/>
            <w:vAlign w:val="center"/>
          </w:tcPr>
          <w:p w14:paraId="697442EE">
            <w:pPr>
              <w:spacing w:line="260" w:lineRule="exact"/>
              <w:jc w:val="left"/>
              <w:rPr>
                <w:rFonts w:ascii="宋体" w:hAnsi="宋体"/>
                <w:b w:val="0"/>
                <w:szCs w:val="21"/>
              </w:rPr>
            </w:pPr>
            <w:r>
              <w:rPr>
                <w:rFonts w:ascii="宋体" w:hAnsi="宋体"/>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817" w:type="dxa"/>
            <w:shd w:val="clear" w:color="auto" w:fill="auto"/>
            <w:vAlign w:val="center"/>
          </w:tcPr>
          <w:p w14:paraId="60F1DCFE">
            <w:pPr>
              <w:spacing w:line="260" w:lineRule="exact"/>
              <w:jc w:val="center"/>
              <w:rPr>
                <w:rFonts w:ascii="宋体" w:hAnsi="宋体"/>
                <w:b w:val="0"/>
                <w:szCs w:val="21"/>
              </w:rPr>
            </w:pPr>
            <w:r>
              <w:rPr>
                <w:rFonts w:hint="eastAsia" w:ascii="宋体" w:hAnsi="宋体"/>
                <w:b w:val="0"/>
                <w:szCs w:val="21"/>
              </w:rPr>
              <w:t>85</w:t>
            </w:r>
          </w:p>
        </w:tc>
        <w:tc>
          <w:tcPr>
            <w:tcW w:w="2026" w:type="dxa"/>
            <w:shd w:val="clear" w:color="auto" w:fill="auto"/>
            <w:vAlign w:val="center"/>
          </w:tcPr>
          <w:p w14:paraId="748CC387">
            <w:pPr>
              <w:spacing w:line="260" w:lineRule="exact"/>
              <w:rPr>
                <w:rFonts w:ascii="宋体" w:hAnsi="宋体"/>
                <w:b w:val="0"/>
                <w:szCs w:val="21"/>
              </w:rPr>
            </w:pPr>
            <w:r>
              <w:rPr>
                <w:rFonts w:hint="eastAsia" w:ascii="宋体" w:hAnsi="宋体"/>
                <w:b w:val="0"/>
                <w:szCs w:val="21"/>
              </w:rPr>
              <w:t>85m范围内无本条款的所有控制项目；东面1</w:t>
            </w:r>
            <w:r>
              <w:rPr>
                <w:rFonts w:ascii="宋体" w:hAnsi="宋体"/>
                <w:b w:val="0"/>
                <w:szCs w:val="21"/>
              </w:rPr>
              <w:t>22.5</w:t>
            </w:r>
            <w:r>
              <w:rPr>
                <w:rFonts w:hint="eastAsia" w:ascii="宋体" w:hAnsi="宋体"/>
                <w:b w:val="0"/>
                <w:szCs w:val="21"/>
              </w:rPr>
              <w:t>米处有一处养猪场</w:t>
            </w:r>
          </w:p>
        </w:tc>
      </w:tr>
      <w:tr w14:paraId="4FE11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2E8633BB">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1AC36755">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69E68FC6">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46AC1F54">
            <w:pPr>
              <w:spacing w:line="260" w:lineRule="exact"/>
              <w:jc w:val="left"/>
              <w:rPr>
                <w:rFonts w:ascii="宋体" w:hAnsi="宋体"/>
                <w:b w:val="0"/>
                <w:szCs w:val="21"/>
              </w:rPr>
            </w:pPr>
            <w:r>
              <w:rPr>
                <w:rFonts w:ascii="宋体" w:hAnsi="宋体"/>
                <w:b w:val="0"/>
                <w:szCs w:val="21"/>
              </w:rPr>
              <w:t>人数大于50人</w:t>
            </w:r>
            <w:r>
              <w:rPr>
                <w:rFonts w:hint="eastAsia" w:ascii="宋体" w:hAnsi="宋体"/>
                <w:b w:val="0"/>
                <w:szCs w:val="21"/>
              </w:rPr>
              <w:t>的居民点边缘、职工人数大于50人的企业围墙、有摘挂作业的铁路车站站界及建筑物边缘、110</w:t>
            </w:r>
            <w:r>
              <w:rPr>
                <w:rFonts w:ascii="宋体" w:hAnsi="宋体"/>
                <w:b w:val="0"/>
                <w:szCs w:val="21"/>
              </w:rPr>
              <w:t>kV</w:t>
            </w:r>
            <w:r>
              <w:rPr>
                <w:rFonts w:hint="eastAsia" w:ascii="宋体" w:hAnsi="宋体"/>
                <w:b w:val="0"/>
                <w:szCs w:val="21"/>
              </w:rPr>
              <w:t>区域变电站围墙、220</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7EB69FE6">
            <w:pPr>
              <w:spacing w:line="260" w:lineRule="exact"/>
              <w:jc w:val="center"/>
              <w:rPr>
                <w:rFonts w:ascii="宋体" w:hAnsi="宋体"/>
                <w:b w:val="0"/>
                <w:szCs w:val="21"/>
              </w:rPr>
            </w:pPr>
            <w:r>
              <w:rPr>
                <w:rFonts w:hint="eastAsia" w:ascii="宋体" w:hAnsi="宋体"/>
                <w:b w:val="0"/>
                <w:szCs w:val="21"/>
              </w:rPr>
              <w:t>140</w:t>
            </w:r>
          </w:p>
        </w:tc>
        <w:tc>
          <w:tcPr>
            <w:tcW w:w="2026" w:type="dxa"/>
            <w:shd w:val="clear" w:color="auto" w:fill="auto"/>
            <w:vAlign w:val="center"/>
          </w:tcPr>
          <w:p w14:paraId="486E554C">
            <w:pPr>
              <w:spacing w:line="260" w:lineRule="exact"/>
              <w:rPr>
                <w:rFonts w:ascii="宋体" w:hAnsi="宋体"/>
                <w:b w:val="0"/>
                <w:szCs w:val="21"/>
              </w:rPr>
            </w:pPr>
            <w:r>
              <w:rPr>
                <w:rFonts w:ascii="宋体" w:hAnsi="宋体"/>
                <w:b w:val="0"/>
                <w:szCs w:val="21"/>
              </w:rPr>
              <w:t>140</w:t>
            </w:r>
            <w:r>
              <w:rPr>
                <w:rFonts w:hint="eastAsia" w:ascii="宋体" w:hAnsi="宋体"/>
                <w:b w:val="0"/>
                <w:szCs w:val="21"/>
              </w:rPr>
              <w:t>m范围内无本条款的所有控制项目；</w:t>
            </w:r>
            <w:r>
              <w:rPr>
                <w:rFonts w:ascii="宋体" w:hAnsi="宋体"/>
                <w:b w:val="0"/>
                <w:szCs w:val="21"/>
              </w:rPr>
              <w:t xml:space="preserve"> </w:t>
            </w:r>
          </w:p>
        </w:tc>
      </w:tr>
      <w:tr w14:paraId="6CD7B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4639F04F">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6648021E">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2046949A">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36BAACBB">
            <w:pPr>
              <w:spacing w:line="260" w:lineRule="exact"/>
              <w:jc w:val="left"/>
              <w:rPr>
                <w:rFonts w:ascii="宋体" w:hAnsi="宋体"/>
                <w:b w:val="0"/>
                <w:szCs w:val="21"/>
              </w:rPr>
            </w:pPr>
            <w:r>
              <w:rPr>
                <w:rFonts w:hint="eastAsia" w:ascii="宋体" w:hAnsi="宋体"/>
                <w:b w:val="0"/>
                <w:szCs w:val="21"/>
              </w:rPr>
              <w:t>城镇规划边缘、学校、220</w:t>
            </w:r>
            <w:r>
              <w:rPr>
                <w:rFonts w:ascii="宋体" w:hAnsi="宋体"/>
                <w:b w:val="0"/>
                <w:szCs w:val="21"/>
              </w:rPr>
              <w:t>kV</w:t>
            </w:r>
            <w:r>
              <w:rPr>
                <w:rFonts w:hint="eastAsia" w:ascii="宋体" w:hAnsi="宋体"/>
                <w:b w:val="0"/>
                <w:szCs w:val="21"/>
              </w:rPr>
              <w:t>及以上的区域变电站围墙、220</w:t>
            </w:r>
            <w:r>
              <w:rPr>
                <w:rFonts w:ascii="宋体" w:hAnsi="宋体"/>
                <w:b w:val="0"/>
                <w:szCs w:val="21"/>
              </w:rPr>
              <w:t>kV</w:t>
            </w:r>
            <w:r>
              <w:rPr>
                <w:rFonts w:hint="eastAsia" w:ascii="宋体" w:hAnsi="宋体"/>
                <w:b w:val="0"/>
                <w:szCs w:val="21"/>
              </w:rPr>
              <w:t>以上的架空输电线路</w:t>
            </w:r>
          </w:p>
        </w:tc>
        <w:tc>
          <w:tcPr>
            <w:tcW w:w="817" w:type="dxa"/>
            <w:shd w:val="clear" w:color="auto" w:fill="auto"/>
            <w:vAlign w:val="center"/>
          </w:tcPr>
          <w:p w14:paraId="71FD4715">
            <w:pPr>
              <w:spacing w:line="260" w:lineRule="exact"/>
              <w:jc w:val="center"/>
              <w:rPr>
                <w:rFonts w:ascii="宋体" w:hAnsi="宋体"/>
                <w:b w:val="0"/>
                <w:szCs w:val="21"/>
              </w:rPr>
            </w:pPr>
            <w:r>
              <w:rPr>
                <w:rFonts w:hint="eastAsia" w:ascii="宋体" w:hAnsi="宋体"/>
                <w:b w:val="0"/>
                <w:szCs w:val="21"/>
              </w:rPr>
              <w:t>250</w:t>
            </w:r>
          </w:p>
        </w:tc>
        <w:tc>
          <w:tcPr>
            <w:tcW w:w="2026" w:type="dxa"/>
            <w:shd w:val="clear" w:color="auto" w:fill="auto"/>
            <w:vAlign w:val="center"/>
          </w:tcPr>
          <w:p w14:paraId="2D9B7A5A">
            <w:pPr>
              <w:spacing w:line="260" w:lineRule="exact"/>
              <w:rPr>
                <w:rFonts w:ascii="宋体" w:hAnsi="宋体"/>
                <w:b w:val="0"/>
                <w:szCs w:val="21"/>
              </w:rPr>
            </w:pPr>
            <w:r>
              <w:rPr>
                <w:rFonts w:hint="eastAsia" w:ascii="宋体" w:hAnsi="宋体"/>
                <w:b w:val="0"/>
                <w:szCs w:val="21"/>
              </w:rPr>
              <w:t xml:space="preserve">250m范围内无本条款的所有控制项目 </w:t>
            </w:r>
          </w:p>
        </w:tc>
      </w:tr>
      <w:tr w14:paraId="5991B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371EFAEF">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5CF7DBEB">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20A2E956">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6D8EA186">
            <w:pPr>
              <w:spacing w:line="260" w:lineRule="exact"/>
              <w:jc w:val="left"/>
              <w:rPr>
                <w:rFonts w:ascii="宋体" w:hAnsi="宋体"/>
                <w:b w:val="0"/>
                <w:szCs w:val="21"/>
              </w:rPr>
            </w:pPr>
            <w:r>
              <w:rPr>
                <w:rFonts w:hint="eastAsia" w:ascii="宋体" w:hAnsi="宋体"/>
                <w:b w:val="0"/>
                <w:szCs w:val="21"/>
              </w:rPr>
              <w:t>国家铁路线、省级以上公路用地外缘、通航的河流航道边缘</w:t>
            </w:r>
          </w:p>
        </w:tc>
        <w:tc>
          <w:tcPr>
            <w:tcW w:w="817" w:type="dxa"/>
            <w:shd w:val="clear" w:color="auto" w:fill="auto"/>
            <w:vAlign w:val="center"/>
          </w:tcPr>
          <w:p w14:paraId="1AB6C825">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21B33900">
            <w:pPr>
              <w:spacing w:line="260" w:lineRule="exact"/>
              <w:rPr>
                <w:rFonts w:ascii="宋体" w:hAnsi="宋体"/>
                <w:b w:val="0"/>
                <w:szCs w:val="21"/>
              </w:rPr>
            </w:pPr>
            <w:r>
              <w:rPr>
                <w:rFonts w:hint="eastAsia" w:ascii="宋体" w:hAnsi="宋体"/>
                <w:b w:val="0"/>
                <w:szCs w:val="21"/>
              </w:rPr>
              <w:t>70m范围内无本条款的所有控制项目；</w:t>
            </w:r>
          </w:p>
        </w:tc>
      </w:tr>
      <w:tr w14:paraId="0FDF8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0EC4537C">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6BD6EDAD">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648A84A2">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65170508">
            <w:pPr>
              <w:spacing w:line="260" w:lineRule="exact"/>
              <w:jc w:val="left"/>
              <w:rPr>
                <w:rFonts w:ascii="宋体" w:hAnsi="宋体"/>
                <w:b w:val="0"/>
                <w:szCs w:val="21"/>
              </w:rPr>
            </w:pPr>
            <w:r>
              <w:rPr>
                <w:rFonts w:hint="eastAsia" w:ascii="宋体" w:hAnsi="宋体"/>
                <w:b w:val="0"/>
                <w:szCs w:val="21"/>
              </w:rPr>
              <w:t>非本厂的工厂铁路支线、县级公路用地外缘、35</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62116862">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145C3C17">
            <w:pPr>
              <w:spacing w:line="260" w:lineRule="exact"/>
              <w:rPr>
                <w:rFonts w:ascii="宋体" w:hAnsi="宋体"/>
                <w:b w:val="0"/>
                <w:szCs w:val="21"/>
              </w:rPr>
            </w:pPr>
            <w:r>
              <w:rPr>
                <w:rFonts w:ascii="宋体" w:hAnsi="宋体"/>
                <w:b w:val="0"/>
                <w:szCs w:val="21"/>
              </w:rPr>
              <w:t>70</w:t>
            </w:r>
            <w:r>
              <w:rPr>
                <w:rFonts w:hint="eastAsia" w:ascii="宋体" w:hAnsi="宋体"/>
                <w:b w:val="0"/>
                <w:szCs w:val="21"/>
              </w:rPr>
              <w:t>m范围内无本条款的所有控制项目</w:t>
            </w:r>
          </w:p>
        </w:tc>
      </w:tr>
      <w:tr w14:paraId="3A9A8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48C9C1CE">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5D90B445">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4D4DBFA1">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56FEDC02">
            <w:pPr>
              <w:spacing w:line="260" w:lineRule="exact"/>
              <w:jc w:val="left"/>
              <w:rPr>
                <w:rFonts w:ascii="宋体" w:hAnsi="宋体"/>
                <w:b w:val="0"/>
                <w:szCs w:val="21"/>
              </w:rPr>
            </w:pPr>
            <w:r>
              <w:rPr>
                <w:rFonts w:hint="eastAsia" w:ascii="宋体" w:hAnsi="宋体"/>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817" w:type="dxa"/>
            <w:shd w:val="clear" w:color="auto" w:fill="auto"/>
            <w:vAlign w:val="center"/>
          </w:tcPr>
          <w:p w14:paraId="0841DB66">
            <w:pPr>
              <w:spacing w:line="260" w:lineRule="exact"/>
              <w:jc w:val="center"/>
              <w:rPr>
                <w:rFonts w:ascii="宋体" w:hAnsi="宋体"/>
                <w:b w:val="0"/>
                <w:szCs w:val="21"/>
              </w:rPr>
            </w:pPr>
            <w:r>
              <w:rPr>
                <w:rFonts w:hint="eastAsia" w:ascii="宋体" w:hAnsi="宋体"/>
                <w:b w:val="0"/>
                <w:szCs w:val="21"/>
              </w:rPr>
              <w:t>100</w:t>
            </w:r>
          </w:p>
        </w:tc>
        <w:tc>
          <w:tcPr>
            <w:tcW w:w="2026" w:type="dxa"/>
            <w:shd w:val="clear" w:color="auto" w:fill="auto"/>
            <w:vAlign w:val="center"/>
          </w:tcPr>
          <w:p w14:paraId="789E56EF">
            <w:pPr>
              <w:spacing w:line="260" w:lineRule="exact"/>
              <w:rPr>
                <w:rFonts w:ascii="宋体" w:hAnsi="宋体"/>
                <w:b w:val="0"/>
                <w:szCs w:val="21"/>
              </w:rPr>
            </w:pPr>
            <w:r>
              <w:rPr>
                <w:rFonts w:hint="eastAsia" w:ascii="宋体" w:hAnsi="宋体"/>
                <w:b w:val="0"/>
                <w:szCs w:val="21"/>
              </w:rPr>
              <w:t>100m范围内无条款的所有控制项目</w:t>
            </w:r>
            <w:r>
              <w:rPr>
                <w:rFonts w:ascii="宋体" w:hAnsi="宋体"/>
                <w:b w:val="0"/>
                <w:szCs w:val="21"/>
              </w:rPr>
              <w:t xml:space="preserve"> </w:t>
            </w:r>
          </w:p>
        </w:tc>
      </w:tr>
      <w:tr w14:paraId="6F3A2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shd w:val="clear" w:color="auto" w:fill="auto"/>
            <w:vAlign w:val="center"/>
          </w:tcPr>
          <w:p w14:paraId="4D94FFEB">
            <w:pPr>
              <w:widowControl/>
              <w:autoSpaceDE w:val="0"/>
              <w:autoSpaceDN w:val="0"/>
              <w:adjustRightInd w:val="0"/>
              <w:snapToGrid w:val="0"/>
              <w:spacing w:line="260" w:lineRule="exact"/>
              <w:jc w:val="center"/>
              <w:textAlignment w:val="baseline"/>
              <w:rPr>
                <w:rFonts w:ascii="宋体" w:hAnsi="宋体"/>
                <w:b w:val="0"/>
                <w:szCs w:val="21"/>
              </w:rPr>
            </w:pPr>
            <w:r>
              <w:rPr>
                <w:rFonts w:hint="eastAsia" w:ascii="宋体" w:hAnsi="宋体"/>
                <w:b w:val="0"/>
                <w:szCs w:val="21"/>
              </w:rPr>
              <w:t>9</w:t>
            </w:r>
            <w:r>
              <w:rPr>
                <w:rFonts w:ascii="宋体" w:hAnsi="宋体"/>
                <w:b w:val="0"/>
                <w:szCs w:val="21"/>
              </w:rPr>
              <w:t>#</w:t>
            </w:r>
            <w:r>
              <w:rPr>
                <w:rFonts w:hint="eastAsia" w:ascii="宋体" w:hAnsi="宋体"/>
                <w:b w:val="0"/>
                <w:szCs w:val="21"/>
              </w:rPr>
              <w:t>库房</w:t>
            </w:r>
          </w:p>
        </w:tc>
        <w:tc>
          <w:tcPr>
            <w:tcW w:w="708" w:type="dxa"/>
            <w:vMerge w:val="restart"/>
            <w:shd w:val="clear" w:color="auto" w:fill="auto"/>
            <w:vAlign w:val="center"/>
          </w:tcPr>
          <w:p w14:paraId="350FB542">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hint="eastAsia" w:ascii="宋体" w:hAnsi="宋体" w:cs="宋体"/>
                <w:b w:val="0"/>
                <w:snapToGrid w:val="0"/>
                <w:spacing w:val="-1"/>
                <w:kern w:val="0"/>
                <w:szCs w:val="21"/>
              </w:rPr>
              <w:t>1</w:t>
            </w:r>
            <w:r>
              <w:rPr>
                <w:rFonts w:ascii="宋体" w:hAnsi="宋体" w:cs="宋体"/>
                <w:b w:val="0"/>
                <w:snapToGrid w:val="0"/>
                <w:spacing w:val="-1"/>
                <w:kern w:val="0"/>
                <w:szCs w:val="21"/>
              </w:rPr>
              <w:t>.3</w:t>
            </w:r>
          </w:p>
        </w:tc>
        <w:tc>
          <w:tcPr>
            <w:tcW w:w="1088" w:type="dxa"/>
            <w:vMerge w:val="restart"/>
            <w:shd w:val="clear" w:color="auto" w:fill="auto"/>
            <w:vAlign w:val="center"/>
          </w:tcPr>
          <w:p w14:paraId="7CE207AB">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hint="eastAsia" w:ascii="宋体" w:hAnsi="宋体" w:cs="宋体"/>
                <w:b w:val="0"/>
                <w:snapToGrid w:val="0"/>
                <w:spacing w:val="-1"/>
                <w:kern w:val="0"/>
                <w:szCs w:val="21"/>
              </w:rPr>
              <w:t>1</w:t>
            </w:r>
            <w:r>
              <w:rPr>
                <w:rFonts w:ascii="宋体" w:hAnsi="宋体" w:cs="宋体"/>
                <w:b w:val="0"/>
                <w:snapToGrid w:val="0"/>
                <w:spacing w:val="-1"/>
                <w:kern w:val="0"/>
                <w:szCs w:val="21"/>
              </w:rPr>
              <w:t>8.48</w:t>
            </w:r>
          </w:p>
        </w:tc>
        <w:tc>
          <w:tcPr>
            <w:tcW w:w="3582" w:type="dxa"/>
            <w:shd w:val="clear" w:color="auto" w:fill="auto"/>
            <w:vAlign w:val="center"/>
          </w:tcPr>
          <w:p w14:paraId="550968FD">
            <w:pPr>
              <w:spacing w:line="260" w:lineRule="exact"/>
              <w:jc w:val="left"/>
              <w:rPr>
                <w:rFonts w:ascii="宋体" w:hAnsi="宋体"/>
                <w:b w:val="0"/>
                <w:szCs w:val="21"/>
              </w:rPr>
            </w:pPr>
            <w:r>
              <w:rPr>
                <w:rFonts w:ascii="宋体" w:hAnsi="宋体"/>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817" w:type="dxa"/>
            <w:shd w:val="clear" w:color="auto" w:fill="auto"/>
            <w:vAlign w:val="center"/>
          </w:tcPr>
          <w:p w14:paraId="3D596530">
            <w:pPr>
              <w:spacing w:line="260" w:lineRule="exact"/>
              <w:jc w:val="center"/>
              <w:rPr>
                <w:rFonts w:ascii="宋体" w:hAnsi="宋体"/>
                <w:b w:val="0"/>
                <w:szCs w:val="21"/>
              </w:rPr>
            </w:pPr>
            <w:r>
              <w:rPr>
                <w:rFonts w:hint="eastAsia" w:ascii="宋体" w:hAnsi="宋体"/>
                <w:b w:val="0"/>
                <w:szCs w:val="21"/>
              </w:rPr>
              <w:t>85</w:t>
            </w:r>
          </w:p>
        </w:tc>
        <w:tc>
          <w:tcPr>
            <w:tcW w:w="2026" w:type="dxa"/>
            <w:shd w:val="clear" w:color="auto" w:fill="auto"/>
            <w:vAlign w:val="center"/>
          </w:tcPr>
          <w:p w14:paraId="0046A7A4">
            <w:pPr>
              <w:spacing w:line="260" w:lineRule="exact"/>
              <w:rPr>
                <w:rFonts w:ascii="宋体" w:hAnsi="宋体"/>
                <w:b w:val="0"/>
                <w:szCs w:val="21"/>
              </w:rPr>
            </w:pPr>
            <w:r>
              <w:rPr>
                <w:rFonts w:hint="eastAsia" w:ascii="宋体" w:hAnsi="宋体"/>
                <w:b w:val="0"/>
                <w:szCs w:val="21"/>
              </w:rPr>
              <w:t>85m范围内无本条款的所有控制项目；东北面8</w:t>
            </w:r>
            <w:r>
              <w:rPr>
                <w:rFonts w:ascii="宋体" w:hAnsi="宋体"/>
                <w:b w:val="0"/>
                <w:szCs w:val="21"/>
              </w:rPr>
              <w:t>6.44</w:t>
            </w:r>
            <w:r>
              <w:rPr>
                <w:rFonts w:hint="eastAsia" w:ascii="宋体" w:hAnsi="宋体"/>
                <w:b w:val="0"/>
                <w:szCs w:val="21"/>
              </w:rPr>
              <w:t>米处有一处养猪场</w:t>
            </w:r>
          </w:p>
        </w:tc>
      </w:tr>
      <w:tr w14:paraId="75DCD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070F35AE">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06CD6555">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7B301147">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13CA938D">
            <w:pPr>
              <w:spacing w:line="260" w:lineRule="exact"/>
              <w:jc w:val="left"/>
              <w:rPr>
                <w:rFonts w:ascii="宋体" w:hAnsi="宋体"/>
                <w:b w:val="0"/>
                <w:szCs w:val="21"/>
              </w:rPr>
            </w:pPr>
            <w:r>
              <w:rPr>
                <w:rFonts w:ascii="宋体" w:hAnsi="宋体"/>
                <w:b w:val="0"/>
                <w:szCs w:val="21"/>
              </w:rPr>
              <w:t>人数大于50人</w:t>
            </w:r>
            <w:r>
              <w:rPr>
                <w:rFonts w:hint="eastAsia" w:ascii="宋体" w:hAnsi="宋体"/>
                <w:b w:val="0"/>
                <w:szCs w:val="21"/>
              </w:rPr>
              <w:t>的居民点边缘、职工人数大于50人的企业围墙、有摘挂作业的铁路车站站界及建筑物边缘、110</w:t>
            </w:r>
            <w:r>
              <w:rPr>
                <w:rFonts w:ascii="宋体" w:hAnsi="宋体"/>
                <w:b w:val="0"/>
                <w:szCs w:val="21"/>
              </w:rPr>
              <w:t>kV</w:t>
            </w:r>
            <w:r>
              <w:rPr>
                <w:rFonts w:hint="eastAsia" w:ascii="宋体" w:hAnsi="宋体"/>
                <w:b w:val="0"/>
                <w:szCs w:val="21"/>
              </w:rPr>
              <w:t>区域变电站围墙、220</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55CB8D2D">
            <w:pPr>
              <w:spacing w:line="260" w:lineRule="exact"/>
              <w:jc w:val="center"/>
              <w:rPr>
                <w:rFonts w:ascii="宋体" w:hAnsi="宋体"/>
                <w:b w:val="0"/>
                <w:szCs w:val="21"/>
              </w:rPr>
            </w:pPr>
            <w:r>
              <w:rPr>
                <w:rFonts w:hint="eastAsia" w:ascii="宋体" w:hAnsi="宋体"/>
                <w:b w:val="0"/>
                <w:szCs w:val="21"/>
              </w:rPr>
              <w:t>140</w:t>
            </w:r>
          </w:p>
        </w:tc>
        <w:tc>
          <w:tcPr>
            <w:tcW w:w="2026" w:type="dxa"/>
            <w:shd w:val="clear" w:color="auto" w:fill="auto"/>
            <w:vAlign w:val="center"/>
          </w:tcPr>
          <w:p w14:paraId="7B98DB47">
            <w:pPr>
              <w:spacing w:line="260" w:lineRule="exact"/>
              <w:rPr>
                <w:rFonts w:ascii="宋体" w:hAnsi="宋体"/>
                <w:b w:val="0"/>
                <w:szCs w:val="21"/>
              </w:rPr>
            </w:pPr>
            <w:r>
              <w:rPr>
                <w:rFonts w:ascii="宋体" w:hAnsi="宋体"/>
                <w:b w:val="0"/>
                <w:szCs w:val="21"/>
              </w:rPr>
              <w:t>140</w:t>
            </w:r>
            <w:r>
              <w:rPr>
                <w:rFonts w:hint="eastAsia" w:ascii="宋体" w:hAnsi="宋体"/>
                <w:b w:val="0"/>
                <w:szCs w:val="21"/>
              </w:rPr>
              <w:t>m范围内无本条款的所有控制项目；</w:t>
            </w:r>
            <w:r>
              <w:rPr>
                <w:rFonts w:ascii="宋体" w:hAnsi="宋体"/>
                <w:b w:val="0"/>
                <w:szCs w:val="21"/>
              </w:rPr>
              <w:t xml:space="preserve"> </w:t>
            </w:r>
          </w:p>
        </w:tc>
      </w:tr>
      <w:tr w14:paraId="72989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1BA111DC">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5226DA41">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7FF449D2">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66D1449D">
            <w:pPr>
              <w:spacing w:line="260" w:lineRule="exact"/>
              <w:jc w:val="left"/>
              <w:rPr>
                <w:rFonts w:ascii="宋体" w:hAnsi="宋体"/>
                <w:b w:val="0"/>
                <w:szCs w:val="21"/>
              </w:rPr>
            </w:pPr>
            <w:r>
              <w:rPr>
                <w:rFonts w:hint="eastAsia" w:ascii="宋体" w:hAnsi="宋体"/>
                <w:b w:val="0"/>
                <w:szCs w:val="21"/>
              </w:rPr>
              <w:t>城镇规划边缘、学校、220</w:t>
            </w:r>
            <w:r>
              <w:rPr>
                <w:rFonts w:ascii="宋体" w:hAnsi="宋体"/>
                <w:b w:val="0"/>
                <w:szCs w:val="21"/>
              </w:rPr>
              <w:t>kV</w:t>
            </w:r>
            <w:r>
              <w:rPr>
                <w:rFonts w:hint="eastAsia" w:ascii="宋体" w:hAnsi="宋体"/>
                <w:b w:val="0"/>
                <w:szCs w:val="21"/>
              </w:rPr>
              <w:t>及以上的区域变电站围墙、220</w:t>
            </w:r>
            <w:r>
              <w:rPr>
                <w:rFonts w:ascii="宋体" w:hAnsi="宋体"/>
                <w:b w:val="0"/>
                <w:szCs w:val="21"/>
              </w:rPr>
              <w:t>kV</w:t>
            </w:r>
            <w:r>
              <w:rPr>
                <w:rFonts w:hint="eastAsia" w:ascii="宋体" w:hAnsi="宋体"/>
                <w:b w:val="0"/>
                <w:szCs w:val="21"/>
              </w:rPr>
              <w:t>以上的架空输电线路</w:t>
            </w:r>
          </w:p>
        </w:tc>
        <w:tc>
          <w:tcPr>
            <w:tcW w:w="817" w:type="dxa"/>
            <w:shd w:val="clear" w:color="auto" w:fill="auto"/>
            <w:vAlign w:val="center"/>
          </w:tcPr>
          <w:p w14:paraId="231776AC">
            <w:pPr>
              <w:spacing w:line="260" w:lineRule="exact"/>
              <w:jc w:val="center"/>
              <w:rPr>
                <w:rFonts w:ascii="宋体" w:hAnsi="宋体"/>
                <w:b w:val="0"/>
                <w:szCs w:val="21"/>
              </w:rPr>
            </w:pPr>
            <w:r>
              <w:rPr>
                <w:rFonts w:hint="eastAsia" w:ascii="宋体" w:hAnsi="宋体"/>
                <w:b w:val="0"/>
                <w:szCs w:val="21"/>
              </w:rPr>
              <w:t>250</w:t>
            </w:r>
          </w:p>
        </w:tc>
        <w:tc>
          <w:tcPr>
            <w:tcW w:w="2026" w:type="dxa"/>
            <w:shd w:val="clear" w:color="auto" w:fill="auto"/>
            <w:vAlign w:val="center"/>
          </w:tcPr>
          <w:p w14:paraId="0D08F7BC">
            <w:pPr>
              <w:spacing w:line="260" w:lineRule="exact"/>
              <w:rPr>
                <w:rFonts w:ascii="宋体" w:hAnsi="宋体"/>
                <w:b w:val="0"/>
                <w:szCs w:val="21"/>
              </w:rPr>
            </w:pPr>
            <w:r>
              <w:rPr>
                <w:rFonts w:hint="eastAsia" w:ascii="宋体" w:hAnsi="宋体"/>
                <w:b w:val="0"/>
                <w:szCs w:val="21"/>
              </w:rPr>
              <w:t xml:space="preserve">250m范围内无本条款的所有控制项目 </w:t>
            </w:r>
          </w:p>
        </w:tc>
      </w:tr>
      <w:tr w14:paraId="2AF4A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04DF4B34">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288AF4CD">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4448F134">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487A12D2">
            <w:pPr>
              <w:spacing w:line="260" w:lineRule="exact"/>
              <w:jc w:val="left"/>
              <w:rPr>
                <w:rFonts w:ascii="宋体" w:hAnsi="宋体"/>
                <w:b w:val="0"/>
                <w:szCs w:val="21"/>
              </w:rPr>
            </w:pPr>
            <w:r>
              <w:rPr>
                <w:rFonts w:hint="eastAsia" w:ascii="宋体" w:hAnsi="宋体"/>
                <w:b w:val="0"/>
                <w:szCs w:val="21"/>
              </w:rPr>
              <w:t>国家铁路线、省级以上公路用地外缘、通航的河流航道边缘</w:t>
            </w:r>
          </w:p>
        </w:tc>
        <w:tc>
          <w:tcPr>
            <w:tcW w:w="817" w:type="dxa"/>
            <w:shd w:val="clear" w:color="auto" w:fill="auto"/>
            <w:vAlign w:val="center"/>
          </w:tcPr>
          <w:p w14:paraId="4272C79C">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64ED2B90">
            <w:pPr>
              <w:spacing w:line="260" w:lineRule="exact"/>
              <w:rPr>
                <w:rFonts w:ascii="宋体" w:hAnsi="宋体"/>
                <w:b w:val="0"/>
                <w:szCs w:val="21"/>
              </w:rPr>
            </w:pPr>
            <w:r>
              <w:rPr>
                <w:rFonts w:hint="eastAsia" w:ascii="宋体" w:hAnsi="宋体"/>
                <w:b w:val="0"/>
                <w:szCs w:val="21"/>
              </w:rPr>
              <w:t>70m范围内无本条款的所有控制项目；</w:t>
            </w:r>
          </w:p>
        </w:tc>
      </w:tr>
      <w:tr w14:paraId="1EE00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1C897B4D">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543D5A24">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21167F08">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4724F531">
            <w:pPr>
              <w:spacing w:line="260" w:lineRule="exact"/>
              <w:jc w:val="left"/>
              <w:rPr>
                <w:rFonts w:ascii="宋体" w:hAnsi="宋体"/>
                <w:b w:val="0"/>
                <w:szCs w:val="21"/>
              </w:rPr>
            </w:pPr>
            <w:r>
              <w:rPr>
                <w:rFonts w:hint="eastAsia" w:ascii="宋体" w:hAnsi="宋体"/>
                <w:b w:val="0"/>
                <w:szCs w:val="21"/>
              </w:rPr>
              <w:t>非本厂的工厂铁路支线、县级公路用地外缘、35</w:t>
            </w:r>
            <w:r>
              <w:rPr>
                <w:rFonts w:ascii="宋体" w:hAnsi="宋体"/>
                <w:b w:val="0"/>
                <w:szCs w:val="21"/>
              </w:rPr>
              <w:t>kV</w:t>
            </w:r>
            <w:r>
              <w:rPr>
                <w:rFonts w:hint="eastAsia" w:ascii="宋体" w:hAnsi="宋体"/>
                <w:b w:val="0"/>
                <w:szCs w:val="21"/>
              </w:rPr>
              <w:t>架空输电线路</w:t>
            </w:r>
          </w:p>
        </w:tc>
        <w:tc>
          <w:tcPr>
            <w:tcW w:w="817" w:type="dxa"/>
            <w:shd w:val="clear" w:color="auto" w:fill="auto"/>
            <w:vAlign w:val="center"/>
          </w:tcPr>
          <w:p w14:paraId="7AFEA099">
            <w:pPr>
              <w:spacing w:line="260" w:lineRule="exact"/>
              <w:jc w:val="center"/>
              <w:rPr>
                <w:rFonts w:ascii="宋体" w:hAnsi="宋体"/>
                <w:b w:val="0"/>
                <w:szCs w:val="21"/>
              </w:rPr>
            </w:pPr>
            <w:r>
              <w:rPr>
                <w:rFonts w:hint="eastAsia" w:ascii="宋体" w:hAnsi="宋体"/>
                <w:b w:val="0"/>
                <w:szCs w:val="21"/>
              </w:rPr>
              <w:t>70</w:t>
            </w:r>
          </w:p>
        </w:tc>
        <w:tc>
          <w:tcPr>
            <w:tcW w:w="2026" w:type="dxa"/>
            <w:shd w:val="clear" w:color="auto" w:fill="auto"/>
            <w:vAlign w:val="center"/>
          </w:tcPr>
          <w:p w14:paraId="7A7614DF">
            <w:pPr>
              <w:spacing w:line="260" w:lineRule="exact"/>
              <w:rPr>
                <w:rFonts w:ascii="宋体" w:hAnsi="宋体"/>
                <w:b w:val="0"/>
                <w:szCs w:val="21"/>
              </w:rPr>
            </w:pPr>
            <w:r>
              <w:rPr>
                <w:rFonts w:ascii="宋体" w:hAnsi="宋体"/>
                <w:b w:val="0"/>
                <w:szCs w:val="21"/>
              </w:rPr>
              <w:t>70</w:t>
            </w:r>
            <w:r>
              <w:rPr>
                <w:rFonts w:hint="eastAsia" w:ascii="宋体" w:hAnsi="宋体"/>
                <w:b w:val="0"/>
                <w:szCs w:val="21"/>
              </w:rPr>
              <w:t>m范围内无本条款的所有控制项目</w:t>
            </w:r>
          </w:p>
        </w:tc>
      </w:tr>
      <w:tr w14:paraId="661F6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295EC9CF">
            <w:pPr>
              <w:widowControl/>
              <w:autoSpaceDE w:val="0"/>
              <w:autoSpaceDN w:val="0"/>
              <w:adjustRightInd w:val="0"/>
              <w:snapToGrid w:val="0"/>
              <w:spacing w:line="260" w:lineRule="exact"/>
              <w:jc w:val="center"/>
              <w:textAlignment w:val="baseline"/>
              <w:rPr>
                <w:rFonts w:ascii="宋体" w:hAnsi="宋体"/>
                <w:b w:val="0"/>
                <w:color w:val="00B0F0"/>
                <w:szCs w:val="21"/>
              </w:rPr>
            </w:pPr>
          </w:p>
        </w:tc>
        <w:tc>
          <w:tcPr>
            <w:tcW w:w="708" w:type="dxa"/>
            <w:vMerge w:val="continue"/>
            <w:shd w:val="clear" w:color="auto" w:fill="auto"/>
            <w:vAlign w:val="center"/>
          </w:tcPr>
          <w:p w14:paraId="465C9D25">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1088" w:type="dxa"/>
            <w:vMerge w:val="continue"/>
            <w:shd w:val="clear" w:color="auto" w:fill="auto"/>
            <w:vAlign w:val="center"/>
          </w:tcPr>
          <w:p w14:paraId="1B1D35BC">
            <w:pPr>
              <w:widowControl/>
              <w:autoSpaceDE w:val="0"/>
              <w:autoSpaceDN w:val="0"/>
              <w:adjustRightInd w:val="0"/>
              <w:snapToGrid w:val="0"/>
              <w:spacing w:line="260" w:lineRule="exact"/>
              <w:jc w:val="center"/>
              <w:textAlignment w:val="baseline"/>
              <w:rPr>
                <w:rFonts w:ascii="宋体" w:hAnsi="宋体" w:cs="宋体"/>
                <w:b w:val="0"/>
                <w:snapToGrid w:val="0"/>
                <w:color w:val="00B0F0"/>
                <w:spacing w:val="-1"/>
                <w:kern w:val="0"/>
                <w:szCs w:val="21"/>
              </w:rPr>
            </w:pPr>
          </w:p>
        </w:tc>
        <w:tc>
          <w:tcPr>
            <w:tcW w:w="3582" w:type="dxa"/>
            <w:shd w:val="clear" w:color="auto" w:fill="auto"/>
            <w:vAlign w:val="center"/>
          </w:tcPr>
          <w:p w14:paraId="42F09538">
            <w:pPr>
              <w:spacing w:line="260" w:lineRule="exact"/>
              <w:jc w:val="left"/>
              <w:rPr>
                <w:rFonts w:ascii="宋体" w:hAnsi="宋体"/>
                <w:b w:val="0"/>
                <w:szCs w:val="21"/>
              </w:rPr>
            </w:pPr>
            <w:r>
              <w:rPr>
                <w:rFonts w:hint="eastAsia" w:ascii="宋体" w:hAnsi="宋体"/>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817" w:type="dxa"/>
            <w:shd w:val="clear" w:color="auto" w:fill="auto"/>
            <w:vAlign w:val="center"/>
          </w:tcPr>
          <w:p w14:paraId="7F92457A">
            <w:pPr>
              <w:spacing w:line="260" w:lineRule="exact"/>
              <w:jc w:val="center"/>
              <w:rPr>
                <w:rFonts w:ascii="宋体" w:hAnsi="宋体"/>
                <w:b w:val="0"/>
                <w:szCs w:val="21"/>
              </w:rPr>
            </w:pPr>
            <w:r>
              <w:rPr>
                <w:rFonts w:hint="eastAsia" w:ascii="宋体" w:hAnsi="宋体"/>
                <w:b w:val="0"/>
                <w:szCs w:val="21"/>
              </w:rPr>
              <w:t>100</w:t>
            </w:r>
          </w:p>
        </w:tc>
        <w:tc>
          <w:tcPr>
            <w:tcW w:w="2026" w:type="dxa"/>
            <w:shd w:val="clear" w:color="auto" w:fill="auto"/>
            <w:vAlign w:val="center"/>
          </w:tcPr>
          <w:p w14:paraId="384589C3">
            <w:pPr>
              <w:spacing w:line="260" w:lineRule="exact"/>
              <w:rPr>
                <w:rFonts w:ascii="宋体" w:hAnsi="宋体"/>
                <w:b w:val="0"/>
                <w:szCs w:val="21"/>
              </w:rPr>
            </w:pPr>
            <w:r>
              <w:rPr>
                <w:rFonts w:hint="eastAsia" w:ascii="宋体" w:hAnsi="宋体"/>
                <w:b w:val="0"/>
                <w:szCs w:val="21"/>
              </w:rPr>
              <w:t>100m范围内无条款的所有控制项目</w:t>
            </w:r>
            <w:r>
              <w:rPr>
                <w:rFonts w:ascii="宋体" w:hAnsi="宋体"/>
                <w:b w:val="0"/>
                <w:szCs w:val="21"/>
              </w:rPr>
              <w:t xml:space="preserve"> </w:t>
            </w:r>
          </w:p>
        </w:tc>
      </w:tr>
      <w:tr w14:paraId="616B6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shd w:val="clear" w:color="auto" w:fill="auto"/>
            <w:vAlign w:val="center"/>
          </w:tcPr>
          <w:p w14:paraId="3DAA10F0">
            <w:pPr>
              <w:widowControl/>
              <w:autoSpaceDE w:val="0"/>
              <w:autoSpaceDN w:val="0"/>
              <w:adjustRightInd w:val="0"/>
              <w:snapToGrid w:val="0"/>
              <w:spacing w:line="260" w:lineRule="exact"/>
              <w:jc w:val="center"/>
              <w:textAlignment w:val="baseline"/>
              <w:rPr>
                <w:rFonts w:ascii="宋体" w:hAnsi="宋体"/>
                <w:b w:val="0"/>
                <w:szCs w:val="21"/>
              </w:rPr>
            </w:pPr>
            <w:r>
              <w:rPr>
                <w:rFonts w:hint="eastAsia" w:ascii="宋体" w:hAnsi="宋体"/>
                <w:b w:val="0"/>
                <w:szCs w:val="21"/>
              </w:rPr>
              <w:t>1</w:t>
            </w:r>
            <w:r>
              <w:rPr>
                <w:rFonts w:ascii="宋体" w:hAnsi="宋体"/>
                <w:b w:val="0"/>
                <w:szCs w:val="21"/>
              </w:rPr>
              <w:t>0#</w:t>
            </w:r>
            <w:r>
              <w:rPr>
                <w:rFonts w:hint="eastAsia" w:ascii="宋体" w:hAnsi="宋体"/>
                <w:b w:val="0"/>
                <w:szCs w:val="21"/>
              </w:rPr>
              <w:t>库房</w:t>
            </w:r>
          </w:p>
        </w:tc>
        <w:tc>
          <w:tcPr>
            <w:tcW w:w="708" w:type="dxa"/>
            <w:vMerge w:val="restart"/>
            <w:shd w:val="clear" w:color="auto" w:fill="auto"/>
            <w:vAlign w:val="center"/>
          </w:tcPr>
          <w:p w14:paraId="43FCAF75">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hint="eastAsia" w:ascii="宋体" w:hAnsi="宋体" w:cs="宋体"/>
                <w:b w:val="0"/>
                <w:snapToGrid w:val="0"/>
                <w:spacing w:val="-1"/>
                <w:kern w:val="0"/>
                <w:szCs w:val="21"/>
              </w:rPr>
              <w:t>1</w:t>
            </w:r>
            <w:r>
              <w:rPr>
                <w:rFonts w:ascii="宋体" w:hAnsi="宋体" w:cs="宋体"/>
                <w:b w:val="0"/>
                <w:snapToGrid w:val="0"/>
                <w:spacing w:val="-1"/>
                <w:kern w:val="0"/>
                <w:szCs w:val="21"/>
              </w:rPr>
              <w:t>.1</w:t>
            </w:r>
            <w:r>
              <w:rPr>
                <w:rFonts w:ascii="宋体" w:hAnsi="宋体" w:cs="宋体"/>
                <w:b w:val="0"/>
                <w:snapToGrid w:val="0"/>
                <w:spacing w:val="-1"/>
                <w:kern w:val="0"/>
                <w:szCs w:val="21"/>
                <w:vertAlign w:val="superscript"/>
              </w:rPr>
              <w:t>-2</w:t>
            </w:r>
          </w:p>
        </w:tc>
        <w:tc>
          <w:tcPr>
            <w:tcW w:w="1088" w:type="dxa"/>
            <w:vMerge w:val="restart"/>
            <w:shd w:val="clear" w:color="auto" w:fill="auto"/>
            <w:vAlign w:val="center"/>
          </w:tcPr>
          <w:p w14:paraId="419F6178">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r>
              <w:rPr>
                <w:rFonts w:hint="eastAsia" w:ascii="宋体" w:hAnsi="宋体" w:cs="宋体"/>
                <w:b w:val="0"/>
                <w:snapToGrid w:val="0"/>
                <w:spacing w:val="-1"/>
                <w:kern w:val="0"/>
                <w:szCs w:val="21"/>
              </w:rPr>
              <w:t>2</w:t>
            </w:r>
            <w:r>
              <w:rPr>
                <w:rFonts w:ascii="宋体" w:hAnsi="宋体" w:cs="宋体"/>
                <w:b w:val="0"/>
                <w:snapToGrid w:val="0"/>
                <w:spacing w:val="-1"/>
                <w:kern w:val="0"/>
                <w:szCs w:val="21"/>
              </w:rPr>
              <w:t>.2</w:t>
            </w:r>
          </w:p>
        </w:tc>
        <w:tc>
          <w:tcPr>
            <w:tcW w:w="3582" w:type="dxa"/>
            <w:shd w:val="clear" w:color="auto" w:fill="auto"/>
            <w:vAlign w:val="center"/>
          </w:tcPr>
          <w:p w14:paraId="74C9E1C4">
            <w:pPr>
              <w:spacing w:line="260" w:lineRule="exact"/>
              <w:jc w:val="left"/>
              <w:rPr>
                <w:rFonts w:ascii="宋体" w:hAnsi="宋体"/>
                <w:b w:val="0"/>
                <w:szCs w:val="21"/>
              </w:rPr>
            </w:pPr>
            <w:r>
              <w:rPr>
                <w:rFonts w:ascii="宋体" w:hAnsi="宋体"/>
                <w:b w:val="0"/>
                <w:szCs w:val="21"/>
              </w:rPr>
              <w:t>人数小于或等于50人或户数小于或等于10户的零  散住户边缘、职工总数小于或等于50人的企业围墙、本企业生产区建(构)筑物  边缘、无摘挂作业铁路中间 站站界及建筑物边缘、110kV架空输电线路</w:t>
            </w:r>
          </w:p>
        </w:tc>
        <w:tc>
          <w:tcPr>
            <w:tcW w:w="817" w:type="dxa"/>
            <w:shd w:val="clear" w:color="auto" w:fill="auto"/>
            <w:vAlign w:val="center"/>
          </w:tcPr>
          <w:p w14:paraId="3FB2918C">
            <w:pPr>
              <w:spacing w:line="260" w:lineRule="exact"/>
              <w:jc w:val="center"/>
              <w:rPr>
                <w:rFonts w:ascii="宋体" w:hAnsi="宋体"/>
                <w:b w:val="0"/>
                <w:szCs w:val="21"/>
              </w:rPr>
            </w:pPr>
            <w:r>
              <w:rPr>
                <w:rFonts w:ascii="宋体" w:hAnsi="宋体"/>
                <w:b w:val="0"/>
                <w:szCs w:val="21"/>
              </w:rPr>
              <w:t>205</w:t>
            </w:r>
          </w:p>
        </w:tc>
        <w:tc>
          <w:tcPr>
            <w:tcW w:w="2026" w:type="dxa"/>
            <w:shd w:val="clear" w:color="auto" w:fill="auto"/>
            <w:vAlign w:val="center"/>
          </w:tcPr>
          <w:p w14:paraId="03AE0059">
            <w:pPr>
              <w:spacing w:line="260" w:lineRule="exact"/>
              <w:rPr>
                <w:rFonts w:ascii="宋体" w:hAnsi="宋体"/>
                <w:b w:val="0"/>
                <w:szCs w:val="21"/>
              </w:rPr>
            </w:pPr>
            <w:r>
              <w:rPr>
                <w:rFonts w:ascii="宋体" w:hAnsi="宋体"/>
                <w:b w:val="0"/>
                <w:szCs w:val="21"/>
              </w:rPr>
              <w:t>205</w:t>
            </w:r>
            <w:r>
              <w:rPr>
                <w:rFonts w:hint="eastAsia" w:ascii="宋体" w:hAnsi="宋体"/>
                <w:b w:val="0"/>
                <w:szCs w:val="21"/>
              </w:rPr>
              <w:t>m范围内无本条款的所有控制项目</w:t>
            </w:r>
          </w:p>
        </w:tc>
      </w:tr>
      <w:tr w14:paraId="4B410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1CBD5180">
            <w:pPr>
              <w:widowControl/>
              <w:autoSpaceDE w:val="0"/>
              <w:autoSpaceDN w:val="0"/>
              <w:adjustRightInd w:val="0"/>
              <w:snapToGrid w:val="0"/>
              <w:spacing w:line="260" w:lineRule="exact"/>
              <w:jc w:val="center"/>
              <w:textAlignment w:val="baseline"/>
              <w:rPr>
                <w:rFonts w:ascii="宋体" w:hAnsi="宋体"/>
                <w:b w:val="0"/>
                <w:szCs w:val="21"/>
              </w:rPr>
            </w:pPr>
          </w:p>
        </w:tc>
        <w:tc>
          <w:tcPr>
            <w:tcW w:w="708" w:type="dxa"/>
            <w:vMerge w:val="continue"/>
            <w:shd w:val="clear" w:color="auto" w:fill="auto"/>
            <w:vAlign w:val="center"/>
          </w:tcPr>
          <w:p w14:paraId="78DA29B6">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1088" w:type="dxa"/>
            <w:vMerge w:val="continue"/>
            <w:shd w:val="clear" w:color="auto" w:fill="auto"/>
            <w:vAlign w:val="center"/>
          </w:tcPr>
          <w:p w14:paraId="54F116B4">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3582" w:type="dxa"/>
            <w:shd w:val="clear" w:color="auto" w:fill="auto"/>
            <w:vAlign w:val="center"/>
          </w:tcPr>
          <w:p w14:paraId="28581260">
            <w:pPr>
              <w:spacing w:line="260" w:lineRule="exact"/>
              <w:jc w:val="left"/>
              <w:rPr>
                <w:rFonts w:ascii="宋体" w:hAnsi="宋体"/>
                <w:b w:val="0"/>
                <w:szCs w:val="21"/>
              </w:rPr>
            </w:pPr>
            <w:r>
              <w:rPr>
                <w:rFonts w:ascii="宋体" w:hAnsi="宋体"/>
                <w:b w:val="0"/>
                <w:szCs w:val="21"/>
              </w:rPr>
              <w:t>人数大于50人且小于或等于500人的居民点边缘、职工总数小于或等于500人的企业围墙、有摘挂作业的铁路车站站界及建筑物边缘</w:t>
            </w:r>
          </w:p>
        </w:tc>
        <w:tc>
          <w:tcPr>
            <w:tcW w:w="817" w:type="dxa"/>
            <w:shd w:val="clear" w:color="auto" w:fill="auto"/>
            <w:vAlign w:val="center"/>
          </w:tcPr>
          <w:p w14:paraId="43A36A11">
            <w:pPr>
              <w:spacing w:line="260" w:lineRule="exact"/>
              <w:jc w:val="center"/>
              <w:rPr>
                <w:rFonts w:ascii="宋体" w:hAnsi="宋体"/>
                <w:b w:val="0"/>
                <w:szCs w:val="21"/>
              </w:rPr>
            </w:pPr>
            <w:r>
              <w:rPr>
                <w:rFonts w:ascii="宋体" w:hAnsi="宋体"/>
                <w:b w:val="0"/>
                <w:szCs w:val="21"/>
              </w:rPr>
              <w:t>275</w:t>
            </w:r>
          </w:p>
        </w:tc>
        <w:tc>
          <w:tcPr>
            <w:tcW w:w="2026" w:type="dxa"/>
            <w:shd w:val="clear" w:color="auto" w:fill="auto"/>
            <w:vAlign w:val="center"/>
          </w:tcPr>
          <w:p w14:paraId="1D6E3E35">
            <w:pPr>
              <w:spacing w:line="260" w:lineRule="exact"/>
              <w:rPr>
                <w:rFonts w:ascii="宋体" w:hAnsi="宋体"/>
                <w:b w:val="0"/>
                <w:szCs w:val="21"/>
              </w:rPr>
            </w:pPr>
            <w:r>
              <w:rPr>
                <w:rFonts w:ascii="宋体" w:hAnsi="宋体"/>
                <w:b w:val="0"/>
                <w:szCs w:val="21"/>
              </w:rPr>
              <w:t>275</w:t>
            </w:r>
            <w:r>
              <w:rPr>
                <w:rFonts w:hint="eastAsia" w:ascii="宋体" w:hAnsi="宋体"/>
                <w:b w:val="0"/>
                <w:szCs w:val="21"/>
              </w:rPr>
              <w:t>m范围内无本条款的所有控制项目；</w:t>
            </w:r>
            <w:r>
              <w:rPr>
                <w:rFonts w:ascii="宋体" w:hAnsi="宋体"/>
                <w:b w:val="0"/>
                <w:szCs w:val="21"/>
              </w:rPr>
              <w:t xml:space="preserve"> </w:t>
            </w:r>
          </w:p>
        </w:tc>
      </w:tr>
      <w:tr w14:paraId="69E2B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3A9EB65D">
            <w:pPr>
              <w:widowControl/>
              <w:autoSpaceDE w:val="0"/>
              <w:autoSpaceDN w:val="0"/>
              <w:adjustRightInd w:val="0"/>
              <w:snapToGrid w:val="0"/>
              <w:spacing w:line="260" w:lineRule="exact"/>
              <w:jc w:val="center"/>
              <w:textAlignment w:val="baseline"/>
              <w:rPr>
                <w:rFonts w:ascii="宋体" w:hAnsi="宋体"/>
                <w:b w:val="0"/>
                <w:szCs w:val="21"/>
              </w:rPr>
            </w:pPr>
          </w:p>
        </w:tc>
        <w:tc>
          <w:tcPr>
            <w:tcW w:w="708" w:type="dxa"/>
            <w:vMerge w:val="continue"/>
            <w:shd w:val="clear" w:color="auto" w:fill="auto"/>
            <w:vAlign w:val="center"/>
          </w:tcPr>
          <w:p w14:paraId="3D483D13">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1088" w:type="dxa"/>
            <w:vMerge w:val="continue"/>
            <w:shd w:val="clear" w:color="auto" w:fill="auto"/>
            <w:vAlign w:val="center"/>
          </w:tcPr>
          <w:p w14:paraId="5AD09297">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3582" w:type="dxa"/>
            <w:shd w:val="clear" w:color="auto" w:fill="auto"/>
            <w:vAlign w:val="center"/>
          </w:tcPr>
          <w:p w14:paraId="276A743A">
            <w:pPr>
              <w:spacing w:line="260" w:lineRule="exact"/>
              <w:jc w:val="left"/>
              <w:rPr>
                <w:rFonts w:ascii="宋体" w:hAnsi="宋体"/>
                <w:b w:val="0"/>
                <w:szCs w:val="21"/>
              </w:rPr>
            </w:pPr>
            <w:r>
              <w:rPr>
                <w:rFonts w:ascii="宋体" w:hAnsi="宋体"/>
                <w:b w:val="0"/>
                <w:szCs w:val="21"/>
              </w:rPr>
              <w:t>人数大于500人且小于  或等于5000人的居民点边 缘、职工总数小于或等于 5000人的企业围墙</w:t>
            </w:r>
          </w:p>
        </w:tc>
        <w:tc>
          <w:tcPr>
            <w:tcW w:w="817" w:type="dxa"/>
            <w:shd w:val="clear" w:color="auto" w:fill="auto"/>
            <w:vAlign w:val="center"/>
          </w:tcPr>
          <w:p w14:paraId="7F879900">
            <w:pPr>
              <w:spacing w:line="260" w:lineRule="exact"/>
              <w:jc w:val="center"/>
              <w:rPr>
                <w:rFonts w:ascii="宋体" w:hAnsi="宋体"/>
                <w:b w:val="0"/>
                <w:szCs w:val="21"/>
              </w:rPr>
            </w:pPr>
            <w:r>
              <w:rPr>
                <w:rFonts w:ascii="宋体" w:hAnsi="宋体"/>
                <w:b w:val="0"/>
                <w:szCs w:val="21"/>
              </w:rPr>
              <w:t>300</w:t>
            </w:r>
          </w:p>
        </w:tc>
        <w:tc>
          <w:tcPr>
            <w:tcW w:w="2026" w:type="dxa"/>
            <w:shd w:val="clear" w:color="auto" w:fill="auto"/>
            <w:vAlign w:val="center"/>
          </w:tcPr>
          <w:p w14:paraId="0BDB16F8">
            <w:pPr>
              <w:spacing w:line="260" w:lineRule="exact"/>
              <w:rPr>
                <w:rFonts w:ascii="宋体" w:hAnsi="宋体"/>
                <w:b w:val="0"/>
                <w:szCs w:val="21"/>
              </w:rPr>
            </w:pPr>
            <w:r>
              <w:rPr>
                <w:rFonts w:ascii="宋体" w:hAnsi="宋体"/>
                <w:b w:val="0"/>
                <w:szCs w:val="21"/>
              </w:rPr>
              <w:t>30</w:t>
            </w:r>
            <w:r>
              <w:rPr>
                <w:rFonts w:hint="eastAsia" w:ascii="宋体" w:hAnsi="宋体"/>
                <w:b w:val="0"/>
                <w:szCs w:val="21"/>
              </w:rPr>
              <w:t>0m范围内无本条款的所有控制项目；</w:t>
            </w:r>
            <w:r>
              <w:rPr>
                <w:rFonts w:ascii="宋体" w:hAnsi="宋体"/>
                <w:b w:val="0"/>
                <w:szCs w:val="21"/>
              </w:rPr>
              <w:t xml:space="preserve"> </w:t>
            </w:r>
          </w:p>
        </w:tc>
      </w:tr>
      <w:tr w14:paraId="41509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03A249FD">
            <w:pPr>
              <w:widowControl/>
              <w:autoSpaceDE w:val="0"/>
              <w:autoSpaceDN w:val="0"/>
              <w:adjustRightInd w:val="0"/>
              <w:snapToGrid w:val="0"/>
              <w:spacing w:line="260" w:lineRule="exact"/>
              <w:jc w:val="center"/>
              <w:textAlignment w:val="baseline"/>
              <w:rPr>
                <w:rFonts w:ascii="宋体" w:hAnsi="宋体"/>
                <w:b w:val="0"/>
                <w:szCs w:val="21"/>
              </w:rPr>
            </w:pPr>
          </w:p>
        </w:tc>
        <w:tc>
          <w:tcPr>
            <w:tcW w:w="708" w:type="dxa"/>
            <w:vMerge w:val="continue"/>
            <w:shd w:val="clear" w:color="auto" w:fill="auto"/>
            <w:vAlign w:val="center"/>
          </w:tcPr>
          <w:p w14:paraId="2E519448">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1088" w:type="dxa"/>
            <w:vMerge w:val="continue"/>
            <w:shd w:val="clear" w:color="auto" w:fill="auto"/>
            <w:vAlign w:val="center"/>
          </w:tcPr>
          <w:p w14:paraId="554BDE52">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3582" w:type="dxa"/>
            <w:shd w:val="clear" w:color="auto" w:fill="auto"/>
            <w:vAlign w:val="center"/>
          </w:tcPr>
          <w:p w14:paraId="3B09FCE6">
            <w:pPr>
              <w:spacing w:line="260" w:lineRule="exact"/>
              <w:jc w:val="left"/>
              <w:rPr>
                <w:rFonts w:ascii="宋体" w:hAnsi="宋体"/>
                <w:b w:val="0"/>
                <w:szCs w:val="21"/>
              </w:rPr>
            </w:pPr>
            <w:r>
              <w:rPr>
                <w:rFonts w:ascii="宋体" w:hAnsi="宋体"/>
                <w:b w:val="0"/>
                <w:szCs w:val="21"/>
              </w:rPr>
              <w:t>110kV区域变电站围墙， 220kV架空输电线路</w:t>
            </w:r>
          </w:p>
        </w:tc>
        <w:tc>
          <w:tcPr>
            <w:tcW w:w="817" w:type="dxa"/>
            <w:shd w:val="clear" w:color="auto" w:fill="auto"/>
            <w:vAlign w:val="center"/>
          </w:tcPr>
          <w:p w14:paraId="4E07B7C7">
            <w:pPr>
              <w:spacing w:line="260" w:lineRule="exact"/>
              <w:jc w:val="center"/>
              <w:rPr>
                <w:rFonts w:ascii="宋体" w:hAnsi="宋体"/>
                <w:b w:val="0"/>
                <w:szCs w:val="21"/>
              </w:rPr>
            </w:pPr>
            <w:r>
              <w:rPr>
                <w:rFonts w:ascii="宋体" w:hAnsi="宋体"/>
                <w:b w:val="0"/>
                <w:szCs w:val="21"/>
              </w:rPr>
              <w:t>320</w:t>
            </w:r>
          </w:p>
        </w:tc>
        <w:tc>
          <w:tcPr>
            <w:tcW w:w="2026" w:type="dxa"/>
            <w:shd w:val="clear" w:color="auto" w:fill="auto"/>
            <w:vAlign w:val="center"/>
          </w:tcPr>
          <w:p w14:paraId="3EE46A08">
            <w:pPr>
              <w:spacing w:line="260" w:lineRule="exact"/>
              <w:rPr>
                <w:rFonts w:ascii="宋体" w:hAnsi="宋体"/>
                <w:b w:val="0"/>
                <w:szCs w:val="21"/>
              </w:rPr>
            </w:pPr>
            <w:r>
              <w:rPr>
                <w:rFonts w:ascii="宋体" w:hAnsi="宋体"/>
                <w:b w:val="0"/>
                <w:szCs w:val="21"/>
              </w:rPr>
              <w:t>3</w:t>
            </w:r>
            <w:r>
              <w:rPr>
                <w:rFonts w:hint="eastAsia" w:ascii="宋体" w:hAnsi="宋体"/>
                <w:b w:val="0"/>
                <w:szCs w:val="21"/>
              </w:rPr>
              <w:t>20m范围内无本条款的所有控制项目</w:t>
            </w:r>
          </w:p>
        </w:tc>
      </w:tr>
      <w:tr w14:paraId="1E3D8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6C64F6FD">
            <w:pPr>
              <w:widowControl/>
              <w:autoSpaceDE w:val="0"/>
              <w:autoSpaceDN w:val="0"/>
              <w:adjustRightInd w:val="0"/>
              <w:snapToGrid w:val="0"/>
              <w:spacing w:line="260" w:lineRule="exact"/>
              <w:jc w:val="center"/>
              <w:textAlignment w:val="baseline"/>
              <w:rPr>
                <w:rFonts w:ascii="宋体" w:hAnsi="宋体"/>
                <w:b w:val="0"/>
                <w:szCs w:val="21"/>
              </w:rPr>
            </w:pPr>
          </w:p>
        </w:tc>
        <w:tc>
          <w:tcPr>
            <w:tcW w:w="708" w:type="dxa"/>
            <w:vMerge w:val="continue"/>
            <w:shd w:val="clear" w:color="auto" w:fill="auto"/>
            <w:vAlign w:val="center"/>
          </w:tcPr>
          <w:p w14:paraId="4F097B16">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1088" w:type="dxa"/>
            <w:vMerge w:val="continue"/>
            <w:shd w:val="clear" w:color="auto" w:fill="auto"/>
            <w:vAlign w:val="center"/>
          </w:tcPr>
          <w:p w14:paraId="12665033">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3582" w:type="dxa"/>
            <w:shd w:val="clear" w:color="auto" w:fill="auto"/>
            <w:vAlign w:val="center"/>
          </w:tcPr>
          <w:p w14:paraId="5B257FE5">
            <w:pPr>
              <w:spacing w:line="260" w:lineRule="exact"/>
              <w:jc w:val="left"/>
              <w:rPr>
                <w:rFonts w:ascii="宋体" w:hAnsi="宋体"/>
                <w:b w:val="0"/>
                <w:szCs w:val="21"/>
              </w:rPr>
            </w:pPr>
            <w:r>
              <w:rPr>
                <w:rFonts w:hint="eastAsia" w:ascii="宋体" w:hAnsi="宋体"/>
                <w:b w:val="0"/>
                <w:szCs w:val="21"/>
              </w:rPr>
              <w:t>城镇规划边缘、学校、220kV以上的区域变电站围墙，220kV以上架空输电线路</w:t>
            </w:r>
          </w:p>
        </w:tc>
        <w:tc>
          <w:tcPr>
            <w:tcW w:w="817" w:type="dxa"/>
            <w:shd w:val="clear" w:color="auto" w:fill="auto"/>
            <w:vAlign w:val="center"/>
          </w:tcPr>
          <w:p w14:paraId="24190467">
            <w:pPr>
              <w:spacing w:line="260" w:lineRule="exact"/>
              <w:jc w:val="center"/>
              <w:rPr>
                <w:rFonts w:ascii="宋体" w:hAnsi="宋体"/>
                <w:b w:val="0"/>
                <w:szCs w:val="21"/>
              </w:rPr>
            </w:pPr>
            <w:r>
              <w:rPr>
                <w:rFonts w:ascii="宋体" w:hAnsi="宋体"/>
                <w:b w:val="0"/>
                <w:szCs w:val="21"/>
              </w:rPr>
              <w:t>480</w:t>
            </w:r>
          </w:p>
        </w:tc>
        <w:tc>
          <w:tcPr>
            <w:tcW w:w="2026" w:type="dxa"/>
            <w:shd w:val="clear" w:color="auto" w:fill="auto"/>
            <w:vAlign w:val="center"/>
          </w:tcPr>
          <w:p w14:paraId="62971224">
            <w:pPr>
              <w:spacing w:line="260" w:lineRule="exact"/>
              <w:rPr>
                <w:rFonts w:ascii="宋体" w:hAnsi="宋体"/>
                <w:b w:val="0"/>
                <w:szCs w:val="21"/>
              </w:rPr>
            </w:pPr>
            <w:r>
              <w:rPr>
                <w:rFonts w:ascii="宋体" w:hAnsi="宋体"/>
                <w:b w:val="0"/>
                <w:szCs w:val="21"/>
              </w:rPr>
              <w:t>480</w:t>
            </w:r>
            <w:r>
              <w:rPr>
                <w:rFonts w:hint="eastAsia" w:ascii="宋体" w:hAnsi="宋体"/>
                <w:b w:val="0"/>
                <w:szCs w:val="21"/>
              </w:rPr>
              <w:t>m范围内无本条款的所有控制项目</w:t>
            </w:r>
          </w:p>
        </w:tc>
      </w:tr>
      <w:tr w14:paraId="2D992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231EFCAB">
            <w:pPr>
              <w:widowControl/>
              <w:autoSpaceDE w:val="0"/>
              <w:autoSpaceDN w:val="0"/>
              <w:adjustRightInd w:val="0"/>
              <w:snapToGrid w:val="0"/>
              <w:spacing w:line="260" w:lineRule="exact"/>
              <w:jc w:val="center"/>
              <w:textAlignment w:val="baseline"/>
              <w:rPr>
                <w:rFonts w:ascii="宋体" w:hAnsi="宋体"/>
                <w:b w:val="0"/>
                <w:szCs w:val="21"/>
              </w:rPr>
            </w:pPr>
          </w:p>
        </w:tc>
        <w:tc>
          <w:tcPr>
            <w:tcW w:w="708" w:type="dxa"/>
            <w:vMerge w:val="continue"/>
            <w:shd w:val="clear" w:color="auto" w:fill="auto"/>
            <w:vAlign w:val="center"/>
          </w:tcPr>
          <w:p w14:paraId="5F0C4EB0">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1088" w:type="dxa"/>
            <w:vMerge w:val="continue"/>
            <w:shd w:val="clear" w:color="auto" w:fill="auto"/>
            <w:vAlign w:val="center"/>
          </w:tcPr>
          <w:p w14:paraId="2225E90C">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3582" w:type="dxa"/>
            <w:shd w:val="clear" w:color="auto" w:fill="auto"/>
            <w:vAlign w:val="center"/>
          </w:tcPr>
          <w:p w14:paraId="48AF28E4">
            <w:pPr>
              <w:spacing w:line="260" w:lineRule="exact"/>
              <w:jc w:val="left"/>
              <w:rPr>
                <w:rFonts w:ascii="宋体" w:hAnsi="宋体"/>
                <w:b w:val="0"/>
                <w:szCs w:val="21"/>
              </w:rPr>
            </w:pPr>
            <w:r>
              <w:rPr>
                <w:rFonts w:hint="eastAsia" w:ascii="宋体" w:hAnsi="宋体"/>
                <w:b w:val="0"/>
                <w:szCs w:val="21"/>
              </w:rPr>
              <w:t>国家铁路线、省级以上公路用地外缘、通航的河流航道边缘</w:t>
            </w:r>
          </w:p>
        </w:tc>
        <w:tc>
          <w:tcPr>
            <w:tcW w:w="817" w:type="dxa"/>
            <w:shd w:val="clear" w:color="auto" w:fill="auto"/>
            <w:vAlign w:val="center"/>
          </w:tcPr>
          <w:p w14:paraId="451E3F65">
            <w:pPr>
              <w:spacing w:line="260" w:lineRule="exact"/>
              <w:jc w:val="center"/>
              <w:rPr>
                <w:rFonts w:ascii="宋体" w:hAnsi="宋体"/>
                <w:b w:val="0"/>
                <w:szCs w:val="21"/>
              </w:rPr>
            </w:pPr>
            <w:r>
              <w:rPr>
                <w:rFonts w:ascii="宋体" w:hAnsi="宋体"/>
                <w:b w:val="0"/>
                <w:szCs w:val="21"/>
              </w:rPr>
              <w:t>180</w:t>
            </w:r>
          </w:p>
        </w:tc>
        <w:tc>
          <w:tcPr>
            <w:tcW w:w="2026" w:type="dxa"/>
            <w:shd w:val="clear" w:color="auto" w:fill="auto"/>
            <w:vAlign w:val="center"/>
          </w:tcPr>
          <w:p w14:paraId="0EE95A32">
            <w:pPr>
              <w:spacing w:line="260" w:lineRule="exact"/>
              <w:rPr>
                <w:rFonts w:ascii="宋体" w:hAnsi="宋体"/>
                <w:b w:val="0"/>
                <w:szCs w:val="21"/>
              </w:rPr>
            </w:pPr>
            <w:r>
              <w:rPr>
                <w:rFonts w:hint="eastAsia" w:ascii="宋体" w:hAnsi="宋体"/>
                <w:b w:val="0"/>
                <w:szCs w:val="21"/>
              </w:rPr>
              <w:t>1</w:t>
            </w:r>
            <w:r>
              <w:rPr>
                <w:rFonts w:ascii="宋体" w:hAnsi="宋体"/>
                <w:b w:val="0"/>
                <w:szCs w:val="21"/>
              </w:rPr>
              <w:t>80</w:t>
            </w:r>
            <w:r>
              <w:rPr>
                <w:rFonts w:hint="eastAsia" w:ascii="宋体" w:hAnsi="宋体"/>
                <w:b w:val="0"/>
                <w:szCs w:val="21"/>
              </w:rPr>
              <w:t>m范围内无本条款的其它控制项目</w:t>
            </w:r>
          </w:p>
        </w:tc>
      </w:tr>
      <w:tr w14:paraId="5639D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0707B9D8">
            <w:pPr>
              <w:widowControl/>
              <w:autoSpaceDE w:val="0"/>
              <w:autoSpaceDN w:val="0"/>
              <w:adjustRightInd w:val="0"/>
              <w:snapToGrid w:val="0"/>
              <w:spacing w:line="260" w:lineRule="exact"/>
              <w:jc w:val="center"/>
              <w:textAlignment w:val="baseline"/>
              <w:rPr>
                <w:rFonts w:ascii="宋体" w:hAnsi="宋体"/>
                <w:b w:val="0"/>
                <w:szCs w:val="21"/>
              </w:rPr>
            </w:pPr>
          </w:p>
        </w:tc>
        <w:tc>
          <w:tcPr>
            <w:tcW w:w="708" w:type="dxa"/>
            <w:vMerge w:val="continue"/>
            <w:shd w:val="clear" w:color="auto" w:fill="auto"/>
            <w:vAlign w:val="center"/>
          </w:tcPr>
          <w:p w14:paraId="55908F7C">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1088" w:type="dxa"/>
            <w:vMerge w:val="continue"/>
            <w:shd w:val="clear" w:color="auto" w:fill="auto"/>
            <w:vAlign w:val="center"/>
          </w:tcPr>
          <w:p w14:paraId="3BFD2184">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3582" w:type="dxa"/>
            <w:shd w:val="clear" w:color="auto" w:fill="auto"/>
            <w:vAlign w:val="center"/>
          </w:tcPr>
          <w:p w14:paraId="28956F1E">
            <w:pPr>
              <w:spacing w:line="260" w:lineRule="exact"/>
              <w:jc w:val="left"/>
              <w:rPr>
                <w:rFonts w:ascii="宋体" w:hAnsi="宋体"/>
                <w:b w:val="0"/>
                <w:szCs w:val="21"/>
              </w:rPr>
            </w:pPr>
            <w:r>
              <w:rPr>
                <w:rFonts w:hint="eastAsia" w:ascii="宋体" w:hAnsi="宋体"/>
                <w:b w:val="0"/>
                <w:szCs w:val="21"/>
              </w:rPr>
              <w:t>非本厂的工厂铁路支线、县级公路用地外缘、35kV架空输电线路</w:t>
            </w:r>
          </w:p>
        </w:tc>
        <w:tc>
          <w:tcPr>
            <w:tcW w:w="817" w:type="dxa"/>
            <w:shd w:val="clear" w:color="auto" w:fill="auto"/>
            <w:vAlign w:val="center"/>
          </w:tcPr>
          <w:p w14:paraId="5363FA5D">
            <w:pPr>
              <w:spacing w:line="260" w:lineRule="exact"/>
              <w:jc w:val="center"/>
              <w:rPr>
                <w:rFonts w:ascii="宋体" w:hAnsi="宋体"/>
                <w:b w:val="0"/>
                <w:szCs w:val="21"/>
              </w:rPr>
            </w:pPr>
            <w:r>
              <w:rPr>
                <w:rFonts w:ascii="宋体" w:hAnsi="宋体"/>
                <w:b w:val="0"/>
                <w:szCs w:val="21"/>
              </w:rPr>
              <w:t>120</w:t>
            </w:r>
          </w:p>
        </w:tc>
        <w:tc>
          <w:tcPr>
            <w:tcW w:w="2026" w:type="dxa"/>
            <w:shd w:val="clear" w:color="auto" w:fill="auto"/>
            <w:vAlign w:val="center"/>
          </w:tcPr>
          <w:p w14:paraId="634D7DAC">
            <w:pPr>
              <w:spacing w:line="260" w:lineRule="exact"/>
              <w:rPr>
                <w:rFonts w:ascii="宋体" w:hAnsi="宋体"/>
                <w:b w:val="0"/>
                <w:szCs w:val="21"/>
              </w:rPr>
            </w:pPr>
            <w:r>
              <w:rPr>
                <w:rFonts w:ascii="宋体" w:hAnsi="宋体"/>
                <w:b w:val="0"/>
                <w:szCs w:val="21"/>
              </w:rPr>
              <w:t>120</w:t>
            </w:r>
            <w:r>
              <w:rPr>
                <w:rFonts w:hint="eastAsia" w:ascii="宋体" w:hAnsi="宋体"/>
                <w:b w:val="0"/>
                <w:szCs w:val="21"/>
              </w:rPr>
              <w:t>m范围内无本条款的所有控制项目</w:t>
            </w:r>
          </w:p>
        </w:tc>
      </w:tr>
      <w:tr w14:paraId="301A7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shd w:val="clear" w:color="auto" w:fill="auto"/>
            <w:vAlign w:val="center"/>
          </w:tcPr>
          <w:p w14:paraId="4C4184E3">
            <w:pPr>
              <w:widowControl/>
              <w:autoSpaceDE w:val="0"/>
              <w:autoSpaceDN w:val="0"/>
              <w:adjustRightInd w:val="0"/>
              <w:snapToGrid w:val="0"/>
              <w:spacing w:line="260" w:lineRule="exact"/>
              <w:jc w:val="center"/>
              <w:textAlignment w:val="baseline"/>
              <w:rPr>
                <w:rFonts w:ascii="宋体" w:hAnsi="宋体"/>
                <w:b w:val="0"/>
                <w:szCs w:val="21"/>
              </w:rPr>
            </w:pPr>
          </w:p>
        </w:tc>
        <w:tc>
          <w:tcPr>
            <w:tcW w:w="708" w:type="dxa"/>
            <w:vMerge w:val="continue"/>
            <w:shd w:val="clear" w:color="auto" w:fill="auto"/>
            <w:vAlign w:val="center"/>
          </w:tcPr>
          <w:p w14:paraId="27C0D06E">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1088" w:type="dxa"/>
            <w:vMerge w:val="continue"/>
            <w:shd w:val="clear" w:color="auto" w:fill="auto"/>
            <w:vAlign w:val="center"/>
          </w:tcPr>
          <w:p w14:paraId="21D21E9D">
            <w:pPr>
              <w:widowControl/>
              <w:autoSpaceDE w:val="0"/>
              <w:autoSpaceDN w:val="0"/>
              <w:adjustRightInd w:val="0"/>
              <w:snapToGrid w:val="0"/>
              <w:spacing w:line="260" w:lineRule="exact"/>
              <w:jc w:val="center"/>
              <w:textAlignment w:val="baseline"/>
              <w:rPr>
                <w:rFonts w:ascii="宋体" w:hAnsi="宋体" w:cs="宋体"/>
                <w:b w:val="0"/>
                <w:snapToGrid w:val="0"/>
                <w:spacing w:val="-1"/>
                <w:kern w:val="0"/>
                <w:szCs w:val="21"/>
              </w:rPr>
            </w:pPr>
          </w:p>
        </w:tc>
        <w:tc>
          <w:tcPr>
            <w:tcW w:w="3582" w:type="dxa"/>
            <w:shd w:val="clear" w:color="auto" w:fill="auto"/>
            <w:vAlign w:val="center"/>
          </w:tcPr>
          <w:p w14:paraId="6287F689">
            <w:pPr>
              <w:spacing w:line="260" w:lineRule="exact"/>
              <w:jc w:val="left"/>
              <w:rPr>
                <w:rFonts w:ascii="宋体" w:hAnsi="宋体"/>
                <w:b w:val="0"/>
                <w:szCs w:val="21"/>
              </w:rPr>
            </w:pPr>
            <w:r>
              <w:rPr>
                <w:rFonts w:hint="eastAsia" w:ascii="宋体" w:hAnsi="宋体"/>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817" w:type="dxa"/>
            <w:shd w:val="clear" w:color="auto" w:fill="auto"/>
            <w:vAlign w:val="center"/>
          </w:tcPr>
          <w:p w14:paraId="53E7070A">
            <w:pPr>
              <w:spacing w:line="260" w:lineRule="exact"/>
              <w:jc w:val="center"/>
              <w:rPr>
                <w:rFonts w:ascii="宋体" w:hAnsi="宋体"/>
                <w:b w:val="0"/>
                <w:szCs w:val="21"/>
              </w:rPr>
            </w:pPr>
            <w:r>
              <w:rPr>
                <w:rFonts w:hint="eastAsia" w:ascii="宋体" w:hAnsi="宋体"/>
                <w:b w:val="0"/>
                <w:szCs w:val="21"/>
              </w:rPr>
              <w:t>100</w:t>
            </w:r>
          </w:p>
        </w:tc>
        <w:tc>
          <w:tcPr>
            <w:tcW w:w="2026" w:type="dxa"/>
            <w:shd w:val="clear" w:color="auto" w:fill="auto"/>
            <w:vAlign w:val="center"/>
          </w:tcPr>
          <w:p w14:paraId="5CD56EDB">
            <w:pPr>
              <w:spacing w:line="260" w:lineRule="exact"/>
              <w:rPr>
                <w:rFonts w:ascii="宋体" w:hAnsi="宋体"/>
                <w:b w:val="0"/>
                <w:szCs w:val="21"/>
              </w:rPr>
            </w:pPr>
            <w:r>
              <w:rPr>
                <w:rFonts w:hint="eastAsia" w:ascii="宋体" w:hAnsi="宋体"/>
                <w:b w:val="0"/>
                <w:szCs w:val="21"/>
              </w:rPr>
              <w:t>100m范围内无条款的所有控制项目</w:t>
            </w:r>
            <w:r>
              <w:rPr>
                <w:rFonts w:ascii="宋体" w:hAnsi="宋体"/>
                <w:b w:val="0"/>
                <w:szCs w:val="21"/>
              </w:rPr>
              <w:t xml:space="preserve"> </w:t>
            </w:r>
          </w:p>
        </w:tc>
      </w:tr>
    </w:tbl>
    <w:p w14:paraId="533CFC95">
      <w:pPr>
        <w:pStyle w:val="6"/>
        <w:spacing w:before="240" w:beforeLines="100"/>
        <w:rPr>
          <w:rFonts w:ascii="黑体" w:hAnsi="宋体" w:eastAsia="黑体"/>
          <w:b w:val="0"/>
          <w:bCs w:val="0"/>
          <w:snapToGrid w:val="0"/>
          <w:sz w:val="30"/>
          <w:szCs w:val="30"/>
        </w:rPr>
      </w:pPr>
      <w:bookmarkStart w:id="56" w:name="_Toc300344378"/>
      <w:bookmarkStart w:id="57" w:name="_Toc300329556"/>
      <w:bookmarkStart w:id="58" w:name="_Toc278054170"/>
      <w:bookmarkStart w:id="59" w:name="_Toc300256181"/>
      <w:bookmarkStart w:id="60" w:name="_Toc165038768"/>
      <w:r>
        <w:rPr>
          <w:rFonts w:hint="eastAsia" w:ascii="黑体" w:hAnsi="宋体" w:eastAsia="黑体"/>
          <w:b w:val="0"/>
          <w:bCs w:val="0"/>
          <w:snapToGrid w:val="0"/>
          <w:sz w:val="30"/>
          <w:szCs w:val="30"/>
        </w:rPr>
        <w:t>2.2.4总平面布置</w:t>
      </w:r>
      <w:bookmarkEnd w:id="56"/>
      <w:bookmarkEnd w:id="57"/>
      <w:bookmarkEnd w:id="58"/>
      <w:bookmarkEnd w:id="59"/>
      <w:bookmarkEnd w:id="60"/>
    </w:p>
    <w:p w14:paraId="2E79A634">
      <w:pPr>
        <w:spacing w:line="600" w:lineRule="exact"/>
        <w:ind w:firstLine="560" w:firstLineChars="200"/>
        <w:rPr>
          <w:rFonts w:ascii="宋体" w:hAnsi="宋体" w:cs="宋体"/>
          <w:b w:val="0"/>
          <w:sz w:val="28"/>
          <w:szCs w:val="28"/>
          <w:lang w:val="zh-CN"/>
        </w:rPr>
      </w:pPr>
      <w:r>
        <w:rPr>
          <w:rFonts w:hint="eastAsia" w:ascii="宋体" w:hAnsi="宋体" w:cs="宋体"/>
          <w:b w:val="0"/>
          <w:bCs/>
          <w:sz w:val="28"/>
          <w:szCs w:val="28"/>
        </w:rPr>
        <w:t>黑龙江泰运烟花有限公司异地新建烟花爆竹库区建设项目</w:t>
      </w:r>
      <w:r>
        <w:rPr>
          <w:rFonts w:hint="eastAsia" w:ascii="宋体" w:hAnsi="宋体" w:cs="宋体"/>
          <w:b w:val="0"/>
          <w:sz w:val="28"/>
          <w:szCs w:val="28"/>
        </w:rPr>
        <w:t>用地规则是在黑龙江省大庆市肇州县新福乡新福村，库区总占地面积预计约</w:t>
      </w:r>
      <w:r>
        <w:rPr>
          <w:rFonts w:ascii="宋体" w:hAnsi="宋体" w:cs="宋体"/>
          <w:b w:val="0"/>
          <w:sz w:val="28"/>
          <w:szCs w:val="28"/>
        </w:rPr>
        <w:t>66000</w:t>
      </w:r>
      <w:r>
        <w:rPr>
          <w:rFonts w:hint="eastAsia" w:ascii="宋体" w:hAnsi="宋体" w:cs="宋体"/>
          <w:b w:val="0"/>
          <w:sz w:val="28"/>
          <w:szCs w:val="28"/>
          <w:lang w:val="zh-CN"/>
        </w:rPr>
        <w:t>m²。见附图“黑龙江泰运烟花有限公司异地新建烟花爆竹库区项目总</w:t>
      </w:r>
      <w:r>
        <w:rPr>
          <w:rFonts w:hint="eastAsia" w:ascii="宋体" w:hAnsi="宋体" w:cs="宋体"/>
          <w:b w:val="0"/>
          <w:sz w:val="28"/>
          <w:szCs w:val="28"/>
        </w:rPr>
        <w:t>平面布置图</w:t>
      </w:r>
      <w:r>
        <w:rPr>
          <w:rFonts w:hint="eastAsia" w:ascii="宋体" w:hAnsi="宋体" w:cs="宋体"/>
          <w:b w:val="0"/>
          <w:sz w:val="28"/>
          <w:szCs w:val="28"/>
          <w:lang w:val="zh-CN"/>
        </w:rPr>
        <w:t>”。</w:t>
      </w:r>
    </w:p>
    <w:p w14:paraId="6B38B0BD">
      <w:pPr>
        <w:pStyle w:val="2"/>
        <w:spacing w:line="600" w:lineRule="exact"/>
        <w:ind w:firstLine="560"/>
        <w:rPr>
          <w:rFonts w:ascii="宋体" w:hAnsi="宋体" w:eastAsia="宋体" w:cs="宋体"/>
          <w:b w:val="0"/>
          <w:kern w:val="2"/>
          <w:szCs w:val="28"/>
        </w:rPr>
      </w:pPr>
      <w:r>
        <w:rPr>
          <w:rFonts w:hint="eastAsia" w:ascii="宋体" w:hAnsi="宋体" w:eastAsia="宋体" w:cs="宋体"/>
          <w:b w:val="0"/>
          <w:kern w:val="2"/>
          <w:szCs w:val="28"/>
        </w:rPr>
        <w:t>项目库区布置按照由西向东依次布置，新建1</w:t>
      </w:r>
      <w:r>
        <w:rPr>
          <w:rFonts w:ascii="宋体" w:hAnsi="宋体" w:eastAsia="宋体" w:cs="宋体"/>
          <w:b w:val="0"/>
          <w:kern w:val="2"/>
          <w:szCs w:val="28"/>
        </w:rPr>
        <w:t>#</w:t>
      </w:r>
      <w:r>
        <w:rPr>
          <w:rFonts w:hint="eastAsia" w:ascii="宋体" w:hAnsi="宋体" w:eastAsia="宋体" w:cs="宋体"/>
          <w:b w:val="0"/>
          <w:kern w:val="2"/>
          <w:szCs w:val="28"/>
        </w:rPr>
        <w:t>库房位于库区东南面建筑面积5</w:t>
      </w:r>
      <w:r>
        <w:rPr>
          <w:rFonts w:ascii="宋体" w:hAnsi="宋体" w:eastAsia="宋体" w:cs="宋体"/>
          <w:b w:val="0"/>
          <w:kern w:val="2"/>
          <w:szCs w:val="28"/>
        </w:rPr>
        <w:t>58m</w:t>
      </w:r>
      <w:r>
        <w:rPr>
          <w:rFonts w:ascii="宋体" w:hAnsi="宋体" w:eastAsia="宋体" w:cs="宋体"/>
          <w:b w:val="0"/>
          <w:kern w:val="2"/>
          <w:szCs w:val="28"/>
          <w:vertAlign w:val="superscript"/>
        </w:rPr>
        <w:t>2</w:t>
      </w:r>
      <w:r>
        <w:rPr>
          <w:rFonts w:hint="eastAsia" w:ascii="宋体" w:hAnsi="宋体" w:eastAsia="宋体" w:cs="宋体"/>
          <w:b w:val="0"/>
          <w:kern w:val="2"/>
          <w:szCs w:val="28"/>
          <w:lang w:val="zh-CN"/>
        </w:rPr>
        <w:t>；2</w:t>
      </w:r>
      <w:r>
        <w:rPr>
          <w:rFonts w:ascii="宋体" w:hAnsi="宋体" w:eastAsia="宋体" w:cs="宋体"/>
          <w:b w:val="0"/>
          <w:kern w:val="2"/>
          <w:szCs w:val="28"/>
          <w:lang w:val="zh-CN"/>
        </w:rPr>
        <w:t>#</w:t>
      </w:r>
      <w:r>
        <w:rPr>
          <w:rFonts w:hint="eastAsia" w:ascii="宋体" w:hAnsi="宋体" w:eastAsia="宋体" w:cs="宋体"/>
          <w:b w:val="0"/>
          <w:kern w:val="2"/>
          <w:szCs w:val="28"/>
          <w:lang w:val="zh-CN"/>
        </w:rPr>
        <w:t>、4</w:t>
      </w:r>
      <w:r>
        <w:rPr>
          <w:rFonts w:ascii="宋体" w:hAnsi="宋体" w:eastAsia="宋体" w:cs="宋体"/>
          <w:b w:val="0"/>
          <w:kern w:val="2"/>
          <w:szCs w:val="28"/>
          <w:lang w:val="zh-CN"/>
        </w:rPr>
        <w:t>#</w:t>
      </w:r>
      <w:r>
        <w:rPr>
          <w:rFonts w:hint="eastAsia" w:ascii="宋体" w:hAnsi="宋体" w:eastAsia="宋体" w:cs="宋体"/>
          <w:b w:val="0"/>
          <w:kern w:val="2"/>
          <w:szCs w:val="28"/>
          <w:lang w:val="zh-CN"/>
        </w:rPr>
        <w:t>、6</w:t>
      </w:r>
      <w:r>
        <w:rPr>
          <w:rFonts w:ascii="宋体" w:hAnsi="宋体" w:eastAsia="宋体" w:cs="宋体"/>
          <w:b w:val="0"/>
          <w:kern w:val="2"/>
          <w:szCs w:val="28"/>
          <w:lang w:val="zh-CN"/>
        </w:rPr>
        <w:t>#</w:t>
      </w:r>
      <w:r>
        <w:rPr>
          <w:rFonts w:hint="eastAsia" w:ascii="宋体" w:hAnsi="宋体" w:eastAsia="宋体" w:cs="宋体"/>
          <w:b w:val="0"/>
          <w:kern w:val="2"/>
          <w:szCs w:val="28"/>
          <w:lang w:val="zh-CN"/>
        </w:rPr>
        <w:t>、8</w:t>
      </w:r>
      <w:r>
        <w:rPr>
          <w:rFonts w:ascii="宋体" w:hAnsi="宋体" w:eastAsia="宋体" w:cs="宋体"/>
          <w:b w:val="0"/>
          <w:kern w:val="2"/>
          <w:szCs w:val="28"/>
          <w:lang w:val="zh-CN"/>
        </w:rPr>
        <w:t>#</w:t>
      </w:r>
      <w:r>
        <w:rPr>
          <w:rFonts w:hint="eastAsia" w:ascii="宋体" w:hAnsi="宋体" w:eastAsia="宋体" w:cs="宋体"/>
          <w:b w:val="0"/>
          <w:kern w:val="2"/>
          <w:szCs w:val="28"/>
          <w:lang w:val="zh-CN"/>
        </w:rPr>
        <w:t>库房位于库区东北面建筑面积均为9</w:t>
      </w:r>
      <w:r>
        <w:rPr>
          <w:rFonts w:ascii="宋体" w:hAnsi="宋体" w:eastAsia="宋体" w:cs="宋体"/>
          <w:b w:val="0"/>
          <w:kern w:val="2"/>
          <w:szCs w:val="28"/>
          <w:lang w:val="zh-CN"/>
        </w:rPr>
        <w:t>90m</w:t>
      </w:r>
      <w:r>
        <w:rPr>
          <w:rFonts w:ascii="宋体" w:hAnsi="宋体" w:eastAsia="宋体" w:cs="宋体"/>
          <w:b w:val="0"/>
          <w:kern w:val="2"/>
          <w:szCs w:val="28"/>
          <w:vertAlign w:val="superscript"/>
          <w:lang w:val="zh-CN"/>
        </w:rPr>
        <w:t>2</w:t>
      </w:r>
      <w:r>
        <w:rPr>
          <w:rFonts w:ascii="宋体" w:hAnsi="宋体" w:eastAsia="宋体" w:cs="宋体"/>
          <w:b w:val="0"/>
          <w:kern w:val="2"/>
          <w:szCs w:val="28"/>
          <w:lang w:val="zh-CN"/>
        </w:rPr>
        <w:t>/</w:t>
      </w:r>
      <w:r>
        <w:rPr>
          <w:rFonts w:hint="eastAsia" w:ascii="宋体" w:hAnsi="宋体" w:eastAsia="宋体" w:cs="宋体"/>
          <w:b w:val="0"/>
          <w:kern w:val="2"/>
          <w:szCs w:val="28"/>
          <w:lang w:val="zh-CN"/>
        </w:rPr>
        <w:t>栋；3</w:t>
      </w:r>
      <w:r>
        <w:rPr>
          <w:rFonts w:ascii="宋体" w:hAnsi="宋体" w:eastAsia="宋体" w:cs="宋体"/>
          <w:b w:val="0"/>
          <w:kern w:val="2"/>
          <w:szCs w:val="28"/>
          <w:lang w:val="zh-CN"/>
        </w:rPr>
        <w:t>#</w:t>
      </w:r>
      <w:r>
        <w:rPr>
          <w:rFonts w:hint="eastAsia" w:ascii="宋体" w:hAnsi="宋体" w:eastAsia="宋体" w:cs="宋体"/>
          <w:b w:val="0"/>
          <w:kern w:val="2"/>
          <w:szCs w:val="28"/>
          <w:lang w:val="zh-CN"/>
        </w:rPr>
        <w:t>、</w:t>
      </w:r>
      <w:r>
        <w:rPr>
          <w:rFonts w:ascii="宋体" w:hAnsi="宋体" w:eastAsia="宋体" w:cs="宋体"/>
          <w:b w:val="0"/>
          <w:kern w:val="2"/>
          <w:szCs w:val="28"/>
          <w:lang w:val="zh-CN"/>
        </w:rPr>
        <w:t>5#</w:t>
      </w:r>
      <w:r>
        <w:rPr>
          <w:rFonts w:hint="eastAsia" w:ascii="宋体" w:hAnsi="宋体" w:eastAsia="宋体" w:cs="宋体"/>
          <w:b w:val="0"/>
          <w:kern w:val="2"/>
          <w:szCs w:val="28"/>
          <w:lang w:val="zh-CN"/>
        </w:rPr>
        <w:t>、7</w:t>
      </w:r>
      <w:r>
        <w:rPr>
          <w:rFonts w:ascii="宋体" w:hAnsi="宋体" w:eastAsia="宋体" w:cs="宋体"/>
          <w:b w:val="0"/>
          <w:kern w:val="2"/>
          <w:szCs w:val="28"/>
          <w:lang w:val="zh-CN"/>
        </w:rPr>
        <w:t>#</w:t>
      </w:r>
      <w:r>
        <w:rPr>
          <w:rFonts w:hint="eastAsia" w:ascii="宋体" w:hAnsi="宋体" w:eastAsia="宋体" w:cs="宋体"/>
          <w:b w:val="0"/>
          <w:kern w:val="2"/>
          <w:szCs w:val="28"/>
          <w:lang w:val="zh-CN"/>
        </w:rPr>
        <w:t>库房位于库区东南面建筑面积均为9</w:t>
      </w:r>
      <w:r>
        <w:rPr>
          <w:rFonts w:ascii="宋体" w:hAnsi="宋体" w:eastAsia="宋体" w:cs="宋体"/>
          <w:b w:val="0"/>
          <w:kern w:val="2"/>
          <w:szCs w:val="28"/>
          <w:lang w:val="zh-CN"/>
        </w:rPr>
        <w:t>90m</w:t>
      </w:r>
      <w:r>
        <w:rPr>
          <w:rFonts w:ascii="宋体" w:hAnsi="宋体" w:eastAsia="宋体" w:cs="宋体"/>
          <w:b w:val="0"/>
          <w:kern w:val="2"/>
          <w:szCs w:val="28"/>
          <w:vertAlign w:val="superscript"/>
          <w:lang w:val="zh-CN"/>
        </w:rPr>
        <w:t>2</w:t>
      </w:r>
      <w:r>
        <w:rPr>
          <w:rFonts w:ascii="宋体" w:hAnsi="宋体" w:eastAsia="宋体" w:cs="宋体"/>
          <w:b w:val="0"/>
          <w:kern w:val="2"/>
          <w:szCs w:val="28"/>
          <w:lang w:val="zh-CN"/>
        </w:rPr>
        <w:t>/</w:t>
      </w:r>
      <w:r>
        <w:rPr>
          <w:rFonts w:hint="eastAsia" w:ascii="宋体" w:hAnsi="宋体" w:eastAsia="宋体" w:cs="宋体"/>
          <w:b w:val="0"/>
          <w:kern w:val="2"/>
          <w:szCs w:val="28"/>
          <w:lang w:val="zh-CN"/>
        </w:rPr>
        <w:t>栋；9</w:t>
      </w:r>
      <w:r>
        <w:rPr>
          <w:rFonts w:ascii="宋体" w:hAnsi="宋体" w:eastAsia="宋体" w:cs="宋体"/>
          <w:b w:val="0"/>
          <w:kern w:val="2"/>
          <w:szCs w:val="28"/>
          <w:lang w:val="zh-CN"/>
        </w:rPr>
        <w:t>#</w:t>
      </w:r>
      <w:r>
        <w:rPr>
          <w:rFonts w:hint="eastAsia" w:ascii="宋体" w:hAnsi="宋体" w:eastAsia="宋体" w:cs="宋体"/>
          <w:b w:val="0"/>
          <w:kern w:val="2"/>
          <w:szCs w:val="28"/>
          <w:lang w:val="zh-CN"/>
        </w:rPr>
        <w:t>库房位于库区东南面建筑面积为9</w:t>
      </w:r>
      <w:r>
        <w:rPr>
          <w:rFonts w:ascii="宋体" w:hAnsi="宋体" w:eastAsia="宋体" w:cs="宋体"/>
          <w:b w:val="0"/>
          <w:kern w:val="2"/>
          <w:szCs w:val="28"/>
          <w:lang w:val="zh-CN"/>
        </w:rPr>
        <w:t>24m</w:t>
      </w:r>
      <w:r>
        <w:rPr>
          <w:rFonts w:ascii="宋体" w:hAnsi="宋体" w:eastAsia="宋体" w:cs="宋体"/>
          <w:b w:val="0"/>
          <w:kern w:val="2"/>
          <w:szCs w:val="28"/>
          <w:vertAlign w:val="superscript"/>
          <w:lang w:val="zh-CN"/>
        </w:rPr>
        <w:t>2</w:t>
      </w:r>
      <w:r>
        <w:rPr>
          <w:rFonts w:hint="eastAsia" w:ascii="宋体" w:hAnsi="宋体" w:eastAsia="宋体" w:cs="宋体"/>
          <w:b w:val="0"/>
          <w:kern w:val="2"/>
          <w:szCs w:val="28"/>
          <w:lang w:val="zh-CN"/>
        </w:rPr>
        <w:t>；1</w:t>
      </w:r>
      <w:r>
        <w:rPr>
          <w:rFonts w:ascii="宋体" w:hAnsi="宋体" w:eastAsia="宋体" w:cs="宋体"/>
          <w:b w:val="0"/>
          <w:kern w:val="2"/>
          <w:szCs w:val="28"/>
          <w:lang w:val="zh-CN"/>
        </w:rPr>
        <w:t>0#</w:t>
      </w:r>
      <w:r>
        <w:rPr>
          <w:rFonts w:hint="eastAsia" w:ascii="宋体" w:hAnsi="宋体" w:eastAsia="宋体" w:cs="宋体"/>
          <w:b w:val="0"/>
          <w:kern w:val="2"/>
          <w:szCs w:val="28"/>
          <w:lang w:val="zh-CN"/>
        </w:rPr>
        <w:t>库房位于库区东南面建筑面积为1</w:t>
      </w:r>
      <w:r>
        <w:rPr>
          <w:rFonts w:ascii="宋体" w:hAnsi="宋体" w:eastAsia="宋体" w:cs="宋体"/>
          <w:b w:val="0"/>
          <w:kern w:val="2"/>
          <w:szCs w:val="28"/>
          <w:lang w:val="zh-CN"/>
        </w:rPr>
        <w:t>10m</w:t>
      </w:r>
      <w:r>
        <w:rPr>
          <w:rFonts w:ascii="宋体" w:hAnsi="宋体" w:eastAsia="宋体" w:cs="宋体"/>
          <w:b w:val="0"/>
          <w:kern w:val="2"/>
          <w:szCs w:val="28"/>
          <w:vertAlign w:val="superscript"/>
          <w:lang w:val="zh-CN"/>
        </w:rPr>
        <w:t>2</w:t>
      </w:r>
      <w:r>
        <w:rPr>
          <w:rFonts w:hint="eastAsia" w:ascii="宋体" w:hAnsi="宋体" w:eastAsia="宋体" w:cs="宋体"/>
          <w:b w:val="0"/>
          <w:kern w:val="2"/>
          <w:szCs w:val="28"/>
          <w:lang w:val="zh-CN"/>
        </w:rPr>
        <w:t>；2栋值班室分别位于库区入口处左右两边建筑面积均为4</w:t>
      </w:r>
      <w:r>
        <w:rPr>
          <w:rFonts w:ascii="宋体" w:hAnsi="宋体" w:eastAsia="宋体" w:cs="宋体"/>
          <w:b w:val="0"/>
          <w:kern w:val="2"/>
          <w:szCs w:val="28"/>
          <w:lang w:val="zh-CN"/>
        </w:rPr>
        <w:t>2m</w:t>
      </w:r>
      <w:r>
        <w:rPr>
          <w:rFonts w:ascii="宋体" w:hAnsi="宋体" w:eastAsia="宋体" w:cs="宋体"/>
          <w:b w:val="0"/>
          <w:kern w:val="2"/>
          <w:szCs w:val="28"/>
          <w:vertAlign w:val="superscript"/>
          <w:lang w:val="zh-CN"/>
        </w:rPr>
        <w:t>2</w:t>
      </w:r>
      <w:r>
        <w:rPr>
          <w:rFonts w:ascii="宋体" w:hAnsi="宋体" w:eastAsia="宋体" w:cs="宋体"/>
          <w:b w:val="0"/>
          <w:kern w:val="2"/>
          <w:szCs w:val="28"/>
          <w:lang w:val="zh-CN"/>
        </w:rPr>
        <w:t>/</w:t>
      </w:r>
      <w:r>
        <w:rPr>
          <w:rFonts w:hint="eastAsia" w:ascii="宋体" w:hAnsi="宋体" w:eastAsia="宋体" w:cs="宋体"/>
          <w:b w:val="0"/>
          <w:kern w:val="2"/>
          <w:szCs w:val="28"/>
          <w:lang w:val="zh-CN"/>
        </w:rPr>
        <w:t>栋；新建综合办公室1栋，建筑面积为7</w:t>
      </w:r>
      <w:r>
        <w:rPr>
          <w:rFonts w:ascii="宋体" w:hAnsi="宋体" w:eastAsia="宋体" w:cs="宋体"/>
          <w:b w:val="0"/>
          <w:kern w:val="2"/>
          <w:szCs w:val="28"/>
          <w:lang w:val="zh-CN"/>
        </w:rPr>
        <w:t>17.6m</w:t>
      </w:r>
      <w:r>
        <w:rPr>
          <w:rFonts w:ascii="宋体" w:hAnsi="宋体" w:eastAsia="宋体" w:cs="宋体"/>
          <w:b w:val="0"/>
          <w:kern w:val="2"/>
          <w:szCs w:val="28"/>
          <w:vertAlign w:val="superscript"/>
          <w:lang w:val="zh-CN"/>
        </w:rPr>
        <w:t>2</w:t>
      </w:r>
      <w:r>
        <w:rPr>
          <w:rFonts w:hint="eastAsia" w:ascii="宋体" w:hAnsi="宋体" w:eastAsia="宋体" w:cs="宋体"/>
          <w:b w:val="0"/>
          <w:kern w:val="2"/>
          <w:szCs w:val="28"/>
          <w:lang w:val="zh-CN"/>
        </w:rPr>
        <w:t>（内含样品室、销售厅、办公室、业务室），位于库区西北面；消防泵房位于库区东南面建筑面积为2</w:t>
      </w:r>
      <w:r>
        <w:rPr>
          <w:rFonts w:ascii="宋体" w:hAnsi="宋体" w:eastAsia="宋体" w:cs="宋体"/>
          <w:b w:val="0"/>
          <w:kern w:val="2"/>
          <w:szCs w:val="28"/>
          <w:lang w:val="zh-CN"/>
        </w:rPr>
        <w:t>64.62m</w:t>
      </w:r>
      <w:r>
        <w:rPr>
          <w:rFonts w:ascii="宋体" w:hAnsi="宋体" w:eastAsia="宋体" w:cs="宋体"/>
          <w:b w:val="0"/>
          <w:kern w:val="2"/>
          <w:szCs w:val="28"/>
          <w:vertAlign w:val="superscript"/>
          <w:lang w:val="zh-CN"/>
        </w:rPr>
        <w:t>2</w:t>
      </w:r>
      <w:r>
        <w:rPr>
          <w:rFonts w:hint="eastAsia" w:ascii="宋体" w:hAnsi="宋体" w:eastAsia="宋体" w:cs="宋体"/>
          <w:b w:val="0"/>
          <w:kern w:val="2"/>
          <w:szCs w:val="28"/>
          <w:lang w:val="zh-CN"/>
        </w:rPr>
        <w:t>（内设消防水池）；消防水池有效容积为3</w:t>
      </w:r>
      <w:r>
        <w:rPr>
          <w:rFonts w:ascii="宋体" w:hAnsi="宋体" w:eastAsia="宋体" w:cs="宋体"/>
          <w:b w:val="0"/>
          <w:kern w:val="2"/>
          <w:szCs w:val="28"/>
          <w:lang w:val="zh-CN"/>
        </w:rPr>
        <w:t>00m</w:t>
      </w:r>
      <w:r>
        <w:rPr>
          <w:rFonts w:ascii="宋体" w:hAnsi="宋体" w:eastAsia="宋体" w:cs="宋体"/>
          <w:b w:val="0"/>
          <w:kern w:val="2"/>
          <w:szCs w:val="28"/>
          <w:vertAlign w:val="superscript"/>
          <w:lang w:val="zh-CN"/>
        </w:rPr>
        <w:t>3</w:t>
      </w:r>
      <w:r>
        <w:rPr>
          <w:rFonts w:hint="eastAsia" w:ascii="宋体" w:hAnsi="宋体" w:eastAsia="宋体" w:cs="宋体"/>
          <w:b w:val="0"/>
          <w:kern w:val="2"/>
          <w:szCs w:val="28"/>
          <w:lang w:val="zh-CN"/>
        </w:rPr>
        <w:t>。</w:t>
      </w:r>
    </w:p>
    <w:p w14:paraId="6D9DF8E3">
      <w:pPr>
        <w:spacing w:line="600" w:lineRule="exact"/>
        <w:ind w:firstLine="560" w:firstLineChars="200"/>
        <w:rPr>
          <w:rFonts w:ascii="宋体" w:hAnsi="宋体" w:cs="宋体"/>
          <w:b w:val="0"/>
          <w:sz w:val="28"/>
          <w:szCs w:val="28"/>
        </w:rPr>
      </w:pPr>
      <w:r>
        <w:rPr>
          <w:rFonts w:hint="eastAsia" w:ascii="宋体" w:hAnsi="宋体" w:cs="宋体"/>
          <w:b w:val="0"/>
          <w:sz w:val="28"/>
          <w:szCs w:val="28"/>
        </w:rPr>
        <w:t>库区主要建构筑物见表2.2.4。</w:t>
      </w:r>
    </w:p>
    <w:p w14:paraId="2DE1D316">
      <w:pPr>
        <w:adjustRightInd w:val="0"/>
        <w:snapToGrid w:val="0"/>
        <w:spacing w:before="120" w:beforeLines="50"/>
        <w:jc w:val="center"/>
        <w:rPr>
          <w:rFonts w:ascii="黑体" w:hAnsi="黑体" w:eastAsia="黑体" w:cs="Arial"/>
          <w:b w:val="0"/>
          <w:sz w:val="24"/>
        </w:rPr>
      </w:pPr>
      <w:r>
        <w:rPr>
          <w:rFonts w:hint="eastAsia" w:ascii="黑体" w:hAnsi="黑体" w:eastAsia="黑体" w:cs="Arial"/>
          <w:b w:val="0"/>
          <w:sz w:val="24"/>
        </w:rPr>
        <w:t>表2.2.4  拟新建主要建构筑物一览表</w:t>
      </w:r>
    </w:p>
    <w:tbl>
      <w:tblPr>
        <w:tblStyle w:val="49"/>
        <w:tblW w:w="90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276"/>
        <w:gridCol w:w="709"/>
        <w:gridCol w:w="850"/>
        <w:gridCol w:w="993"/>
        <w:gridCol w:w="850"/>
        <w:gridCol w:w="709"/>
        <w:gridCol w:w="936"/>
        <w:gridCol w:w="2098"/>
      </w:tblGrid>
      <w:tr w14:paraId="1AC5C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778E96C7">
            <w:pPr>
              <w:jc w:val="center"/>
              <w:rPr>
                <w:rFonts w:ascii="宋体" w:hAnsi="宋体" w:cs="宋体"/>
                <w:szCs w:val="21"/>
              </w:rPr>
            </w:pPr>
            <w:r>
              <w:rPr>
                <w:rFonts w:hint="eastAsia" w:ascii="宋体" w:hAnsi="宋体" w:cs="宋体"/>
                <w:szCs w:val="21"/>
              </w:rPr>
              <w:t>序号</w:t>
            </w:r>
          </w:p>
        </w:tc>
        <w:tc>
          <w:tcPr>
            <w:tcW w:w="1276" w:type="dxa"/>
            <w:vAlign w:val="center"/>
          </w:tcPr>
          <w:p w14:paraId="039DC444">
            <w:pPr>
              <w:jc w:val="center"/>
              <w:rPr>
                <w:rFonts w:ascii="宋体" w:hAnsi="宋体" w:cs="宋体"/>
                <w:szCs w:val="21"/>
              </w:rPr>
            </w:pPr>
            <w:r>
              <w:rPr>
                <w:rFonts w:hint="eastAsia" w:ascii="宋体" w:hAnsi="宋体" w:cs="宋体"/>
                <w:szCs w:val="21"/>
              </w:rPr>
              <w:t>建筑物名称</w:t>
            </w:r>
          </w:p>
        </w:tc>
        <w:tc>
          <w:tcPr>
            <w:tcW w:w="709" w:type="dxa"/>
            <w:vAlign w:val="center"/>
          </w:tcPr>
          <w:p w14:paraId="26CCF3ED">
            <w:pPr>
              <w:jc w:val="center"/>
              <w:rPr>
                <w:rFonts w:ascii="宋体" w:hAnsi="宋体" w:cs="宋体"/>
                <w:szCs w:val="21"/>
              </w:rPr>
            </w:pPr>
            <w:r>
              <w:rPr>
                <w:rFonts w:hint="eastAsia" w:ascii="宋体" w:hAnsi="宋体" w:cs="宋体"/>
                <w:szCs w:val="21"/>
              </w:rPr>
              <w:t>危险</w:t>
            </w:r>
          </w:p>
          <w:p w14:paraId="7802345F">
            <w:pPr>
              <w:jc w:val="center"/>
              <w:rPr>
                <w:rFonts w:ascii="宋体" w:hAnsi="宋体" w:cs="宋体"/>
                <w:szCs w:val="21"/>
              </w:rPr>
            </w:pPr>
            <w:r>
              <w:rPr>
                <w:rFonts w:hint="eastAsia" w:ascii="宋体" w:hAnsi="宋体" w:cs="宋体"/>
                <w:szCs w:val="21"/>
              </w:rPr>
              <w:t>等级</w:t>
            </w:r>
          </w:p>
        </w:tc>
        <w:tc>
          <w:tcPr>
            <w:tcW w:w="850" w:type="dxa"/>
            <w:vAlign w:val="center"/>
          </w:tcPr>
          <w:p w14:paraId="151B1BB1">
            <w:pPr>
              <w:jc w:val="center"/>
              <w:rPr>
                <w:rFonts w:ascii="宋体" w:hAnsi="宋体" w:cs="宋体"/>
                <w:szCs w:val="21"/>
              </w:rPr>
            </w:pPr>
            <w:r>
              <w:rPr>
                <w:rFonts w:hint="eastAsia" w:ascii="宋体" w:hAnsi="宋体" w:cs="宋体"/>
                <w:szCs w:val="21"/>
              </w:rPr>
              <w:t>面积（m</w:t>
            </w:r>
            <w:r>
              <w:rPr>
                <w:rFonts w:hint="eastAsia" w:ascii="宋体" w:hAnsi="宋体" w:cs="宋体"/>
                <w:szCs w:val="21"/>
                <w:vertAlign w:val="superscript"/>
              </w:rPr>
              <w:t>2</w:t>
            </w:r>
            <w:r>
              <w:rPr>
                <w:rFonts w:hint="eastAsia" w:ascii="宋体" w:hAnsi="宋体" w:cs="宋体"/>
                <w:szCs w:val="21"/>
              </w:rPr>
              <w:t>）</w:t>
            </w:r>
          </w:p>
        </w:tc>
        <w:tc>
          <w:tcPr>
            <w:tcW w:w="993" w:type="dxa"/>
            <w:vAlign w:val="center"/>
          </w:tcPr>
          <w:p w14:paraId="04656324">
            <w:pPr>
              <w:jc w:val="center"/>
              <w:rPr>
                <w:rFonts w:ascii="宋体" w:hAnsi="宋体" w:cs="宋体"/>
                <w:szCs w:val="21"/>
              </w:rPr>
            </w:pPr>
            <w:r>
              <w:rPr>
                <w:rFonts w:hint="eastAsia" w:ascii="宋体" w:hAnsi="宋体" w:cs="宋体"/>
                <w:szCs w:val="21"/>
              </w:rPr>
              <w:t>计算药量（</w:t>
            </w:r>
            <w:r>
              <w:rPr>
                <w:rFonts w:ascii="宋体" w:hAnsi="宋体" w:cs="宋体"/>
                <w:szCs w:val="21"/>
              </w:rPr>
              <w:t>t</w:t>
            </w:r>
            <w:r>
              <w:rPr>
                <w:rFonts w:hint="eastAsia" w:ascii="宋体" w:hAnsi="宋体" w:cs="宋体"/>
                <w:szCs w:val="21"/>
              </w:rPr>
              <w:t>）</w:t>
            </w:r>
          </w:p>
        </w:tc>
        <w:tc>
          <w:tcPr>
            <w:tcW w:w="850" w:type="dxa"/>
            <w:vAlign w:val="center"/>
          </w:tcPr>
          <w:p w14:paraId="7FE3310A">
            <w:pPr>
              <w:jc w:val="center"/>
              <w:rPr>
                <w:rFonts w:ascii="宋体" w:hAnsi="宋体" w:cs="宋体"/>
                <w:szCs w:val="21"/>
              </w:rPr>
            </w:pPr>
            <w:r>
              <w:rPr>
                <w:rFonts w:hint="eastAsia" w:ascii="宋体" w:hAnsi="宋体" w:cs="宋体"/>
                <w:szCs w:val="21"/>
              </w:rPr>
              <w:t>定员（人）</w:t>
            </w:r>
          </w:p>
        </w:tc>
        <w:tc>
          <w:tcPr>
            <w:tcW w:w="709" w:type="dxa"/>
            <w:vAlign w:val="center"/>
          </w:tcPr>
          <w:p w14:paraId="35C74C14">
            <w:pPr>
              <w:jc w:val="center"/>
              <w:rPr>
                <w:rFonts w:ascii="宋体" w:hAnsi="宋体" w:cs="宋体"/>
                <w:szCs w:val="21"/>
              </w:rPr>
            </w:pPr>
            <w:r>
              <w:rPr>
                <w:rFonts w:hint="eastAsia" w:ascii="宋体" w:hAnsi="宋体" w:cs="宋体"/>
                <w:szCs w:val="21"/>
              </w:rPr>
              <w:t>防火</w:t>
            </w:r>
          </w:p>
          <w:p w14:paraId="06123D8F">
            <w:pPr>
              <w:jc w:val="center"/>
              <w:rPr>
                <w:rFonts w:ascii="宋体" w:hAnsi="宋体" w:cs="宋体"/>
                <w:szCs w:val="21"/>
              </w:rPr>
            </w:pPr>
            <w:r>
              <w:rPr>
                <w:rFonts w:hint="eastAsia" w:ascii="宋体" w:hAnsi="宋体" w:cs="宋体"/>
                <w:szCs w:val="21"/>
              </w:rPr>
              <w:t>分区</w:t>
            </w:r>
          </w:p>
        </w:tc>
        <w:tc>
          <w:tcPr>
            <w:tcW w:w="936" w:type="dxa"/>
            <w:vAlign w:val="center"/>
          </w:tcPr>
          <w:p w14:paraId="1DE6EE50">
            <w:pPr>
              <w:jc w:val="center"/>
              <w:rPr>
                <w:rFonts w:ascii="宋体" w:hAnsi="宋体" w:cs="宋体"/>
                <w:szCs w:val="21"/>
              </w:rPr>
            </w:pPr>
            <w:r>
              <w:rPr>
                <w:rFonts w:hint="eastAsia" w:ascii="宋体" w:hAnsi="宋体" w:cs="宋体"/>
                <w:szCs w:val="21"/>
              </w:rPr>
              <w:t>设计结构形式</w:t>
            </w:r>
          </w:p>
        </w:tc>
        <w:tc>
          <w:tcPr>
            <w:tcW w:w="2098" w:type="dxa"/>
            <w:vAlign w:val="center"/>
          </w:tcPr>
          <w:p w14:paraId="71D2E7B5">
            <w:pPr>
              <w:jc w:val="center"/>
              <w:rPr>
                <w:rFonts w:ascii="宋体" w:hAnsi="宋体" w:cs="宋体"/>
                <w:szCs w:val="21"/>
              </w:rPr>
            </w:pPr>
            <w:r>
              <w:rPr>
                <w:rFonts w:hint="eastAsia" w:ascii="宋体" w:hAnsi="宋体" w:cs="宋体"/>
                <w:szCs w:val="21"/>
              </w:rPr>
              <w:t>备注</w:t>
            </w:r>
          </w:p>
        </w:tc>
      </w:tr>
      <w:tr w14:paraId="24616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2766CB75">
            <w:pPr>
              <w:widowControl/>
              <w:jc w:val="center"/>
              <w:rPr>
                <w:rFonts w:ascii="宋体" w:hAnsi="宋体" w:cs="宋体"/>
                <w:b w:val="0"/>
                <w:kern w:val="0"/>
                <w:szCs w:val="21"/>
              </w:rPr>
            </w:pPr>
            <w:r>
              <w:rPr>
                <w:rFonts w:hint="eastAsia" w:ascii="宋体" w:hAnsi="宋体" w:cs="宋体"/>
                <w:b w:val="0"/>
                <w:kern w:val="0"/>
                <w:szCs w:val="21"/>
              </w:rPr>
              <w:t>1</w:t>
            </w:r>
          </w:p>
        </w:tc>
        <w:tc>
          <w:tcPr>
            <w:tcW w:w="1276" w:type="dxa"/>
            <w:vAlign w:val="center"/>
          </w:tcPr>
          <w:p w14:paraId="67AB1C4B">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w:t>
            </w:r>
            <w:r>
              <w:rPr>
                <w:rFonts w:hint="eastAsia" w:ascii="宋体" w:hAnsi="宋体" w:cs="宋体"/>
                <w:b w:val="0"/>
                <w:szCs w:val="21"/>
              </w:rPr>
              <w:t>库房</w:t>
            </w:r>
          </w:p>
        </w:tc>
        <w:tc>
          <w:tcPr>
            <w:tcW w:w="709" w:type="dxa"/>
            <w:vAlign w:val="center"/>
          </w:tcPr>
          <w:p w14:paraId="4D67F7C8">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.3</w:t>
            </w:r>
          </w:p>
        </w:tc>
        <w:tc>
          <w:tcPr>
            <w:tcW w:w="850" w:type="dxa"/>
            <w:vAlign w:val="center"/>
          </w:tcPr>
          <w:p w14:paraId="21CC0176">
            <w:pPr>
              <w:jc w:val="center"/>
              <w:rPr>
                <w:rFonts w:ascii="宋体" w:hAnsi="宋体" w:cs="宋体"/>
                <w:b w:val="0"/>
                <w:szCs w:val="21"/>
              </w:rPr>
            </w:pPr>
            <w:r>
              <w:rPr>
                <w:rFonts w:hint="eastAsia" w:ascii="宋体" w:hAnsi="宋体" w:cs="宋体"/>
                <w:b w:val="0"/>
                <w:szCs w:val="21"/>
              </w:rPr>
              <w:t>5</w:t>
            </w:r>
            <w:r>
              <w:rPr>
                <w:rFonts w:ascii="宋体" w:hAnsi="宋体" w:cs="宋体"/>
                <w:b w:val="0"/>
                <w:szCs w:val="21"/>
              </w:rPr>
              <w:t>58</w:t>
            </w:r>
          </w:p>
        </w:tc>
        <w:tc>
          <w:tcPr>
            <w:tcW w:w="993" w:type="dxa"/>
            <w:vAlign w:val="center"/>
          </w:tcPr>
          <w:p w14:paraId="3CBF75B2">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1.16</w:t>
            </w:r>
          </w:p>
        </w:tc>
        <w:tc>
          <w:tcPr>
            <w:tcW w:w="850" w:type="dxa"/>
            <w:vAlign w:val="center"/>
          </w:tcPr>
          <w:p w14:paraId="12B47710">
            <w:pPr>
              <w:widowControl/>
              <w:jc w:val="center"/>
              <w:rPr>
                <w:rFonts w:ascii="宋体" w:hAnsi="宋体" w:cs="宋体"/>
                <w:b w:val="0"/>
                <w:kern w:val="0"/>
                <w:szCs w:val="21"/>
              </w:rPr>
            </w:pPr>
            <w:r>
              <w:rPr>
                <w:rFonts w:hint="eastAsia" w:ascii="宋体" w:hAnsi="宋体" w:cs="宋体"/>
                <w:b w:val="0"/>
                <w:kern w:val="0"/>
                <w:szCs w:val="21"/>
              </w:rPr>
              <w:t>8</w:t>
            </w:r>
          </w:p>
        </w:tc>
        <w:tc>
          <w:tcPr>
            <w:tcW w:w="709" w:type="dxa"/>
            <w:vAlign w:val="center"/>
          </w:tcPr>
          <w:p w14:paraId="35F28359">
            <w:pPr>
              <w:widowControl/>
              <w:jc w:val="center"/>
              <w:rPr>
                <w:rFonts w:ascii="宋体" w:hAnsi="宋体" w:cs="宋体"/>
                <w:b w:val="0"/>
                <w:kern w:val="0"/>
                <w:szCs w:val="21"/>
              </w:rPr>
            </w:pPr>
            <w:r>
              <w:rPr>
                <w:rFonts w:ascii="宋体" w:hAnsi="宋体" w:cs="宋体"/>
                <w:b w:val="0"/>
                <w:kern w:val="0"/>
                <w:szCs w:val="21"/>
              </w:rPr>
              <w:t>2</w:t>
            </w:r>
          </w:p>
        </w:tc>
        <w:tc>
          <w:tcPr>
            <w:tcW w:w="936" w:type="dxa"/>
            <w:vAlign w:val="center"/>
          </w:tcPr>
          <w:p w14:paraId="07C2DCCE">
            <w:pPr>
              <w:widowControl/>
              <w:jc w:val="center"/>
              <w:rPr>
                <w:rFonts w:ascii="宋体" w:hAnsi="宋体" w:cs="宋体"/>
                <w:b w:val="0"/>
                <w:kern w:val="0"/>
                <w:szCs w:val="21"/>
              </w:rPr>
            </w:pPr>
            <w:r>
              <w:rPr>
                <w:rFonts w:hint="eastAsia" w:ascii="宋体" w:hAnsi="宋体" w:cs="宋体"/>
                <w:b w:val="0"/>
                <w:kern w:val="0"/>
                <w:szCs w:val="21"/>
              </w:rPr>
              <w:t>砖混</w:t>
            </w:r>
          </w:p>
          <w:p w14:paraId="06B6615E">
            <w:pPr>
              <w:widowControl/>
              <w:jc w:val="center"/>
              <w:rPr>
                <w:rFonts w:ascii="宋体" w:hAnsi="宋体" w:cs="宋体"/>
                <w:b w:val="0"/>
                <w:kern w:val="0"/>
                <w:szCs w:val="21"/>
              </w:rPr>
            </w:pPr>
            <w:r>
              <w:rPr>
                <w:rFonts w:hint="eastAsia" w:ascii="宋体" w:hAnsi="宋体" w:cs="宋体"/>
                <w:b w:val="0"/>
                <w:kern w:val="0"/>
                <w:szCs w:val="21"/>
              </w:rPr>
              <w:t>框架</w:t>
            </w:r>
          </w:p>
        </w:tc>
        <w:tc>
          <w:tcPr>
            <w:tcW w:w="2098" w:type="dxa"/>
            <w:vAlign w:val="center"/>
          </w:tcPr>
          <w:p w14:paraId="64676243">
            <w:pPr>
              <w:widowControl/>
              <w:jc w:val="center"/>
              <w:rPr>
                <w:rFonts w:ascii="宋体" w:hAnsi="宋体" w:cs="宋体"/>
                <w:b w:val="0"/>
                <w:kern w:val="0"/>
                <w:szCs w:val="21"/>
              </w:rPr>
            </w:pPr>
            <w:r>
              <w:rPr>
                <w:rFonts w:hint="eastAsia" w:ascii="宋体" w:hAnsi="宋体" w:cs="宋体"/>
                <w:b w:val="0"/>
                <w:kern w:val="0"/>
                <w:szCs w:val="21"/>
              </w:rPr>
              <w:t>新建，甲类，</w:t>
            </w:r>
          </w:p>
          <w:p w14:paraId="66B02943">
            <w:pPr>
              <w:widowControl/>
              <w:jc w:val="center"/>
              <w:rPr>
                <w:rFonts w:ascii="宋体" w:hAnsi="宋体" w:cs="宋体"/>
                <w:b w:val="0"/>
                <w:kern w:val="0"/>
                <w:szCs w:val="21"/>
              </w:rPr>
            </w:pPr>
            <w:r>
              <w:rPr>
                <w:rFonts w:hint="eastAsia" w:ascii="宋体" w:hAnsi="宋体" w:cs="宋体"/>
                <w:b w:val="0"/>
                <w:kern w:val="0"/>
                <w:szCs w:val="21"/>
              </w:rPr>
              <w:t>内设抗爆墙</w:t>
            </w:r>
          </w:p>
        </w:tc>
      </w:tr>
      <w:tr w14:paraId="09A6B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75088260">
            <w:pPr>
              <w:widowControl/>
              <w:jc w:val="center"/>
              <w:rPr>
                <w:rFonts w:ascii="宋体" w:hAnsi="宋体" w:cs="宋体"/>
                <w:b w:val="0"/>
                <w:kern w:val="0"/>
                <w:szCs w:val="21"/>
              </w:rPr>
            </w:pPr>
            <w:r>
              <w:rPr>
                <w:rFonts w:hint="eastAsia" w:ascii="宋体" w:hAnsi="宋体" w:cs="宋体"/>
                <w:b w:val="0"/>
                <w:kern w:val="0"/>
                <w:szCs w:val="21"/>
              </w:rPr>
              <w:t>2</w:t>
            </w:r>
          </w:p>
        </w:tc>
        <w:tc>
          <w:tcPr>
            <w:tcW w:w="1276" w:type="dxa"/>
            <w:vAlign w:val="center"/>
          </w:tcPr>
          <w:p w14:paraId="639750E0">
            <w:pPr>
              <w:jc w:val="center"/>
              <w:rPr>
                <w:rFonts w:ascii="宋体" w:hAnsi="宋体" w:cs="宋体"/>
                <w:b w:val="0"/>
                <w:szCs w:val="21"/>
              </w:rPr>
            </w:pPr>
            <w:r>
              <w:rPr>
                <w:rFonts w:hint="eastAsia" w:ascii="宋体" w:hAnsi="宋体" w:cs="宋体"/>
                <w:b w:val="0"/>
                <w:szCs w:val="21"/>
              </w:rPr>
              <w:t>2</w:t>
            </w:r>
            <w:r>
              <w:rPr>
                <w:rFonts w:ascii="宋体" w:hAnsi="宋体" w:cs="宋体"/>
                <w:b w:val="0"/>
                <w:szCs w:val="21"/>
              </w:rPr>
              <w:t>#</w:t>
            </w:r>
            <w:r>
              <w:rPr>
                <w:rFonts w:hint="eastAsia" w:ascii="宋体" w:hAnsi="宋体" w:cs="宋体"/>
                <w:b w:val="0"/>
                <w:szCs w:val="21"/>
              </w:rPr>
              <w:t>库房</w:t>
            </w:r>
          </w:p>
        </w:tc>
        <w:tc>
          <w:tcPr>
            <w:tcW w:w="709" w:type="dxa"/>
            <w:vAlign w:val="center"/>
          </w:tcPr>
          <w:p w14:paraId="7FFD0762">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.3</w:t>
            </w:r>
          </w:p>
        </w:tc>
        <w:tc>
          <w:tcPr>
            <w:tcW w:w="850" w:type="dxa"/>
            <w:vAlign w:val="center"/>
          </w:tcPr>
          <w:p w14:paraId="5709A527">
            <w:pPr>
              <w:jc w:val="center"/>
              <w:rPr>
                <w:rFonts w:ascii="宋体" w:hAnsi="宋体" w:cs="宋体"/>
                <w:b w:val="0"/>
                <w:szCs w:val="21"/>
              </w:rPr>
            </w:pPr>
            <w:r>
              <w:rPr>
                <w:rFonts w:hint="eastAsia" w:ascii="宋体" w:hAnsi="宋体" w:cs="宋体"/>
                <w:b w:val="0"/>
                <w:szCs w:val="21"/>
              </w:rPr>
              <w:t>9</w:t>
            </w:r>
            <w:r>
              <w:rPr>
                <w:rFonts w:ascii="宋体" w:hAnsi="宋体" w:cs="宋体"/>
                <w:b w:val="0"/>
                <w:szCs w:val="21"/>
              </w:rPr>
              <w:t>90</w:t>
            </w:r>
          </w:p>
        </w:tc>
        <w:tc>
          <w:tcPr>
            <w:tcW w:w="993" w:type="dxa"/>
            <w:vAlign w:val="center"/>
          </w:tcPr>
          <w:p w14:paraId="0C4C3D3C">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9.8</w:t>
            </w:r>
          </w:p>
        </w:tc>
        <w:tc>
          <w:tcPr>
            <w:tcW w:w="850" w:type="dxa"/>
            <w:vAlign w:val="center"/>
          </w:tcPr>
          <w:p w14:paraId="43CA3C5C">
            <w:pPr>
              <w:widowControl/>
              <w:jc w:val="center"/>
              <w:rPr>
                <w:rFonts w:ascii="宋体" w:hAnsi="宋体" w:cs="宋体"/>
                <w:b w:val="0"/>
                <w:kern w:val="0"/>
                <w:szCs w:val="21"/>
              </w:rPr>
            </w:pPr>
            <w:r>
              <w:rPr>
                <w:rFonts w:hint="eastAsia" w:ascii="宋体" w:hAnsi="宋体" w:cs="宋体"/>
                <w:b w:val="0"/>
                <w:kern w:val="0"/>
                <w:szCs w:val="21"/>
              </w:rPr>
              <w:t>8</w:t>
            </w:r>
          </w:p>
        </w:tc>
        <w:tc>
          <w:tcPr>
            <w:tcW w:w="709" w:type="dxa"/>
            <w:vAlign w:val="center"/>
          </w:tcPr>
          <w:p w14:paraId="48BF860B">
            <w:pPr>
              <w:widowControl/>
              <w:jc w:val="center"/>
              <w:rPr>
                <w:rFonts w:ascii="宋体" w:hAnsi="宋体" w:cs="宋体"/>
                <w:b w:val="0"/>
                <w:kern w:val="0"/>
                <w:szCs w:val="21"/>
              </w:rPr>
            </w:pPr>
            <w:r>
              <w:rPr>
                <w:rFonts w:hint="eastAsia" w:ascii="宋体" w:hAnsi="宋体" w:cs="宋体"/>
                <w:b w:val="0"/>
                <w:kern w:val="0"/>
                <w:szCs w:val="21"/>
              </w:rPr>
              <w:t>2</w:t>
            </w:r>
          </w:p>
        </w:tc>
        <w:tc>
          <w:tcPr>
            <w:tcW w:w="936" w:type="dxa"/>
            <w:vAlign w:val="center"/>
          </w:tcPr>
          <w:p w14:paraId="4E1AB734">
            <w:pPr>
              <w:jc w:val="center"/>
              <w:rPr>
                <w:rFonts w:ascii="宋体" w:hAnsi="宋体" w:cs="宋体"/>
                <w:b w:val="0"/>
                <w:kern w:val="0"/>
                <w:szCs w:val="21"/>
              </w:rPr>
            </w:pPr>
            <w:r>
              <w:rPr>
                <w:rFonts w:hint="eastAsia" w:ascii="宋体" w:hAnsi="宋体" w:cs="宋体"/>
                <w:b w:val="0"/>
                <w:kern w:val="0"/>
                <w:szCs w:val="21"/>
              </w:rPr>
              <w:t>砖混</w:t>
            </w:r>
          </w:p>
          <w:p w14:paraId="2B55077A">
            <w:pPr>
              <w:jc w:val="center"/>
            </w:pPr>
            <w:r>
              <w:rPr>
                <w:rFonts w:hint="eastAsia" w:ascii="宋体" w:hAnsi="宋体" w:cs="宋体"/>
                <w:b w:val="0"/>
                <w:kern w:val="0"/>
                <w:szCs w:val="21"/>
              </w:rPr>
              <w:t>框架</w:t>
            </w:r>
          </w:p>
        </w:tc>
        <w:tc>
          <w:tcPr>
            <w:tcW w:w="2098" w:type="dxa"/>
            <w:vAlign w:val="center"/>
          </w:tcPr>
          <w:p w14:paraId="225DC970">
            <w:pPr>
              <w:jc w:val="center"/>
              <w:rPr>
                <w:rFonts w:ascii="宋体" w:hAnsi="宋体" w:cs="宋体"/>
                <w:b w:val="0"/>
                <w:kern w:val="0"/>
                <w:szCs w:val="21"/>
              </w:rPr>
            </w:pPr>
            <w:r>
              <w:rPr>
                <w:rFonts w:hint="eastAsia" w:ascii="宋体" w:hAnsi="宋体" w:cs="宋体"/>
                <w:b w:val="0"/>
                <w:kern w:val="0"/>
                <w:szCs w:val="21"/>
              </w:rPr>
              <w:t>新建，甲类，</w:t>
            </w:r>
          </w:p>
          <w:p w14:paraId="33FD12D2">
            <w:pPr>
              <w:jc w:val="center"/>
            </w:pPr>
            <w:r>
              <w:rPr>
                <w:rFonts w:hint="eastAsia" w:ascii="宋体" w:hAnsi="宋体" w:cs="宋体"/>
                <w:b w:val="0"/>
                <w:kern w:val="0"/>
                <w:szCs w:val="21"/>
              </w:rPr>
              <w:t>内设防火墙</w:t>
            </w:r>
          </w:p>
        </w:tc>
      </w:tr>
      <w:tr w14:paraId="1099A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72BA6701">
            <w:pPr>
              <w:widowControl/>
              <w:jc w:val="center"/>
              <w:rPr>
                <w:rFonts w:ascii="宋体" w:hAnsi="宋体" w:cs="宋体"/>
                <w:b w:val="0"/>
                <w:kern w:val="0"/>
                <w:szCs w:val="21"/>
              </w:rPr>
            </w:pPr>
            <w:r>
              <w:rPr>
                <w:rFonts w:hint="eastAsia" w:ascii="宋体" w:hAnsi="宋体" w:cs="宋体"/>
                <w:b w:val="0"/>
                <w:kern w:val="0"/>
                <w:szCs w:val="21"/>
              </w:rPr>
              <w:t>3</w:t>
            </w:r>
          </w:p>
        </w:tc>
        <w:tc>
          <w:tcPr>
            <w:tcW w:w="1276" w:type="dxa"/>
            <w:vAlign w:val="center"/>
          </w:tcPr>
          <w:p w14:paraId="7EF66F20">
            <w:pPr>
              <w:jc w:val="center"/>
              <w:rPr>
                <w:rFonts w:ascii="宋体" w:hAnsi="宋体" w:cs="宋体"/>
                <w:b w:val="0"/>
                <w:szCs w:val="21"/>
              </w:rPr>
            </w:pPr>
            <w:r>
              <w:rPr>
                <w:rFonts w:ascii="宋体" w:hAnsi="宋体" w:cs="宋体"/>
                <w:b w:val="0"/>
                <w:szCs w:val="21"/>
              </w:rPr>
              <w:t>3#</w:t>
            </w:r>
            <w:r>
              <w:rPr>
                <w:rFonts w:hint="eastAsia" w:ascii="宋体" w:hAnsi="宋体" w:cs="宋体"/>
                <w:b w:val="0"/>
                <w:szCs w:val="21"/>
              </w:rPr>
              <w:t>库房</w:t>
            </w:r>
          </w:p>
        </w:tc>
        <w:tc>
          <w:tcPr>
            <w:tcW w:w="709" w:type="dxa"/>
            <w:vAlign w:val="center"/>
          </w:tcPr>
          <w:p w14:paraId="4A51924F">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.3</w:t>
            </w:r>
          </w:p>
        </w:tc>
        <w:tc>
          <w:tcPr>
            <w:tcW w:w="850" w:type="dxa"/>
            <w:vAlign w:val="center"/>
          </w:tcPr>
          <w:p w14:paraId="60493806">
            <w:pPr>
              <w:jc w:val="center"/>
              <w:rPr>
                <w:rFonts w:ascii="宋体" w:hAnsi="宋体" w:cs="宋体"/>
                <w:b w:val="0"/>
                <w:szCs w:val="21"/>
              </w:rPr>
            </w:pPr>
            <w:r>
              <w:rPr>
                <w:rFonts w:hint="eastAsia" w:ascii="宋体" w:hAnsi="宋体" w:cs="宋体"/>
                <w:b w:val="0"/>
                <w:szCs w:val="21"/>
              </w:rPr>
              <w:t>9</w:t>
            </w:r>
            <w:r>
              <w:rPr>
                <w:rFonts w:ascii="宋体" w:hAnsi="宋体" w:cs="宋体"/>
                <w:b w:val="0"/>
                <w:szCs w:val="21"/>
              </w:rPr>
              <w:t>90</w:t>
            </w:r>
          </w:p>
        </w:tc>
        <w:tc>
          <w:tcPr>
            <w:tcW w:w="993" w:type="dxa"/>
            <w:vAlign w:val="center"/>
          </w:tcPr>
          <w:p w14:paraId="3D0902A8">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9.8</w:t>
            </w:r>
          </w:p>
        </w:tc>
        <w:tc>
          <w:tcPr>
            <w:tcW w:w="850" w:type="dxa"/>
            <w:vAlign w:val="center"/>
          </w:tcPr>
          <w:p w14:paraId="47849898">
            <w:pPr>
              <w:widowControl/>
              <w:jc w:val="center"/>
              <w:rPr>
                <w:rFonts w:ascii="宋体" w:hAnsi="宋体" w:cs="宋体"/>
                <w:b w:val="0"/>
                <w:kern w:val="0"/>
                <w:szCs w:val="21"/>
              </w:rPr>
            </w:pPr>
            <w:r>
              <w:rPr>
                <w:rFonts w:hint="eastAsia" w:ascii="宋体" w:hAnsi="宋体" w:cs="宋体"/>
                <w:b w:val="0"/>
                <w:kern w:val="0"/>
                <w:szCs w:val="21"/>
              </w:rPr>
              <w:t>8</w:t>
            </w:r>
          </w:p>
        </w:tc>
        <w:tc>
          <w:tcPr>
            <w:tcW w:w="709" w:type="dxa"/>
            <w:vAlign w:val="center"/>
          </w:tcPr>
          <w:p w14:paraId="534B9DE0">
            <w:pPr>
              <w:widowControl/>
              <w:jc w:val="center"/>
              <w:rPr>
                <w:rFonts w:ascii="宋体" w:hAnsi="宋体" w:cs="宋体"/>
                <w:b w:val="0"/>
                <w:kern w:val="0"/>
                <w:szCs w:val="21"/>
              </w:rPr>
            </w:pPr>
            <w:r>
              <w:rPr>
                <w:rFonts w:hint="eastAsia" w:ascii="宋体" w:hAnsi="宋体" w:cs="宋体"/>
                <w:b w:val="0"/>
                <w:kern w:val="0"/>
                <w:szCs w:val="21"/>
              </w:rPr>
              <w:t>2</w:t>
            </w:r>
          </w:p>
        </w:tc>
        <w:tc>
          <w:tcPr>
            <w:tcW w:w="936" w:type="dxa"/>
            <w:vAlign w:val="center"/>
          </w:tcPr>
          <w:p w14:paraId="3D56FD64">
            <w:pPr>
              <w:jc w:val="center"/>
              <w:rPr>
                <w:rFonts w:ascii="宋体" w:hAnsi="宋体" w:cs="宋体"/>
                <w:b w:val="0"/>
                <w:kern w:val="0"/>
                <w:szCs w:val="21"/>
              </w:rPr>
            </w:pPr>
            <w:r>
              <w:rPr>
                <w:rFonts w:hint="eastAsia" w:ascii="宋体" w:hAnsi="宋体" w:cs="宋体"/>
                <w:b w:val="0"/>
                <w:kern w:val="0"/>
                <w:szCs w:val="21"/>
              </w:rPr>
              <w:t>砖混</w:t>
            </w:r>
          </w:p>
          <w:p w14:paraId="3D9F7DA1">
            <w:pPr>
              <w:jc w:val="center"/>
            </w:pPr>
            <w:r>
              <w:rPr>
                <w:rFonts w:hint="eastAsia" w:ascii="宋体" w:hAnsi="宋体" w:cs="宋体"/>
                <w:b w:val="0"/>
                <w:kern w:val="0"/>
                <w:szCs w:val="21"/>
              </w:rPr>
              <w:t>框架</w:t>
            </w:r>
          </w:p>
        </w:tc>
        <w:tc>
          <w:tcPr>
            <w:tcW w:w="2098" w:type="dxa"/>
            <w:vAlign w:val="center"/>
          </w:tcPr>
          <w:p w14:paraId="76A3B902">
            <w:pPr>
              <w:jc w:val="center"/>
              <w:rPr>
                <w:rFonts w:ascii="宋体" w:hAnsi="宋体" w:cs="宋体"/>
                <w:b w:val="0"/>
                <w:kern w:val="0"/>
                <w:szCs w:val="21"/>
              </w:rPr>
            </w:pPr>
            <w:r>
              <w:rPr>
                <w:rFonts w:hint="eastAsia" w:ascii="宋体" w:hAnsi="宋体" w:cs="宋体"/>
                <w:b w:val="0"/>
                <w:kern w:val="0"/>
                <w:szCs w:val="21"/>
              </w:rPr>
              <w:t>新建，甲类，</w:t>
            </w:r>
          </w:p>
          <w:p w14:paraId="36459A1A">
            <w:pPr>
              <w:jc w:val="center"/>
            </w:pPr>
            <w:r>
              <w:rPr>
                <w:rFonts w:hint="eastAsia" w:ascii="宋体" w:hAnsi="宋体" w:cs="宋体"/>
                <w:b w:val="0"/>
                <w:kern w:val="0"/>
                <w:szCs w:val="21"/>
              </w:rPr>
              <w:t>内设抗爆墙</w:t>
            </w:r>
          </w:p>
        </w:tc>
      </w:tr>
      <w:tr w14:paraId="4F3F0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02C66979">
            <w:pPr>
              <w:widowControl/>
              <w:jc w:val="center"/>
              <w:rPr>
                <w:rFonts w:ascii="宋体" w:hAnsi="宋体" w:cs="宋体"/>
                <w:b w:val="0"/>
                <w:kern w:val="0"/>
                <w:szCs w:val="21"/>
              </w:rPr>
            </w:pPr>
            <w:r>
              <w:rPr>
                <w:rFonts w:hint="eastAsia" w:ascii="宋体" w:hAnsi="宋体" w:cs="宋体"/>
                <w:b w:val="0"/>
                <w:kern w:val="0"/>
                <w:szCs w:val="21"/>
              </w:rPr>
              <w:t>4</w:t>
            </w:r>
          </w:p>
        </w:tc>
        <w:tc>
          <w:tcPr>
            <w:tcW w:w="1276" w:type="dxa"/>
            <w:vAlign w:val="center"/>
          </w:tcPr>
          <w:p w14:paraId="04275151">
            <w:pPr>
              <w:jc w:val="center"/>
              <w:rPr>
                <w:rFonts w:ascii="宋体" w:hAnsi="宋体" w:cs="宋体"/>
                <w:b w:val="0"/>
                <w:szCs w:val="21"/>
              </w:rPr>
            </w:pPr>
            <w:r>
              <w:rPr>
                <w:rFonts w:ascii="宋体" w:hAnsi="宋体" w:cs="宋体"/>
                <w:b w:val="0"/>
                <w:szCs w:val="21"/>
              </w:rPr>
              <w:t>4#</w:t>
            </w:r>
            <w:r>
              <w:rPr>
                <w:rFonts w:hint="eastAsia" w:ascii="宋体" w:hAnsi="宋体" w:cs="宋体"/>
                <w:b w:val="0"/>
                <w:szCs w:val="21"/>
              </w:rPr>
              <w:t>库房</w:t>
            </w:r>
          </w:p>
        </w:tc>
        <w:tc>
          <w:tcPr>
            <w:tcW w:w="709" w:type="dxa"/>
            <w:vAlign w:val="center"/>
          </w:tcPr>
          <w:p w14:paraId="46C86F87">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.3</w:t>
            </w:r>
          </w:p>
        </w:tc>
        <w:tc>
          <w:tcPr>
            <w:tcW w:w="850" w:type="dxa"/>
            <w:vAlign w:val="center"/>
          </w:tcPr>
          <w:p w14:paraId="425798A6">
            <w:pPr>
              <w:jc w:val="center"/>
              <w:rPr>
                <w:rFonts w:ascii="宋体" w:hAnsi="宋体" w:cs="宋体"/>
                <w:b w:val="0"/>
                <w:szCs w:val="21"/>
              </w:rPr>
            </w:pPr>
            <w:r>
              <w:rPr>
                <w:rFonts w:hint="eastAsia" w:ascii="宋体" w:hAnsi="宋体" w:cs="宋体"/>
                <w:b w:val="0"/>
                <w:szCs w:val="21"/>
              </w:rPr>
              <w:t>9</w:t>
            </w:r>
            <w:r>
              <w:rPr>
                <w:rFonts w:ascii="宋体" w:hAnsi="宋体" w:cs="宋体"/>
                <w:b w:val="0"/>
                <w:szCs w:val="21"/>
              </w:rPr>
              <w:t>90</w:t>
            </w:r>
          </w:p>
        </w:tc>
        <w:tc>
          <w:tcPr>
            <w:tcW w:w="993" w:type="dxa"/>
            <w:vAlign w:val="center"/>
          </w:tcPr>
          <w:p w14:paraId="2A43004D">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9.8</w:t>
            </w:r>
          </w:p>
        </w:tc>
        <w:tc>
          <w:tcPr>
            <w:tcW w:w="850" w:type="dxa"/>
            <w:vAlign w:val="center"/>
          </w:tcPr>
          <w:p w14:paraId="3DD0D83B">
            <w:pPr>
              <w:widowControl/>
              <w:jc w:val="center"/>
              <w:rPr>
                <w:rFonts w:ascii="宋体" w:hAnsi="宋体" w:cs="宋体"/>
                <w:b w:val="0"/>
                <w:kern w:val="0"/>
                <w:szCs w:val="21"/>
              </w:rPr>
            </w:pPr>
            <w:r>
              <w:rPr>
                <w:rFonts w:hint="eastAsia" w:ascii="宋体" w:hAnsi="宋体" w:cs="宋体"/>
                <w:b w:val="0"/>
                <w:kern w:val="0"/>
                <w:szCs w:val="21"/>
              </w:rPr>
              <w:t>8</w:t>
            </w:r>
          </w:p>
        </w:tc>
        <w:tc>
          <w:tcPr>
            <w:tcW w:w="709" w:type="dxa"/>
            <w:vAlign w:val="center"/>
          </w:tcPr>
          <w:p w14:paraId="3B8C9FF2">
            <w:pPr>
              <w:widowControl/>
              <w:jc w:val="center"/>
              <w:rPr>
                <w:rFonts w:ascii="宋体" w:hAnsi="宋体" w:cs="宋体"/>
                <w:b w:val="0"/>
                <w:kern w:val="0"/>
                <w:szCs w:val="21"/>
              </w:rPr>
            </w:pPr>
            <w:r>
              <w:rPr>
                <w:rFonts w:hint="eastAsia" w:ascii="宋体" w:hAnsi="宋体" w:cs="宋体"/>
                <w:b w:val="0"/>
                <w:kern w:val="0"/>
                <w:szCs w:val="21"/>
              </w:rPr>
              <w:t>2</w:t>
            </w:r>
          </w:p>
        </w:tc>
        <w:tc>
          <w:tcPr>
            <w:tcW w:w="936" w:type="dxa"/>
            <w:vAlign w:val="center"/>
          </w:tcPr>
          <w:p w14:paraId="27F14ECB">
            <w:pPr>
              <w:jc w:val="center"/>
              <w:rPr>
                <w:rFonts w:ascii="宋体" w:hAnsi="宋体" w:cs="宋体"/>
                <w:b w:val="0"/>
                <w:kern w:val="0"/>
                <w:szCs w:val="21"/>
              </w:rPr>
            </w:pPr>
            <w:r>
              <w:rPr>
                <w:rFonts w:hint="eastAsia" w:ascii="宋体" w:hAnsi="宋体" w:cs="宋体"/>
                <w:b w:val="0"/>
                <w:kern w:val="0"/>
                <w:szCs w:val="21"/>
              </w:rPr>
              <w:t>砖混</w:t>
            </w:r>
          </w:p>
          <w:p w14:paraId="09C07A38">
            <w:pPr>
              <w:jc w:val="center"/>
            </w:pPr>
            <w:r>
              <w:rPr>
                <w:rFonts w:hint="eastAsia" w:ascii="宋体" w:hAnsi="宋体" w:cs="宋体"/>
                <w:b w:val="0"/>
                <w:kern w:val="0"/>
                <w:szCs w:val="21"/>
              </w:rPr>
              <w:t>框架</w:t>
            </w:r>
          </w:p>
        </w:tc>
        <w:tc>
          <w:tcPr>
            <w:tcW w:w="2098" w:type="dxa"/>
            <w:vAlign w:val="center"/>
          </w:tcPr>
          <w:p w14:paraId="52FD0B74">
            <w:pPr>
              <w:jc w:val="center"/>
              <w:rPr>
                <w:rFonts w:ascii="宋体" w:hAnsi="宋体" w:cs="宋体"/>
                <w:b w:val="0"/>
                <w:kern w:val="0"/>
                <w:szCs w:val="21"/>
              </w:rPr>
            </w:pPr>
            <w:r>
              <w:rPr>
                <w:rFonts w:hint="eastAsia" w:ascii="宋体" w:hAnsi="宋体" w:cs="宋体"/>
                <w:b w:val="0"/>
                <w:kern w:val="0"/>
                <w:szCs w:val="21"/>
              </w:rPr>
              <w:t>新建，甲类，</w:t>
            </w:r>
          </w:p>
          <w:p w14:paraId="50477F71">
            <w:pPr>
              <w:jc w:val="center"/>
            </w:pPr>
            <w:r>
              <w:rPr>
                <w:rFonts w:hint="eastAsia" w:ascii="宋体" w:hAnsi="宋体" w:cs="宋体"/>
                <w:b w:val="0"/>
                <w:kern w:val="0"/>
                <w:szCs w:val="21"/>
              </w:rPr>
              <w:t>内设防火墙</w:t>
            </w:r>
          </w:p>
        </w:tc>
      </w:tr>
      <w:tr w14:paraId="74B52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5B9712EC">
            <w:pPr>
              <w:widowControl/>
              <w:jc w:val="center"/>
              <w:rPr>
                <w:rFonts w:ascii="宋体" w:hAnsi="宋体" w:cs="宋体"/>
                <w:b w:val="0"/>
                <w:kern w:val="0"/>
                <w:szCs w:val="21"/>
              </w:rPr>
            </w:pPr>
            <w:r>
              <w:rPr>
                <w:rFonts w:hint="eastAsia" w:ascii="宋体" w:hAnsi="宋体" w:cs="宋体"/>
                <w:b w:val="0"/>
                <w:kern w:val="0"/>
                <w:szCs w:val="21"/>
              </w:rPr>
              <w:t>5</w:t>
            </w:r>
          </w:p>
        </w:tc>
        <w:tc>
          <w:tcPr>
            <w:tcW w:w="1276" w:type="dxa"/>
            <w:vAlign w:val="center"/>
          </w:tcPr>
          <w:p w14:paraId="43DB4DFA">
            <w:pPr>
              <w:jc w:val="center"/>
              <w:rPr>
                <w:rFonts w:ascii="宋体" w:hAnsi="宋体" w:cs="宋体"/>
                <w:b w:val="0"/>
                <w:szCs w:val="21"/>
              </w:rPr>
            </w:pPr>
            <w:r>
              <w:rPr>
                <w:rFonts w:ascii="宋体" w:hAnsi="宋体" w:cs="宋体"/>
                <w:b w:val="0"/>
                <w:szCs w:val="21"/>
              </w:rPr>
              <w:t>5#</w:t>
            </w:r>
            <w:r>
              <w:rPr>
                <w:rFonts w:hint="eastAsia" w:ascii="宋体" w:hAnsi="宋体" w:cs="宋体"/>
                <w:b w:val="0"/>
                <w:szCs w:val="21"/>
              </w:rPr>
              <w:t>库房</w:t>
            </w:r>
          </w:p>
        </w:tc>
        <w:tc>
          <w:tcPr>
            <w:tcW w:w="709" w:type="dxa"/>
            <w:vAlign w:val="center"/>
          </w:tcPr>
          <w:p w14:paraId="2E3B7087">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.3</w:t>
            </w:r>
          </w:p>
        </w:tc>
        <w:tc>
          <w:tcPr>
            <w:tcW w:w="850" w:type="dxa"/>
            <w:vAlign w:val="center"/>
          </w:tcPr>
          <w:p w14:paraId="5251DAEE">
            <w:pPr>
              <w:jc w:val="center"/>
              <w:rPr>
                <w:rFonts w:ascii="宋体" w:hAnsi="宋体" w:cs="宋体"/>
                <w:b w:val="0"/>
                <w:szCs w:val="21"/>
              </w:rPr>
            </w:pPr>
            <w:r>
              <w:rPr>
                <w:rFonts w:hint="eastAsia" w:ascii="宋体" w:hAnsi="宋体" w:cs="宋体"/>
                <w:b w:val="0"/>
                <w:szCs w:val="21"/>
              </w:rPr>
              <w:t>9</w:t>
            </w:r>
            <w:r>
              <w:rPr>
                <w:rFonts w:ascii="宋体" w:hAnsi="宋体" w:cs="宋体"/>
                <w:b w:val="0"/>
                <w:szCs w:val="21"/>
              </w:rPr>
              <w:t>90</w:t>
            </w:r>
          </w:p>
        </w:tc>
        <w:tc>
          <w:tcPr>
            <w:tcW w:w="993" w:type="dxa"/>
            <w:vAlign w:val="center"/>
          </w:tcPr>
          <w:p w14:paraId="461AE66F">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9.8</w:t>
            </w:r>
          </w:p>
        </w:tc>
        <w:tc>
          <w:tcPr>
            <w:tcW w:w="850" w:type="dxa"/>
            <w:vAlign w:val="center"/>
          </w:tcPr>
          <w:p w14:paraId="62401B2F">
            <w:pPr>
              <w:widowControl/>
              <w:jc w:val="center"/>
              <w:rPr>
                <w:rFonts w:ascii="宋体" w:hAnsi="宋体" w:cs="宋体"/>
                <w:b w:val="0"/>
                <w:kern w:val="0"/>
                <w:szCs w:val="21"/>
              </w:rPr>
            </w:pPr>
            <w:r>
              <w:rPr>
                <w:rFonts w:hint="eastAsia" w:ascii="宋体" w:hAnsi="宋体" w:cs="宋体"/>
                <w:b w:val="0"/>
                <w:kern w:val="0"/>
                <w:szCs w:val="21"/>
              </w:rPr>
              <w:t>8</w:t>
            </w:r>
          </w:p>
        </w:tc>
        <w:tc>
          <w:tcPr>
            <w:tcW w:w="709" w:type="dxa"/>
            <w:vAlign w:val="center"/>
          </w:tcPr>
          <w:p w14:paraId="46AC0480">
            <w:pPr>
              <w:widowControl/>
              <w:jc w:val="center"/>
              <w:rPr>
                <w:rFonts w:ascii="宋体" w:hAnsi="宋体" w:cs="宋体"/>
                <w:b w:val="0"/>
                <w:kern w:val="0"/>
                <w:szCs w:val="21"/>
              </w:rPr>
            </w:pPr>
            <w:r>
              <w:rPr>
                <w:rFonts w:hint="eastAsia" w:ascii="宋体" w:hAnsi="宋体" w:cs="宋体"/>
                <w:b w:val="0"/>
                <w:kern w:val="0"/>
                <w:szCs w:val="21"/>
              </w:rPr>
              <w:t>2</w:t>
            </w:r>
          </w:p>
        </w:tc>
        <w:tc>
          <w:tcPr>
            <w:tcW w:w="936" w:type="dxa"/>
            <w:vAlign w:val="center"/>
          </w:tcPr>
          <w:p w14:paraId="3A78107D">
            <w:pPr>
              <w:jc w:val="center"/>
              <w:rPr>
                <w:rFonts w:ascii="宋体" w:hAnsi="宋体" w:cs="宋体"/>
                <w:b w:val="0"/>
                <w:kern w:val="0"/>
                <w:szCs w:val="21"/>
              </w:rPr>
            </w:pPr>
            <w:r>
              <w:rPr>
                <w:rFonts w:hint="eastAsia" w:ascii="宋体" w:hAnsi="宋体" w:cs="宋体"/>
                <w:b w:val="0"/>
                <w:kern w:val="0"/>
                <w:szCs w:val="21"/>
              </w:rPr>
              <w:t>砖混</w:t>
            </w:r>
          </w:p>
          <w:p w14:paraId="142C20BC">
            <w:pPr>
              <w:jc w:val="center"/>
            </w:pPr>
            <w:r>
              <w:rPr>
                <w:rFonts w:hint="eastAsia" w:ascii="宋体" w:hAnsi="宋体" w:cs="宋体"/>
                <w:b w:val="0"/>
                <w:kern w:val="0"/>
                <w:szCs w:val="21"/>
              </w:rPr>
              <w:t>框架</w:t>
            </w:r>
          </w:p>
        </w:tc>
        <w:tc>
          <w:tcPr>
            <w:tcW w:w="2098" w:type="dxa"/>
            <w:vAlign w:val="center"/>
          </w:tcPr>
          <w:p w14:paraId="3163DCD3">
            <w:pPr>
              <w:jc w:val="center"/>
              <w:rPr>
                <w:rFonts w:ascii="宋体" w:hAnsi="宋体" w:cs="宋体"/>
                <w:b w:val="0"/>
                <w:kern w:val="0"/>
                <w:szCs w:val="21"/>
              </w:rPr>
            </w:pPr>
            <w:r>
              <w:rPr>
                <w:rFonts w:hint="eastAsia" w:ascii="宋体" w:hAnsi="宋体" w:cs="宋体"/>
                <w:b w:val="0"/>
                <w:kern w:val="0"/>
                <w:szCs w:val="21"/>
              </w:rPr>
              <w:t>新建，甲类，</w:t>
            </w:r>
          </w:p>
          <w:p w14:paraId="3457755B">
            <w:pPr>
              <w:jc w:val="center"/>
              <w:rPr>
                <w:rFonts w:ascii="宋体" w:hAnsi="宋体" w:cs="宋体"/>
                <w:b w:val="0"/>
                <w:kern w:val="0"/>
                <w:szCs w:val="21"/>
              </w:rPr>
            </w:pPr>
            <w:r>
              <w:rPr>
                <w:rFonts w:hint="eastAsia" w:ascii="宋体" w:hAnsi="宋体" w:cs="宋体"/>
                <w:b w:val="0"/>
                <w:kern w:val="0"/>
                <w:szCs w:val="21"/>
              </w:rPr>
              <w:t>内设防火墙</w:t>
            </w:r>
          </w:p>
        </w:tc>
      </w:tr>
      <w:tr w14:paraId="70F9A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776031E1">
            <w:pPr>
              <w:widowControl/>
              <w:jc w:val="center"/>
              <w:rPr>
                <w:rFonts w:ascii="宋体" w:hAnsi="宋体" w:cs="宋体"/>
                <w:b w:val="0"/>
                <w:kern w:val="0"/>
                <w:szCs w:val="21"/>
              </w:rPr>
            </w:pPr>
            <w:r>
              <w:rPr>
                <w:rFonts w:hint="eastAsia" w:ascii="宋体" w:hAnsi="宋体" w:cs="宋体"/>
                <w:b w:val="0"/>
                <w:kern w:val="0"/>
                <w:szCs w:val="21"/>
              </w:rPr>
              <w:t>6</w:t>
            </w:r>
          </w:p>
        </w:tc>
        <w:tc>
          <w:tcPr>
            <w:tcW w:w="1276" w:type="dxa"/>
            <w:vAlign w:val="center"/>
          </w:tcPr>
          <w:p w14:paraId="0FA98708">
            <w:pPr>
              <w:jc w:val="center"/>
              <w:rPr>
                <w:rFonts w:ascii="宋体" w:hAnsi="宋体" w:cs="宋体"/>
                <w:b w:val="0"/>
                <w:szCs w:val="21"/>
              </w:rPr>
            </w:pPr>
            <w:r>
              <w:rPr>
                <w:rFonts w:ascii="宋体" w:hAnsi="宋体" w:cs="宋体"/>
                <w:b w:val="0"/>
                <w:szCs w:val="21"/>
              </w:rPr>
              <w:t>6#</w:t>
            </w:r>
            <w:r>
              <w:rPr>
                <w:rFonts w:hint="eastAsia" w:ascii="宋体" w:hAnsi="宋体" w:cs="宋体"/>
                <w:b w:val="0"/>
                <w:szCs w:val="21"/>
              </w:rPr>
              <w:t>库房</w:t>
            </w:r>
          </w:p>
        </w:tc>
        <w:tc>
          <w:tcPr>
            <w:tcW w:w="709" w:type="dxa"/>
            <w:vAlign w:val="center"/>
          </w:tcPr>
          <w:p w14:paraId="0A28537B">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.3</w:t>
            </w:r>
          </w:p>
        </w:tc>
        <w:tc>
          <w:tcPr>
            <w:tcW w:w="850" w:type="dxa"/>
            <w:vAlign w:val="center"/>
          </w:tcPr>
          <w:p w14:paraId="78F93FD9">
            <w:pPr>
              <w:jc w:val="center"/>
              <w:rPr>
                <w:rFonts w:ascii="宋体" w:hAnsi="宋体" w:cs="宋体"/>
                <w:b w:val="0"/>
                <w:szCs w:val="21"/>
              </w:rPr>
            </w:pPr>
            <w:r>
              <w:rPr>
                <w:rFonts w:hint="eastAsia" w:ascii="宋体" w:hAnsi="宋体" w:cs="宋体"/>
                <w:b w:val="0"/>
                <w:szCs w:val="21"/>
              </w:rPr>
              <w:t>9</w:t>
            </w:r>
            <w:r>
              <w:rPr>
                <w:rFonts w:ascii="宋体" w:hAnsi="宋体" w:cs="宋体"/>
                <w:b w:val="0"/>
                <w:szCs w:val="21"/>
              </w:rPr>
              <w:t>90</w:t>
            </w:r>
          </w:p>
        </w:tc>
        <w:tc>
          <w:tcPr>
            <w:tcW w:w="993" w:type="dxa"/>
            <w:vAlign w:val="center"/>
          </w:tcPr>
          <w:p w14:paraId="3668D79B">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9.8</w:t>
            </w:r>
          </w:p>
        </w:tc>
        <w:tc>
          <w:tcPr>
            <w:tcW w:w="850" w:type="dxa"/>
            <w:vAlign w:val="center"/>
          </w:tcPr>
          <w:p w14:paraId="2B69C4CD">
            <w:pPr>
              <w:widowControl/>
              <w:jc w:val="center"/>
              <w:rPr>
                <w:rFonts w:ascii="宋体" w:hAnsi="宋体" w:cs="宋体"/>
                <w:b w:val="0"/>
                <w:kern w:val="0"/>
                <w:szCs w:val="21"/>
              </w:rPr>
            </w:pPr>
            <w:r>
              <w:rPr>
                <w:rFonts w:hint="eastAsia" w:ascii="宋体" w:hAnsi="宋体" w:cs="宋体"/>
                <w:b w:val="0"/>
                <w:kern w:val="0"/>
                <w:szCs w:val="21"/>
              </w:rPr>
              <w:t>8</w:t>
            </w:r>
          </w:p>
        </w:tc>
        <w:tc>
          <w:tcPr>
            <w:tcW w:w="709" w:type="dxa"/>
            <w:vAlign w:val="center"/>
          </w:tcPr>
          <w:p w14:paraId="5C513187">
            <w:pPr>
              <w:widowControl/>
              <w:jc w:val="center"/>
              <w:rPr>
                <w:rFonts w:ascii="宋体" w:hAnsi="宋体" w:cs="宋体"/>
                <w:b w:val="0"/>
                <w:kern w:val="0"/>
                <w:szCs w:val="21"/>
              </w:rPr>
            </w:pPr>
            <w:r>
              <w:rPr>
                <w:rFonts w:hint="eastAsia" w:ascii="宋体" w:hAnsi="宋体" w:cs="宋体"/>
                <w:b w:val="0"/>
                <w:kern w:val="0"/>
                <w:szCs w:val="21"/>
              </w:rPr>
              <w:t>2</w:t>
            </w:r>
          </w:p>
        </w:tc>
        <w:tc>
          <w:tcPr>
            <w:tcW w:w="936" w:type="dxa"/>
            <w:vAlign w:val="center"/>
          </w:tcPr>
          <w:p w14:paraId="511004A1">
            <w:pPr>
              <w:jc w:val="center"/>
              <w:rPr>
                <w:rFonts w:ascii="宋体" w:hAnsi="宋体" w:cs="宋体"/>
                <w:b w:val="0"/>
                <w:kern w:val="0"/>
                <w:szCs w:val="21"/>
              </w:rPr>
            </w:pPr>
            <w:r>
              <w:rPr>
                <w:rFonts w:hint="eastAsia" w:ascii="宋体" w:hAnsi="宋体" w:cs="宋体"/>
                <w:b w:val="0"/>
                <w:kern w:val="0"/>
                <w:szCs w:val="21"/>
              </w:rPr>
              <w:t>砖混</w:t>
            </w:r>
          </w:p>
          <w:p w14:paraId="2B97A2E2">
            <w:pPr>
              <w:jc w:val="center"/>
            </w:pPr>
            <w:r>
              <w:rPr>
                <w:rFonts w:hint="eastAsia" w:ascii="宋体" w:hAnsi="宋体" w:cs="宋体"/>
                <w:b w:val="0"/>
                <w:kern w:val="0"/>
                <w:szCs w:val="21"/>
              </w:rPr>
              <w:t>框架</w:t>
            </w:r>
          </w:p>
        </w:tc>
        <w:tc>
          <w:tcPr>
            <w:tcW w:w="2098" w:type="dxa"/>
            <w:vAlign w:val="center"/>
          </w:tcPr>
          <w:p w14:paraId="3DB8B56C">
            <w:pPr>
              <w:jc w:val="center"/>
              <w:rPr>
                <w:rFonts w:ascii="宋体" w:hAnsi="宋体" w:cs="宋体"/>
                <w:b w:val="0"/>
                <w:kern w:val="0"/>
                <w:szCs w:val="21"/>
              </w:rPr>
            </w:pPr>
            <w:r>
              <w:rPr>
                <w:rFonts w:hint="eastAsia" w:ascii="宋体" w:hAnsi="宋体" w:cs="宋体"/>
                <w:b w:val="0"/>
                <w:kern w:val="0"/>
                <w:szCs w:val="21"/>
              </w:rPr>
              <w:t>新建，甲类，</w:t>
            </w:r>
            <w:r>
              <w:rPr>
                <w:rFonts w:ascii="宋体" w:hAnsi="宋体" w:cs="宋体"/>
                <w:b w:val="0"/>
                <w:kern w:val="0"/>
                <w:szCs w:val="21"/>
              </w:rPr>
              <w:t xml:space="preserve"> </w:t>
            </w:r>
          </w:p>
          <w:p w14:paraId="1EFF874C">
            <w:pPr>
              <w:jc w:val="center"/>
              <w:rPr>
                <w:rFonts w:ascii="宋体" w:hAnsi="宋体" w:cs="宋体"/>
                <w:b w:val="0"/>
                <w:kern w:val="0"/>
                <w:szCs w:val="21"/>
              </w:rPr>
            </w:pPr>
            <w:r>
              <w:rPr>
                <w:rFonts w:hint="eastAsia" w:ascii="宋体" w:hAnsi="宋体" w:cs="宋体"/>
                <w:b w:val="0"/>
                <w:kern w:val="0"/>
                <w:szCs w:val="21"/>
              </w:rPr>
              <w:t>内设防火墙</w:t>
            </w:r>
          </w:p>
        </w:tc>
      </w:tr>
      <w:tr w14:paraId="5DA7B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1866EABE">
            <w:pPr>
              <w:widowControl/>
              <w:jc w:val="center"/>
              <w:rPr>
                <w:rFonts w:ascii="宋体" w:hAnsi="宋体" w:cs="宋体"/>
                <w:b w:val="0"/>
                <w:kern w:val="0"/>
                <w:szCs w:val="21"/>
              </w:rPr>
            </w:pPr>
            <w:r>
              <w:rPr>
                <w:rFonts w:hint="eastAsia" w:ascii="宋体" w:hAnsi="宋体" w:cs="宋体"/>
                <w:b w:val="0"/>
                <w:kern w:val="0"/>
                <w:szCs w:val="21"/>
              </w:rPr>
              <w:t>7</w:t>
            </w:r>
          </w:p>
        </w:tc>
        <w:tc>
          <w:tcPr>
            <w:tcW w:w="1276" w:type="dxa"/>
            <w:vAlign w:val="center"/>
          </w:tcPr>
          <w:p w14:paraId="11E83D9D">
            <w:pPr>
              <w:jc w:val="center"/>
              <w:rPr>
                <w:rFonts w:ascii="宋体" w:hAnsi="宋体" w:cs="宋体"/>
                <w:b w:val="0"/>
                <w:szCs w:val="21"/>
              </w:rPr>
            </w:pPr>
            <w:r>
              <w:rPr>
                <w:rFonts w:ascii="宋体" w:hAnsi="宋体" w:cs="宋体"/>
                <w:b w:val="0"/>
                <w:szCs w:val="21"/>
              </w:rPr>
              <w:t>7#</w:t>
            </w:r>
            <w:r>
              <w:rPr>
                <w:rFonts w:hint="eastAsia" w:ascii="宋体" w:hAnsi="宋体" w:cs="宋体"/>
                <w:b w:val="0"/>
                <w:szCs w:val="21"/>
              </w:rPr>
              <w:t>库房</w:t>
            </w:r>
          </w:p>
        </w:tc>
        <w:tc>
          <w:tcPr>
            <w:tcW w:w="709" w:type="dxa"/>
            <w:vAlign w:val="center"/>
          </w:tcPr>
          <w:p w14:paraId="656E2C8B">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.3</w:t>
            </w:r>
          </w:p>
        </w:tc>
        <w:tc>
          <w:tcPr>
            <w:tcW w:w="850" w:type="dxa"/>
            <w:vAlign w:val="center"/>
          </w:tcPr>
          <w:p w14:paraId="509C338D">
            <w:pPr>
              <w:jc w:val="center"/>
              <w:rPr>
                <w:rFonts w:ascii="宋体" w:hAnsi="宋体" w:cs="宋体"/>
                <w:b w:val="0"/>
                <w:szCs w:val="21"/>
              </w:rPr>
            </w:pPr>
            <w:r>
              <w:rPr>
                <w:rFonts w:hint="eastAsia" w:ascii="宋体" w:hAnsi="宋体" w:cs="宋体"/>
                <w:b w:val="0"/>
                <w:szCs w:val="21"/>
              </w:rPr>
              <w:t>9</w:t>
            </w:r>
            <w:r>
              <w:rPr>
                <w:rFonts w:ascii="宋体" w:hAnsi="宋体" w:cs="宋体"/>
                <w:b w:val="0"/>
                <w:szCs w:val="21"/>
              </w:rPr>
              <w:t>90</w:t>
            </w:r>
          </w:p>
        </w:tc>
        <w:tc>
          <w:tcPr>
            <w:tcW w:w="993" w:type="dxa"/>
            <w:vAlign w:val="center"/>
          </w:tcPr>
          <w:p w14:paraId="72D811B6">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9.8</w:t>
            </w:r>
          </w:p>
        </w:tc>
        <w:tc>
          <w:tcPr>
            <w:tcW w:w="850" w:type="dxa"/>
            <w:vAlign w:val="center"/>
          </w:tcPr>
          <w:p w14:paraId="6F10308A">
            <w:pPr>
              <w:widowControl/>
              <w:jc w:val="center"/>
              <w:rPr>
                <w:rFonts w:ascii="宋体" w:hAnsi="宋体" w:cs="宋体"/>
                <w:b w:val="0"/>
                <w:kern w:val="0"/>
                <w:szCs w:val="21"/>
              </w:rPr>
            </w:pPr>
            <w:r>
              <w:rPr>
                <w:rFonts w:hint="eastAsia" w:ascii="宋体" w:hAnsi="宋体" w:cs="宋体"/>
                <w:b w:val="0"/>
                <w:kern w:val="0"/>
                <w:szCs w:val="21"/>
              </w:rPr>
              <w:t>8</w:t>
            </w:r>
          </w:p>
        </w:tc>
        <w:tc>
          <w:tcPr>
            <w:tcW w:w="709" w:type="dxa"/>
            <w:vAlign w:val="center"/>
          </w:tcPr>
          <w:p w14:paraId="6E21C895">
            <w:pPr>
              <w:widowControl/>
              <w:jc w:val="center"/>
              <w:rPr>
                <w:rFonts w:ascii="宋体" w:hAnsi="宋体" w:cs="宋体"/>
                <w:b w:val="0"/>
                <w:kern w:val="0"/>
                <w:szCs w:val="21"/>
              </w:rPr>
            </w:pPr>
            <w:r>
              <w:rPr>
                <w:rFonts w:hint="eastAsia" w:ascii="宋体" w:hAnsi="宋体" w:cs="宋体"/>
                <w:b w:val="0"/>
                <w:kern w:val="0"/>
                <w:szCs w:val="21"/>
              </w:rPr>
              <w:t>2</w:t>
            </w:r>
          </w:p>
        </w:tc>
        <w:tc>
          <w:tcPr>
            <w:tcW w:w="936" w:type="dxa"/>
            <w:vAlign w:val="center"/>
          </w:tcPr>
          <w:p w14:paraId="766BD063">
            <w:pPr>
              <w:jc w:val="center"/>
              <w:rPr>
                <w:rFonts w:ascii="宋体" w:hAnsi="宋体" w:cs="宋体"/>
                <w:b w:val="0"/>
                <w:kern w:val="0"/>
                <w:szCs w:val="21"/>
              </w:rPr>
            </w:pPr>
            <w:r>
              <w:rPr>
                <w:rFonts w:hint="eastAsia" w:ascii="宋体" w:hAnsi="宋体" w:cs="宋体"/>
                <w:b w:val="0"/>
                <w:kern w:val="0"/>
                <w:szCs w:val="21"/>
              </w:rPr>
              <w:t>砖混</w:t>
            </w:r>
          </w:p>
          <w:p w14:paraId="051EAF25">
            <w:pPr>
              <w:jc w:val="center"/>
            </w:pPr>
            <w:r>
              <w:rPr>
                <w:rFonts w:hint="eastAsia" w:ascii="宋体" w:hAnsi="宋体" w:cs="宋体"/>
                <w:b w:val="0"/>
                <w:kern w:val="0"/>
                <w:szCs w:val="21"/>
              </w:rPr>
              <w:t>框架</w:t>
            </w:r>
          </w:p>
        </w:tc>
        <w:tc>
          <w:tcPr>
            <w:tcW w:w="2098" w:type="dxa"/>
            <w:vAlign w:val="center"/>
          </w:tcPr>
          <w:p w14:paraId="27808AE1">
            <w:pPr>
              <w:jc w:val="center"/>
              <w:rPr>
                <w:rFonts w:ascii="宋体" w:hAnsi="宋体" w:cs="宋体"/>
                <w:b w:val="0"/>
                <w:kern w:val="0"/>
                <w:szCs w:val="21"/>
              </w:rPr>
            </w:pPr>
            <w:r>
              <w:rPr>
                <w:rFonts w:hint="eastAsia" w:ascii="宋体" w:hAnsi="宋体" w:cs="宋体"/>
                <w:b w:val="0"/>
                <w:kern w:val="0"/>
                <w:szCs w:val="21"/>
              </w:rPr>
              <w:t>新建，甲类，</w:t>
            </w:r>
            <w:r>
              <w:rPr>
                <w:rFonts w:ascii="宋体" w:hAnsi="宋体" w:cs="宋体"/>
                <w:b w:val="0"/>
                <w:kern w:val="0"/>
                <w:szCs w:val="21"/>
              </w:rPr>
              <w:t xml:space="preserve"> </w:t>
            </w:r>
          </w:p>
          <w:p w14:paraId="0C676EF8">
            <w:pPr>
              <w:jc w:val="center"/>
              <w:rPr>
                <w:rFonts w:ascii="宋体" w:hAnsi="宋体" w:cs="宋体"/>
                <w:b w:val="0"/>
                <w:kern w:val="0"/>
                <w:szCs w:val="21"/>
              </w:rPr>
            </w:pPr>
            <w:r>
              <w:rPr>
                <w:rFonts w:hint="eastAsia" w:ascii="宋体" w:hAnsi="宋体" w:cs="宋体"/>
                <w:b w:val="0"/>
                <w:kern w:val="0"/>
                <w:szCs w:val="21"/>
              </w:rPr>
              <w:t>内设防火墙</w:t>
            </w:r>
          </w:p>
        </w:tc>
      </w:tr>
      <w:tr w14:paraId="7E183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442FE537">
            <w:pPr>
              <w:widowControl/>
              <w:jc w:val="center"/>
              <w:rPr>
                <w:rFonts w:ascii="宋体" w:hAnsi="宋体" w:cs="宋体"/>
                <w:b w:val="0"/>
                <w:kern w:val="0"/>
                <w:szCs w:val="21"/>
              </w:rPr>
            </w:pPr>
            <w:r>
              <w:rPr>
                <w:rFonts w:hint="eastAsia" w:ascii="宋体" w:hAnsi="宋体" w:cs="宋体"/>
                <w:b w:val="0"/>
                <w:kern w:val="0"/>
                <w:szCs w:val="21"/>
              </w:rPr>
              <w:t>8</w:t>
            </w:r>
          </w:p>
        </w:tc>
        <w:tc>
          <w:tcPr>
            <w:tcW w:w="1276" w:type="dxa"/>
            <w:vAlign w:val="center"/>
          </w:tcPr>
          <w:p w14:paraId="57291DC5">
            <w:pPr>
              <w:jc w:val="center"/>
              <w:rPr>
                <w:rFonts w:ascii="宋体" w:hAnsi="宋体" w:cs="宋体"/>
                <w:b w:val="0"/>
                <w:szCs w:val="21"/>
              </w:rPr>
            </w:pPr>
            <w:r>
              <w:rPr>
                <w:rFonts w:ascii="宋体" w:hAnsi="宋体" w:cs="宋体"/>
                <w:b w:val="0"/>
                <w:szCs w:val="21"/>
              </w:rPr>
              <w:t>8#</w:t>
            </w:r>
            <w:r>
              <w:rPr>
                <w:rFonts w:hint="eastAsia" w:ascii="宋体" w:hAnsi="宋体" w:cs="宋体"/>
                <w:b w:val="0"/>
                <w:szCs w:val="21"/>
              </w:rPr>
              <w:t>库房</w:t>
            </w:r>
          </w:p>
        </w:tc>
        <w:tc>
          <w:tcPr>
            <w:tcW w:w="709" w:type="dxa"/>
            <w:vAlign w:val="center"/>
          </w:tcPr>
          <w:p w14:paraId="38B82D02">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.3</w:t>
            </w:r>
          </w:p>
        </w:tc>
        <w:tc>
          <w:tcPr>
            <w:tcW w:w="850" w:type="dxa"/>
            <w:vAlign w:val="center"/>
          </w:tcPr>
          <w:p w14:paraId="5D498A20">
            <w:pPr>
              <w:jc w:val="center"/>
              <w:rPr>
                <w:rFonts w:ascii="宋体" w:hAnsi="宋体" w:cs="宋体"/>
                <w:b w:val="0"/>
                <w:szCs w:val="21"/>
              </w:rPr>
            </w:pPr>
            <w:r>
              <w:rPr>
                <w:rFonts w:hint="eastAsia" w:ascii="宋体" w:hAnsi="宋体" w:cs="宋体"/>
                <w:b w:val="0"/>
                <w:szCs w:val="21"/>
              </w:rPr>
              <w:t>9</w:t>
            </w:r>
            <w:r>
              <w:rPr>
                <w:rFonts w:ascii="宋体" w:hAnsi="宋体" w:cs="宋体"/>
                <w:b w:val="0"/>
                <w:szCs w:val="21"/>
              </w:rPr>
              <w:t>90</w:t>
            </w:r>
          </w:p>
        </w:tc>
        <w:tc>
          <w:tcPr>
            <w:tcW w:w="993" w:type="dxa"/>
            <w:vAlign w:val="center"/>
          </w:tcPr>
          <w:p w14:paraId="6E56761E">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9.8</w:t>
            </w:r>
          </w:p>
        </w:tc>
        <w:tc>
          <w:tcPr>
            <w:tcW w:w="850" w:type="dxa"/>
            <w:vAlign w:val="center"/>
          </w:tcPr>
          <w:p w14:paraId="68760CFD">
            <w:pPr>
              <w:widowControl/>
              <w:jc w:val="center"/>
              <w:rPr>
                <w:rFonts w:ascii="宋体" w:hAnsi="宋体" w:cs="宋体"/>
                <w:b w:val="0"/>
                <w:kern w:val="0"/>
                <w:szCs w:val="21"/>
              </w:rPr>
            </w:pPr>
            <w:r>
              <w:rPr>
                <w:rFonts w:hint="eastAsia" w:ascii="宋体" w:hAnsi="宋体" w:cs="宋体"/>
                <w:b w:val="0"/>
                <w:kern w:val="0"/>
                <w:szCs w:val="21"/>
              </w:rPr>
              <w:t>8</w:t>
            </w:r>
          </w:p>
        </w:tc>
        <w:tc>
          <w:tcPr>
            <w:tcW w:w="709" w:type="dxa"/>
            <w:vAlign w:val="center"/>
          </w:tcPr>
          <w:p w14:paraId="3E8D5AEC">
            <w:pPr>
              <w:widowControl/>
              <w:jc w:val="center"/>
              <w:rPr>
                <w:rFonts w:ascii="宋体" w:hAnsi="宋体" w:cs="宋体"/>
                <w:b w:val="0"/>
                <w:kern w:val="0"/>
                <w:szCs w:val="21"/>
              </w:rPr>
            </w:pPr>
            <w:r>
              <w:rPr>
                <w:rFonts w:hint="eastAsia" w:ascii="宋体" w:hAnsi="宋体" w:cs="宋体"/>
                <w:b w:val="0"/>
                <w:kern w:val="0"/>
                <w:szCs w:val="21"/>
              </w:rPr>
              <w:t>2</w:t>
            </w:r>
          </w:p>
        </w:tc>
        <w:tc>
          <w:tcPr>
            <w:tcW w:w="936" w:type="dxa"/>
            <w:vAlign w:val="center"/>
          </w:tcPr>
          <w:p w14:paraId="0D734F2B">
            <w:pPr>
              <w:jc w:val="center"/>
              <w:rPr>
                <w:rFonts w:ascii="宋体" w:hAnsi="宋体" w:cs="宋体"/>
                <w:b w:val="0"/>
                <w:kern w:val="0"/>
                <w:szCs w:val="21"/>
              </w:rPr>
            </w:pPr>
            <w:r>
              <w:rPr>
                <w:rFonts w:hint="eastAsia" w:ascii="宋体" w:hAnsi="宋体" w:cs="宋体"/>
                <w:b w:val="0"/>
                <w:kern w:val="0"/>
                <w:szCs w:val="21"/>
              </w:rPr>
              <w:t>砖混</w:t>
            </w:r>
          </w:p>
          <w:p w14:paraId="72980967">
            <w:pPr>
              <w:jc w:val="center"/>
            </w:pPr>
            <w:r>
              <w:rPr>
                <w:rFonts w:hint="eastAsia" w:ascii="宋体" w:hAnsi="宋体" w:cs="宋体"/>
                <w:b w:val="0"/>
                <w:kern w:val="0"/>
                <w:szCs w:val="21"/>
              </w:rPr>
              <w:t>框架</w:t>
            </w:r>
          </w:p>
        </w:tc>
        <w:tc>
          <w:tcPr>
            <w:tcW w:w="2098" w:type="dxa"/>
            <w:vAlign w:val="center"/>
          </w:tcPr>
          <w:p w14:paraId="0158A168">
            <w:pPr>
              <w:jc w:val="center"/>
              <w:rPr>
                <w:rFonts w:ascii="宋体" w:hAnsi="宋体" w:cs="宋体"/>
                <w:b w:val="0"/>
                <w:kern w:val="0"/>
                <w:szCs w:val="21"/>
              </w:rPr>
            </w:pPr>
            <w:r>
              <w:rPr>
                <w:rFonts w:hint="eastAsia" w:ascii="宋体" w:hAnsi="宋体" w:cs="宋体"/>
                <w:b w:val="0"/>
                <w:kern w:val="0"/>
                <w:szCs w:val="21"/>
              </w:rPr>
              <w:t>新建，甲类，</w:t>
            </w:r>
          </w:p>
          <w:p w14:paraId="0227618B">
            <w:pPr>
              <w:jc w:val="center"/>
              <w:rPr>
                <w:rFonts w:ascii="宋体" w:hAnsi="宋体" w:cs="宋体"/>
                <w:b w:val="0"/>
                <w:kern w:val="0"/>
                <w:szCs w:val="21"/>
              </w:rPr>
            </w:pPr>
            <w:r>
              <w:rPr>
                <w:rFonts w:hint="eastAsia" w:ascii="宋体" w:hAnsi="宋体" w:cs="宋体"/>
                <w:b w:val="0"/>
                <w:kern w:val="0"/>
                <w:szCs w:val="21"/>
              </w:rPr>
              <w:t>内设防火墙</w:t>
            </w:r>
          </w:p>
        </w:tc>
      </w:tr>
      <w:tr w14:paraId="34A53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66585F15">
            <w:pPr>
              <w:widowControl/>
              <w:jc w:val="center"/>
              <w:rPr>
                <w:rFonts w:ascii="宋体" w:hAnsi="宋体" w:cs="宋体"/>
                <w:b w:val="0"/>
                <w:kern w:val="0"/>
                <w:szCs w:val="21"/>
              </w:rPr>
            </w:pPr>
            <w:r>
              <w:rPr>
                <w:rFonts w:hint="eastAsia" w:ascii="宋体" w:hAnsi="宋体" w:cs="宋体"/>
                <w:b w:val="0"/>
                <w:kern w:val="0"/>
                <w:szCs w:val="21"/>
              </w:rPr>
              <w:t>9</w:t>
            </w:r>
          </w:p>
        </w:tc>
        <w:tc>
          <w:tcPr>
            <w:tcW w:w="1276" w:type="dxa"/>
            <w:vAlign w:val="center"/>
          </w:tcPr>
          <w:p w14:paraId="034EB1E0">
            <w:pPr>
              <w:jc w:val="center"/>
              <w:rPr>
                <w:rFonts w:ascii="宋体" w:hAnsi="宋体" w:cs="宋体"/>
                <w:b w:val="0"/>
                <w:szCs w:val="21"/>
              </w:rPr>
            </w:pPr>
            <w:r>
              <w:rPr>
                <w:rFonts w:ascii="宋体" w:hAnsi="宋体" w:cs="宋体"/>
                <w:b w:val="0"/>
                <w:szCs w:val="21"/>
              </w:rPr>
              <w:t>9#</w:t>
            </w:r>
            <w:r>
              <w:rPr>
                <w:rFonts w:hint="eastAsia" w:ascii="宋体" w:hAnsi="宋体" w:cs="宋体"/>
                <w:b w:val="0"/>
                <w:szCs w:val="21"/>
              </w:rPr>
              <w:t>库房</w:t>
            </w:r>
          </w:p>
        </w:tc>
        <w:tc>
          <w:tcPr>
            <w:tcW w:w="709" w:type="dxa"/>
            <w:vAlign w:val="center"/>
          </w:tcPr>
          <w:p w14:paraId="1E140B14">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.3</w:t>
            </w:r>
          </w:p>
        </w:tc>
        <w:tc>
          <w:tcPr>
            <w:tcW w:w="850" w:type="dxa"/>
            <w:vAlign w:val="center"/>
          </w:tcPr>
          <w:p w14:paraId="1740DAE8">
            <w:pPr>
              <w:jc w:val="center"/>
              <w:rPr>
                <w:rFonts w:ascii="宋体" w:hAnsi="宋体" w:cs="宋体"/>
                <w:b w:val="0"/>
                <w:szCs w:val="21"/>
              </w:rPr>
            </w:pPr>
            <w:r>
              <w:rPr>
                <w:rFonts w:ascii="宋体" w:hAnsi="宋体" w:cs="宋体"/>
                <w:b w:val="0"/>
                <w:szCs w:val="21"/>
              </w:rPr>
              <w:t>924</w:t>
            </w:r>
          </w:p>
        </w:tc>
        <w:tc>
          <w:tcPr>
            <w:tcW w:w="993" w:type="dxa"/>
            <w:vAlign w:val="center"/>
          </w:tcPr>
          <w:p w14:paraId="5D7CF397">
            <w:pPr>
              <w:jc w:val="center"/>
              <w:rPr>
                <w:rFonts w:ascii="宋体" w:hAnsi="宋体" w:cs="宋体"/>
                <w:b w:val="0"/>
                <w:szCs w:val="21"/>
              </w:rPr>
            </w:pPr>
            <w:r>
              <w:rPr>
                <w:rFonts w:hint="eastAsia" w:ascii="宋体" w:hAnsi="宋体" w:cs="宋体"/>
                <w:b w:val="0"/>
                <w:szCs w:val="21"/>
              </w:rPr>
              <w:t>1</w:t>
            </w:r>
            <w:r>
              <w:rPr>
                <w:rFonts w:ascii="宋体" w:hAnsi="宋体" w:cs="宋体"/>
                <w:b w:val="0"/>
                <w:szCs w:val="21"/>
              </w:rPr>
              <w:t>9.8</w:t>
            </w:r>
          </w:p>
        </w:tc>
        <w:tc>
          <w:tcPr>
            <w:tcW w:w="850" w:type="dxa"/>
            <w:vAlign w:val="center"/>
          </w:tcPr>
          <w:p w14:paraId="6BBA4FD4">
            <w:pPr>
              <w:widowControl/>
              <w:jc w:val="center"/>
              <w:rPr>
                <w:rFonts w:ascii="宋体" w:hAnsi="宋体" w:cs="宋体"/>
                <w:b w:val="0"/>
                <w:kern w:val="0"/>
                <w:szCs w:val="21"/>
              </w:rPr>
            </w:pPr>
            <w:r>
              <w:rPr>
                <w:rFonts w:hint="eastAsia" w:ascii="宋体" w:hAnsi="宋体" w:cs="宋体"/>
                <w:b w:val="0"/>
                <w:kern w:val="0"/>
                <w:szCs w:val="21"/>
              </w:rPr>
              <w:t>8</w:t>
            </w:r>
          </w:p>
        </w:tc>
        <w:tc>
          <w:tcPr>
            <w:tcW w:w="709" w:type="dxa"/>
            <w:vAlign w:val="center"/>
          </w:tcPr>
          <w:p w14:paraId="68931371">
            <w:pPr>
              <w:widowControl/>
              <w:jc w:val="center"/>
              <w:rPr>
                <w:rFonts w:ascii="宋体" w:hAnsi="宋体" w:cs="宋体"/>
                <w:b w:val="0"/>
                <w:kern w:val="0"/>
                <w:szCs w:val="21"/>
              </w:rPr>
            </w:pPr>
            <w:r>
              <w:rPr>
                <w:rFonts w:hint="eastAsia" w:ascii="宋体" w:hAnsi="宋体" w:cs="宋体"/>
                <w:b w:val="0"/>
                <w:kern w:val="0"/>
                <w:szCs w:val="21"/>
              </w:rPr>
              <w:t>2</w:t>
            </w:r>
          </w:p>
        </w:tc>
        <w:tc>
          <w:tcPr>
            <w:tcW w:w="936" w:type="dxa"/>
            <w:vAlign w:val="center"/>
          </w:tcPr>
          <w:p w14:paraId="7DD8588F">
            <w:pPr>
              <w:jc w:val="center"/>
              <w:rPr>
                <w:rFonts w:ascii="宋体" w:hAnsi="宋体" w:cs="宋体"/>
                <w:b w:val="0"/>
                <w:kern w:val="0"/>
                <w:szCs w:val="21"/>
              </w:rPr>
            </w:pPr>
            <w:r>
              <w:rPr>
                <w:rFonts w:hint="eastAsia" w:ascii="宋体" w:hAnsi="宋体" w:cs="宋体"/>
                <w:b w:val="0"/>
                <w:kern w:val="0"/>
                <w:szCs w:val="21"/>
              </w:rPr>
              <w:t>砖混</w:t>
            </w:r>
          </w:p>
          <w:p w14:paraId="387941C7">
            <w:pPr>
              <w:jc w:val="center"/>
            </w:pPr>
            <w:r>
              <w:rPr>
                <w:rFonts w:hint="eastAsia" w:ascii="宋体" w:hAnsi="宋体" w:cs="宋体"/>
                <w:b w:val="0"/>
                <w:kern w:val="0"/>
                <w:szCs w:val="21"/>
              </w:rPr>
              <w:t>框架</w:t>
            </w:r>
          </w:p>
        </w:tc>
        <w:tc>
          <w:tcPr>
            <w:tcW w:w="2098" w:type="dxa"/>
            <w:vAlign w:val="center"/>
          </w:tcPr>
          <w:p w14:paraId="233570BB">
            <w:pPr>
              <w:jc w:val="center"/>
              <w:rPr>
                <w:rFonts w:ascii="宋体" w:hAnsi="宋体" w:cs="宋体"/>
                <w:b w:val="0"/>
                <w:kern w:val="0"/>
                <w:szCs w:val="21"/>
              </w:rPr>
            </w:pPr>
            <w:r>
              <w:rPr>
                <w:rFonts w:hint="eastAsia" w:ascii="宋体" w:hAnsi="宋体" w:cs="宋体"/>
                <w:b w:val="0"/>
                <w:kern w:val="0"/>
                <w:szCs w:val="21"/>
              </w:rPr>
              <w:t>新建，甲类，</w:t>
            </w:r>
          </w:p>
          <w:p w14:paraId="679B8B2F">
            <w:pPr>
              <w:jc w:val="center"/>
            </w:pPr>
            <w:r>
              <w:rPr>
                <w:rFonts w:hint="eastAsia" w:ascii="宋体" w:hAnsi="宋体" w:cs="宋体"/>
                <w:b w:val="0"/>
                <w:kern w:val="0"/>
                <w:szCs w:val="21"/>
              </w:rPr>
              <w:t>内设防火墙</w:t>
            </w:r>
          </w:p>
        </w:tc>
      </w:tr>
      <w:tr w14:paraId="77B6E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6A94E2E4">
            <w:pPr>
              <w:widowControl/>
              <w:jc w:val="center"/>
              <w:rPr>
                <w:rFonts w:ascii="宋体" w:hAnsi="宋体" w:cs="宋体"/>
                <w:b w:val="0"/>
                <w:kern w:val="0"/>
                <w:szCs w:val="21"/>
              </w:rPr>
            </w:pPr>
            <w:r>
              <w:rPr>
                <w:rFonts w:hint="eastAsia" w:ascii="宋体" w:hAnsi="宋体" w:cs="宋体"/>
                <w:b w:val="0"/>
                <w:kern w:val="0"/>
                <w:szCs w:val="21"/>
              </w:rPr>
              <w:t>1</w:t>
            </w:r>
            <w:r>
              <w:rPr>
                <w:rFonts w:ascii="宋体" w:hAnsi="宋体" w:cs="宋体"/>
                <w:b w:val="0"/>
                <w:kern w:val="0"/>
                <w:szCs w:val="21"/>
              </w:rPr>
              <w:t>0</w:t>
            </w:r>
          </w:p>
        </w:tc>
        <w:tc>
          <w:tcPr>
            <w:tcW w:w="1276" w:type="dxa"/>
            <w:vAlign w:val="center"/>
          </w:tcPr>
          <w:p w14:paraId="3A7150A1">
            <w:pPr>
              <w:jc w:val="center"/>
              <w:rPr>
                <w:rFonts w:ascii="宋体" w:hAnsi="宋体" w:cs="宋体"/>
                <w:b w:val="0"/>
                <w:szCs w:val="21"/>
              </w:rPr>
            </w:pPr>
            <w:r>
              <w:rPr>
                <w:rFonts w:ascii="宋体" w:hAnsi="宋体" w:cs="宋体"/>
                <w:b w:val="0"/>
                <w:szCs w:val="21"/>
              </w:rPr>
              <w:t>10#</w:t>
            </w:r>
            <w:r>
              <w:rPr>
                <w:rFonts w:hint="eastAsia" w:ascii="宋体" w:hAnsi="宋体" w:cs="宋体"/>
                <w:b w:val="0"/>
                <w:szCs w:val="21"/>
              </w:rPr>
              <w:t>库房</w:t>
            </w:r>
          </w:p>
        </w:tc>
        <w:tc>
          <w:tcPr>
            <w:tcW w:w="709" w:type="dxa"/>
            <w:vAlign w:val="center"/>
          </w:tcPr>
          <w:p w14:paraId="61B9E67D">
            <w:pPr>
              <w:jc w:val="center"/>
              <w:rPr>
                <w:rFonts w:ascii="宋体" w:hAnsi="宋体" w:cs="宋体"/>
                <w:b w:val="0"/>
                <w:szCs w:val="21"/>
              </w:rPr>
            </w:pPr>
            <w:r>
              <w:rPr>
                <w:rFonts w:ascii="宋体" w:hAnsi="宋体" w:cs="宋体"/>
                <w:b w:val="0"/>
                <w:szCs w:val="21"/>
              </w:rPr>
              <w:t>1.1</w:t>
            </w:r>
            <w:r>
              <w:rPr>
                <w:rFonts w:ascii="宋体" w:hAnsi="宋体" w:cs="宋体"/>
                <w:b w:val="0"/>
                <w:szCs w:val="21"/>
                <w:vertAlign w:val="superscript"/>
              </w:rPr>
              <w:t>-2</w:t>
            </w:r>
          </w:p>
        </w:tc>
        <w:tc>
          <w:tcPr>
            <w:tcW w:w="850" w:type="dxa"/>
            <w:vAlign w:val="center"/>
          </w:tcPr>
          <w:p w14:paraId="1AEAF477">
            <w:pPr>
              <w:jc w:val="center"/>
              <w:rPr>
                <w:rFonts w:ascii="宋体" w:hAnsi="宋体" w:cs="宋体"/>
                <w:b w:val="0"/>
                <w:szCs w:val="21"/>
              </w:rPr>
            </w:pPr>
            <w:r>
              <w:rPr>
                <w:rFonts w:ascii="宋体" w:hAnsi="宋体" w:cs="宋体"/>
                <w:b w:val="0"/>
                <w:szCs w:val="21"/>
              </w:rPr>
              <w:t>110</w:t>
            </w:r>
          </w:p>
        </w:tc>
        <w:tc>
          <w:tcPr>
            <w:tcW w:w="993" w:type="dxa"/>
            <w:vAlign w:val="center"/>
          </w:tcPr>
          <w:p w14:paraId="2ED2C137">
            <w:pPr>
              <w:jc w:val="center"/>
              <w:rPr>
                <w:rFonts w:ascii="宋体" w:hAnsi="宋体" w:cs="宋体"/>
                <w:b w:val="0"/>
                <w:szCs w:val="21"/>
              </w:rPr>
            </w:pPr>
            <w:r>
              <w:rPr>
                <w:rFonts w:ascii="宋体" w:hAnsi="宋体" w:cs="宋体"/>
                <w:b w:val="0"/>
                <w:szCs w:val="21"/>
              </w:rPr>
              <w:t>2.2</w:t>
            </w:r>
          </w:p>
        </w:tc>
        <w:tc>
          <w:tcPr>
            <w:tcW w:w="850" w:type="dxa"/>
            <w:vAlign w:val="center"/>
          </w:tcPr>
          <w:p w14:paraId="519DA54E">
            <w:pPr>
              <w:widowControl/>
              <w:jc w:val="center"/>
              <w:rPr>
                <w:rFonts w:ascii="宋体" w:hAnsi="宋体" w:cs="宋体"/>
                <w:b w:val="0"/>
                <w:kern w:val="0"/>
                <w:szCs w:val="21"/>
              </w:rPr>
            </w:pPr>
            <w:r>
              <w:rPr>
                <w:rFonts w:ascii="宋体" w:hAnsi="宋体" w:cs="宋体"/>
                <w:b w:val="0"/>
                <w:kern w:val="0"/>
                <w:szCs w:val="21"/>
              </w:rPr>
              <w:t>2</w:t>
            </w:r>
          </w:p>
        </w:tc>
        <w:tc>
          <w:tcPr>
            <w:tcW w:w="709" w:type="dxa"/>
            <w:vAlign w:val="center"/>
          </w:tcPr>
          <w:p w14:paraId="3B7958A1">
            <w:pPr>
              <w:widowControl/>
              <w:jc w:val="center"/>
              <w:rPr>
                <w:rFonts w:ascii="宋体" w:hAnsi="宋体" w:cs="宋体"/>
                <w:b w:val="0"/>
                <w:kern w:val="0"/>
                <w:szCs w:val="21"/>
              </w:rPr>
            </w:pPr>
            <w:r>
              <w:rPr>
                <w:rFonts w:ascii="宋体" w:hAnsi="宋体" w:cs="宋体"/>
                <w:b w:val="0"/>
                <w:kern w:val="0"/>
                <w:szCs w:val="21"/>
              </w:rPr>
              <w:t>1</w:t>
            </w:r>
          </w:p>
        </w:tc>
        <w:tc>
          <w:tcPr>
            <w:tcW w:w="936" w:type="dxa"/>
            <w:vAlign w:val="center"/>
          </w:tcPr>
          <w:p w14:paraId="4D8A182A">
            <w:pPr>
              <w:jc w:val="center"/>
              <w:rPr>
                <w:rFonts w:ascii="宋体" w:hAnsi="宋体" w:cs="宋体"/>
                <w:b w:val="0"/>
                <w:kern w:val="0"/>
                <w:szCs w:val="21"/>
              </w:rPr>
            </w:pPr>
            <w:r>
              <w:rPr>
                <w:rFonts w:hint="eastAsia" w:ascii="宋体" w:hAnsi="宋体" w:cs="宋体"/>
                <w:b w:val="0"/>
                <w:kern w:val="0"/>
                <w:szCs w:val="21"/>
              </w:rPr>
              <w:t>砖混</w:t>
            </w:r>
          </w:p>
          <w:p w14:paraId="4EE1B9F0">
            <w:pPr>
              <w:jc w:val="center"/>
            </w:pPr>
            <w:r>
              <w:rPr>
                <w:rFonts w:hint="eastAsia" w:ascii="宋体" w:hAnsi="宋体" w:cs="宋体"/>
                <w:b w:val="0"/>
                <w:kern w:val="0"/>
                <w:szCs w:val="21"/>
              </w:rPr>
              <w:t>框架</w:t>
            </w:r>
          </w:p>
        </w:tc>
        <w:tc>
          <w:tcPr>
            <w:tcW w:w="2098" w:type="dxa"/>
            <w:vAlign w:val="center"/>
          </w:tcPr>
          <w:p w14:paraId="08B501AB">
            <w:pPr>
              <w:jc w:val="center"/>
              <w:rPr>
                <w:rFonts w:ascii="宋体" w:hAnsi="宋体" w:cs="宋体"/>
                <w:b w:val="0"/>
                <w:kern w:val="0"/>
                <w:szCs w:val="21"/>
              </w:rPr>
            </w:pPr>
            <w:r>
              <w:rPr>
                <w:rFonts w:hint="eastAsia" w:ascii="宋体" w:hAnsi="宋体" w:cs="宋体"/>
                <w:b w:val="0"/>
                <w:kern w:val="0"/>
                <w:szCs w:val="21"/>
              </w:rPr>
              <w:t>新建，甲类</w:t>
            </w:r>
          </w:p>
          <w:p w14:paraId="2BE85980">
            <w:pPr>
              <w:jc w:val="center"/>
            </w:pPr>
            <w:r>
              <w:rPr>
                <w:rFonts w:hint="eastAsia" w:ascii="宋体" w:hAnsi="宋体" w:cs="宋体"/>
                <w:b w:val="0"/>
                <w:kern w:val="0"/>
                <w:szCs w:val="21"/>
              </w:rPr>
              <w:t>设防护土堤</w:t>
            </w:r>
          </w:p>
        </w:tc>
      </w:tr>
      <w:tr w14:paraId="2A815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3DF85A20">
            <w:pPr>
              <w:widowControl/>
              <w:jc w:val="center"/>
              <w:rPr>
                <w:rFonts w:ascii="宋体" w:hAnsi="宋体" w:cs="宋体"/>
                <w:b w:val="0"/>
                <w:kern w:val="0"/>
                <w:szCs w:val="21"/>
              </w:rPr>
            </w:pPr>
            <w:r>
              <w:rPr>
                <w:rFonts w:hint="eastAsia" w:ascii="宋体" w:hAnsi="宋体" w:cs="宋体"/>
                <w:b w:val="0"/>
                <w:kern w:val="0"/>
                <w:szCs w:val="21"/>
              </w:rPr>
              <w:t>1</w:t>
            </w:r>
            <w:r>
              <w:rPr>
                <w:rFonts w:ascii="宋体" w:hAnsi="宋体" w:cs="宋体"/>
                <w:b w:val="0"/>
                <w:kern w:val="0"/>
                <w:szCs w:val="21"/>
              </w:rPr>
              <w:t>1</w:t>
            </w:r>
          </w:p>
        </w:tc>
        <w:tc>
          <w:tcPr>
            <w:tcW w:w="1276" w:type="dxa"/>
            <w:vAlign w:val="center"/>
          </w:tcPr>
          <w:p w14:paraId="673FFF67">
            <w:pPr>
              <w:jc w:val="center"/>
              <w:rPr>
                <w:rFonts w:ascii="宋体" w:hAnsi="宋体" w:cs="宋体"/>
                <w:b w:val="0"/>
                <w:szCs w:val="21"/>
              </w:rPr>
            </w:pPr>
            <w:r>
              <w:rPr>
                <w:rFonts w:hint="eastAsia" w:ascii="宋体" w:hAnsi="宋体" w:cs="宋体"/>
                <w:b w:val="0"/>
                <w:szCs w:val="21"/>
              </w:rPr>
              <w:t>值班室1</w:t>
            </w:r>
          </w:p>
        </w:tc>
        <w:tc>
          <w:tcPr>
            <w:tcW w:w="709" w:type="dxa"/>
            <w:vAlign w:val="center"/>
          </w:tcPr>
          <w:p w14:paraId="71A9A8EA">
            <w:pPr>
              <w:jc w:val="center"/>
              <w:rPr>
                <w:rFonts w:ascii="宋体" w:hAnsi="宋体" w:cs="宋体"/>
                <w:b w:val="0"/>
                <w:szCs w:val="21"/>
              </w:rPr>
            </w:pPr>
            <w:r>
              <w:rPr>
                <w:rFonts w:hint="eastAsia" w:ascii="宋体" w:hAnsi="宋体" w:cs="宋体"/>
                <w:b w:val="0"/>
                <w:szCs w:val="21"/>
              </w:rPr>
              <w:t>无药</w:t>
            </w:r>
          </w:p>
        </w:tc>
        <w:tc>
          <w:tcPr>
            <w:tcW w:w="850" w:type="dxa"/>
            <w:vAlign w:val="center"/>
          </w:tcPr>
          <w:p w14:paraId="7273515D">
            <w:pPr>
              <w:jc w:val="center"/>
              <w:rPr>
                <w:rFonts w:ascii="宋体" w:hAnsi="宋体" w:cs="宋体"/>
                <w:b w:val="0"/>
                <w:szCs w:val="21"/>
              </w:rPr>
            </w:pPr>
            <w:r>
              <w:rPr>
                <w:rFonts w:hint="eastAsia" w:ascii="宋体" w:hAnsi="宋体" w:cs="宋体"/>
                <w:b w:val="0"/>
                <w:szCs w:val="21"/>
              </w:rPr>
              <w:t>4</w:t>
            </w:r>
            <w:r>
              <w:rPr>
                <w:rFonts w:ascii="宋体" w:hAnsi="宋体" w:cs="宋体"/>
                <w:b w:val="0"/>
                <w:szCs w:val="21"/>
              </w:rPr>
              <w:t>2</w:t>
            </w:r>
          </w:p>
        </w:tc>
        <w:tc>
          <w:tcPr>
            <w:tcW w:w="993" w:type="dxa"/>
            <w:vAlign w:val="center"/>
          </w:tcPr>
          <w:p w14:paraId="3C24C61D">
            <w:pPr>
              <w:jc w:val="center"/>
            </w:pPr>
            <w:r>
              <w:rPr>
                <w:rFonts w:hint="eastAsia" w:ascii="宋体" w:hAnsi="宋体" w:cs="宋体"/>
                <w:b w:val="0"/>
                <w:szCs w:val="21"/>
              </w:rPr>
              <w:t>——</w:t>
            </w:r>
          </w:p>
        </w:tc>
        <w:tc>
          <w:tcPr>
            <w:tcW w:w="850" w:type="dxa"/>
            <w:vAlign w:val="center"/>
          </w:tcPr>
          <w:p w14:paraId="63CD057F">
            <w:pPr>
              <w:jc w:val="center"/>
            </w:pPr>
            <w:r>
              <w:rPr>
                <w:rFonts w:hint="eastAsia" w:ascii="宋体" w:hAnsi="宋体" w:cs="宋体"/>
                <w:b w:val="0"/>
                <w:szCs w:val="21"/>
              </w:rPr>
              <w:t>——</w:t>
            </w:r>
          </w:p>
        </w:tc>
        <w:tc>
          <w:tcPr>
            <w:tcW w:w="709" w:type="dxa"/>
            <w:vAlign w:val="center"/>
          </w:tcPr>
          <w:p w14:paraId="2EBC1703">
            <w:pPr>
              <w:jc w:val="center"/>
            </w:pPr>
            <w:r>
              <w:rPr>
                <w:rFonts w:hint="eastAsia" w:ascii="宋体" w:hAnsi="宋体" w:cs="宋体"/>
                <w:b w:val="0"/>
                <w:szCs w:val="21"/>
              </w:rPr>
              <w:t>——</w:t>
            </w:r>
          </w:p>
        </w:tc>
        <w:tc>
          <w:tcPr>
            <w:tcW w:w="936" w:type="dxa"/>
            <w:vAlign w:val="center"/>
          </w:tcPr>
          <w:p w14:paraId="141FF332">
            <w:pPr>
              <w:jc w:val="center"/>
            </w:pPr>
            <w:r>
              <w:rPr>
                <w:rFonts w:hint="eastAsia" w:ascii="宋体" w:hAnsi="宋体" w:cs="宋体"/>
                <w:b w:val="0"/>
                <w:kern w:val="0"/>
                <w:szCs w:val="21"/>
              </w:rPr>
              <w:t>砖混</w:t>
            </w:r>
          </w:p>
        </w:tc>
        <w:tc>
          <w:tcPr>
            <w:tcW w:w="2098" w:type="dxa"/>
            <w:vAlign w:val="center"/>
          </w:tcPr>
          <w:p w14:paraId="1CDF6805">
            <w:pPr>
              <w:widowControl/>
              <w:jc w:val="center"/>
              <w:rPr>
                <w:rFonts w:ascii="宋体" w:hAnsi="宋体" w:cs="宋体"/>
                <w:b w:val="0"/>
                <w:kern w:val="0"/>
                <w:szCs w:val="21"/>
              </w:rPr>
            </w:pPr>
            <w:r>
              <w:rPr>
                <w:rFonts w:hint="eastAsia" w:ascii="宋体" w:hAnsi="宋体" w:cs="宋体"/>
                <w:b w:val="0"/>
                <w:kern w:val="0"/>
                <w:szCs w:val="21"/>
              </w:rPr>
              <w:t>新建，民用建筑</w:t>
            </w:r>
          </w:p>
        </w:tc>
      </w:tr>
      <w:tr w14:paraId="27018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29AA7300">
            <w:pPr>
              <w:widowControl/>
              <w:jc w:val="center"/>
              <w:rPr>
                <w:rFonts w:ascii="宋体" w:hAnsi="宋体" w:cs="宋体"/>
                <w:b w:val="0"/>
                <w:kern w:val="0"/>
                <w:szCs w:val="21"/>
              </w:rPr>
            </w:pPr>
            <w:r>
              <w:rPr>
                <w:rFonts w:hint="eastAsia" w:ascii="宋体" w:hAnsi="宋体" w:cs="宋体"/>
                <w:b w:val="0"/>
                <w:kern w:val="0"/>
                <w:szCs w:val="21"/>
              </w:rPr>
              <w:t>1</w:t>
            </w:r>
            <w:r>
              <w:rPr>
                <w:rFonts w:ascii="宋体" w:hAnsi="宋体" w:cs="宋体"/>
                <w:b w:val="0"/>
                <w:kern w:val="0"/>
                <w:szCs w:val="21"/>
              </w:rPr>
              <w:t>2</w:t>
            </w:r>
          </w:p>
        </w:tc>
        <w:tc>
          <w:tcPr>
            <w:tcW w:w="1276" w:type="dxa"/>
            <w:vAlign w:val="center"/>
          </w:tcPr>
          <w:p w14:paraId="5BA75115">
            <w:pPr>
              <w:jc w:val="center"/>
              <w:rPr>
                <w:rFonts w:ascii="宋体" w:hAnsi="宋体" w:cs="宋体"/>
                <w:b w:val="0"/>
                <w:szCs w:val="21"/>
              </w:rPr>
            </w:pPr>
            <w:r>
              <w:rPr>
                <w:rFonts w:hint="eastAsia" w:ascii="宋体" w:hAnsi="宋体" w:cs="宋体"/>
                <w:b w:val="0"/>
                <w:szCs w:val="21"/>
              </w:rPr>
              <w:t>值班室2</w:t>
            </w:r>
          </w:p>
        </w:tc>
        <w:tc>
          <w:tcPr>
            <w:tcW w:w="709" w:type="dxa"/>
            <w:vAlign w:val="center"/>
          </w:tcPr>
          <w:p w14:paraId="346572DC">
            <w:pPr>
              <w:jc w:val="center"/>
              <w:rPr>
                <w:rFonts w:ascii="宋体" w:hAnsi="宋体" w:cs="宋体"/>
                <w:b w:val="0"/>
                <w:szCs w:val="21"/>
              </w:rPr>
            </w:pPr>
            <w:r>
              <w:rPr>
                <w:rFonts w:hint="eastAsia" w:ascii="宋体" w:hAnsi="宋体" w:cs="宋体"/>
                <w:b w:val="0"/>
                <w:szCs w:val="21"/>
              </w:rPr>
              <w:t>无药</w:t>
            </w:r>
          </w:p>
        </w:tc>
        <w:tc>
          <w:tcPr>
            <w:tcW w:w="850" w:type="dxa"/>
            <w:vAlign w:val="center"/>
          </w:tcPr>
          <w:p w14:paraId="7DA0C9AA">
            <w:pPr>
              <w:jc w:val="center"/>
              <w:rPr>
                <w:rFonts w:ascii="宋体" w:hAnsi="宋体" w:cs="宋体"/>
                <w:b w:val="0"/>
                <w:szCs w:val="21"/>
              </w:rPr>
            </w:pPr>
            <w:r>
              <w:rPr>
                <w:rFonts w:hint="eastAsia" w:ascii="宋体" w:hAnsi="宋体" w:cs="宋体"/>
                <w:b w:val="0"/>
                <w:szCs w:val="21"/>
              </w:rPr>
              <w:t>4</w:t>
            </w:r>
            <w:r>
              <w:rPr>
                <w:rFonts w:ascii="宋体" w:hAnsi="宋体" w:cs="宋体"/>
                <w:b w:val="0"/>
                <w:szCs w:val="21"/>
              </w:rPr>
              <w:t>2</w:t>
            </w:r>
          </w:p>
        </w:tc>
        <w:tc>
          <w:tcPr>
            <w:tcW w:w="993" w:type="dxa"/>
            <w:vAlign w:val="center"/>
          </w:tcPr>
          <w:p w14:paraId="5784050D">
            <w:pPr>
              <w:jc w:val="center"/>
            </w:pPr>
            <w:r>
              <w:rPr>
                <w:rFonts w:hint="eastAsia" w:ascii="宋体" w:hAnsi="宋体" w:cs="宋体"/>
                <w:b w:val="0"/>
                <w:szCs w:val="21"/>
              </w:rPr>
              <w:t>——</w:t>
            </w:r>
          </w:p>
        </w:tc>
        <w:tc>
          <w:tcPr>
            <w:tcW w:w="850" w:type="dxa"/>
            <w:vAlign w:val="center"/>
          </w:tcPr>
          <w:p w14:paraId="534905DF">
            <w:pPr>
              <w:jc w:val="center"/>
            </w:pPr>
            <w:r>
              <w:rPr>
                <w:rFonts w:hint="eastAsia" w:ascii="宋体" w:hAnsi="宋体" w:cs="宋体"/>
                <w:b w:val="0"/>
                <w:szCs w:val="21"/>
              </w:rPr>
              <w:t>——</w:t>
            </w:r>
          </w:p>
        </w:tc>
        <w:tc>
          <w:tcPr>
            <w:tcW w:w="709" w:type="dxa"/>
            <w:vAlign w:val="center"/>
          </w:tcPr>
          <w:p w14:paraId="538E242C">
            <w:pPr>
              <w:jc w:val="center"/>
            </w:pPr>
            <w:r>
              <w:rPr>
                <w:rFonts w:hint="eastAsia" w:ascii="宋体" w:hAnsi="宋体" w:cs="宋体"/>
                <w:b w:val="0"/>
                <w:szCs w:val="21"/>
              </w:rPr>
              <w:t>——</w:t>
            </w:r>
          </w:p>
        </w:tc>
        <w:tc>
          <w:tcPr>
            <w:tcW w:w="936" w:type="dxa"/>
            <w:vAlign w:val="center"/>
          </w:tcPr>
          <w:p w14:paraId="019DBB27">
            <w:pPr>
              <w:jc w:val="center"/>
            </w:pPr>
            <w:r>
              <w:rPr>
                <w:rFonts w:hint="eastAsia" w:ascii="宋体" w:hAnsi="宋体" w:cs="宋体"/>
                <w:b w:val="0"/>
                <w:kern w:val="0"/>
                <w:szCs w:val="21"/>
              </w:rPr>
              <w:t>砖混</w:t>
            </w:r>
          </w:p>
        </w:tc>
        <w:tc>
          <w:tcPr>
            <w:tcW w:w="2098" w:type="dxa"/>
            <w:vAlign w:val="center"/>
          </w:tcPr>
          <w:p w14:paraId="5A80B737">
            <w:pPr>
              <w:jc w:val="center"/>
            </w:pPr>
            <w:r>
              <w:rPr>
                <w:rFonts w:hint="eastAsia" w:ascii="宋体" w:hAnsi="宋体" w:cs="宋体"/>
                <w:b w:val="0"/>
                <w:kern w:val="0"/>
                <w:szCs w:val="21"/>
              </w:rPr>
              <w:t>新建，民用建筑</w:t>
            </w:r>
          </w:p>
        </w:tc>
      </w:tr>
      <w:tr w14:paraId="465BA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085B93F3">
            <w:pPr>
              <w:widowControl/>
              <w:jc w:val="center"/>
              <w:rPr>
                <w:rFonts w:ascii="宋体" w:hAnsi="宋体" w:cs="宋体"/>
                <w:b w:val="0"/>
                <w:kern w:val="0"/>
                <w:szCs w:val="21"/>
              </w:rPr>
            </w:pPr>
            <w:r>
              <w:rPr>
                <w:rFonts w:hint="eastAsia" w:ascii="宋体" w:hAnsi="宋体" w:cs="宋体"/>
                <w:b w:val="0"/>
                <w:kern w:val="0"/>
                <w:szCs w:val="21"/>
              </w:rPr>
              <w:t>1</w:t>
            </w:r>
            <w:r>
              <w:rPr>
                <w:rFonts w:ascii="宋体" w:hAnsi="宋体" w:cs="宋体"/>
                <w:b w:val="0"/>
                <w:kern w:val="0"/>
                <w:szCs w:val="21"/>
              </w:rPr>
              <w:t>3</w:t>
            </w:r>
          </w:p>
        </w:tc>
        <w:tc>
          <w:tcPr>
            <w:tcW w:w="1276" w:type="dxa"/>
            <w:vAlign w:val="center"/>
          </w:tcPr>
          <w:p w14:paraId="21E4329A">
            <w:pPr>
              <w:jc w:val="center"/>
              <w:rPr>
                <w:rFonts w:ascii="宋体" w:hAnsi="宋体" w:cs="宋体"/>
                <w:b w:val="0"/>
                <w:szCs w:val="21"/>
              </w:rPr>
            </w:pPr>
            <w:r>
              <w:rPr>
                <w:rFonts w:hint="eastAsia" w:ascii="宋体" w:hAnsi="宋体" w:cs="宋体"/>
                <w:b w:val="0"/>
                <w:szCs w:val="21"/>
              </w:rPr>
              <w:t>综合办公室</w:t>
            </w:r>
          </w:p>
        </w:tc>
        <w:tc>
          <w:tcPr>
            <w:tcW w:w="709" w:type="dxa"/>
            <w:vAlign w:val="center"/>
          </w:tcPr>
          <w:p w14:paraId="13350D20">
            <w:pPr>
              <w:jc w:val="center"/>
              <w:rPr>
                <w:rFonts w:ascii="宋体" w:hAnsi="宋体" w:cs="宋体"/>
                <w:b w:val="0"/>
                <w:szCs w:val="21"/>
              </w:rPr>
            </w:pPr>
            <w:r>
              <w:rPr>
                <w:rFonts w:hint="eastAsia" w:ascii="宋体" w:hAnsi="宋体" w:cs="宋体"/>
                <w:b w:val="0"/>
                <w:szCs w:val="21"/>
              </w:rPr>
              <w:t>无药</w:t>
            </w:r>
          </w:p>
        </w:tc>
        <w:tc>
          <w:tcPr>
            <w:tcW w:w="850" w:type="dxa"/>
            <w:vAlign w:val="center"/>
          </w:tcPr>
          <w:p w14:paraId="6DF9DF10">
            <w:pPr>
              <w:jc w:val="center"/>
              <w:rPr>
                <w:rFonts w:ascii="宋体" w:hAnsi="宋体" w:cs="宋体"/>
                <w:b w:val="0"/>
                <w:szCs w:val="21"/>
              </w:rPr>
            </w:pPr>
            <w:r>
              <w:rPr>
                <w:rFonts w:hint="eastAsia" w:ascii="宋体" w:hAnsi="宋体" w:cs="宋体"/>
                <w:b w:val="0"/>
                <w:szCs w:val="21"/>
              </w:rPr>
              <w:t>7</w:t>
            </w:r>
            <w:r>
              <w:rPr>
                <w:rFonts w:ascii="宋体" w:hAnsi="宋体" w:cs="宋体"/>
                <w:b w:val="0"/>
                <w:szCs w:val="21"/>
              </w:rPr>
              <w:t>17.6</w:t>
            </w:r>
          </w:p>
        </w:tc>
        <w:tc>
          <w:tcPr>
            <w:tcW w:w="993" w:type="dxa"/>
            <w:vAlign w:val="center"/>
          </w:tcPr>
          <w:p w14:paraId="3A681E23">
            <w:r>
              <w:rPr>
                <w:rFonts w:hint="eastAsia" w:ascii="宋体" w:hAnsi="宋体" w:cs="宋体"/>
                <w:b w:val="0"/>
                <w:szCs w:val="21"/>
              </w:rPr>
              <w:t>——</w:t>
            </w:r>
          </w:p>
        </w:tc>
        <w:tc>
          <w:tcPr>
            <w:tcW w:w="850" w:type="dxa"/>
            <w:vAlign w:val="center"/>
          </w:tcPr>
          <w:p w14:paraId="2DE8F1BC">
            <w:r>
              <w:rPr>
                <w:rFonts w:hint="eastAsia" w:ascii="宋体" w:hAnsi="宋体" w:cs="宋体"/>
                <w:b w:val="0"/>
                <w:szCs w:val="21"/>
              </w:rPr>
              <w:t>——</w:t>
            </w:r>
          </w:p>
        </w:tc>
        <w:tc>
          <w:tcPr>
            <w:tcW w:w="709" w:type="dxa"/>
            <w:vAlign w:val="center"/>
          </w:tcPr>
          <w:p w14:paraId="18F13283">
            <w:r>
              <w:rPr>
                <w:rFonts w:hint="eastAsia" w:ascii="宋体" w:hAnsi="宋体" w:cs="宋体"/>
                <w:b w:val="0"/>
                <w:szCs w:val="21"/>
              </w:rPr>
              <w:t>——</w:t>
            </w:r>
          </w:p>
        </w:tc>
        <w:tc>
          <w:tcPr>
            <w:tcW w:w="936" w:type="dxa"/>
            <w:vAlign w:val="center"/>
          </w:tcPr>
          <w:p w14:paraId="7B5E3A22">
            <w:pPr>
              <w:jc w:val="center"/>
              <w:rPr>
                <w:b w:val="0"/>
                <w:bCs/>
              </w:rPr>
            </w:pPr>
            <w:r>
              <w:rPr>
                <w:rFonts w:hint="eastAsia"/>
                <w:b w:val="0"/>
                <w:bCs/>
              </w:rPr>
              <w:t>砖混</w:t>
            </w:r>
          </w:p>
          <w:p w14:paraId="1F75E448">
            <w:pPr>
              <w:jc w:val="center"/>
              <w:rPr>
                <w:b w:val="0"/>
                <w:bCs/>
              </w:rPr>
            </w:pPr>
            <w:r>
              <w:rPr>
                <w:rFonts w:hint="eastAsia"/>
                <w:b w:val="0"/>
                <w:bCs/>
              </w:rPr>
              <w:t>框架</w:t>
            </w:r>
          </w:p>
        </w:tc>
        <w:tc>
          <w:tcPr>
            <w:tcW w:w="2098" w:type="dxa"/>
            <w:vAlign w:val="center"/>
          </w:tcPr>
          <w:p w14:paraId="1E2D1A06">
            <w:pPr>
              <w:rPr>
                <w:b w:val="0"/>
                <w:bCs/>
              </w:rPr>
            </w:pPr>
            <w:r>
              <w:rPr>
                <w:rFonts w:hint="eastAsia"/>
                <w:b w:val="0"/>
                <w:bCs/>
              </w:rPr>
              <w:t>新建，民用建筑，分为销售厅、办公室、样品室、业务室</w:t>
            </w:r>
          </w:p>
        </w:tc>
      </w:tr>
      <w:tr w14:paraId="56803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2A45D19E">
            <w:pPr>
              <w:widowControl/>
              <w:jc w:val="center"/>
              <w:rPr>
                <w:rFonts w:ascii="宋体" w:hAnsi="宋体" w:cs="宋体"/>
                <w:b w:val="0"/>
                <w:kern w:val="0"/>
                <w:szCs w:val="21"/>
              </w:rPr>
            </w:pPr>
            <w:r>
              <w:rPr>
                <w:rFonts w:ascii="宋体" w:hAnsi="宋体" w:cs="宋体"/>
                <w:b w:val="0"/>
                <w:kern w:val="0"/>
                <w:szCs w:val="21"/>
              </w:rPr>
              <w:t>14</w:t>
            </w:r>
          </w:p>
        </w:tc>
        <w:tc>
          <w:tcPr>
            <w:tcW w:w="1276" w:type="dxa"/>
            <w:vAlign w:val="center"/>
          </w:tcPr>
          <w:p w14:paraId="66AA5E4A">
            <w:pPr>
              <w:jc w:val="center"/>
              <w:rPr>
                <w:rFonts w:ascii="宋体" w:hAnsi="宋体" w:cs="宋体"/>
                <w:b w:val="0"/>
                <w:szCs w:val="21"/>
              </w:rPr>
            </w:pPr>
            <w:r>
              <w:rPr>
                <w:rFonts w:hint="eastAsia" w:ascii="宋体" w:hAnsi="宋体" w:cs="宋体"/>
                <w:b w:val="0"/>
                <w:szCs w:val="21"/>
              </w:rPr>
              <w:t>消防泵房</w:t>
            </w:r>
          </w:p>
        </w:tc>
        <w:tc>
          <w:tcPr>
            <w:tcW w:w="709" w:type="dxa"/>
            <w:vAlign w:val="center"/>
          </w:tcPr>
          <w:p w14:paraId="11F70508">
            <w:pPr>
              <w:jc w:val="center"/>
              <w:rPr>
                <w:rFonts w:ascii="宋体" w:hAnsi="宋体" w:cs="宋体"/>
                <w:b w:val="0"/>
                <w:szCs w:val="21"/>
              </w:rPr>
            </w:pPr>
            <w:r>
              <w:rPr>
                <w:rFonts w:hint="eastAsia" w:ascii="宋体" w:hAnsi="宋体" w:cs="宋体"/>
                <w:b w:val="0"/>
                <w:szCs w:val="21"/>
              </w:rPr>
              <w:t>无药</w:t>
            </w:r>
          </w:p>
        </w:tc>
        <w:tc>
          <w:tcPr>
            <w:tcW w:w="850" w:type="dxa"/>
            <w:vAlign w:val="center"/>
          </w:tcPr>
          <w:p w14:paraId="5FF7223E">
            <w:pPr>
              <w:jc w:val="center"/>
              <w:rPr>
                <w:rFonts w:ascii="宋体" w:hAnsi="宋体" w:cs="宋体"/>
                <w:b w:val="0"/>
                <w:szCs w:val="21"/>
              </w:rPr>
            </w:pPr>
            <w:r>
              <w:rPr>
                <w:rFonts w:hint="eastAsia" w:ascii="宋体" w:hAnsi="宋体" w:cs="宋体"/>
                <w:b w:val="0"/>
                <w:szCs w:val="21"/>
              </w:rPr>
              <w:t>2</w:t>
            </w:r>
            <w:r>
              <w:rPr>
                <w:rFonts w:ascii="宋体" w:hAnsi="宋体" w:cs="宋体"/>
                <w:b w:val="0"/>
                <w:szCs w:val="21"/>
              </w:rPr>
              <w:t>64.62</w:t>
            </w:r>
          </w:p>
        </w:tc>
        <w:tc>
          <w:tcPr>
            <w:tcW w:w="993" w:type="dxa"/>
            <w:vAlign w:val="center"/>
          </w:tcPr>
          <w:p w14:paraId="6ACA814A">
            <w:pPr>
              <w:jc w:val="center"/>
            </w:pPr>
            <w:r>
              <w:rPr>
                <w:rFonts w:hint="eastAsia" w:ascii="宋体" w:hAnsi="宋体" w:cs="宋体"/>
                <w:b w:val="0"/>
                <w:szCs w:val="21"/>
              </w:rPr>
              <w:t>——</w:t>
            </w:r>
          </w:p>
        </w:tc>
        <w:tc>
          <w:tcPr>
            <w:tcW w:w="850" w:type="dxa"/>
            <w:vAlign w:val="center"/>
          </w:tcPr>
          <w:p w14:paraId="7B30B427">
            <w:pPr>
              <w:jc w:val="center"/>
            </w:pPr>
            <w:r>
              <w:rPr>
                <w:rFonts w:hint="eastAsia" w:ascii="宋体" w:hAnsi="宋体" w:cs="宋体"/>
                <w:b w:val="0"/>
                <w:szCs w:val="21"/>
              </w:rPr>
              <w:t>——</w:t>
            </w:r>
          </w:p>
        </w:tc>
        <w:tc>
          <w:tcPr>
            <w:tcW w:w="709" w:type="dxa"/>
            <w:vAlign w:val="center"/>
          </w:tcPr>
          <w:p w14:paraId="1025542B">
            <w:pPr>
              <w:jc w:val="center"/>
            </w:pPr>
            <w:r>
              <w:rPr>
                <w:rFonts w:hint="eastAsia" w:ascii="宋体" w:hAnsi="宋体" w:cs="宋体"/>
                <w:b w:val="0"/>
                <w:szCs w:val="21"/>
              </w:rPr>
              <w:t>——</w:t>
            </w:r>
          </w:p>
        </w:tc>
        <w:tc>
          <w:tcPr>
            <w:tcW w:w="936" w:type="dxa"/>
            <w:vAlign w:val="center"/>
          </w:tcPr>
          <w:p w14:paraId="7C6D5346">
            <w:pPr>
              <w:jc w:val="center"/>
              <w:rPr>
                <w:rFonts w:ascii="宋体" w:hAnsi="宋体" w:cs="宋体"/>
                <w:b w:val="0"/>
                <w:kern w:val="0"/>
                <w:szCs w:val="21"/>
              </w:rPr>
            </w:pPr>
            <w:r>
              <w:rPr>
                <w:rFonts w:hint="eastAsia" w:ascii="宋体" w:hAnsi="宋体" w:cs="宋体"/>
                <w:b w:val="0"/>
                <w:kern w:val="0"/>
                <w:szCs w:val="21"/>
              </w:rPr>
              <w:t>砖混</w:t>
            </w:r>
          </w:p>
          <w:p w14:paraId="50328942">
            <w:pPr>
              <w:jc w:val="center"/>
            </w:pPr>
            <w:r>
              <w:rPr>
                <w:rFonts w:hint="eastAsia" w:ascii="宋体" w:hAnsi="宋体" w:cs="宋体"/>
                <w:b w:val="0"/>
                <w:kern w:val="0"/>
                <w:szCs w:val="21"/>
              </w:rPr>
              <w:t>框架</w:t>
            </w:r>
          </w:p>
        </w:tc>
        <w:tc>
          <w:tcPr>
            <w:tcW w:w="2098" w:type="dxa"/>
            <w:vAlign w:val="center"/>
          </w:tcPr>
          <w:p w14:paraId="08499AE4">
            <w:pPr>
              <w:widowControl/>
              <w:jc w:val="center"/>
              <w:rPr>
                <w:rFonts w:ascii="宋体" w:hAnsi="宋体" w:cs="宋体"/>
                <w:b w:val="0"/>
                <w:kern w:val="0"/>
                <w:szCs w:val="21"/>
              </w:rPr>
            </w:pPr>
            <w:r>
              <w:rPr>
                <w:rFonts w:hint="eastAsia" w:ascii="宋体" w:hAnsi="宋体" w:cs="宋体"/>
                <w:b w:val="0"/>
                <w:kern w:val="0"/>
                <w:szCs w:val="21"/>
              </w:rPr>
              <w:t>新建，内设消防水池</w:t>
            </w:r>
          </w:p>
        </w:tc>
      </w:tr>
      <w:tr w14:paraId="0E63D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6" w:type="dxa"/>
            <w:vAlign w:val="center"/>
          </w:tcPr>
          <w:p w14:paraId="505765B1">
            <w:pPr>
              <w:widowControl/>
              <w:jc w:val="center"/>
              <w:rPr>
                <w:rFonts w:ascii="宋体" w:hAnsi="宋体" w:cs="宋体"/>
                <w:b w:val="0"/>
                <w:kern w:val="0"/>
                <w:szCs w:val="21"/>
              </w:rPr>
            </w:pPr>
            <w:r>
              <w:rPr>
                <w:rFonts w:ascii="宋体" w:hAnsi="宋体" w:cs="宋体"/>
                <w:b w:val="0"/>
                <w:kern w:val="0"/>
                <w:szCs w:val="21"/>
              </w:rPr>
              <w:t>15</w:t>
            </w:r>
          </w:p>
        </w:tc>
        <w:tc>
          <w:tcPr>
            <w:tcW w:w="1276" w:type="dxa"/>
            <w:vAlign w:val="center"/>
          </w:tcPr>
          <w:p w14:paraId="3C2CBABD">
            <w:pPr>
              <w:jc w:val="center"/>
              <w:rPr>
                <w:rFonts w:ascii="宋体" w:hAnsi="宋体" w:cs="宋体"/>
                <w:b w:val="0"/>
                <w:szCs w:val="21"/>
              </w:rPr>
            </w:pPr>
            <w:r>
              <w:rPr>
                <w:rFonts w:hint="eastAsia" w:ascii="宋体" w:hAnsi="宋体" w:cs="宋体"/>
                <w:b w:val="0"/>
                <w:szCs w:val="21"/>
              </w:rPr>
              <w:t>消防水池</w:t>
            </w:r>
          </w:p>
        </w:tc>
        <w:tc>
          <w:tcPr>
            <w:tcW w:w="709" w:type="dxa"/>
            <w:vAlign w:val="center"/>
          </w:tcPr>
          <w:p w14:paraId="687E51DC">
            <w:pPr>
              <w:jc w:val="center"/>
              <w:rPr>
                <w:rFonts w:ascii="宋体" w:hAnsi="宋体" w:cs="宋体"/>
                <w:b w:val="0"/>
                <w:szCs w:val="21"/>
              </w:rPr>
            </w:pPr>
            <w:r>
              <w:rPr>
                <w:rFonts w:hint="eastAsia" w:ascii="宋体" w:hAnsi="宋体" w:cs="宋体"/>
                <w:b w:val="0"/>
                <w:szCs w:val="21"/>
              </w:rPr>
              <w:t>无药</w:t>
            </w:r>
          </w:p>
        </w:tc>
        <w:tc>
          <w:tcPr>
            <w:tcW w:w="850" w:type="dxa"/>
            <w:vAlign w:val="center"/>
          </w:tcPr>
          <w:p w14:paraId="20AE6F98">
            <w:pPr>
              <w:jc w:val="center"/>
              <w:rPr>
                <w:rFonts w:ascii="宋体" w:hAnsi="宋体" w:cs="宋体"/>
                <w:b w:val="0"/>
                <w:szCs w:val="21"/>
              </w:rPr>
            </w:pPr>
            <w:r>
              <w:rPr>
                <w:rFonts w:hint="eastAsia" w:ascii="宋体" w:hAnsi="宋体" w:cs="宋体"/>
                <w:b w:val="0"/>
                <w:szCs w:val="21"/>
              </w:rPr>
              <w:t>3</w:t>
            </w:r>
            <w:r>
              <w:rPr>
                <w:rFonts w:ascii="宋体" w:hAnsi="宋体" w:cs="宋体"/>
                <w:b w:val="0"/>
                <w:szCs w:val="21"/>
              </w:rPr>
              <w:t>00m</w:t>
            </w:r>
            <w:r>
              <w:rPr>
                <w:rFonts w:ascii="宋体" w:hAnsi="宋体" w:cs="宋体"/>
                <w:b w:val="0"/>
                <w:szCs w:val="21"/>
                <w:vertAlign w:val="superscript"/>
              </w:rPr>
              <w:t>3</w:t>
            </w:r>
          </w:p>
        </w:tc>
        <w:tc>
          <w:tcPr>
            <w:tcW w:w="993" w:type="dxa"/>
            <w:vAlign w:val="center"/>
          </w:tcPr>
          <w:p w14:paraId="7E0A4239">
            <w:pPr>
              <w:jc w:val="center"/>
            </w:pPr>
            <w:r>
              <w:rPr>
                <w:rFonts w:hint="eastAsia" w:ascii="宋体" w:hAnsi="宋体" w:cs="宋体"/>
                <w:b w:val="0"/>
                <w:szCs w:val="21"/>
              </w:rPr>
              <w:t>——</w:t>
            </w:r>
          </w:p>
        </w:tc>
        <w:tc>
          <w:tcPr>
            <w:tcW w:w="850" w:type="dxa"/>
            <w:vAlign w:val="center"/>
          </w:tcPr>
          <w:p w14:paraId="366958BA">
            <w:pPr>
              <w:jc w:val="center"/>
            </w:pPr>
            <w:r>
              <w:rPr>
                <w:rFonts w:hint="eastAsia" w:ascii="宋体" w:hAnsi="宋体" w:cs="宋体"/>
                <w:b w:val="0"/>
                <w:szCs w:val="21"/>
              </w:rPr>
              <w:t>——</w:t>
            </w:r>
          </w:p>
        </w:tc>
        <w:tc>
          <w:tcPr>
            <w:tcW w:w="709" w:type="dxa"/>
            <w:vAlign w:val="center"/>
          </w:tcPr>
          <w:p w14:paraId="4F3ED7D9">
            <w:pPr>
              <w:jc w:val="center"/>
            </w:pPr>
            <w:r>
              <w:rPr>
                <w:rFonts w:hint="eastAsia" w:ascii="宋体" w:hAnsi="宋体" w:cs="宋体"/>
                <w:b w:val="0"/>
                <w:szCs w:val="21"/>
              </w:rPr>
              <w:t>——</w:t>
            </w:r>
          </w:p>
        </w:tc>
        <w:tc>
          <w:tcPr>
            <w:tcW w:w="936" w:type="dxa"/>
            <w:vAlign w:val="center"/>
          </w:tcPr>
          <w:p w14:paraId="6E657001">
            <w:pPr>
              <w:widowControl/>
              <w:jc w:val="center"/>
              <w:rPr>
                <w:rFonts w:ascii="宋体" w:hAnsi="宋体" w:cs="宋体"/>
                <w:b w:val="0"/>
                <w:kern w:val="0"/>
                <w:szCs w:val="21"/>
              </w:rPr>
            </w:pPr>
            <w:r>
              <w:rPr>
                <w:rFonts w:hint="eastAsia" w:ascii="宋体" w:hAnsi="宋体" w:cs="宋体"/>
                <w:b w:val="0"/>
                <w:kern w:val="0"/>
                <w:szCs w:val="21"/>
              </w:rPr>
              <w:t>钢砼</w:t>
            </w:r>
          </w:p>
        </w:tc>
        <w:tc>
          <w:tcPr>
            <w:tcW w:w="2098" w:type="dxa"/>
            <w:vAlign w:val="center"/>
          </w:tcPr>
          <w:p w14:paraId="082E2579">
            <w:pPr>
              <w:widowControl/>
              <w:rPr>
                <w:rFonts w:ascii="宋体" w:hAnsi="宋体" w:cs="宋体"/>
                <w:b w:val="0"/>
                <w:kern w:val="0"/>
                <w:szCs w:val="21"/>
              </w:rPr>
            </w:pPr>
            <w:r>
              <w:rPr>
                <w:rFonts w:hint="eastAsia" w:ascii="宋体" w:hAnsi="宋体" w:cs="宋体"/>
                <w:b w:val="0"/>
                <w:kern w:val="0"/>
                <w:szCs w:val="21"/>
              </w:rPr>
              <w:t>地上新建，设在消防泵房内，有效容积3</w:t>
            </w:r>
            <w:r>
              <w:rPr>
                <w:rFonts w:ascii="宋体" w:hAnsi="宋体" w:cs="宋体"/>
                <w:b w:val="0"/>
                <w:kern w:val="0"/>
                <w:szCs w:val="21"/>
              </w:rPr>
              <w:t>00m</w:t>
            </w:r>
            <w:r>
              <w:rPr>
                <w:rFonts w:ascii="宋体" w:hAnsi="宋体" w:cs="宋体"/>
                <w:b w:val="0"/>
                <w:kern w:val="0"/>
                <w:szCs w:val="21"/>
                <w:vertAlign w:val="superscript"/>
              </w:rPr>
              <w:t>3</w:t>
            </w:r>
          </w:p>
        </w:tc>
      </w:tr>
      <w:tr w14:paraId="32C09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17" w:type="dxa"/>
            <w:gridSpan w:val="9"/>
            <w:vAlign w:val="center"/>
          </w:tcPr>
          <w:p w14:paraId="2EF93136">
            <w:pPr>
              <w:widowControl/>
              <w:ind w:left="420" w:hanging="420" w:hangingChars="200"/>
              <w:rPr>
                <w:rFonts w:ascii="宋体" w:hAnsi="宋体" w:cs="宋体"/>
                <w:b w:val="0"/>
                <w:kern w:val="0"/>
                <w:szCs w:val="21"/>
              </w:rPr>
            </w:pPr>
            <w:r>
              <w:rPr>
                <w:rFonts w:hint="eastAsia" w:ascii="宋体" w:hAnsi="宋体" w:cs="宋体"/>
                <w:b w:val="0"/>
                <w:kern w:val="0"/>
                <w:szCs w:val="21"/>
              </w:rPr>
              <w:t>注：本表引录自黑龙江泰运烟花有限公司异地新建烟花爆竹库区项目总平面布置图中“建（构）筑物一览表”</w:t>
            </w:r>
          </w:p>
        </w:tc>
      </w:tr>
    </w:tbl>
    <w:p w14:paraId="2825CAF1">
      <w:pPr>
        <w:keepNext/>
        <w:keepLines/>
        <w:spacing w:before="240" w:beforeLines="100" w:after="120" w:afterLines="50" w:line="360" w:lineRule="auto"/>
        <w:outlineLvl w:val="1"/>
        <w:rPr>
          <w:rFonts w:ascii="黑体" w:hAnsi="宋体" w:eastAsia="黑体"/>
          <w:b w:val="0"/>
          <w:bCs/>
          <w:snapToGrid w:val="0"/>
          <w:sz w:val="30"/>
          <w:szCs w:val="30"/>
        </w:rPr>
      </w:pPr>
      <w:bookmarkStart w:id="61" w:name="_Toc300256183"/>
      <w:bookmarkStart w:id="62" w:name="_Toc300329558"/>
      <w:bookmarkStart w:id="63" w:name="_Toc205979622"/>
      <w:bookmarkStart w:id="64" w:name="_Toc278054172"/>
      <w:bookmarkStart w:id="65" w:name="_Toc297251643"/>
      <w:bookmarkStart w:id="66" w:name="_Toc300344380"/>
      <w:r>
        <w:rPr>
          <w:rFonts w:hint="eastAsia" w:ascii="黑体" w:hAnsi="宋体" w:eastAsia="黑体"/>
          <w:b w:val="0"/>
          <w:bCs/>
          <w:snapToGrid w:val="0"/>
          <w:sz w:val="30"/>
          <w:szCs w:val="30"/>
        </w:rPr>
        <w:t>2.3地区气象、水文、地质情况</w:t>
      </w:r>
      <w:bookmarkEnd w:id="61"/>
      <w:bookmarkEnd w:id="62"/>
      <w:bookmarkEnd w:id="63"/>
      <w:bookmarkEnd w:id="64"/>
      <w:bookmarkEnd w:id="65"/>
      <w:bookmarkEnd w:id="66"/>
    </w:p>
    <w:p w14:paraId="488815EA">
      <w:pPr>
        <w:pStyle w:val="6"/>
        <w:rPr>
          <w:rFonts w:ascii="黑体" w:hAnsi="宋体" w:eastAsia="黑体"/>
          <w:b w:val="0"/>
          <w:bCs w:val="0"/>
          <w:snapToGrid w:val="0"/>
          <w:sz w:val="30"/>
          <w:szCs w:val="30"/>
        </w:rPr>
      </w:pPr>
      <w:bookmarkStart w:id="67" w:name="_Toc165038770"/>
      <w:r>
        <w:rPr>
          <w:rFonts w:hint="eastAsia" w:ascii="黑体" w:hAnsi="宋体" w:eastAsia="黑体"/>
          <w:b w:val="0"/>
          <w:bCs w:val="0"/>
          <w:snapToGrid w:val="0"/>
          <w:sz w:val="30"/>
          <w:szCs w:val="30"/>
        </w:rPr>
        <w:t>2.3.1气象条件</w:t>
      </w:r>
      <w:bookmarkEnd w:id="67"/>
      <w:bookmarkStart w:id="68" w:name="_Toc171001539"/>
    </w:p>
    <w:bookmarkEnd w:id="68"/>
    <w:p w14:paraId="4943B35E">
      <w:pPr>
        <w:pStyle w:val="21"/>
        <w:spacing w:line="360" w:lineRule="auto"/>
        <w:ind w:firstLine="601" w:firstLineChars="226"/>
        <w:rPr>
          <w:rFonts w:asciiTheme="minorEastAsia" w:hAnsiTheme="minorEastAsia" w:eastAsiaTheme="minorEastAsia"/>
          <w:spacing w:val="-12"/>
        </w:rPr>
      </w:pPr>
      <w:bookmarkStart w:id="69" w:name="_Toc165038771"/>
      <w:r>
        <w:rPr>
          <w:rFonts w:hint="eastAsia" w:asciiTheme="minorEastAsia" w:hAnsiTheme="minorEastAsia" w:eastAsiaTheme="minorEastAsia"/>
          <w:spacing w:val="-7"/>
        </w:rPr>
        <w:t>肇州县属于中温带大陆性季风气候。</w:t>
      </w:r>
      <w:r>
        <w:rPr>
          <w:rFonts w:hint="eastAsia" w:asciiTheme="minorEastAsia" w:hAnsiTheme="minorEastAsia" w:eastAsiaTheme="minorEastAsia"/>
          <w:spacing w:val="-12"/>
        </w:rPr>
        <w:t>四季分明，冬季寒冷干燥；夏季温热多雨，春秋两季短暂且天气多变，昼夜温差大。年平均气温约3</w:t>
      </w:r>
      <w:r>
        <w:rPr>
          <w:rFonts w:asciiTheme="minorEastAsia" w:hAnsiTheme="minorEastAsia" w:eastAsiaTheme="minorEastAsia"/>
          <w:spacing w:val="-12"/>
        </w:rPr>
        <w:t>.5</w:t>
      </w:r>
      <w:r>
        <w:rPr>
          <w:rFonts w:hint="eastAsia" w:asciiTheme="minorEastAsia" w:hAnsiTheme="minorEastAsia" w:eastAsiaTheme="minorEastAsia"/>
          <w:spacing w:val="-12"/>
        </w:rPr>
        <w:t>℃</w:t>
      </w:r>
      <w:r>
        <w:rPr>
          <w:rFonts w:ascii="Times New Roman" w:hAnsi="Times New Roman" w:eastAsiaTheme="minorEastAsia"/>
          <w:spacing w:val="-12"/>
        </w:rPr>
        <w:t>~</w:t>
      </w:r>
      <w:r>
        <w:rPr>
          <w:rFonts w:asciiTheme="minorEastAsia" w:hAnsiTheme="minorEastAsia" w:eastAsiaTheme="minorEastAsia"/>
          <w:spacing w:val="-12"/>
        </w:rPr>
        <w:t>4.5℃</w:t>
      </w:r>
      <w:r>
        <w:rPr>
          <w:rFonts w:hint="eastAsia" w:asciiTheme="minorEastAsia" w:hAnsiTheme="minorEastAsia" w:eastAsiaTheme="minorEastAsia"/>
          <w:spacing w:val="-12"/>
        </w:rPr>
        <w:t>。无霜期较短，约1</w:t>
      </w:r>
      <w:r>
        <w:rPr>
          <w:rFonts w:asciiTheme="minorEastAsia" w:hAnsiTheme="minorEastAsia" w:eastAsiaTheme="minorEastAsia"/>
          <w:spacing w:val="-12"/>
        </w:rPr>
        <w:t>30</w:t>
      </w:r>
      <w:r>
        <w:rPr>
          <w:rFonts w:ascii="Times New Roman" w:hAnsi="Times New Roman" w:eastAsiaTheme="minorEastAsia"/>
          <w:spacing w:val="-12"/>
        </w:rPr>
        <w:t>~</w:t>
      </w:r>
      <w:r>
        <w:rPr>
          <w:rFonts w:asciiTheme="minorEastAsia" w:hAnsiTheme="minorEastAsia" w:eastAsiaTheme="minorEastAsia"/>
          <w:spacing w:val="-12"/>
        </w:rPr>
        <w:t>145</w:t>
      </w:r>
      <w:r>
        <w:rPr>
          <w:rFonts w:hint="eastAsia" w:asciiTheme="minorEastAsia" w:hAnsiTheme="minorEastAsia" w:eastAsiaTheme="minorEastAsia"/>
          <w:spacing w:val="-12"/>
        </w:rPr>
        <w:t>天。活动积温（≥1</w:t>
      </w:r>
      <w:r>
        <w:rPr>
          <w:rFonts w:asciiTheme="minorEastAsia" w:hAnsiTheme="minorEastAsia" w:eastAsiaTheme="minorEastAsia"/>
          <w:spacing w:val="-12"/>
        </w:rPr>
        <w:t>0℃</w:t>
      </w:r>
      <w:r>
        <w:rPr>
          <w:rFonts w:hint="eastAsia" w:asciiTheme="minorEastAsia" w:hAnsiTheme="minorEastAsia" w:eastAsiaTheme="minorEastAsia"/>
          <w:spacing w:val="-12"/>
        </w:rPr>
        <w:t>）约2</w:t>
      </w:r>
      <w:r>
        <w:rPr>
          <w:rFonts w:asciiTheme="minorEastAsia" w:hAnsiTheme="minorEastAsia" w:eastAsiaTheme="minorEastAsia"/>
          <w:spacing w:val="-12"/>
        </w:rPr>
        <w:t>700</w:t>
      </w:r>
      <w:r>
        <w:rPr>
          <w:rFonts w:hint="eastAsia" w:asciiTheme="minorEastAsia" w:hAnsiTheme="minorEastAsia" w:eastAsiaTheme="minorEastAsia"/>
          <w:spacing w:val="-12"/>
        </w:rPr>
        <w:t>℃</w:t>
      </w:r>
      <w:r>
        <w:rPr>
          <w:rFonts w:ascii="Times New Roman" w:hAnsi="Times New Roman" w:eastAsiaTheme="minorEastAsia"/>
          <w:spacing w:val="-12"/>
        </w:rPr>
        <w:t>~</w:t>
      </w:r>
      <w:r>
        <w:rPr>
          <w:rFonts w:asciiTheme="minorEastAsia" w:hAnsiTheme="minorEastAsia" w:eastAsiaTheme="minorEastAsia"/>
          <w:spacing w:val="-12"/>
        </w:rPr>
        <w:t>2850℃</w:t>
      </w:r>
      <w:r>
        <w:rPr>
          <w:rFonts w:hint="eastAsia" w:asciiTheme="minorEastAsia" w:hAnsiTheme="minorEastAsia" w:eastAsiaTheme="minorEastAsia"/>
          <w:spacing w:val="-12"/>
        </w:rPr>
        <w:t>。年平均降水量约</w:t>
      </w:r>
      <w:r>
        <w:rPr>
          <w:rFonts w:asciiTheme="minorEastAsia" w:hAnsiTheme="minorEastAsia" w:eastAsiaTheme="minorEastAsia"/>
          <w:spacing w:val="-12"/>
        </w:rPr>
        <w:t>400</w:t>
      </w:r>
      <w:r>
        <w:rPr>
          <w:rFonts w:ascii="Times New Roman" w:hAnsi="Times New Roman" w:eastAsiaTheme="minorEastAsia"/>
          <w:spacing w:val="-12"/>
        </w:rPr>
        <w:t>~</w:t>
      </w:r>
      <w:r>
        <w:rPr>
          <w:rFonts w:asciiTheme="minorEastAsia" w:hAnsiTheme="minorEastAsia" w:eastAsiaTheme="minorEastAsia"/>
          <w:spacing w:val="-12"/>
        </w:rPr>
        <w:t>550mm</w:t>
      </w:r>
      <w:r>
        <w:rPr>
          <w:rFonts w:hint="eastAsia" w:asciiTheme="minorEastAsia" w:hAnsiTheme="minorEastAsia" w:eastAsiaTheme="minorEastAsia"/>
          <w:spacing w:val="-12"/>
        </w:rPr>
        <w:t>，季节分布不均匀，夏季（6</w:t>
      </w:r>
      <w:r>
        <w:rPr>
          <w:rFonts w:asciiTheme="minorEastAsia" w:hAnsiTheme="minorEastAsia" w:eastAsiaTheme="minorEastAsia"/>
          <w:spacing w:val="-12"/>
        </w:rPr>
        <w:t>-8</w:t>
      </w:r>
      <w:r>
        <w:rPr>
          <w:rFonts w:hint="eastAsia" w:asciiTheme="minorEastAsia" w:hAnsiTheme="minorEastAsia" w:eastAsiaTheme="minorEastAsia"/>
          <w:spacing w:val="-12"/>
        </w:rPr>
        <w:t>月）占6</w:t>
      </w:r>
      <w:r>
        <w:rPr>
          <w:rFonts w:asciiTheme="minorEastAsia" w:hAnsiTheme="minorEastAsia" w:eastAsiaTheme="minorEastAsia"/>
          <w:spacing w:val="-12"/>
        </w:rPr>
        <w:t>0%-70%</w:t>
      </w:r>
      <w:r>
        <w:rPr>
          <w:rFonts w:hint="eastAsia" w:asciiTheme="minorEastAsia" w:hAnsiTheme="minorEastAsia" w:eastAsiaTheme="minorEastAsia"/>
          <w:spacing w:val="-12"/>
        </w:rPr>
        <w:t>，冬季降水仅占全年的4</w:t>
      </w:r>
      <w:r>
        <w:rPr>
          <w:rFonts w:asciiTheme="minorEastAsia" w:hAnsiTheme="minorEastAsia" w:eastAsiaTheme="minorEastAsia"/>
          <w:spacing w:val="-12"/>
        </w:rPr>
        <w:t>%</w:t>
      </w:r>
      <w:r>
        <w:rPr>
          <w:rFonts w:hint="eastAsia" w:asciiTheme="minorEastAsia" w:hAnsiTheme="minorEastAsia" w:eastAsiaTheme="minorEastAsia"/>
          <w:spacing w:val="-12"/>
        </w:rPr>
        <w:t>左右。日照时数长，光照充足。年日照时数约2</w:t>
      </w:r>
      <w:r>
        <w:rPr>
          <w:rFonts w:asciiTheme="minorEastAsia" w:hAnsiTheme="minorEastAsia" w:eastAsiaTheme="minorEastAsia"/>
          <w:spacing w:val="-12"/>
        </w:rPr>
        <w:t>600</w:t>
      </w:r>
      <w:r>
        <w:rPr>
          <w:rFonts w:ascii="Times New Roman" w:hAnsi="Times New Roman" w:eastAsiaTheme="minorEastAsia"/>
          <w:spacing w:val="-12"/>
        </w:rPr>
        <w:t>~</w:t>
      </w:r>
      <w:r>
        <w:rPr>
          <w:rFonts w:asciiTheme="minorEastAsia" w:hAnsiTheme="minorEastAsia" w:eastAsiaTheme="minorEastAsia"/>
          <w:spacing w:val="-12"/>
        </w:rPr>
        <w:t>2850</w:t>
      </w:r>
      <w:r>
        <w:rPr>
          <w:rFonts w:hint="eastAsia" w:asciiTheme="minorEastAsia" w:hAnsiTheme="minorEastAsia" w:eastAsiaTheme="minorEastAsia"/>
          <w:spacing w:val="-12"/>
        </w:rPr>
        <w:t>小时，太阳辐射强。年平均风速约3</w:t>
      </w:r>
      <w:r>
        <w:rPr>
          <w:rFonts w:asciiTheme="minorEastAsia" w:hAnsiTheme="minorEastAsia" w:eastAsiaTheme="minorEastAsia"/>
          <w:spacing w:val="-12"/>
        </w:rPr>
        <w:t>-4</w:t>
      </w:r>
      <w:r>
        <w:rPr>
          <w:rFonts w:hint="eastAsia" w:asciiTheme="minorEastAsia" w:hAnsiTheme="minorEastAsia" w:eastAsiaTheme="minorEastAsia"/>
          <w:spacing w:val="-12"/>
        </w:rPr>
        <w:t>米/秒。春季风速最大，大风日数较多。</w:t>
      </w:r>
    </w:p>
    <w:p w14:paraId="1E80AFAC">
      <w:pPr>
        <w:pStyle w:val="6"/>
        <w:rPr>
          <w:rFonts w:ascii="黑体" w:hAnsi="宋体" w:eastAsia="黑体"/>
          <w:b w:val="0"/>
          <w:bCs w:val="0"/>
          <w:snapToGrid w:val="0"/>
          <w:sz w:val="30"/>
          <w:szCs w:val="30"/>
        </w:rPr>
      </w:pPr>
      <w:r>
        <w:rPr>
          <w:rFonts w:hint="eastAsia" w:ascii="黑体" w:hAnsi="宋体" w:eastAsia="黑体"/>
          <w:b w:val="0"/>
          <w:bCs w:val="0"/>
          <w:snapToGrid w:val="0"/>
          <w:sz w:val="30"/>
          <w:szCs w:val="30"/>
        </w:rPr>
        <w:t>2.3.2地形地貌</w:t>
      </w:r>
      <w:bookmarkEnd w:id="69"/>
    </w:p>
    <w:p w14:paraId="2FA0A9A4">
      <w:pPr>
        <w:tabs>
          <w:tab w:val="left" w:pos="1512"/>
        </w:tabs>
        <w:spacing w:line="360" w:lineRule="auto"/>
        <w:ind w:firstLine="560" w:firstLineChars="200"/>
        <w:rPr>
          <w:rFonts w:ascii="宋体" w:hAnsi="宋体" w:cs="宋体"/>
          <w:b w:val="0"/>
          <w:sz w:val="28"/>
          <w:szCs w:val="28"/>
        </w:rPr>
      </w:pPr>
      <w:r>
        <w:rPr>
          <w:rFonts w:hint="eastAsia" w:ascii="宋体" w:hAnsi="宋体" w:cs="宋体"/>
          <w:b w:val="0"/>
          <w:sz w:val="28"/>
          <w:szCs w:val="28"/>
        </w:rPr>
        <w:t>肇州县隶属黑龙江省大庆市，位于黑龙江省西南部，大庆市南部，松花江之北，松嫩平原腹地。地理坐标为北纬</w:t>
      </w:r>
      <w:r>
        <w:rPr>
          <w:rFonts w:ascii="宋体" w:hAnsi="宋体" w:cs="宋体"/>
          <w:b w:val="0"/>
          <w:sz w:val="28"/>
          <w:szCs w:val="28"/>
        </w:rPr>
        <w:t>45</w:t>
      </w:r>
      <w:r>
        <w:rPr>
          <w:rFonts w:hint="eastAsia" w:ascii="宋体" w:hAnsi="宋体" w:cs="宋体"/>
          <w:b w:val="0"/>
          <w:sz w:val="28"/>
          <w:szCs w:val="28"/>
        </w:rPr>
        <w:t>°3</w:t>
      </w:r>
      <w:r>
        <w:rPr>
          <w:rFonts w:ascii="宋体" w:hAnsi="宋体" w:cs="宋体"/>
          <w:b w:val="0"/>
          <w:sz w:val="28"/>
          <w:szCs w:val="28"/>
        </w:rPr>
        <w:t>5</w:t>
      </w:r>
      <w:r>
        <w:rPr>
          <w:rFonts w:hint="eastAsia" w:ascii="宋体" w:hAnsi="宋体" w:cs="宋体"/>
          <w:b w:val="0"/>
          <w:sz w:val="28"/>
          <w:szCs w:val="28"/>
        </w:rPr>
        <w:t>＇</w:t>
      </w:r>
      <w:r>
        <w:rPr>
          <w:rFonts w:ascii="Times New Roman" w:hAnsi="Times New Roman"/>
          <w:b w:val="0"/>
          <w:sz w:val="28"/>
          <w:szCs w:val="28"/>
        </w:rPr>
        <w:t>~</w:t>
      </w:r>
      <w:r>
        <w:rPr>
          <w:rFonts w:asciiTheme="minorEastAsia" w:hAnsiTheme="minorEastAsia" w:eastAsiaTheme="minorEastAsia"/>
          <w:b w:val="0"/>
          <w:sz w:val="28"/>
          <w:szCs w:val="28"/>
        </w:rPr>
        <w:t>46</w:t>
      </w:r>
      <w:r>
        <w:rPr>
          <w:rFonts w:hint="eastAsia" w:cs="宋体" w:asciiTheme="minorEastAsia" w:hAnsiTheme="minorEastAsia" w:eastAsiaTheme="minorEastAsia"/>
          <w:b w:val="0"/>
          <w:sz w:val="28"/>
          <w:szCs w:val="28"/>
        </w:rPr>
        <w:t>°1</w:t>
      </w:r>
      <w:r>
        <w:rPr>
          <w:rFonts w:cs="宋体" w:asciiTheme="minorEastAsia" w:hAnsiTheme="minorEastAsia" w:eastAsiaTheme="minorEastAsia"/>
          <w:b w:val="0"/>
          <w:sz w:val="28"/>
          <w:szCs w:val="28"/>
        </w:rPr>
        <w:t>6</w:t>
      </w:r>
      <w:r>
        <w:rPr>
          <w:rFonts w:hint="eastAsia" w:cs="宋体" w:asciiTheme="minorEastAsia" w:hAnsiTheme="minorEastAsia" w:eastAsiaTheme="minorEastAsia"/>
          <w:b w:val="0"/>
          <w:sz w:val="28"/>
          <w:szCs w:val="28"/>
        </w:rPr>
        <w:t>＇</w:t>
      </w:r>
      <w:r>
        <w:rPr>
          <w:rFonts w:hint="eastAsia" w:ascii="宋体" w:hAnsi="宋体" w:cs="宋体"/>
          <w:b w:val="0"/>
          <w:sz w:val="28"/>
          <w:szCs w:val="28"/>
        </w:rPr>
        <w:t>，东经1</w:t>
      </w:r>
      <w:r>
        <w:rPr>
          <w:rFonts w:ascii="宋体" w:hAnsi="宋体" w:cs="宋体"/>
          <w:b w:val="0"/>
          <w:sz w:val="28"/>
          <w:szCs w:val="28"/>
        </w:rPr>
        <w:t>25</w:t>
      </w:r>
      <w:r>
        <w:rPr>
          <w:rFonts w:hint="eastAsia" w:ascii="宋体" w:hAnsi="宋体" w:cs="宋体"/>
          <w:b w:val="0"/>
          <w:sz w:val="28"/>
          <w:szCs w:val="28"/>
        </w:rPr>
        <w:t>°</w:t>
      </w:r>
      <w:r>
        <w:rPr>
          <w:rFonts w:ascii="宋体" w:hAnsi="宋体" w:cs="宋体"/>
          <w:b w:val="0"/>
          <w:sz w:val="28"/>
          <w:szCs w:val="28"/>
        </w:rPr>
        <w:t>01</w:t>
      </w:r>
      <w:r>
        <w:rPr>
          <w:rFonts w:hint="eastAsia" w:ascii="宋体" w:hAnsi="宋体" w:cs="宋体"/>
          <w:b w:val="0"/>
          <w:sz w:val="28"/>
          <w:szCs w:val="28"/>
        </w:rPr>
        <w:t>＇</w:t>
      </w:r>
      <w:r>
        <w:rPr>
          <w:rFonts w:ascii="Times New Roman" w:hAnsi="Times New Roman"/>
          <w:b w:val="0"/>
          <w:sz w:val="28"/>
          <w:szCs w:val="28"/>
        </w:rPr>
        <w:t>~</w:t>
      </w:r>
      <w:r>
        <w:rPr>
          <w:rFonts w:asciiTheme="minorEastAsia" w:hAnsiTheme="minorEastAsia" w:eastAsiaTheme="minorEastAsia"/>
          <w:b w:val="0"/>
          <w:sz w:val="28"/>
          <w:szCs w:val="28"/>
        </w:rPr>
        <w:t>125</w:t>
      </w:r>
      <w:r>
        <w:rPr>
          <w:rFonts w:hint="eastAsia" w:cs="宋体" w:asciiTheme="minorEastAsia" w:hAnsiTheme="minorEastAsia" w:eastAsiaTheme="minorEastAsia"/>
          <w:b w:val="0"/>
          <w:sz w:val="28"/>
          <w:szCs w:val="28"/>
        </w:rPr>
        <w:t>°</w:t>
      </w:r>
      <w:r>
        <w:rPr>
          <w:rFonts w:cs="宋体" w:asciiTheme="minorEastAsia" w:hAnsiTheme="minorEastAsia" w:eastAsiaTheme="minorEastAsia"/>
          <w:b w:val="0"/>
          <w:sz w:val="28"/>
          <w:szCs w:val="28"/>
        </w:rPr>
        <w:t>45</w:t>
      </w:r>
      <w:r>
        <w:rPr>
          <w:rFonts w:hint="eastAsia" w:cs="宋体" w:asciiTheme="minorEastAsia" w:hAnsiTheme="minorEastAsia" w:eastAsiaTheme="minorEastAsia"/>
          <w:b w:val="0"/>
          <w:sz w:val="28"/>
          <w:szCs w:val="28"/>
        </w:rPr>
        <w:t>＇；</w:t>
      </w:r>
      <w:r>
        <w:rPr>
          <w:rFonts w:hint="eastAsia" w:ascii="宋体" w:hAnsi="宋体" w:cs="宋体"/>
          <w:b w:val="0"/>
          <w:sz w:val="28"/>
          <w:szCs w:val="28"/>
        </w:rPr>
        <w:t>东邻大庆市肇源县，西接大庆市大同区、绥化市、安达市，南连绥化市兰西县、肇东市，北靠大庆市红岗区。地势平坦开阔，整体呈现西北高、东南低的微倾斜平原地貌。</w:t>
      </w:r>
    </w:p>
    <w:p w14:paraId="4018E713">
      <w:pPr>
        <w:pStyle w:val="6"/>
        <w:rPr>
          <w:rFonts w:ascii="黑体" w:hAnsi="宋体" w:eastAsia="黑体"/>
          <w:b w:val="0"/>
          <w:bCs w:val="0"/>
          <w:snapToGrid w:val="0"/>
          <w:sz w:val="30"/>
          <w:szCs w:val="30"/>
        </w:rPr>
      </w:pPr>
      <w:bookmarkStart w:id="70" w:name="_Toc165038772"/>
      <w:r>
        <w:rPr>
          <w:rFonts w:hint="eastAsia" w:ascii="黑体" w:hAnsi="宋体" w:eastAsia="黑体"/>
          <w:b w:val="0"/>
          <w:bCs w:val="0"/>
          <w:snapToGrid w:val="0"/>
          <w:sz w:val="30"/>
          <w:szCs w:val="30"/>
        </w:rPr>
        <w:t>2.3.3水文</w:t>
      </w:r>
      <w:bookmarkEnd w:id="70"/>
    </w:p>
    <w:p w14:paraId="20370EF0">
      <w:pPr>
        <w:tabs>
          <w:tab w:val="left" w:pos="1512"/>
        </w:tabs>
        <w:spacing w:line="360" w:lineRule="auto"/>
        <w:ind w:firstLine="560" w:firstLineChars="200"/>
        <w:rPr>
          <w:rFonts w:ascii="宋体" w:hAnsi="宋体" w:cs="宋体"/>
          <w:b w:val="0"/>
          <w:sz w:val="28"/>
          <w:szCs w:val="28"/>
        </w:rPr>
      </w:pPr>
      <w:r>
        <w:rPr>
          <w:rFonts w:hint="eastAsia" w:ascii="宋体" w:hAnsi="宋体" w:cs="宋体"/>
          <w:b w:val="0"/>
          <w:sz w:val="28"/>
          <w:szCs w:val="28"/>
        </w:rPr>
        <w:t>肇州县境内河流水系特点为：河流短小、流速缓慢、季节性变化显著。境内河流主要为肇兰新河、双发河、小河子（及类似支流）等河流，河流流向受整个松嫩平原“西北高、东南低”的大地势影响，整体流向为从西边向东南。</w:t>
      </w:r>
    </w:p>
    <w:p w14:paraId="179214A7">
      <w:pPr>
        <w:tabs>
          <w:tab w:val="left" w:pos="1512"/>
        </w:tabs>
        <w:spacing w:line="360" w:lineRule="auto"/>
        <w:ind w:firstLine="573"/>
        <w:rPr>
          <w:rFonts w:ascii="宋体" w:hAnsi="宋体" w:cs="宋体"/>
          <w:sz w:val="28"/>
          <w:szCs w:val="28"/>
        </w:rPr>
      </w:pPr>
      <w:r>
        <w:rPr>
          <w:rFonts w:hint="eastAsia" w:ascii="宋体" w:hAnsi="宋体" w:cs="宋体"/>
          <w:sz w:val="28"/>
          <w:szCs w:val="28"/>
        </w:rPr>
        <w:t>交通运输条件</w:t>
      </w:r>
    </w:p>
    <w:p w14:paraId="690C9329">
      <w:pPr>
        <w:pStyle w:val="21"/>
        <w:autoSpaceDE w:val="0"/>
        <w:autoSpaceDN w:val="0"/>
        <w:adjustRightInd w:val="0"/>
        <w:snapToGrid w:val="0"/>
        <w:spacing w:line="360" w:lineRule="auto"/>
        <w:ind w:left="119" w:right="193" w:firstLine="420"/>
      </w:pPr>
      <w:r>
        <w:rPr>
          <w:rFonts w:hint="eastAsia"/>
          <w:spacing w:val="-9"/>
        </w:rPr>
        <w:t>建设项目所在地位于黑龙江省大庆市肇州县新福乡新福村，可以依托当地公路</w:t>
      </w:r>
      <w:r>
        <w:rPr>
          <w:spacing w:val="-3"/>
        </w:rPr>
        <w:t>，四通八达，交通方便快捷。</w:t>
      </w:r>
    </w:p>
    <w:p w14:paraId="61840372">
      <w:pPr>
        <w:tabs>
          <w:tab w:val="left" w:pos="1512"/>
        </w:tabs>
        <w:spacing w:line="360" w:lineRule="auto"/>
        <w:ind w:firstLine="573"/>
        <w:rPr>
          <w:rFonts w:ascii="宋体" w:hAnsi="宋体" w:cs="宋体"/>
          <w:sz w:val="28"/>
          <w:szCs w:val="28"/>
        </w:rPr>
      </w:pPr>
      <w:r>
        <w:rPr>
          <w:rFonts w:hint="eastAsia" w:ascii="宋体" w:hAnsi="宋体" w:cs="宋体"/>
          <w:sz w:val="28"/>
          <w:szCs w:val="28"/>
        </w:rPr>
        <w:t>公用工程条件</w:t>
      </w:r>
    </w:p>
    <w:p w14:paraId="2E5733E4">
      <w:pPr>
        <w:tabs>
          <w:tab w:val="left" w:pos="1512"/>
        </w:tabs>
        <w:spacing w:line="360" w:lineRule="auto"/>
        <w:ind w:firstLine="573"/>
        <w:rPr>
          <w:rFonts w:ascii="宋体" w:hAnsi="宋体" w:cs="宋体"/>
          <w:b w:val="0"/>
          <w:sz w:val="28"/>
          <w:szCs w:val="28"/>
        </w:rPr>
      </w:pPr>
      <w:r>
        <w:rPr>
          <w:rFonts w:hint="eastAsia" w:ascii="宋体" w:hAnsi="宋体" w:cs="宋体"/>
          <w:b w:val="0"/>
          <w:sz w:val="28"/>
          <w:szCs w:val="28"/>
        </w:rPr>
        <w:t>项目区市政配备完善，道路、水电供应、消防设施和通信网络。电力供应稳定，能保障中小型工业生产。废水处理设施完善，可以有效处理生产过程中产生的废水，符合环保要求。</w:t>
      </w:r>
    </w:p>
    <w:p w14:paraId="3A84C52B">
      <w:pPr>
        <w:tabs>
          <w:tab w:val="left" w:pos="1512"/>
        </w:tabs>
        <w:spacing w:line="360" w:lineRule="auto"/>
        <w:ind w:firstLine="573"/>
        <w:rPr>
          <w:rFonts w:ascii="宋体" w:hAnsi="宋体" w:cs="宋体"/>
          <w:sz w:val="28"/>
          <w:szCs w:val="28"/>
        </w:rPr>
      </w:pPr>
      <w:r>
        <w:rPr>
          <w:rFonts w:hint="eastAsia" w:ascii="宋体" w:hAnsi="宋体" w:cs="宋体"/>
          <w:sz w:val="28"/>
          <w:szCs w:val="28"/>
        </w:rPr>
        <w:t>施工条件</w:t>
      </w:r>
    </w:p>
    <w:p w14:paraId="7DB45CA2">
      <w:pPr>
        <w:tabs>
          <w:tab w:val="left" w:pos="1512"/>
        </w:tabs>
        <w:spacing w:line="560" w:lineRule="exact"/>
        <w:ind w:firstLine="573"/>
        <w:rPr>
          <w:rFonts w:ascii="宋体" w:hAnsi="宋体" w:cs="宋体"/>
          <w:b w:val="0"/>
          <w:sz w:val="28"/>
          <w:szCs w:val="28"/>
        </w:rPr>
      </w:pPr>
      <w:r>
        <w:rPr>
          <w:rFonts w:hint="eastAsia" w:ascii="宋体" w:hAnsi="宋体" w:cs="宋体"/>
          <w:b w:val="0"/>
          <w:sz w:val="28"/>
          <w:szCs w:val="28"/>
        </w:rPr>
        <w:t>该地区施工条件优越，存在多家经验丰富的建筑公司，可以为我们的项目提供专业的建设服务。</w:t>
      </w:r>
    </w:p>
    <w:p w14:paraId="2300040F">
      <w:pPr>
        <w:tabs>
          <w:tab w:val="left" w:pos="1512"/>
        </w:tabs>
        <w:spacing w:line="560" w:lineRule="exact"/>
        <w:ind w:firstLine="573"/>
        <w:rPr>
          <w:rFonts w:ascii="宋体" w:hAnsi="宋体" w:cs="宋体"/>
          <w:b w:val="0"/>
          <w:sz w:val="28"/>
          <w:szCs w:val="28"/>
        </w:rPr>
      </w:pPr>
      <w:r>
        <w:rPr>
          <w:rFonts w:hint="eastAsia" w:ascii="宋体" w:hAnsi="宋体" w:cs="宋体"/>
          <w:b w:val="0"/>
          <w:sz w:val="28"/>
          <w:szCs w:val="28"/>
        </w:rPr>
        <w:t>场地面积：黑龙江泰运烟花有限公司的库区占地面积足够满足新建仓库等设施的空间需求。</w:t>
      </w:r>
    </w:p>
    <w:p w14:paraId="6CB05FC9">
      <w:pPr>
        <w:tabs>
          <w:tab w:val="left" w:pos="1512"/>
        </w:tabs>
        <w:spacing w:line="560" w:lineRule="exact"/>
        <w:ind w:firstLine="573"/>
        <w:rPr>
          <w:rFonts w:ascii="宋体" w:hAnsi="宋体" w:cs="宋体"/>
          <w:b w:val="0"/>
          <w:sz w:val="28"/>
          <w:szCs w:val="28"/>
        </w:rPr>
      </w:pPr>
      <w:r>
        <w:rPr>
          <w:rFonts w:hint="eastAsia" w:ascii="宋体" w:hAnsi="宋体" w:cs="宋体"/>
          <w:b w:val="0"/>
          <w:sz w:val="28"/>
          <w:szCs w:val="28"/>
        </w:rPr>
        <w:t>场地布局：现有的场地布局允许进行必要的调整。</w:t>
      </w:r>
    </w:p>
    <w:p w14:paraId="62FA63BE">
      <w:pPr>
        <w:tabs>
          <w:tab w:val="left" w:pos="1512"/>
        </w:tabs>
        <w:spacing w:line="560" w:lineRule="exact"/>
        <w:ind w:firstLine="573"/>
        <w:rPr>
          <w:rFonts w:ascii="宋体" w:hAnsi="宋体" w:cs="宋体"/>
          <w:b w:val="0"/>
          <w:sz w:val="28"/>
          <w:szCs w:val="28"/>
        </w:rPr>
      </w:pPr>
      <w:r>
        <w:rPr>
          <w:rFonts w:hint="eastAsia" w:ascii="宋体" w:hAnsi="宋体" w:cs="宋体"/>
          <w:b w:val="0"/>
          <w:sz w:val="28"/>
          <w:szCs w:val="28"/>
        </w:rPr>
        <w:t>地形地貌：库区地势平坦，地质条件稳定，适合进行建筑施工。</w:t>
      </w:r>
    </w:p>
    <w:p w14:paraId="77762C1B">
      <w:pPr>
        <w:pStyle w:val="6"/>
        <w:spacing w:line="560" w:lineRule="exact"/>
        <w:rPr>
          <w:rFonts w:ascii="黑体" w:hAnsi="宋体" w:eastAsia="黑体"/>
          <w:b w:val="0"/>
          <w:bCs w:val="0"/>
          <w:snapToGrid w:val="0"/>
          <w:sz w:val="30"/>
          <w:szCs w:val="30"/>
        </w:rPr>
      </w:pPr>
      <w:bookmarkStart w:id="71" w:name="_Toc165038773"/>
      <w:r>
        <w:rPr>
          <w:rFonts w:hint="eastAsia" w:ascii="黑体" w:hAnsi="宋体" w:eastAsia="黑体"/>
          <w:b w:val="0"/>
          <w:bCs w:val="0"/>
          <w:snapToGrid w:val="0"/>
          <w:sz w:val="30"/>
          <w:szCs w:val="30"/>
        </w:rPr>
        <w:t>2.3.4地震设防</w:t>
      </w:r>
      <w:bookmarkEnd w:id="71"/>
    </w:p>
    <w:p w14:paraId="30AD49B4">
      <w:pPr>
        <w:spacing w:line="560" w:lineRule="exact"/>
        <w:ind w:firstLine="560" w:firstLineChars="200"/>
        <w:rPr>
          <w:rFonts w:ascii="宋体" w:hAnsi="宋体" w:cs="宋体"/>
          <w:b w:val="0"/>
          <w:sz w:val="28"/>
          <w:szCs w:val="28"/>
        </w:rPr>
      </w:pPr>
      <w:r>
        <w:rPr>
          <w:rFonts w:hint="eastAsia" w:ascii="宋体" w:hAnsi="宋体" w:cs="宋体"/>
          <w:b w:val="0"/>
          <w:sz w:val="28"/>
          <w:szCs w:val="28"/>
        </w:rPr>
        <w:t>根据查阅《中国地震动参数区划图》（</w:t>
      </w:r>
      <w:r>
        <w:rPr>
          <w:rFonts w:ascii="宋体" w:hAnsi="宋体" w:cs="宋体"/>
          <w:b w:val="0"/>
          <w:sz w:val="28"/>
          <w:szCs w:val="28"/>
        </w:rPr>
        <w:t>GB18306-2015</w:t>
      </w:r>
      <w:r>
        <w:rPr>
          <w:rFonts w:hint="eastAsia" w:ascii="宋体" w:hAnsi="宋体" w:cs="宋体"/>
          <w:b w:val="0"/>
          <w:sz w:val="28"/>
          <w:szCs w:val="28"/>
        </w:rPr>
        <w:t>）所知，</w:t>
      </w:r>
      <w:r>
        <w:rPr>
          <w:rFonts w:hint="eastAsia" w:ascii="宋体" w:hAnsi="宋体" w:cs="宋体"/>
          <w:b w:val="0"/>
          <w:bCs/>
          <w:sz w:val="28"/>
        </w:rPr>
        <w:t>肇州县</w:t>
      </w:r>
      <w:r>
        <w:rPr>
          <w:rFonts w:hint="eastAsia" w:ascii="宋体" w:hAnsi="宋体" w:cs="宋体"/>
          <w:b w:val="0"/>
          <w:sz w:val="28"/>
        </w:rPr>
        <w:t>地震烈度为Ⅶ度</w:t>
      </w:r>
      <w:r>
        <w:rPr>
          <w:rFonts w:hint="eastAsia" w:ascii="宋体" w:hAnsi="宋体" w:cs="宋体"/>
          <w:b w:val="0"/>
          <w:sz w:val="28"/>
          <w:szCs w:val="28"/>
        </w:rPr>
        <w:t>，根据《建筑工程抗震设离分类标准》（GB50223-2008）第8.0.3条、第3.0.3条，本项目</w:t>
      </w:r>
      <w:r>
        <w:rPr>
          <w:rFonts w:ascii="宋体" w:hAnsi="宋体" w:cs="宋体"/>
          <w:b w:val="0"/>
          <w:sz w:val="28"/>
          <w:szCs w:val="28"/>
        </w:rPr>
        <w:t>烟花爆竹储存仓库</w:t>
      </w:r>
      <w:r>
        <w:rPr>
          <w:rFonts w:hint="eastAsia" w:ascii="宋体" w:hAnsi="宋体" w:cs="宋体"/>
          <w:b w:val="0"/>
          <w:sz w:val="28"/>
          <w:szCs w:val="28"/>
        </w:rPr>
        <w:t>，</w:t>
      </w:r>
      <w:r>
        <w:rPr>
          <w:rFonts w:ascii="宋体" w:hAnsi="宋体" w:cs="宋体"/>
          <w:b w:val="0"/>
          <w:sz w:val="28"/>
          <w:szCs w:val="28"/>
        </w:rPr>
        <w:t>具有易燃易爆特性</w:t>
      </w:r>
      <w:r>
        <w:rPr>
          <w:rFonts w:hint="eastAsia" w:ascii="宋体" w:hAnsi="宋体" w:cs="宋体"/>
          <w:b w:val="0"/>
          <w:sz w:val="28"/>
          <w:szCs w:val="28"/>
        </w:rPr>
        <w:t>，属重点设防类。设计按高于本地区抗震设防烈度为Ⅸ的要求加强其抗震措施。</w:t>
      </w:r>
    </w:p>
    <w:p w14:paraId="2A4E6A5D">
      <w:pPr>
        <w:keepNext/>
        <w:keepLines/>
        <w:spacing w:before="240" w:beforeLines="100" w:after="120" w:afterLines="50" w:line="360" w:lineRule="auto"/>
        <w:outlineLvl w:val="1"/>
        <w:rPr>
          <w:rFonts w:ascii="黑体" w:hAnsi="宋体" w:eastAsia="黑体"/>
          <w:b w:val="0"/>
          <w:bCs/>
          <w:snapToGrid w:val="0"/>
          <w:sz w:val="30"/>
          <w:szCs w:val="30"/>
        </w:rPr>
      </w:pPr>
      <w:bookmarkStart w:id="72" w:name="_Toc372793487"/>
      <w:bookmarkStart w:id="73" w:name="_Toc205979623"/>
      <w:r>
        <w:rPr>
          <w:rFonts w:hint="eastAsia" w:ascii="黑体" w:hAnsi="宋体" w:eastAsia="黑体"/>
          <w:b w:val="0"/>
          <w:bCs/>
          <w:snapToGrid w:val="0"/>
          <w:sz w:val="30"/>
          <w:szCs w:val="30"/>
        </w:rPr>
        <w:t>2.4工艺</w:t>
      </w:r>
      <w:bookmarkEnd w:id="72"/>
      <w:r>
        <w:rPr>
          <w:rFonts w:hint="eastAsia" w:ascii="黑体" w:hAnsi="宋体" w:eastAsia="黑体"/>
          <w:b w:val="0"/>
          <w:bCs/>
          <w:snapToGrid w:val="0"/>
          <w:sz w:val="30"/>
          <w:szCs w:val="30"/>
        </w:rPr>
        <w:t>流程</w:t>
      </w:r>
      <w:bookmarkEnd w:id="73"/>
    </w:p>
    <w:p w14:paraId="45F7E60E">
      <w:pPr>
        <w:pStyle w:val="6"/>
        <w:rPr>
          <w:rFonts w:ascii="黑体" w:hAnsi="宋体" w:eastAsia="黑体"/>
          <w:b w:val="0"/>
          <w:bCs w:val="0"/>
          <w:snapToGrid w:val="0"/>
          <w:sz w:val="30"/>
          <w:szCs w:val="30"/>
        </w:rPr>
      </w:pPr>
      <w:bookmarkStart w:id="74" w:name="_Toc165038775"/>
      <w:bookmarkStart w:id="75" w:name="_Toc302204624"/>
      <w:bookmarkStart w:id="76" w:name="_Toc278054176"/>
      <w:r>
        <w:rPr>
          <w:rFonts w:hint="eastAsia" w:ascii="黑体" w:hAnsi="宋体" w:eastAsia="黑体"/>
          <w:b w:val="0"/>
          <w:bCs w:val="0"/>
          <w:snapToGrid w:val="0"/>
          <w:sz w:val="30"/>
          <w:szCs w:val="30"/>
        </w:rPr>
        <w:t>2.4.1出入库工艺流程</w:t>
      </w:r>
      <w:bookmarkEnd w:id="74"/>
      <w:bookmarkEnd w:id="75"/>
      <w:bookmarkEnd w:id="76"/>
    </w:p>
    <w:p w14:paraId="46137BD0">
      <w:pPr>
        <w:adjustRightInd w:val="0"/>
        <w:snapToGrid w:val="0"/>
        <w:spacing w:line="560" w:lineRule="exact"/>
        <w:ind w:firstLine="560" w:firstLineChars="200"/>
        <w:rPr>
          <w:rFonts w:ascii="宋体" w:hAnsi="宋体" w:cs="Arial"/>
          <w:b w:val="0"/>
          <w:sz w:val="28"/>
          <w:szCs w:val="28"/>
        </w:rPr>
      </w:pPr>
      <w:r>
        <w:rPr>
          <w:rFonts w:hint="eastAsia" w:ascii="宋体" w:hAnsi="宋体" w:cs="Arial"/>
          <w:b w:val="0"/>
          <w:sz w:val="28"/>
          <w:szCs w:val="28"/>
        </w:rPr>
        <w:t>烟花爆竹产品均需由具有安全生产资质的烟花爆竹生产企业生产，产品均按照信息系统的技术要求，在产品包装及外包装箱上张贴相应的标识码；并需按照《烟花爆竹流向登记通用规范》（AQ4102）和烟花爆竹流向信息化管理的有关规定，购买了烟花爆竹流向信息化管理系统、建立有产品流向登记台帐及信息库，并严格执行流向登记制度。公司</w:t>
      </w:r>
      <w:r>
        <w:rPr>
          <w:rFonts w:hint="eastAsia" w:ascii="宋体" w:hAnsi="宋体" w:cs="Arial"/>
          <w:b w:val="0"/>
          <w:sz w:val="28"/>
          <w:szCs w:val="28"/>
          <w:lang w:val="en-GB"/>
        </w:rPr>
        <w:t>主营业务为烟花爆竹产品储存，其仓库的作用是为了烟花爆竹产品的中转、储存和集中运输；</w:t>
      </w:r>
      <w:r>
        <w:rPr>
          <w:rFonts w:hint="eastAsia" w:ascii="宋体" w:hAnsi="宋体" w:cs="Arial"/>
          <w:b w:val="0"/>
          <w:bCs/>
          <w:sz w:val="28"/>
          <w:szCs w:val="28"/>
        </w:rPr>
        <w:t>工艺流程如下：</w:t>
      </w:r>
    </w:p>
    <w:p w14:paraId="1CB0CA4A">
      <w:pPr>
        <w:rPr>
          <w:rFonts w:ascii="Times New Roman" w:hAnsi="Times New Roman"/>
          <w:b w:val="0"/>
        </w:rPr>
      </w:pPr>
      <w:r>
        <w:rPr>
          <w:rFonts w:ascii="Times New Roman" w:hAnsi="Times New Roman"/>
          <w:b w:val="0"/>
        </w:rPr>
        <mc:AlternateContent>
          <mc:Choice Requires="wpc">
            <w:drawing>
              <wp:inline distT="0" distB="0" distL="0" distR="0">
                <wp:extent cx="5776595" cy="1151890"/>
                <wp:effectExtent l="0" t="0" r="0" b="0"/>
                <wp:docPr id="281" name="画布 2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0" name="直线 21"/>
                        <wps:cNvCnPr/>
                        <wps:spPr bwMode="auto">
                          <a:xfrm>
                            <a:off x="1746566" y="277495"/>
                            <a:ext cx="427990" cy="635"/>
                          </a:xfrm>
                          <a:prstGeom prst="line">
                            <a:avLst/>
                          </a:prstGeom>
                          <a:noFill/>
                          <a:ln w="9525">
                            <a:solidFill>
                              <a:srgbClr val="000000"/>
                            </a:solidFill>
                            <a:round/>
                            <a:tailEnd type="triangle" w="sm" len="sm"/>
                          </a:ln>
                        </wps:spPr>
                        <wps:bodyPr/>
                      </wps:wsp>
                      <wps:wsp>
                        <wps:cNvPr id="271" name="矩形 22"/>
                        <wps:cNvSpPr>
                          <a:spLocks noChangeArrowheads="1"/>
                        </wps:cNvSpPr>
                        <wps:spPr bwMode="auto">
                          <a:xfrm>
                            <a:off x="42861" y="144145"/>
                            <a:ext cx="1703705" cy="276860"/>
                          </a:xfrm>
                          <a:prstGeom prst="rect">
                            <a:avLst/>
                          </a:prstGeom>
                          <a:solidFill>
                            <a:srgbClr val="FFFFFF"/>
                          </a:solidFill>
                          <a:ln w="9525">
                            <a:solidFill>
                              <a:srgbClr val="000000"/>
                            </a:solidFill>
                            <a:miter lim="800000"/>
                          </a:ln>
                          <a:effectLst/>
                        </wps:spPr>
                        <wps:txbx>
                          <w:txbxContent>
                            <w:p w14:paraId="521423C5">
                              <w:pPr>
                                <w:jc w:val="center"/>
                                <w:rPr>
                                  <w:b w:val="0"/>
                                </w:rPr>
                              </w:pPr>
                              <w:r>
                                <w:rPr>
                                  <w:rFonts w:hint="eastAsia"/>
                                  <w:b w:val="0"/>
                                </w:rPr>
                                <w:t>烟花运输车辆入库区熄火</w:t>
                              </w:r>
                            </w:p>
                          </w:txbxContent>
                        </wps:txbx>
                        <wps:bodyPr rot="0" vert="horz" wrap="square" lIns="91440" tIns="45720" rIns="91440" bIns="45720" anchor="t" anchorCtr="0" upright="1">
                          <a:noAutofit/>
                        </wps:bodyPr>
                      </wps:wsp>
                      <wps:wsp>
                        <wps:cNvPr id="272" name="直线 23"/>
                        <wps:cNvCnPr/>
                        <wps:spPr bwMode="auto">
                          <a:xfrm>
                            <a:off x="3857306" y="276225"/>
                            <a:ext cx="426720" cy="1270"/>
                          </a:xfrm>
                          <a:prstGeom prst="line">
                            <a:avLst/>
                          </a:prstGeom>
                          <a:noFill/>
                          <a:ln w="9525">
                            <a:solidFill>
                              <a:srgbClr val="000000"/>
                            </a:solidFill>
                            <a:round/>
                            <a:tailEnd type="triangle" w="sm" len="sm"/>
                          </a:ln>
                        </wps:spPr>
                        <wps:bodyPr/>
                      </wps:wsp>
                      <wps:wsp>
                        <wps:cNvPr id="273" name="矩形 24"/>
                        <wps:cNvSpPr>
                          <a:spLocks noChangeArrowheads="1"/>
                        </wps:cNvSpPr>
                        <wps:spPr bwMode="auto">
                          <a:xfrm>
                            <a:off x="2174556" y="134620"/>
                            <a:ext cx="1682750" cy="276860"/>
                          </a:xfrm>
                          <a:prstGeom prst="rect">
                            <a:avLst/>
                          </a:prstGeom>
                          <a:solidFill>
                            <a:srgbClr val="FFFFFF"/>
                          </a:solidFill>
                          <a:ln w="9525">
                            <a:solidFill>
                              <a:srgbClr val="000000"/>
                            </a:solidFill>
                            <a:miter lim="800000"/>
                          </a:ln>
                          <a:effectLst/>
                        </wps:spPr>
                        <wps:txbx>
                          <w:txbxContent>
                            <w:p w14:paraId="0EC95217">
                              <w:pPr>
                                <w:jc w:val="center"/>
                                <w:rPr>
                                  <w:b w:val="0"/>
                                </w:rPr>
                              </w:pPr>
                              <w:r>
                                <w:rPr>
                                  <w:rFonts w:hint="eastAsia"/>
                                  <w:b w:val="0"/>
                                </w:rPr>
                                <w:t>装卸人员消除人体静电</w:t>
                              </w:r>
                            </w:p>
                          </w:txbxContent>
                        </wps:txbx>
                        <wps:bodyPr rot="0" vert="horz" wrap="square" lIns="91440" tIns="45720" rIns="91440" bIns="45720" anchor="t" anchorCtr="0" upright="1">
                          <a:noAutofit/>
                        </wps:bodyPr>
                      </wps:wsp>
                      <wps:wsp>
                        <wps:cNvPr id="274" name="矩形 25"/>
                        <wps:cNvSpPr>
                          <a:spLocks noChangeArrowheads="1"/>
                        </wps:cNvSpPr>
                        <wps:spPr bwMode="auto">
                          <a:xfrm>
                            <a:off x="4297996" y="135255"/>
                            <a:ext cx="1266190" cy="276225"/>
                          </a:xfrm>
                          <a:prstGeom prst="rect">
                            <a:avLst/>
                          </a:prstGeom>
                          <a:solidFill>
                            <a:srgbClr val="FFFFFF"/>
                          </a:solidFill>
                          <a:ln w="9525">
                            <a:solidFill>
                              <a:srgbClr val="000000"/>
                            </a:solidFill>
                            <a:miter lim="800000"/>
                          </a:ln>
                          <a:effectLst/>
                        </wps:spPr>
                        <wps:txbx>
                          <w:txbxContent>
                            <w:p w14:paraId="6C7CB0E1">
                              <w:pPr>
                                <w:jc w:val="center"/>
                                <w:rPr>
                                  <w:b w:val="0"/>
                                </w:rPr>
                              </w:pPr>
                              <w:r>
                                <w:rPr>
                                  <w:rFonts w:hint="eastAsia"/>
                                  <w:b w:val="0"/>
                                </w:rPr>
                                <w:t>卸货</w:t>
                              </w:r>
                            </w:p>
                          </w:txbxContent>
                        </wps:txbx>
                        <wps:bodyPr rot="0" vert="horz" wrap="square" lIns="91440" tIns="45720" rIns="91440" bIns="45720" anchor="t" anchorCtr="0" upright="1">
                          <a:noAutofit/>
                        </wps:bodyPr>
                      </wps:wsp>
                      <wps:wsp>
                        <wps:cNvPr id="275" name="直线 26"/>
                        <wps:cNvCnPr>
                          <a:stCxn id="276" idx="1"/>
                        </wps:cNvCnPr>
                        <wps:spPr bwMode="auto">
                          <a:xfrm flipH="1">
                            <a:off x="3950898" y="882968"/>
                            <a:ext cx="439947" cy="12382"/>
                          </a:xfrm>
                          <a:prstGeom prst="line">
                            <a:avLst/>
                          </a:prstGeom>
                          <a:noFill/>
                          <a:ln w="9525">
                            <a:solidFill>
                              <a:srgbClr val="000000"/>
                            </a:solidFill>
                            <a:round/>
                            <a:tailEnd type="triangle" w="sm" len="sm"/>
                          </a:ln>
                        </wps:spPr>
                        <wps:bodyPr/>
                      </wps:wsp>
                      <wps:wsp>
                        <wps:cNvPr id="276" name="矩形 27"/>
                        <wps:cNvSpPr>
                          <a:spLocks noChangeArrowheads="1"/>
                        </wps:cNvSpPr>
                        <wps:spPr bwMode="auto">
                          <a:xfrm>
                            <a:off x="4390845" y="744855"/>
                            <a:ext cx="1221601" cy="276225"/>
                          </a:xfrm>
                          <a:prstGeom prst="rect">
                            <a:avLst/>
                          </a:prstGeom>
                          <a:solidFill>
                            <a:srgbClr val="FFFFFF"/>
                          </a:solidFill>
                          <a:ln w="9525">
                            <a:solidFill>
                              <a:srgbClr val="000000"/>
                            </a:solidFill>
                            <a:miter lim="800000"/>
                          </a:ln>
                          <a:effectLst/>
                        </wps:spPr>
                        <wps:txbx>
                          <w:txbxContent>
                            <w:p w14:paraId="2CF56014">
                              <w:pPr>
                                <w:jc w:val="center"/>
                                <w:rPr>
                                  <w:b w:val="0"/>
                                </w:rPr>
                              </w:pPr>
                              <w:r>
                                <w:rPr>
                                  <w:rFonts w:hint="eastAsia"/>
                                  <w:b w:val="0"/>
                                </w:rPr>
                                <w:t>入库</w:t>
                              </w:r>
                            </w:p>
                          </w:txbxContent>
                        </wps:txbx>
                        <wps:bodyPr rot="0" vert="horz" wrap="square" lIns="91440" tIns="45720" rIns="91440" bIns="45720" anchor="t" anchorCtr="0" upright="1">
                          <a:noAutofit/>
                        </wps:bodyPr>
                      </wps:wsp>
                      <wps:wsp>
                        <wps:cNvPr id="277" name="矩形 29"/>
                        <wps:cNvSpPr>
                          <a:spLocks noChangeArrowheads="1"/>
                        </wps:cNvSpPr>
                        <wps:spPr bwMode="auto">
                          <a:xfrm>
                            <a:off x="2199772" y="753745"/>
                            <a:ext cx="1705753" cy="276860"/>
                          </a:xfrm>
                          <a:prstGeom prst="rect">
                            <a:avLst/>
                          </a:prstGeom>
                          <a:solidFill>
                            <a:srgbClr val="FFFFFF"/>
                          </a:solidFill>
                          <a:ln w="9525">
                            <a:solidFill>
                              <a:srgbClr val="000000"/>
                            </a:solidFill>
                            <a:miter lim="800000"/>
                          </a:ln>
                          <a:effectLst/>
                        </wps:spPr>
                        <wps:txbx>
                          <w:txbxContent>
                            <w:p w14:paraId="310E6CB1">
                              <w:pPr>
                                <w:jc w:val="center"/>
                                <w:rPr>
                                  <w:b w:val="0"/>
                                </w:rPr>
                              </w:pPr>
                              <w:r>
                                <w:rPr>
                                  <w:rFonts w:hint="eastAsia"/>
                                  <w:b w:val="0"/>
                                </w:rPr>
                                <w:t>按规定码放、堆垛</w:t>
                              </w:r>
                            </w:p>
                          </w:txbxContent>
                        </wps:txbx>
                        <wps:bodyPr rot="0" vert="horz" wrap="square" lIns="91440" tIns="45720" rIns="91440" bIns="45720" anchor="t" anchorCtr="0" upright="1">
                          <a:noAutofit/>
                        </wps:bodyPr>
                      </wps:wsp>
                      <wps:wsp>
                        <wps:cNvPr id="278" name="直线 23"/>
                        <wps:cNvCnPr/>
                        <wps:spPr bwMode="auto">
                          <a:xfrm>
                            <a:off x="5033961" y="419735"/>
                            <a:ext cx="635" cy="325120"/>
                          </a:xfrm>
                          <a:prstGeom prst="line">
                            <a:avLst/>
                          </a:prstGeom>
                          <a:noFill/>
                          <a:ln w="9525">
                            <a:solidFill>
                              <a:srgbClr val="000000"/>
                            </a:solidFill>
                            <a:round/>
                            <a:tailEnd type="triangle" w="sm" len="sm"/>
                          </a:ln>
                        </wps:spPr>
                        <wps:bodyPr/>
                      </wps:wsp>
                    </wpc:wpc>
                  </a:graphicData>
                </a:graphic>
              </wp:inline>
            </w:drawing>
          </mc:Choice>
          <mc:Fallback>
            <w:pict>
              <v:group id="_x0000_s1026" o:spid="_x0000_s1026" o:spt="203" style="height:90.7pt;width:454.85pt;" coordsize="5776595,1151890" editas="canvas" o:gfxdata="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">
                <o:lock v:ext="edit" aspectratio="f"/>
                <v:shape id="_x0000_s1026" o:spid="_x0000_s1026" style="position:absolute;left:0;top:0;height:1151890;width:5776595;" filled="f" stroked="f" coordsize="21600,21600" o:gfxdata="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APADBfXAAAABQEA&#10;AA8AAAAAAAAAAQAgAAAAIgAAAGRycy9kb3ducmV2LnhtbFBLAQIUABQAAAAIAIdO4kAYHVoSVQQA&#10;AIcXAAAOAAAAAAAAAAEAIAAAACYBAABkcnMvZTJvRG9jLnhtbFBLBQYAAAAABgAGAFkBAADtBwAA&#10;AAA=&#10;">
                  <v:fill on="f" focussize="0,0"/>
                  <v:stroke on="f"/>
                  <v:imagedata o:title=""/>
                  <o:lock v:ext="edit" aspectratio="t"/>
                </v:shape>
                <v:line id="直线 21" o:spid="_x0000_s1026" o:spt="20" style="position:absolute;left:1746566;top:277495;height:635;width:427990;" filled="f" stroked="t" coordsize="21600,21600" o:gfxdata="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iYrtdYA&#10;AAAFAQAADwAAAAAAAAABACAAAAAiAAAAZHJzL2Rvd25yZXYueG1sUEsBAhQAFAAAAAgAh07iQIIw&#10;UmHoAQAAqgMAAA4AAAAAAAAAAQAgAAAAJQEAAGRycy9lMm9Eb2MueG1sUEsFBgAAAAAGAAYAWQEA&#10;AH8FAAAAAA==&#10;">
                  <v:fill on="f" focussize="0,0"/>
                  <v:stroke color="#000000" joinstyle="round" endarrow="block" endarrowwidth="narrow" endarrowlength="short"/>
                  <v:imagedata o:title=""/>
                  <o:lock v:ext="edit" aspectratio="f"/>
                </v:line>
                <v:rect id="矩形 22" o:spid="_x0000_s1026" o:spt="1" style="position:absolute;left:42861;top:144145;height:276860;width:1703705;" fillcolor="#FFFFFF" filled="t" stroked="t" coordsize="21600,21600" o:gfxdata="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agFsLUAAAABQEAAA8AAAAAAAAAAQAg&#10;AAAAIgAAAGRycy9kb3ducmV2LnhtbFBLAQIUABQAAAAIAIdO4kA2x7mGSwIAAJQEAAAOAAAAAAAA&#10;AAEAIAAAACMBAABkcnMvZTJvRG9jLnhtbFBLBQYAAAAABgAGAFkBAADgBQAAAAA=&#10;">
                  <v:fill on="t" focussize="0,0"/>
                  <v:stroke color="#000000" miterlimit="8" joinstyle="miter"/>
                  <v:imagedata o:title=""/>
                  <o:lock v:ext="edit" aspectratio="f"/>
                  <v:textbox>
                    <w:txbxContent>
                      <w:p w14:paraId="521423C5">
                        <w:pPr>
                          <w:jc w:val="center"/>
                          <w:rPr>
                            <w:b w:val="0"/>
                          </w:rPr>
                        </w:pPr>
                        <w:r>
                          <w:rPr>
                            <w:rFonts w:hint="eastAsia"/>
                            <w:b w:val="0"/>
                          </w:rPr>
                          <w:t>烟花运输车辆入库区熄火</w:t>
                        </w:r>
                      </w:p>
                    </w:txbxContent>
                  </v:textbox>
                </v:rect>
                <v:line id="直线 23" o:spid="_x0000_s1026" o:spt="20" style="position:absolute;left:3857306;top:276225;height:1270;width:426720;" filled="f" stroked="t" coordsize="21600,21600" o:gfxdata="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yJiu11gAA&#10;AAUBAAAPAAAAAAAAAAEAIAAAACIAAABkcnMvZG93bnJldi54bWxQSwECFAAUAAAACACHTuJACMpR&#10;/ucBAACrAwAADgAAAAAAAAABACAAAAAlAQAAZHJzL2Uyb0RvYy54bWxQSwUGAAAAAAYABgBZAQAA&#10;fgUAAAAA&#10;">
                  <v:fill on="f" focussize="0,0"/>
                  <v:stroke color="#000000" joinstyle="round" endarrow="block" endarrowwidth="narrow" endarrowlength="short"/>
                  <v:imagedata o:title=""/>
                  <o:lock v:ext="edit" aspectratio="f"/>
                </v:line>
                <v:rect id="矩形 24" o:spid="_x0000_s1026" o:spt="1" style="position:absolute;left:2174556;top:134620;height:276860;width:1682750;" fillcolor="#FFFFFF" filled="t" stroked="t" coordsize="21600,21600" o:gfxdata="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GoBbC1AAAAAUBAAAPAAAAAAAAAAEA&#10;IAAAACIAAABkcnMvZG93bnJldi54bWxQSwECFAAUAAAACACHTuJATgI1KkwCAACWBAAADgAAAAAA&#10;AAABACAAAAAjAQAAZHJzL2Uyb0RvYy54bWxQSwUGAAAAAAYABgBZAQAA4QUAAAAA&#10;">
                  <v:fill on="t" focussize="0,0"/>
                  <v:stroke color="#000000" miterlimit="8" joinstyle="miter"/>
                  <v:imagedata o:title=""/>
                  <o:lock v:ext="edit" aspectratio="f"/>
                  <v:textbox>
                    <w:txbxContent>
                      <w:p w14:paraId="0EC95217">
                        <w:pPr>
                          <w:jc w:val="center"/>
                          <w:rPr>
                            <w:b w:val="0"/>
                          </w:rPr>
                        </w:pPr>
                        <w:r>
                          <w:rPr>
                            <w:rFonts w:hint="eastAsia"/>
                            <w:b w:val="0"/>
                          </w:rPr>
                          <w:t>装卸人员消除人体静电</w:t>
                        </w:r>
                      </w:p>
                    </w:txbxContent>
                  </v:textbox>
                </v:rect>
                <v:rect id="矩形 25" o:spid="_x0000_s1026" o:spt="1" style="position:absolute;left:4297996;top:135255;height:276225;width:1266190;" fillcolor="#FFFFFF" filled="t" stroked="t" coordsize="21600,21600" o:gfxdata="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qAWwtQAAAAFAQAADwAAAAAAAAAB&#10;ACAAAAAiAAAAZHJzL2Rvd25yZXYueG1sUEsBAhQAFAAAAAgAh07iQPfNi5ZNAgAAlgQAAA4AAAAA&#10;AAAAAQAgAAAAIwEAAGRycy9lMm9Eb2MueG1sUEsFBgAAAAAGAAYAWQEAAOIFAAAAAA==&#10;">
                  <v:fill on="t" focussize="0,0"/>
                  <v:stroke color="#000000" miterlimit="8" joinstyle="miter"/>
                  <v:imagedata o:title=""/>
                  <o:lock v:ext="edit" aspectratio="f"/>
                  <v:textbox>
                    <w:txbxContent>
                      <w:p w14:paraId="6C7CB0E1">
                        <w:pPr>
                          <w:jc w:val="center"/>
                          <w:rPr>
                            <w:b w:val="0"/>
                          </w:rPr>
                        </w:pPr>
                        <w:r>
                          <w:rPr>
                            <w:rFonts w:hint="eastAsia"/>
                            <w:b w:val="0"/>
                          </w:rPr>
                          <w:t>卸货</w:t>
                        </w:r>
                      </w:p>
                    </w:txbxContent>
                  </v:textbox>
                </v:rect>
                <v:line id="直线 26" o:spid="_x0000_s1026" o:spt="20" style="position:absolute;left:3950898;top:882968;flip:x;height:12382;width:439947;" filled="f" stroked="t" coordsize="21600,21600" o:gfxdata="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ZQL9UAAAAFAQAADwAAAAAAAAABACAAAAAiAAAAZHJzL2Rvd25y&#10;ZXYueG1sUEsBAhQAFAAAAAgAh07iQGouBDoBAgAA3gMAAA4AAAAAAAAAAQAgAAAAJAEAAGRycy9l&#10;Mm9Eb2MueG1sUEsFBgAAAAAGAAYAWQEAAJcFAAAAAA==&#10;">
                  <v:fill on="f" focussize="0,0"/>
                  <v:stroke color="#000000" joinstyle="round" endarrow="block" endarrowwidth="narrow" endarrowlength="short"/>
                  <v:imagedata o:title=""/>
                  <o:lock v:ext="edit" aspectratio="f"/>
                </v:line>
                <v:rect id="矩形 27" o:spid="_x0000_s1026" o:spt="1" style="position:absolute;left:4390845;top:744855;height:276225;width:1221601;" fillcolor="#FFFFFF" filled="t" stroked="t" coordsize="21600,21600" o:gfxdata="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GoBbC1AAAAAUBAAAPAAAAAAAAAAEAIAAA&#10;ACIAAABkcnMvZG93bnJldi54bWxQSwECFAAUAAAACACHTuJAyaaeBEkCAACWBAAADgAAAAAAAAAB&#10;ACAAAAAjAQAAZHJzL2Uyb0RvYy54bWxQSwUGAAAAAAYABgBZAQAA3gUAAAAA&#10;">
                  <v:fill on="t" focussize="0,0"/>
                  <v:stroke color="#000000" miterlimit="8" joinstyle="miter"/>
                  <v:imagedata o:title=""/>
                  <o:lock v:ext="edit" aspectratio="f"/>
                  <v:textbox>
                    <w:txbxContent>
                      <w:p w14:paraId="2CF56014">
                        <w:pPr>
                          <w:jc w:val="center"/>
                          <w:rPr>
                            <w:b w:val="0"/>
                          </w:rPr>
                        </w:pPr>
                        <w:r>
                          <w:rPr>
                            <w:rFonts w:hint="eastAsia"/>
                            <w:b w:val="0"/>
                          </w:rPr>
                          <w:t>入库</w:t>
                        </w:r>
                      </w:p>
                    </w:txbxContent>
                  </v:textbox>
                </v:rect>
                <v:rect id="矩形 29" o:spid="_x0000_s1026" o:spt="1" style="position:absolute;left:2199772;top:753745;height:276860;width:1705753;" fillcolor="#FFFFFF" filled="t" stroked="t" coordsize="21600,21600" o:gfxdata="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qAWwtQAAAAFAQAADwAAAAAAAAAB&#10;ACAAAAAiAAAAZHJzL2Rvd25yZXYueG1sUEsBAhQAFAAAAAgAh07iQIc9Ad1NAgAAlgQAAA4AAAAA&#10;AAAAAQAgAAAAIwEAAGRycy9lMm9Eb2MueG1sUEsFBgAAAAAGAAYAWQEAAOIFAAAAAA==&#10;">
                  <v:fill on="t" focussize="0,0"/>
                  <v:stroke color="#000000" miterlimit="8" joinstyle="miter"/>
                  <v:imagedata o:title=""/>
                  <o:lock v:ext="edit" aspectratio="f"/>
                  <v:textbox>
                    <w:txbxContent>
                      <w:p w14:paraId="310E6CB1">
                        <w:pPr>
                          <w:jc w:val="center"/>
                          <w:rPr>
                            <w:b w:val="0"/>
                          </w:rPr>
                        </w:pPr>
                        <w:r>
                          <w:rPr>
                            <w:rFonts w:hint="eastAsia"/>
                            <w:b w:val="0"/>
                          </w:rPr>
                          <w:t>按规定码放、堆垛</w:t>
                        </w:r>
                      </w:p>
                    </w:txbxContent>
                  </v:textbox>
                </v:rect>
                <v:line id="直线 23" o:spid="_x0000_s1026" o:spt="20" style="position:absolute;left:5033961;top:419735;height:325120;width:635;" filled="f" stroked="t" coordsize="21600,21600" o:gfxdata="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iYrtdYA&#10;AAAFAQAADwAAAAAAAAABACAAAAAiAAAAZHJzL2Rvd25yZXYueG1sUEsBAhQAFAAAAAgAh07iQMoA&#10;GJnoAQAAqgMAAA4AAAAAAAAAAQAgAAAAJQEAAGRycy9lMm9Eb2MueG1sUEsFBgAAAAAGAAYAWQEA&#10;AH8FAAAAAA==&#10;">
                  <v:fill on="f" focussize="0,0"/>
                  <v:stroke color="#000000" joinstyle="round" endarrow="block" endarrowwidth="narrow" endarrowlength="short"/>
                  <v:imagedata o:title=""/>
                  <o:lock v:ext="edit" aspectratio="f"/>
                </v:line>
                <w10:wrap type="none"/>
                <w10:anchorlock/>
              </v:group>
            </w:pict>
          </mc:Fallback>
        </mc:AlternateContent>
      </w:r>
    </w:p>
    <w:p w14:paraId="3D8CF660">
      <w:pPr>
        <w:widowControl/>
        <w:spacing w:before="240" w:beforeLines="100" w:line="360" w:lineRule="auto"/>
        <w:ind w:firstLine="420"/>
        <w:jc w:val="center"/>
        <w:rPr>
          <w:rFonts w:ascii="黑体" w:hAnsi="黑体" w:eastAsia="黑体"/>
          <w:b w:val="0"/>
          <w:kern w:val="0"/>
          <w:sz w:val="24"/>
        </w:rPr>
      </w:pPr>
      <w:r>
        <w:rPr>
          <w:rFonts w:ascii="黑体" w:hAnsi="黑体" w:eastAsia="黑体"/>
          <w:b w:val="0"/>
          <w:kern w:val="0"/>
          <w:sz w:val="24"/>
        </w:rPr>
        <w:t>图</w:t>
      </w:r>
      <w:r>
        <w:rPr>
          <w:rFonts w:hint="eastAsia" w:ascii="黑体" w:hAnsi="黑体" w:eastAsia="黑体"/>
          <w:b w:val="0"/>
          <w:kern w:val="0"/>
          <w:sz w:val="24"/>
        </w:rPr>
        <w:t xml:space="preserve">2.4-1 </w:t>
      </w:r>
      <w:r>
        <w:rPr>
          <w:rFonts w:ascii="黑体" w:hAnsi="黑体" w:eastAsia="黑体"/>
          <w:b w:val="0"/>
          <w:kern w:val="0"/>
          <w:sz w:val="24"/>
        </w:rPr>
        <w:t>入库工艺流程图</w:t>
      </w:r>
      <w:bookmarkStart w:id="77" w:name="_Toc278054177"/>
      <w:bookmarkStart w:id="78" w:name="_Toc302204625"/>
    </w:p>
    <w:p w14:paraId="7E877595">
      <w:pPr>
        <w:rPr>
          <w:rFonts w:ascii="Times New Roman" w:hAnsi="Times New Roman"/>
          <w:b w:val="0"/>
        </w:rPr>
      </w:pPr>
      <w:r>
        <w:rPr>
          <w:rFonts w:ascii="Times New Roman" w:hAnsi="Times New Roman"/>
          <w:b w:val="0"/>
        </w:rPr>
        <mc:AlternateContent>
          <mc:Choice Requires="wpc">
            <w:drawing>
              <wp:inline distT="0" distB="0" distL="0" distR="0">
                <wp:extent cx="5496560" cy="1151890"/>
                <wp:effectExtent l="0" t="0" r="0" b="0"/>
                <wp:docPr id="269" name="画布 2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0" name="直线 21"/>
                        <wps:cNvCnPr/>
                        <wps:spPr bwMode="auto">
                          <a:xfrm>
                            <a:off x="1492860" y="277495"/>
                            <a:ext cx="427990" cy="635"/>
                          </a:xfrm>
                          <a:prstGeom prst="line">
                            <a:avLst/>
                          </a:prstGeom>
                          <a:noFill/>
                          <a:ln w="9525">
                            <a:solidFill>
                              <a:srgbClr val="000000"/>
                            </a:solidFill>
                            <a:round/>
                            <a:tailEnd type="triangle" w="sm" len="sm"/>
                          </a:ln>
                        </wps:spPr>
                        <wps:bodyPr/>
                      </wps:wsp>
                      <wps:wsp>
                        <wps:cNvPr id="261" name="矩形 22"/>
                        <wps:cNvSpPr>
                          <a:spLocks noChangeArrowheads="1"/>
                        </wps:cNvSpPr>
                        <wps:spPr bwMode="auto">
                          <a:xfrm>
                            <a:off x="59665" y="144145"/>
                            <a:ext cx="1433195" cy="276860"/>
                          </a:xfrm>
                          <a:prstGeom prst="rect">
                            <a:avLst/>
                          </a:prstGeom>
                          <a:solidFill>
                            <a:srgbClr val="FFFFFF"/>
                          </a:solidFill>
                          <a:ln w="9525">
                            <a:solidFill>
                              <a:srgbClr val="000000"/>
                            </a:solidFill>
                            <a:miter lim="800000"/>
                          </a:ln>
                          <a:effectLst/>
                        </wps:spPr>
                        <wps:txbx>
                          <w:txbxContent>
                            <w:p w14:paraId="5050FE62">
                              <w:pPr>
                                <w:jc w:val="center"/>
                                <w:rPr>
                                  <w:b w:val="0"/>
                                </w:rPr>
                              </w:pPr>
                              <w:r>
                                <w:rPr>
                                  <w:rFonts w:hint="eastAsia"/>
                                  <w:b w:val="0"/>
                                </w:rPr>
                                <w:t>烟花库房</w:t>
                              </w:r>
                            </w:p>
                          </w:txbxContent>
                        </wps:txbx>
                        <wps:bodyPr rot="0" vert="horz" wrap="square" lIns="91440" tIns="45720" rIns="91440" bIns="45720" anchor="t" anchorCtr="0" upright="1">
                          <a:noAutofit/>
                        </wps:bodyPr>
                      </wps:wsp>
                      <wps:wsp>
                        <wps:cNvPr id="262" name="直线 23"/>
                        <wps:cNvCnPr/>
                        <wps:spPr bwMode="auto">
                          <a:xfrm>
                            <a:off x="3597250" y="276225"/>
                            <a:ext cx="426720" cy="1270"/>
                          </a:xfrm>
                          <a:prstGeom prst="line">
                            <a:avLst/>
                          </a:prstGeom>
                          <a:noFill/>
                          <a:ln w="9525">
                            <a:solidFill>
                              <a:srgbClr val="000000"/>
                            </a:solidFill>
                            <a:round/>
                            <a:tailEnd type="triangle" w="sm" len="sm"/>
                          </a:ln>
                        </wps:spPr>
                        <wps:bodyPr/>
                      </wps:wsp>
                      <wps:wsp>
                        <wps:cNvPr id="263" name="矩形 24"/>
                        <wps:cNvSpPr>
                          <a:spLocks noChangeArrowheads="1"/>
                        </wps:cNvSpPr>
                        <wps:spPr bwMode="auto">
                          <a:xfrm>
                            <a:off x="1920850" y="134620"/>
                            <a:ext cx="1682750" cy="276860"/>
                          </a:xfrm>
                          <a:prstGeom prst="rect">
                            <a:avLst/>
                          </a:prstGeom>
                          <a:solidFill>
                            <a:srgbClr val="FFFFFF"/>
                          </a:solidFill>
                          <a:ln w="9525">
                            <a:solidFill>
                              <a:srgbClr val="000000"/>
                            </a:solidFill>
                            <a:miter lim="800000"/>
                          </a:ln>
                          <a:effectLst/>
                        </wps:spPr>
                        <wps:txbx>
                          <w:txbxContent>
                            <w:p w14:paraId="0B20FEA5">
                              <w:pPr>
                                <w:jc w:val="center"/>
                                <w:rPr>
                                  <w:b w:val="0"/>
                                </w:rPr>
                              </w:pPr>
                              <w:r>
                                <w:rPr>
                                  <w:rFonts w:hint="eastAsia"/>
                                  <w:b w:val="0"/>
                                </w:rPr>
                                <w:t>装卸人员消除人体静电</w:t>
                              </w:r>
                            </w:p>
                          </w:txbxContent>
                        </wps:txbx>
                        <wps:bodyPr rot="0" vert="horz" wrap="square" lIns="91440" tIns="45720" rIns="91440" bIns="45720" anchor="t" anchorCtr="0" upright="1">
                          <a:noAutofit/>
                        </wps:bodyPr>
                      </wps:wsp>
                      <wps:wsp>
                        <wps:cNvPr id="264" name="矩形 25"/>
                        <wps:cNvSpPr>
                          <a:spLocks noChangeArrowheads="1"/>
                        </wps:cNvSpPr>
                        <wps:spPr bwMode="auto">
                          <a:xfrm>
                            <a:off x="4030320" y="135255"/>
                            <a:ext cx="1280160" cy="276225"/>
                          </a:xfrm>
                          <a:prstGeom prst="rect">
                            <a:avLst/>
                          </a:prstGeom>
                          <a:solidFill>
                            <a:srgbClr val="FFFFFF"/>
                          </a:solidFill>
                          <a:ln w="9525">
                            <a:solidFill>
                              <a:srgbClr val="000000"/>
                            </a:solidFill>
                            <a:miter lim="800000"/>
                          </a:ln>
                          <a:effectLst/>
                        </wps:spPr>
                        <wps:txbx>
                          <w:txbxContent>
                            <w:p w14:paraId="262B9B99">
                              <w:pPr>
                                <w:jc w:val="center"/>
                                <w:rPr>
                                  <w:b w:val="0"/>
                                </w:rPr>
                              </w:pPr>
                              <w:r>
                                <w:rPr>
                                  <w:rFonts w:hint="eastAsia"/>
                                  <w:b w:val="0"/>
                                </w:rPr>
                                <w:t>烟花产品装车</w:t>
                              </w:r>
                            </w:p>
                          </w:txbxContent>
                        </wps:txbx>
                        <wps:bodyPr rot="0" vert="horz" wrap="square" lIns="91440" tIns="45720" rIns="91440" bIns="45720" anchor="t" anchorCtr="0" upright="1">
                          <a:noAutofit/>
                        </wps:bodyPr>
                      </wps:wsp>
                      <wps:wsp>
                        <wps:cNvPr id="265" name="直线 26"/>
                        <wps:cNvCnPr/>
                        <wps:spPr bwMode="auto">
                          <a:xfrm flipH="1">
                            <a:off x="3713298" y="893553"/>
                            <a:ext cx="447675" cy="635"/>
                          </a:xfrm>
                          <a:prstGeom prst="line">
                            <a:avLst/>
                          </a:prstGeom>
                          <a:noFill/>
                          <a:ln w="9525">
                            <a:solidFill>
                              <a:srgbClr val="000000"/>
                            </a:solidFill>
                            <a:round/>
                            <a:tailEnd type="triangle" w="sm" len="sm"/>
                          </a:ln>
                        </wps:spPr>
                        <wps:bodyPr/>
                      </wps:wsp>
                      <wps:wsp>
                        <wps:cNvPr id="266" name="矩形 27"/>
                        <wps:cNvSpPr>
                          <a:spLocks noChangeArrowheads="1"/>
                        </wps:cNvSpPr>
                        <wps:spPr bwMode="auto">
                          <a:xfrm>
                            <a:off x="4160973" y="751205"/>
                            <a:ext cx="1196031" cy="276225"/>
                          </a:xfrm>
                          <a:prstGeom prst="rect">
                            <a:avLst/>
                          </a:prstGeom>
                          <a:solidFill>
                            <a:srgbClr val="FFFFFF"/>
                          </a:solidFill>
                          <a:ln w="9525">
                            <a:solidFill>
                              <a:srgbClr val="000000"/>
                            </a:solidFill>
                            <a:miter lim="800000"/>
                          </a:ln>
                          <a:effectLst/>
                        </wps:spPr>
                        <wps:txbx>
                          <w:txbxContent>
                            <w:p w14:paraId="1EF131E1">
                              <w:pPr>
                                <w:jc w:val="center"/>
                                <w:rPr>
                                  <w:b w:val="0"/>
                                </w:rPr>
                              </w:pPr>
                              <w:r>
                                <w:rPr>
                                  <w:rFonts w:hint="eastAsia"/>
                                  <w:b w:val="0"/>
                                </w:rPr>
                                <w:t>烟花产品运输</w:t>
                              </w:r>
                            </w:p>
                          </w:txbxContent>
                        </wps:txbx>
                        <wps:bodyPr rot="0" vert="horz" wrap="square" lIns="91440" tIns="45720" rIns="91440" bIns="45720" anchor="t" anchorCtr="0" upright="1">
                          <a:noAutofit/>
                        </wps:bodyPr>
                      </wps:wsp>
                      <wps:wsp>
                        <wps:cNvPr id="267" name="矩形 29"/>
                        <wps:cNvSpPr>
                          <a:spLocks noChangeArrowheads="1"/>
                        </wps:cNvSpPr>
                        <wps:spPr bwMode="auto">
                          <a:xfrm>
                            <a:off x="1920850" y="744855"/>
                            <a:ext cx="1792448" cy="276860"/>
                          </a:xfrm>
                          <a:prstGeom prst="rect">
                            <a:avLst/>
                          </a:prstGeom>
                          <a:solidFill>
                            <a:srgbClr val="FFFFFF"/>
                          </a:solidFill>
                          <a:ln w="9525">
                            <a:solidFill>
                              <a:srgbClr val="000000"/>
                            </a:solidFill>
                            <a:miter lim="800000"/>
                          </a:ln>
                          <a:effectLst/>
                        </wps:spPr>
                        <wps:txbx>
                          <w:txbxContent>
                            <w:p w14:paraId="4F3CC12D">
                              <w:pPr>
                                <w:jc w:val="center"/>
                                <w:rPr>
                                  <w:b w:val="0"/>
                                </w:rPr>
                              </w:pPr>
                              <w:r>
                                <w:rPr>
                                  <w:rFonts w:hint="eastAsia"/>
                                  <w:b w:val="0"/>
                                </w:rPr>
                                <w:t>送至零售经营点</w:t>
                              </w:r>
                            </w:p>
                          </w:txbxContent>
                        </wps:txbx>
                        <wps:bodyPr rot="0" vert="horz" wrap="square" lIns="91440" tIns="45720" rIns="91440" bIns="45720" anchor="t" anchorCtr="0" upright="1">
                          <a:noAutofit/>
                        </wps:bodyPr>
                      </wps:wsp>
                      <wps:wsp>
                        <wps:cNvPr id="268" name="直线 23"/>
                        <wps:cNvCnPr/>
                        <wps:spPr bwMode="auto">
                          <a:xfrm>
                            <a:off x="4653255" y="419735"/>
                            <a:ext cx="635" cy="325120"/>
                          </a:xfrm>
                          <a:prstGeom prst="line">
                            <a:avLst/>
                          </a:prstGeom>
                          <a:noFill/>
                          <a:ln w="9525">
                            <a:solidFill>
                              <a:srgbClr val="000000"/>
                            </a:solidFill>
                            <a:round/>
                            <a:tailEnd type="triangle" w="sm" len="sm"/>
                          </a:ln>
                        </wps:spPr>
                        <wps:bodyPr/>
                      </wps:wsp>
                    </wpc:wpc>
                  </a:graphicData>
                </a:graphic>
              </wp:inline>
            </w:drawing>
          </mc:Choice>
          <mc:Fallback>
            <w:pict>
              <v:group id="_x0000_s1026" o:spid="_x0000_s1026" o:spt="203" style="height:90.7pt;width:432.8pt;" coordsize="5496560,1151890" editas="canvas" o:gfxdata="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jDiuaNYAAAAFAQAADwAAAAAAAAABACAAAAAiAAAAZHJzL2Rv&#10;d25yZXYueG1sUEsBAhQAFAAAAAgAh07iQB1S4692BAAA5BcAAA4AAAAAAAAAAQAgAAAAJQEAAGRy&#10;cy9lMm9Eb2MueG1sUEsFBgAAAAAGAAYAWQEAAA0IAAAAAA==&#10;">
                <o:lock v:ext="edit" aspectratio="f"/>
                <v:shape id="_x0000_s1026" o:spid="_x0000_s1026" style="position:absolute;left:0;top:0;height:1151890;width:5496560;" filled="f" stroked="f" coordsize="21600,21600" o:gfxdata="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">
                  <v:fill on="f" focussize="0,0"/>
                  <v:stroke on="f"/>
                  <v:imagedata o:title=""/>
                  <o:lock v:ext="edit" aspectratio="t"/>
                </v:shape>
                <v:line id="直线 21" o:spid="_x0000_s1026" o:spt="20" style="position:absolute;left:1492860;top:277495;height:635;width:427990;" filled="f" stroked="t" coordsize="21600,21600" o:gfxdata="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93onK1gAA&#10;AAUBAAAPAAAAAAAAAAEAIAAAACIAAABkcnMvZG93bnJldi54bWxQSwECFAAUAAAACACHTuJAYQKn&#10;S+cBAACqAwAADgAAAAAAAAABACAAAAAlAQAAZHJzL2Uyb0RvYy54bWxQSwUGAAAAAAYABgBZAQAA&#10;fgUAAAAA&#10;">
                  <v:fill on="f" focussize="0,0"/>
                  <v:stroke color="#000000" joinstyle="round" endarrow="block" endarrowwidth="narrow" endarrowlength="short"/>
                  <v:imagedata o:title=""/>
                  <o:lock v:ext="edit" aspectratio="f"/>
                </v:line>
                <v:rect id="矩形 22" o:spid="_x0000_s1026" o:spt="1" style="position:absolute;left:59665;top:144145;height:276860;width:1433195;" fillcolor="#FFFFFF" filled="t" stroked="t" coordsize="21600,21600" o:gfxdata="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lYtL3UAAAABQEAAA8AAAAAAAAAAQAg&#10;AAAAIgAAAGRycy9kb3ducmV2LnhtbFBLAQIUABQAAAAIAIdO4kCJ7OdrSwIAAJQEAAAOAAAAAAAA&#10;AAEAIAAAACMBAABkcnMvZTJvRG9jLnhtbFBLBQYAAAAABgAGAFkBAADgBQAAAAA=&#10;">
                  <v:fill on="t" focussize="0,0"/>
                  <v:stroke color="#000000" miterlimit="8" joinstyle="miter"/>
                  <v:imagedata o:title=""/>
                  <o:lock v:ext="edit" aspectratio="f"/>
                  <v:textbox>
                    <w:txbxContent>
                      <w:p w14:paraId="5050FE62">
                        <w:pPr>
                          <w:jc w:val="center"/>
                          <w:rPr>
                            <w:b w:val="0"/>
                          </w:rPr>
                        </w:pPr>
                        <w:r>
                          <w:rPr>
                            <w:rFonts w:hint="eastAsia"/>
                            <w:b w:val="0"/>
                          </w:rPr>
                          <w:t>烟花库房</w:t>
                        </w:r>
                      </w:p>
                    </w:txbxContent>
                  </v:textbox>
                </v:rect>
                <v:line id="直线 23" o:spid="_x0000_s1026" o:spt="20" style="position:absolute;left:3597250;top:276225;height:1270;width:426720;" filled="f" stroked="t" coordsize="21600,21600" o:gfxdata="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6JytYA&#10;AAAFAQAADwAAAAAAAAABACAAAAAiAAAAZHJzL2Rvd25yZXYueG1sUEsBAhQAFAAAAAgAh07iQP0r&#10;RLjoAQAAqwMAAA4AAAAAAAAAAQAgAAAAJQEAAGRycy9lMm9Eb2MueG1sUEsFBgAAAAAGAAYAWQEA&#10;AH8FAAAAAA==&#10;">
                  <v:fill on="f" focussize="0,0"/>
                  <v:stroke color="#000000" joinstyle="round" endarrow="block" endarrowwidth="narrow" endarrowlength="short"/>
                  <v:imagedata o:title=""/>
                  <o:lock v:ext="edit" aspectratio="f"/>
                </v:line>
                <v:rect id="矩形 24" o:spid="_x0000_s1026" o:spt="1" style="position:absolute;left:1920850;top:134620;height:276860;width:1682750;" fillcolor="#FFFFFF" filled="t" stroked="t" coordsize="21600,21600" o:gfxdata="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JWLS91AAAAAUBAAAPAAAAAAAAAAEAIAAA&#10;ACIAAABkcnMvZG93bnJldi54bWxQSwECFAAUAAAACACHTuJARSu3CkkCAACWBAAADgAAAAAAAAAB&#10;ACAAAAAjAQAAZHJzL2Uyb0RvYy54bWxQSwUGAAAAAAYABgBZAQAA3gUAAAAA&#10;">
                  <v:fill on="t" focussize="0,0"/>
                  <v:stroke color="#000000" miterlimit="8" joinstyle="miter"/>
                  <v:imagedata o:title=""/>
                  <o:lock v:ext="edit" aspectratio="f"/>
                  <v:textbox>
                    <w:txbxContent>
                      <w:p w14:paraId="0B20FEA5">
                        <w:pPr>
                          <w:jc w:val="center"/>
                          <w:rPr>
                            <w:b w:val="0"/>
                          </w:rPr>
                        </w:pPr>
                        <w:r>
                          <w:rPr>
                            <w:rFonts w:hint="eastAsia"/>
                            <w:b w:val="0"/>
                          </w:rPr>
                          <w:t>装卸人员消除人体静电</w:t>
                        </w:r>
                      </w:p>
                    </w:txbxContent>
                  </v:textbox>
                </v:rect>
                <v:rect id="矩形 25" o:spid="_x0000_s1026" o:spt="1" style="position:absolute;left:4030320;top:135255;height:276225;width:1280160;" fillcolor="#FFFFFF" filled="t" stroked="t" coordsize="21600,21600" o:gfxdata="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lYtL3UAAAABQEAAA8AAAAAAAAAAQAg&#10;AAAAIgAAAGRycy9kb3ducmV2LnhtbFBLAQIUABQAAAAIAIdO4kBHXr7XSwIAAJYEAAAOAAAAAAAA&#10;AAEAIAAAACMBAABkcnMvZTJvRG9jLnhtbFBLBQYAAAAABgAGAFkBAADgBQAAAAA=&#10;">
                  <v:fill on="t" focussize="0,0"/>
                  <v:stroke color="#000000" miterlimit="8" joinstyle="miter"/>
                  <v:imagedata o:title=""/>
                  <o:lock v:ext="edit" aspectratio="f"/>
                  <v:textbox>
                    <w:txbxContent>
                      <w:p w14:paraId="262B9B99">
                        <w:pPr>
                          <w:jc w:val="center"/>
                          <w:rPr>
                            <w:b w:val="0"/>
                          </w:rPr>
                        </w:pPr>
                        <w:r>
                          <w:rPr>
                            <w:rFonts w:hint="eastAsia"/>
                            <w:b w:val="0"/>
                          </w:rPr>
                          <w:t>烟花产品装车</w:t>
                        </w:r>
                      </w:p>
                    </w:txbxContent>
                  </v:textbox>
                </v:rect>
                <v:line id="直线 26" o:spid="_x0000_s1026" o:spt="20" style="position:absolute;left:3713298;top:893553;flip:x;height:635;width:447675;" filled="f" stroked="t" coordsize="21600,21600" o:gfxdata="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33vJQ1gAAAAUBAAAPAAAAAAAAAAEAIAAAACIAAABkcnMvZG93bnJldi54bWxQSwECFAAUAAAA&#10;CACHTuJAu5XaRfABAAC0AwAADgAAAAAAAAABACAAAAAlAQAAZHJzL2Uyb0RvYy54bWxQSwUGAAAA&#10;AAYABgBZAQAAhwUAAAAA&#10;">
                  <v:fill on="f" focussize="0,0"/>
                  <v:stroke color="#000000" joinstyle="round" endarrow="block" endarrowwidth="narrow" endarrowlength="short"/>
                  <v:imagedata o:title=""/>
                  <o:lock v:ext="edit" aspectratio="f"/>
                </v:line>
                <v:rect id="矩形 27" o:spid="_x0000_s1026" o:spt="1" style="position:absolute;left:4160973;top:751205;height:276225;width:1196031;" fillcolor="#FFFFFF" filled="t" stroked="t" coordsize="21600,21600" o:gfxdata="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JWLS91AAAAAUBAAAPAAAAAAAAAAEAIAAA&#10;ACIAAABkcnMvZG93bnJldi54bWxQSwECFAAUAAAACACHTuJALnLE80kCAACWBAAADgAAAAAAAAAB&#10;ACAAAAAjAQAAZHJzL2Uyb0RvYy54bWxQSwUGAAAAAAYABgBZAQAA3gUAAAAA&#10;">
                  <v:fill on="t" focussize="0,0"/>
                  <v:stroke color="#000000" miterlimit="8" joinstyle="miter"/>
                  <v:imagedata o:title=""/>
                  <o:lock v:ext="edit" aspectratio="f"/>
                  <v:textbox>
                    <w:txbxContent>
                      <w:p w14:paraId="1EF131E1">
                        <w:pPr>
                          <w:jc w:val="center"/>
                          <w:rPr>
                            <w:b w:val="0"/>
                          </w:rPr>
                        </w:pPr>
                        <w:r>
                          <w:rPr>
                            <w:rFonts w:hint="eastAsia"/>
                            <w:b w:val="0"/>
                          </w:rPr>
                          <w:t>烟花产品运输</w:t>
                        </w:r>
                      </w:p>
                    </w:txbxContent>
                  </v:textbox>
                </v:rect>
                <v:rect id="矩形 29" o:spid="_x0000_s1026" o:spt="1" style="position:absolute;left:1920850;top:744855;height:276860;width:1792448;" fillcolor="#FFFFFF" filled="t" stroked="t" coordsize="21600,21600" o:gfxdata="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lYtL3UAAAABQEAAA8AAAAAAAAAAQAg&#10;AAAAIgAAAGRycy9kb3ducmV2LnhtbFBLAQIUABQAAAAIAIdO4kALjsP9SwIAAJYEAAAOAAAAAAAA&#10;AAEAIAAAACMBAABkcnMvZTJvRG9jLnhtbFBLBQYAAAAABgAGAFkBAADgBQAAAAA=&#10;">
                  <v:fill on="t" focussize="0,0"/>
                  <v:stroke color="#000000" miterlimit="8" joinstyle="miter"/>
                  <v:imagedata o:title=""/>
                  <o:lock v:ext="edit" aspectratio="f"/>
                  <v:textbox>
                    <w:txbxContent>
                      <w:p w14:paraId="4F3CC12D">
                        <w:pPr>
                          <w:jc w:val="center"/>
                          <w:rPr>
                            <w:b w:val="0"/>
                          </w:rPr>
                        </w:pPr>
                        <w:r>
                          <w:rPr>
                            <w:rFonts w:hint="eastAsia"/>
                            <w:b w:val="0"/>
                          </w:rPr>
                          <w:t>送至零售经营点</w:t>
                        </w:r>
                      </w:p>
                    </w:txbxContent>
                  </v:textbox>
                </v:rect>
                <v:line id="直线 23" o:spid="_x0000_s1026" o:spt="20" style="position:absolute;left:4653255;top:419735;height:325120;width:635;" filled="f" stroked="t" coordsize="21600,21600" o:gfxdata="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3eicrWAAAA&#10;BQEAAA8AAAAAAAAAAQAgAAAAIgAAAGRycy9kb3ducmV2LnhtbFBLAQIUABQAAAAIAIdO4kB7qYdk&#10;5gEAAKoDAAAOAAAAAAAAAAEAIAAAACUBAABkcnMvZTJvRG9jLnhtbFBLBQYAAAAABgAGAFkBAAB9&#10;BQAAAAA=&#10;">
                  <v:fill on="f" focussize="0,0"/>
                  <v:stroke color="#000000" joinstyle="round" endarrow="block" endarrowwidth="narrow" endarrowlength="short"/>
                  <v:imagedata o:title=""/>
                  <o:lock v:ext="edit" aspectratio="f"/>
                </v:line>
                <w10:wrap type="none"/>
                <w10:anchorlock/>
              </v:group>
            </w:pict>
          </mc:Fallback>
        </mc:AlternateContent>
      </w:r>
    </w:p>
    <w:p w14:paraId="5AE4026E">
      <w:pPr>
        <w:widowControl/>
        <w:spacing w:before="240" w:beforeLines="100" w:line="360" w:lineRule="auto"/>
        <w:ind w:firstLine="420"/>
        <w:jc w:val="center"/>
        <w:rPr>
          <w:rFonts w:ascii="黑体" w:hAnsi="黑体" w:eastAsia="黑体"/>
          <w:b w:val="0"/>
          <w:kern w:val="0"/>
          <w:sz w:val="24"/>
        </w:rPr>
      </w:pPr>
      <w:r>
        <w:rPr>
          <w:rFonts w:ascii="黑体" w:hAnsi="黑体" w:eastAsia="黑体"/>
          <w:b w:val="0"/>
          <w:kern w:val="0"/>
          <w:sz w:val="24"/>
        </w:rPr>
        <w:t>图</w:t>
      </w:r>
      <w:r>
        <w:rPr>
          <w:rFonts w:hint="eastAsia" w:ascii="黑体" w:hAnsi="黑体" w:eastAsia="黑体"/>
          <w:b w:val="0"/>
          <w:kern w:val="0"/>
          <w:sz w:val="24"/>
        </w:rPr>
        <w:t>2.4-2 出库配送</w:t>
      </w:r>
      <w:r>
        <w:rPr>
          <w:rFonts w:ascii="黑体" w:hAnsi="黑体" w:eastAsia="黑体"/>
          <w:b w:val="0"/>
          <w:kern w:val="0"/>
          <w:sz w:val="24"/>
        </w:rPr>
        <w:t>工艺流程图</w:t>
      </w:r>
    </w:p>
    <w:p w14:paraId="1E630FB1">
      <w:pPr>
        <w:pStyle w:val="6"/>
        <w:rPr>
          <w:rFonts w:ascii="黑体" w:hAnsi="宋体" w:eastAsia="黑体"/>
          <w:b w:val="0"/>
          <w:bCs w:val="0"/>
          <w:snapToGrid w:val="0"/>
          <w:sz w:val="30"/>
          <w:szCs w:val="30"/>
        </w:rPr>
      </w:pPr>
      <w:bookmarkStart w:id="79" w:name="_Toc165038776"/>
      <w:r>
        <w:rPr>
          <w:rFonts w:hint="eastAsia" w:ascii="黑体" w:hAnsi="宋体" w:eastAsia="黑体"/>
          <w:b w:val="0"/>
          <w:bCs w:val="0"/>
          <w:snapToGrid w:val="0"/>
          <w:sz w:val="30"/>
          <w:szCs w:val="30"/>
        </w:rPr>
        <w:t>2.4.2</w:t>
      </w:r>
      <w:bookmarkEnd w:id="77"/>
      <w:bookmarkEnd w:id="78"/>
      <w:r>
        <w:rPr>
          <w:rFonts w:hint="eastAsia" w:ascii="黑体" w:hAnsi="宋体" w:eastAsia="黑体"/>
          <w:b w:val="0"/>
          <w:bCs w:val="0"/>
          <w:snapToGrid w:val="0"/>
          <w:sz w:val="30"/>
          <w:szCs w:val="30"/>
        </w:rPr>
        <w:t>储存位置及方式</w:t>
      </w:r>
      <w:bookmarkEnd w:id="79"/>
    </w:p>
    <w:p w14:paraId="39C68C6A">
      <w:pPr>
        <w:widowControl/>
        <w:ind w:firstLine="420"/>
        <w:jc w:val="center"/>
        <w:rPr>
          <w:rFonts w:ascii="黑体" w:hAnsi="黑体" w:eastAsia="黑体"/>
          <w:b w:val="0"/>
          <w:kern w:val="0"/>
          <w:sz w:val="24"/>
        </w:rPr>
      </w:pPr>
      <w:r>
        <w:rPr>
          <w:rFonts w:hint="eastAsia" w:ascii="黑体" w:hAnsi="黑体" w:eastAsia="黑体"/>
          <w:b w:val="0"/>
          <w:kern w:val="0"/>
          <w:sz w:val="24"/>
        </w:rPr>
        <w:t>表2.4</w:t>
      </w:r>
      <w:r>
        <w:rPr>
          <w:rFonts w:ascii="黑体" w:hAnsi="黑体" w:eastAsia="黑体"/>
          <w:b w:val="0"/>
          <w:kern w:val="0"/>
          <w:sz w:val="24"/>
        </w:rPr>
        <w:t>.</w:t>
      </w:r>
      <w:r>
        <w:rPr>
          <w:rFonts w:hint="eastAsia" w:ascii="黑体" w:hAnsi="黑体" w:eastAsia="黑体"/>
          <w:b w:val="0"/>
          <w:kern w:val="0"/>
          <w:sz w:val="24"/>
        </w:rPr>
        <w:t>2    成品储存一览表</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2730"/>
        <w:gridCol w:w="5145"/>
      </w:tblGrid>
      <w:tr w14:paraId="0F0B7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3" w:type="dxa"/>
            <w:vAlign w:val="center"/>
          </w:tcPr>
          <w:p w14:paraId="0B0333BF">
            <w:pPr>
              <w:widowControl/>
              <w:spacing w:line="288" w:lineRule="auto"/>
              <w:jc w:val="center"/>
              <w:rPr>
                <w:rFonts w:ascii="宋体" w:hAnsi="宋体"/>
                <w:bCs/>
                <w:szCs w:val="20"/>
              </w:rPr>
            </w:pPr>
            <w:r>
              <w:rPr>
                <w:rFonts w:hint="eastAsia" w:ascii="宋体" w:hAnsi="宋体"/>
                <w:bCs/>
                <w:szCs w:val="20"/>
              </w:rPr>
              <w:t>序号</w:t>
            </w:r>
          </w:p>
        </w:tc>
        <w:tc>
          <w:tcPr>
            <w:tcW w:w="2730" w:type="dxa"/>
            <w:vAlign w:val="center"/>
          </w:tcPr>
          <w:p w14:paraId="15C2A2BD">
            <w:pPr>
              <w:widowControl/>
              <w:spacing w:line="288" w:lineRule="auto"/>
              <w:jc w:val="center"/>
              <w:rPr>
                <w:rFonts w:ascii="宋体" w:hAnsi="宋体"/>
                <w:bCs/>
                <w:szCs w:val="20"/>
              </w:rPr>
            </w:pPr>
            <w:r>
              <w:rPr>
                <w:rFonts w:hint="eastAsia" w:ascii="宋体" w:hAnsi="宋体"/>
                <w:bCs/>
                <w:szCs w:val="20"/>
              </w:rPr>
              <w:t>储存位置</w:t>
            </w:r>
          </w:p>
        </w:tc>
        <w:tc>
          <w:tcPr>
            <w:tcW w:w="5145" w:type="dxa"/>
            <w:vAlign w:val="center"/>
          </w:tcPr>
          <w:p w14:paraId="7E5CE325">
            <w:pPr>
              <w:widowControl/>
              <w:spacing w:line="288" w:lineRule="auto"/>
              <w:jc w:val="center"/>
              <w:rPr>
                <w:rFonts w:ascii="宋体" w:hAnsi="宋体"/>
                <w:bCs/>
                <w:szCs w:val="20"/>
              </w:rPr>
            </w:pPr>
            <w:r>
              <w:rPr>
                <w:rFonts w:hint="eastAsia" w:ascii="宋体" w:hAnsi="宋体"/>
                <w:bCs/>
                <w:szCs w:val="20"/>
              </w:rPr>
              <w:t>储存方式</w:t>
            </w:r>
          </w:p>
        </w:tc>
      </w:tr>
      <w:tr w14:paraId="05C5A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3" w:type="dxa"/>
            <w:vAlign w:val="center"/>
          </w:tcPr>
          <w:p w14:paraId="3D99D129">
            <w:pPr>
              <w:widowControl/>
              <w:spacing w:line="288" w:lineRule="auto"/>
              <w:jc w:val="center"/>
              <w:rPr>
                <w:rFonts w:ascii="宋体" w:hAnsi="宋体"/>
                <w:b w:val="0"/>
                <w:szCs w:val="20"/>
              </w:rPr>
            </w:pPr>
            <w:r>
              <w:rPr>
                <w:rFonts w:hint="eastAsia" w:ascii="宋体" w:hAnsi="宋体"/>
                <w:b w:val="0"/>
                <w:szCs w:val="20"/>
              </w:rPr>
              <w:t>1</w:t>
            </w:r>
          </w:p>
        </w:tc>
        <w:tc>
          <w:tcPr>
            <w:tcW w:w="2730" w:type="dxa"/>
            <w:vAlign w:val="center"/>
          </w:tcPr>
          <w:p w14:paraId="47A6DE43">
            <w:pPr>
              <w:widowControl/>
              <w:spacing w:line="288" w:lineRule="auto"/>
              <w:jc w:val="center"/>
              <w:rPr>
                <w:rFonts w:ascii="宋体" w:hAnsi="宋体"/>
                <w:b w:val="0"/>
                <w:szCs w:val="20"/>
              </w:rPr>
            </w:pPr>
            <w:r>
              <w:rPr>
                <w:rFonts w:hint="eastAsia" w:ascii="宋体" w:hAnsi="宋体"/>
                <w:b w:val="0"/>
                <w:szCs w:val="20"/>
              </w:rPr>
              <w:t>烟花爆竹仓库</w:t>
            </w:r>
          </w:p>
        </w:tc>
        <w:tc>
          <w:tcPr>
            <w:tcW w:w="5145" w:type="dxa"/>
            <w:vAlign w:val="center"/>
          </w:tcPr>
          <w:p w14:paraId="178D0BF1">
            <w:pPr>
              <w:overflowPunct w:val="0"/>
              <w:adjustRightInd w:val="0"/>
              <w:textAlignment w:val="baseline"/>
              <w:rPr>
                <w:rFonts w:ascii="Times New Roman" w:hAnsi="Times New Roman"/>
                <w:b w:val="0"/>
                <w:snapToGrid w:val="0"/>
                <w:kern w:val="0"/>
                <w:szCs w:val="20"/>
              </w:rPr>
            </w:pPr>
            <w:r>
              <w:rPr>
                <w:rFonts w:asciiTheme="minorEastAsia" w:hAnsiTheme="minorEastAsia" w:eastAsiaTheme="minorEastAsia"/>
                <w:b w:val="0"/>
                <w:bCs/>
                <w:szCs w:val="20"/>
              </w:rPr>
              <w:t>应储入通风防潮</w:t>
            </w:r>
            <w:r>
              <w:rPr>
                <w:rFonts w:hint="eastAsia" w:asciiTheme="minorEastAsia" w:hAnsiTheme="minorEastAsia" w:eastAsiaTheme="minorEastAsia"/>
                <w:b w:val="0"/>
                <w:bCs/>
                <w:szCs w:val="20"/>
              </w:rPr>
              <w:t>防漏</w:t>
            </w:r>
            <w:r>
              <w:rPr>
                <w:rFonts w:asciiTheme="minorEastAsia" w:hAnsiTheme="minorEastAsia" w:eastAsiaTheme="minorEastAsia"/>
                <w:b w:val="0"/>
                <w:bCs/>
                <w:szCs w:val="20"/>
              </w:rPr>
              <w:t>仓库</w:t>
            </w:r>
            <w:r>
              <w:rPr>
                <w:rFonts w:hint="eastAsia" w:asciiTheme="minorEastAsia" w:hAnsiTheme="minorEastAsia" w:eastAsiaTheme="minorEastAsia"/>
                <w:b w:val="0"/>
                <w:bCs/>
                <w:szCs w:val="20"/>
              </w:rPr>
              <w:t>内：仓库内应保持卫生整洁，通道畅通，物品摆放整齐、平码堆放；堆垛与库墙之间宜留有大于或等于0</w:t>
            </w:r>
            <w:r>
              <w:rPr>
                <w:rFonts w:asciiTheme="minorEastAsia" w:hAnsiTheme="minorEastAsia" w:eastAsiaTheme="minorEastAsia"/>
                <w:b w:val="0"/>
                <w:bCs/>
                <w:szCs w:val="20"/>
              </w:rPr>
              <w:t>.45m</w:t>
            </w:r>
            <w:r>
              <w:rPr>
                <w:rFonts w:hint="eastAsia" w:asciiTheme="minorEastAsia" w:hAnsiTheme="minorEastAsia" w:eastAsiaTheme="minorEastAsia"/>
                <w:b w:val="0"/>
                <w:bCs/>
                <w:szCs w:val="20"/>
              </w:rPr>
              <w:t>的通风巷，堆垛与堆垛之间应留有大于或等于0</w:t>
            </w:r>
            <w:r>
              <w:rPr>
                <w:rFonts w:asciiTheme="minorEastAsia" w:hAnsiTheme="minorEastAsia" w:eastAsiaTheme="minorEastAsia"/>
                <w:b w:val="0"/>
                <w:bCs/>
                <w:szCs w:val="20"/>
              </w:rPr>
              <w:t>.7m</w:t>
            </w:r>
            <w:r>
              <w:rPr>
                <w:rFonts w:hint="eastAsia" w:asciiTheme="minorEastAsia" w:hAnsiTheme="minorEastAsia" w:eastAsiaTheme="minorEastAsia"/>
                <w:b w:val="0"/>
                <w:bCs/>
                <w:szCs w:val="20"/>
              </w:rPr>
              <w:t>的检查通道，通往安全出口的主通道宽度应大于或等于1</w:t>
            </w:r>
            <w:r>
              <w:rPr>
                <w:rFonts w:asciiTheme="minorEastAsia" w:hAnsiTheme="minorEastAsia" w:eastAsiaTheme="minorEastAsia"/>
                <w:b w:val="0"/>
                <w:bCs/>
                <w:szCs w:val="20"/>
              </w:rPr>
              <w:t>.5m</w:t>
            </w:r>
            <w:r>
              <w:rPr>
                <w:rFonts w:hint="eastAsia" w:asciiTheme="minorEastAsia" w:hAnsiTheme="minorEastAsia" w:eastAsiaTheme="minorEastAsia"/>
                <w:b w:val="0"/>
                <w:bCs/>
                <w:szCs w:val="20"/>
              </w:rPr>
              <w:t>，每个堆垛的边长应小于或等于1</w:t>
            </w:r>
            <w:r>
              <w:rPr>
                <w:rFonts w:asciiTheme="minorEastAsia" w:hAnsiTheme="minorEastAsia" w:eastAsiaTheme="minorEastAsia"/>
                <w:b w:val="0"/>
                <w:bCs/>
                <w:szCs w:val="20"/>
              </w:rPr>
              <w:t>0m</w:t>
            </w:r>
          </w:p>
        </w:tc>
      </w:tr>
    </w:tbl>
    <w:p w14:paraId="43120232">
      <w:pPr>
        <w:keepNext/>
        <w:keepLines/>
        <w:spacing w:before="240" w:beforeLines="100" w:after="120" w:afterLines="50" w:line="360" w:lineRule="auto"/>
        <w:outlineLvl w:val="1"/>
        <w:rPr>
          <w:rFonts w:ascii="黑体" w:hAnsi="宋体" w:eastAsia="黑体"/>
          <w:b w:val="0"/>
          <w:bCs/>
          <w:snapToGrid w:val="0"/>
          <w:sz w:val="30"/>
          <w:szCs w:val="30"/>
        </w:rPr>
      </w:pPr>
      <w:bookmarkStart w:id="80" w:name="_Toc205979624"/>
      <w:r>
        <w:rPr>
          <w:rFonts w:hint="eastAsia" w:ascii="黑体" w:hAnsi="宋体" w:eastAsia="黑体"/>
          <w:b w:val="0"/>
          <w:bCs/>
          <w:snapToGrid w:val="0"/>
          <w:sz w:val="30"/>
          <w:szCs w:val="30"/>
        </w:rPr>
        <w:t>2.5安全、消防设施</w:t>
      </w:r>
      <w:bookmarkEnd w:id="80"/>
    </w:p>
    <w:p w14:paraId="07EFA198">
      <w:pPr>
        <w:pStyle w:val="6"/>
        <w:rPr>
          <w:rFonts w:ascii="黑体" w:hAnsi="宋体" w:eastAsia="黑体"/>
          <w:b w:val="0"/>
          <w:bCs w:val="0"/>
          <w:snapToGrid w:val="0"/>
          <w:sz w:val="30"/>
          <w:szCs w:val="30"/>
        </w:rPr>
      </w:pPr>
      <w:bookmarkStart w:id="81" w:name="_Toc165038778"/>
      <w:r>
        <w:rPr>
          <w:rFonts w:hint="eastAsia" w:ascii="黑体" w:hAnsi="宋体" w:eastAsia="黑体"/>
          <w:b w:val="0"/>
          <w:bCs w:val="0"/>
          <w:snapToGrid w:val="0"/>
          <w:sz w:val="30"/>
          <w:szCs w:val="30"/>
        </w:rPr>
        <w:t>2.5.1消防设施</w:t>
      </w:r>
      <w:bookmarkEnd w:id="81"/>
    </w:p>
    <w:p w14:paraId="78F84FD7">
      <w:pPr>
        <w:adjustRightInd w:val="0"/>
        <w:snapToGrid w:val="0"/>
        <w:spacing w:line="360" w:lineRule="auto"/>
        <w:ind w:firstLine="560" w:firstLineChars="200"/>
        <w:rPr>
          <w:rFonts w:ascii="宋体" w:hAnsi="宋体" w:cs="宋体"/>
          <w:b w:val="0"/>
          <w:sz w:val="28"/>
          <w:szCs w:val="28"/>
        </w:rPr>
      </w:pPr>
      <w:bookmarkStart w:id="82" w:name="_Toc165038779"/>
      <w:r>
        <w:rPr>
          <w:rFonts w:hint="eastAsia" w:ascii="宋体" w:hAnsi="宋体" w:cs="宋体"/>
          <w:b w:val="0"/>
          <w:sz w:val="28"/>
          <w:szCs w:val="28"/>
        </w:rPr>
        <w:t>根据可行性研究报告所知，该建设项目拟采用的消防设施包括消防系统和灭火器，见表2</w:t>
      </w:r>
      <w:r>
        <w:rPr>
          <w:rFonts w:ascii="宋体" w:hAnsi="宋体" w:cs="宋体"/>
          <w:b w:val="0"/>
          <w:sz w:val="28"/>
          <w:szCs w:val="28"/>
        </w:rPr>
        <w:t>.5.1</w:t>
      </w:r>
      <w:r>
        <w:rPr>
          <w:rFonts w:hint="eastAsia" w:ascii="宋体" w:hAnsi="宋体" w:cs="宋体"/>
          <w:b w:val="0"/>
          <w:sz w:val="28"/>
          <w:szCs w:val="28"/>
        </w:rPr>
        <w:t>。</w:t>
      </w:r>
    </w:p>
    <w:p w14:paraId="3D4BBEEC">
      <w:pPr>
        <w:pStyle w:val="446"/>
        <w:spacing w:line="240" w:lineRule="auto"/>
        <w:rPr>
          <w:rFonts w:ascii="黑体" w:hAnsi="黑体" w:cs="Arial"/>
          <w:szCs w:val="24"/>
        </w:rPr>
      </w:pPr>
      <w:r>
        <w:rPr>
          <w:rFonts w:hint="eastAsia" w:ascii="黑体" w:hAnsi="黑体" w:cs="Arial"/>
          <w:szCs w:val="24"/>
        </w:rPr>
        <w:t>表2.5-1 拟采用的消防、安全设施一览表</w:t>
      </w:r>
    </w:p>
    <w:tbl>
      <w:tblPr>
        <w:tblStyle w:val="49"/>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43"/>
        <w:gridCol w:w="4116"/>
        <w:gridCol w:w="807"/>
        <w:gridCol w:w="1704"/>
        <w:gridCol w:w="935"/>
      </w:tblGrid>
      <w:tr w14:paraId="638551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743" w:type="dxa"/>
            <w:vAlign w:val="center"/>
          </w:tcPr>
          <w:p w14:paraId="3EE41256">
            <w:pPr>
              <w:pStyle w:val="240"/>
              <w:spacing w:before="85"/>
              <w:ind w:left="139" w:right="134"/>
              <w:rPr>
                <w:b/>
                <w:bCs/>
                <w:sz w:val="21"/>
              </w:rPr>
            </w:pPr>
            <w:r>
              <w:rPr>
                <w:b/>
                <w:bCs/>
                <w:sz w:val="21"/>
              </w:rPr>
              <w:t>序号</w:t>
            </w:r>
          </w:p>
        </w:tc>
        <w:tc>
          <w:tcPr>
            <w:tcW w:w="4116" w:type="dxa"/>
            <w:vAlign w:val="center"/>
          </w:tcPr>
          <w:p w14:paraId="1C46BAEE">
            <w:pPr>
              <w:pStyle w:val="240"/>
              <w:spacing w:before="85"/>
              <w:ind w:left="408" w:right="399"/>
              <w:rPr>
                <w:b/>
                <w:bCs/>
                <w:sz w:val="21"/>
              </w:rPr>
            </w:pPr>
            <w:r>
              <w:rPr>
                <w:b/>
                <w:bCs/>
                <w:sz w:val="21"/>
              </w:rPr>
              <w:t>消防设施名称</w:t>
            </w:r>
          </w:p>
        </w:tc>
        <w:tc>
          <w:tcPr>
            <w:tcW w:w="807" w:type="dxa"/>
            <w:vAlign w:val="center"/>
          </w:tcPr>
          <w:p w14:paraId="25253007">
            <w:pPr>
              <w:pStyle w:val="240"/>
              <w:spacing w:before="85"/>
              <w:ind w:left="119" w:right="113"/>
              <w:rPr>
                <w:b/>
                <w:bCs/>
                <w:sz w:val="21"/>
              </w:rPr>
            </w:pPr>
            <w:r>
              <w:rPr>
                <w:b/>
                <w:bCs/>
                <w:sz w:val="21"/>
              </w:rPr>
              <w:t>数量</w:t>
            </w:r>
          </w:p>
        </w:tc>
        <w:tc>
          <w:tcPr>
            <w:tcW w:w="1704" w:type="dxa"/>
            <w:vAlign w:val="center"/>
          </w:tcPr>
          <w:p w14:paraId="27592A23">
            <w:pPr>
              <w:pStyle w:val="240"/>
              <w:spacing w:before="85"/>
              <w:ind w:left="303" w:right="298"/>
              <w:rPr>
                <w:b/>
                <w:bCs/>
                <w:sz w:val="21"/>
              </w:rPr>
            </w:pPr>
            <w:r>
              <w:rPr>
                <w:b/>
                <w:bCs/>
                <w:sz w:val="21"/>
              </w:rPr>
              <w:t>型号</w:t>
            </w:r>
          </w:p>
        </w:tc>
        <w:tc>
          <w:tcPr>
            <w:tcW w:w="935" w:type="dxa"/>
            <w:vAlign w:val="center"/>
          </w:tcPr>
          <w:p w14:paraId="1920EC84">
            <w:pPr>
              <w:pStyle w:val="240"/>
              <w:spacing w:before="85"/>
              <w:ind w:left="256"/>
              <w:rPr>
                <w:b/>
                <w:bCs/>
                <w:sz w:val="21"/>
              </w:rPr>
            </w:pPr>
            <w:r>
              <w:rPr>
                <w:b/>
                <w:bCs/>
                <w:sz w:val="21"/>
              </w:rPr>
              <w:t>备注</w:t>
            </w:r>
          </w:p>
        </w:tc>
      </w:tr>
      <w:tr w14:paraId="48F4B5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3" w:type="dxa"/>
            <w:vAlign w:val="center"/>
          </w:tcPr>
          <w:p w14:paraId="49BC17DF">
            <w:pPr>
              <w:pStyle w:val="240"/>
              <w:spacing w:before="85"/>
              <w:ind w:left="9"/>
              <w:rPr>
                <w:sz w:val="21"/>
                <w:szCs w:val="21"/>
              </w:rPr>
            </w:pPr>
            <w:r>
              <w:rPr>
                <w:w w:val="99"/>
                <w:sz w:val="21"/>
                <w:szCs w:val="21"/>
              </w:rPr>
              <w:t>1</w:t>
            </w:r>
          </w:p>
        </w:tc>
        <w:tc>
          <w:tcPr>
            <w:tcW w:w="4116" w:type="dxa"/>
            <w:vAlign w:val="center"/>
          </w:tcPr>
          <w:p w14:paraId="53205ADA">
            <w:pPr>
              <w:pStyle w:val="240"/>
              <w:spacing w:before="85"/>
              <w:ind w:left="408" w:right="402"/>
              <w:rPr>
                <w:sz w:val="21"/>
                <w:szCs w:val="21"/>
              </w:rPr>
            </w:pPr>
            <w:r>
              <w:rPr>
                <w:sz w:val="21"/>
                <w:szCs w:val="21"/>
              </w:rPr>
              <w:t>MFZ/ABC5 手提式干粉灭火器</w:t>
            </w:r>
          </w:p>
        </w:tc>
        <w:tc>
          <w:tcPr>
            <w:tcW w:w="807" w:type="dxa"/>
            <w:vAlign w:val="center"/>
          </w:tcPr>
          <w:p w14:paraId="7C71E9C8">
            <w:pPr>
              <w:pStyle w:val="240"/>
              <w:spacing w:before="85"/>
              <w:ind w:left="119" w:right="113"/>
              <w:rPr>
                <w:sz w:val="21"/>
                <w:szCs w:val="21"/>
              </w:rPr>
            </w:pPr>
            <w:r>
              <w:rPr>
                <w:sz w:val="21"/>
                <w:szCs w:val="21"/>
                <w:lang w:val="en-US"/>
              </w:rPr>
              <w:t>86</w:t>
            </w:r>
            <w:r>
              <w:rPr>
                <w:sz w:val="21"/>
                <w:szCs w:val="21"/>
              </w:rPr>
              <w:t xml:space="preserve"> 具</w:t>
            </w:r>
          </w:p>
        </w:tc>
        <w:tc>
          <w:tcPr>
            <w:tcW w:w="1704" w:type="dxa"/>
            <w:vAlign w:val="center"/>
          </w:tcPr>
          <w:p w14:paraId="0C1C85D4">
            <w:pPr>
              <w:pStyle w:val="240"/>
              <w:spacing w:before="85"/>
              <w:ind w:left="306" w:right="297"/>
              <w:rPr>
                <w:sz w:val="21"/>
                <w:szCs w:val="21"/>
              </w:rPr>
            </w:pPr>
            <w:r>
              <w:rPr>
                <w:sz w:val="21"/>
                <w:szCs w:val="21"/>
              </w:rPr>
              <w:t>MFZ</w:t>
            </w:r>
          </w:p>
        </w:tc>
        <w:tc>
          <w:tcPr>
            <w:tcW w:w="935" w:type="dxa"/>
            <w:vAlign w:val="center"/>
          </w:tcPr>
          <w:p w14:paraId="28E3432D">
            <w:pPr>
              <w:pStyle w:val="240"/>
              <w:rPr>
                <w:rFonts w:ascii="Times New Roman"/>
                <w:sz w:val="24"/>
              </w:rPr>
            </w:pPr>
          </w:p>
        </w:tc>
      </w:tr>
      <w:tr w14:paraId="284425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3" w:type="dxa"/>
            <w:vAlign w:val="center"/>
          </w:tcPr>
          <w:p w14:paraId="5D59150D">
            <w:pPr>
              <w:pStyle w:val="240"/>
              <w:spacing w:before="85"/>
              <w:ind w:left="9"/>
              <w:rPr>
                <w:sz w:val="21"/>
                <w:szCs w:val="21"/>
              </w:rPr>
            </w:pPr>
            <w:r>
              <w:rPr>
                <w:w w:val="99"/>
                <w:sz w:val="21"/>
                <w:szCs w:val="21"/>
              </w:rPr>
              <w:t>2</w:t>
            </w:r>
          </w:p>
        </w:tc>
        <w:tc>
          <w:tcPr>
            <w:tcW w:w="4116" w:type="dxa"/>
            <w:vAlign w:val="center"/>
          </w:tcPr>
          <w:p w14:paraId="27F11448">
            <w:pPr>
              <w:pStyle w:val="240"/>
              <w:spacing w:before="85"/>
              <w:ind w:left="408" w:right="402"/>
              <w:rPr>
                <w:sz w:val="21"/>
                <w:szCs w:val="21"/>
                <w:lang w:val="en-US"/>
              </w:rPr>
            </w:pPr>
            <w:r>
              <w:rPr>
                <w:rFonts w:hint="eastAsia"/>
                <w:sz w:val="21"/>
                <w:szCs w:val="21"/>
                <w:lang w:val="en-US"/>
              </w:rPr>
              <w:t>消防水池（罐）</w:t>
            </w:r>
          </w:p>
        </w:tc>
        <w:tc>
          <w:tcPr>
            <w:tcW w:w="807" w:type="dxa"/>
            <w:vAlign w:val="center"/>
          </w:tcPr>
          <w:p w14:paraId="326565F2">
            <w:pPr>
              <w:pStyle w:val="240"/>
              <w:spacing w:before="85"/>
              <w:ind w:left="119" w:right="111"/>
              <w:rPr>
                <w:sz w:val="21"/>
                <w:szCs w:val="21"/>
                <w:lang w:val="en-US"/>
              </w:rPr>
            </w:pPr>
            <w:r>
              <w:rPr>
                <w:rFonts w:hint="eastAsia"/>
                <w:sz w:val="21"/>
                <w:szCs w:val="21"/>
                <w:lang w:val="en-US"/>
              </w:rPr>
              <w:t>1个</w:t>
            </w:r>
          </w:p>
        </w:tc>
        <w:tc>
          <w:tcPr>
            <w:tcW w:w="1704" w:type="dxa"/>
            <w:vAlign w:val="center"/>
          </w:tcPr>
          <w:p w14:paraId="32C23E27">
            <w:pPr>
              <w:pStyle w:val="240"/>
              <w:spacing w:before="85"/>
              <w:ind w:left="306" w:right="297"/>
              <w:rPr>
                <w:sz w:val="21"/>
                <w:szCs w:val="21"/>
              </w:rPr>
            </w:pPr>
            <w:r>
              <w:rPr>
                <w:rFonts w:hint="eastAsia"/>
                <w:sz w:val="21"/>
                <w:szCs w:val="21"/>
              </w:rPr>
              <w:t>3</w:t>
            </w:r>
            <w:r>
              <w:rPr>
                <w:sz w:val="21"/>
                <w:szCs w:val="21"/>
              </w:rPr>
              <w:t>00</w:t>
            </w:r>
            <w:r>
              <w:rPr>
                <w:rFonts w:hint="eastAsia"/>
                <w:sz w:val="21"/>
                <w:szCs w:val="21"/>
              </w:rPr>
              <w:t>立方米</w:t>
            </w:r>
          </w:p>
        </w:tc>
        <w:tc>
          <w:tcPr>
            <w:tcW w:w="935" w:type="dxa"/>
            <w:vAlign w:val="center"/>
          </w:tcPr>
          <w:p w14:paraId="40312BBB">
            <w:pPr>
              <w:pStyle w:val="240"/>
              <w:rPr>
                <w:rFonts w:ascii="Times New Roman"/>
                <w:sz w:val="24"/>
              </w:rPr>
            </w:pPr>
          </w:p>
        </w:tc>
      </w:tr>
      <w:tr w14:paraId="307B83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3" w:type="dxa"/>
            <w:vAlign w:val="center"/>
          </w:tcPr>
          <w:p w14:paraId="1ACAE47B">
            <w:pPr>
              <w:pStyle w:val="240"/>
              <w:spacing w:before="87"/>
              <w:ind w:left="9"/>
              <w:rPr>
                <w:sz w:val="21"/>
                <w:szCs w:val="21"/>
              </w:rPr>
            </w:pPr>
            <w:r>
              <w:rPr>
                <w:w w:val="99"/>
                <w:sz w:val="21"/>
                <w:szCs w:val="21"/>
              </w:rPr>
              <w:t>3</w:t>
            </w:r>
          </w:p>
        </w:tc>
        <w:tc>
          <w:tcPr>
            <w:tcW w:w="4116" w:type="dxa"/>
            <w:vAlign w:val="center"/>
          </w:tcPr>
          <w:p w14:paraId="55151665">
            <w:pPr>
              <w:pStyle w:val="240"/>
              <w:spacing w:before="87"/>
              <w:ind w:left="408" w:right="402"/>
              <w:rPr>
                <w:sz w:val="21"/>
                <w:szCs w:val="21"/>
              </w:rPr>
            </w:pPr>
            <w:r>
              <w:rPr>
                <w:rFonts w:hint="eastAsia"/>
                <w:sz w:val="21"/>
                <w:szCs w:val="21"/>
              </w:rPr>
              <w:t>消防水带（2</w:t>
            </w:r>
            <w:r>
              <w:rPr>
                <w:sz w:val="21"/>
                <w:szCs w:val="21"/>
              </w:rPr>
              <w:t>0M/</w:t>
            </w:r>
            <w:r>
              <w:rPr>
                <w:rFonts w:hint="eastAsia"/>
                <w:sz w:val="21"/>
                <w:szCs w:val="21"/>
              </w:rPr>
              <w:t>条）</w:t>
            </w:r>
          </w:p>
        </w:tc>
        <w:tc>
          <w:tcPr>
            <w:tcW w:w="807" w:type="dxa"/>
            <w:vAlign w:val="center"/>
          </w:tcPr>
          <w:p w14:paraId="7AC4BA90">
            <w:pPr>
              <w:pStyle w:val="240"/>
              <w:spacing w:before="87"/>
              <w:ind w:left="119" w:right="111"/>
              <w:rPr>
                <w:sz w:val="21"/>
                <w:szCs w:val="21"/>
              </w:rPr>
            </w:pPr>
            <w:r>
              <w:rPr>
                <w:rFonts w:hint="eastAsia"/>
                <w:sz w:val="21"/>
                <w:szCs w:val="21"/>
              </w:rPr>
              <w:t>1</w:t>
            </w:r>
            <w:r>
              <w:rPr>
                <w:sz w:val="21"/>
                <w:szCs w:val="21"/>
              </w:rPr>
              <w:t>0</w:t>
            </w:r>
            <w:r>
              <w:rPr>
                <w:rFonts w:hint="eastAsia"/>
                <w:sz w:val="21"/>
                <w:szCs w:val="21"/>
              </w:rPr>
              <w:t>条</w:t>
            </w:r>
          </w:p>
        </w:tc>
        <w:tc>
          <w:tcPr>
            <w:tcW w:w="1704" w:type="dxa"/>
            <w:vAlign w:val="center"/>
          </w:tcPr>
          <w:p w14:paraId="33A1C318">
            <w:pPr>
              <w:pStyle w:val="240"/>
              <w:spacing w:before="87"/>
              <w:ind w:left="306" w:right="298"/>
              <w:rPr>
                <w:sz w:val="21"/>
                <w:szCs w:val="21"/>
              </w:rPr>
            </w:pPr>
            <w:r>
              <w:rPr>
                <w:rFonts w:hint="eastAsia"/>
                <w:sz w:val="21"/>
                <w:szCs w:val="21"/>
              </w:rPr>
              <w:t>D</w:t>
            </w:r>
            <w:r>
              <w:rPr>
                <w:sz w:val="21"/>
                <w:szCs w:val="21"/>
              </w:rPr>
              <w:t>N65</w:t>
            </w:r>
          </w:p>
        </w:tc>
        <w:tc>
          <w:tcPr>
            <w:tcW w:w="935" w:type="dxa"/>
            <w:vAlign w:val="center"/>
          </w:tcPr>
          <w:p w14:paraId="25BFF5C9">
            <w:pPr>
              <w:pStyle w:val="240"/>
              <w:rPr>
                <w:rFonts w:ascii="Times New Roman"/>
                <w:sz w:val="24"/>
              </w:rPr>
            </w:pPr>
          </w:p>
        </w:tc>
      </w:tr>
      <w:tr w14:paraId="68369C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3" w:type="dxa"/>
            <w:vAlign w:val="center"/>
          </w:tcPr>
          <w:p w14:paraId="37293523">
            <w:pPr>
              <w:pStyle w:val="240"/>
              <w:spacing w:before="86"/>
              <w:ind w:left="9"/>
              <w:rPr>
                <w:sz w:val="21"/>
                <w:szCs w:val="21"/>
              </w:rPr>
            </w:pPr>
            <w:r>
              <w:rPr>
                <w:w w:val="99"/>
                <w:sz w:val="21"/>
                <w:szCs w:val="21"/>
              </w:rPr>
              <w:t>4</w:t>
            </w:r>
          </w:p>
        </w:tc>
        <w:tc>
          <w:tcPr>
            <w:tcW w:w="4116" w:type="dxa"/>
            <w:vAlign w:val="center"/>
          </w:tcPr>
          <w:p w14:paraId="0E19B4BD">
            <w:pPr>
              <w:pStyle w:val="240"/>
              <w:spacing w:before="86"/>
              <w:ind w:left="408" w:right="402"/>
              <w:rPr>
                <w:sz w:val="21"/>
                <w:szCs w:val="21"/>
              </w:rPr>
            </w:pPr>
            <w:r>
              <w:rPr>
                <w:rFonts w:hint="eastAsia"/>
                <w:sz w:val="21"/>
                <w:szCs w:val="21"/>
              </w:rPr>
              <w:t>水枪</w:t>
            </w:r>
          </w:p>
        </w:tc>
        <w:tc>
          <w:tcPr>
            <w:tcW w:w="807" w:type="dxa"/>
            <w:vAlign w:val="center"/>
          </w:tcPr>
          <w:p w14:paraId="15EAB730">
            <w:pPr>
              <w:pStyle w:val="240"/>
              <w:spacing w:before="86"/>
              <w:ind w:left="119" w:right="111"/>
              <w:rPr>
                <w:sz w:val="21"/>
                <w:szCs w:val="21"/>
              </w:rPr>
            </w:pPr>
            <w:r>
              <w:rPr>
                <w:rFonts w:hint="eastAsia"/>
                <w:sz w:val="21"/>
                <w:szCs w:val="21"/>
              </w:rPr>
              <w:t>1</w:t>
            </w:r>
            <w:r>
              <w:rPr>
                <w:sz w:val="21"/>
                <w:szCs w:val="21"/>
              </w:rPr>
              <w:t>0</w:t>
            </w:r>
            <w:r>
              <w:rPr>
                <w:rFonts w:hint="eastAsia"/>
                <w:sz w:val="21"/>
                <w:szCs w:val="21"/>
              </w:rPr>
              <w:t>支</w:t>
            </w:r>
          </w:p>
        </w:tc>
        <w:tc>
          <w:tcPr>
            <w:tcW w:w="1704" w:type="dxa"/>
            <w:vAlign w:val="center"/>
          </w:tcPr>
          <w:p w14:paraId="0AADE7D2">
            <w:pPr>
              <w:pStyle w:val="240"/>
              <w:spacing w:before="86"/>
              <w:ind w:left="306" w:right="297"/>
              <w:rPr>
                <w:sz w:val="21"/>
                <w:szCs w:val="21"/>
              </w:rPr>
            </w:pPr>
            <w:r>
              <w:rPr>
                <w:sz w:val="21"/>
                <w:szCs w:val="21"/>
              </w:rPr>
              <w:t>￠19</w:t>
            </w:r>
          </w:p>
        </w:tc>
        <w:tc>
          <w:tcPr>
            <w:tcW w:w="935" w:type="dxa"/>
            <w:vAlign w:val="center"/>
          </w:tcPr>
          <w:p w14:paraId="6388A7AF">
            <w:pPr>
              <w:pStyle w:val="240"/>
              <w:rPr>
                <w:rFonts w:ascii="Times New Roman"/>
                <w:sz w:val="24"/>
              </w:rPr>
            </w:pPr>
          </w:p>
        </w:tc>
      </w:tr>
      <w:tr w14:paraId="57A057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3" w:type="dxa"/>
            <w:vAlign w:val="center"/>
          </w:tcPr>
          <w:p w14:paraId="5B38FA9D">
            <w:pPr>
              <w:pStyle w:val="240"/>
              <w:spacing w:before="86"/>
              <w:ind w:left="9"/>
              <w:rPr>
                <w:sz w:val="21"/>
                <w:szCs w:val="21"/>
              </w:rPr>
            </w:pPr>
            <w:r>
              <w:rPr>
                <w:w w:val="99"/>
                <w:sz w:val="21"/>
                <w:szCs w:val="21"/>
              </w:rPr>
              <w:t>5</w:t>
            </w:r>
          </w:p>
        </w:tc>
        <w:tc>
          <w:tcPr>
            <w:tcW w:w="4116" w:type="dxa"/>
            <w:vAlign w:val="center"/>
          </w:tcPr>
          <w:p w14:paraId="4F50B690">
            <w:pPr>
              <w:pStyle w:val="240"/>
              <w:spacing w:before="86"/>
              <w:ind w:left="408" w:right="399"/>
              <w:rPr>
                <w:sz w:val="21"/>
                <w:szCs w:val="21"/>
              </w:rPr>
            </w:pPr>
            <w:r>
              <w:rPr>
                <w:rFonts w:hint="eastAsia"/>
                <w:sz w:val="21"/>
                <w:szCs w:val="21"/>
              </w:rPr>
              <w:t>消防水桶</w:t>
            </w:r>
          </w:p>
        </w:tc>
        <w:tc>
          <w:tcPr>
            <w:tcW w:w="807" w:type="dxa"/>
            <w:vAlign w:val="center"/>
          </w:tcPr>
          <w:p w14:paraId="56833DCC">
            <w:pPr>
              <w:pStyle w:val="240"/>
              <w:spacing w:before="86"/>
              <w:ind w:left="119" w:right="113"/>
              <w:rPr>
                <w:sz w:val="21"/>
                <w:szCs w:val="21"/>
              </w:rPr>
            </w:pPr>
            <w:r>
              <w:rPr>
                <w:rFonts w:hint="eastAsia"/>
                <w:sz w:val="21"/>
                <w:szCs w:val="21"/>
              </w:rPr>
              <w:t>1</w:t>
            </w:r>
            <w:r>
              <w:rPr>
                <w:sz w:val="21"/>
                <w:szCs w:val="21"/>
              </w:rPr>
              <w:t>0</w:t>
            </w:r>
            <w:r>
              <w:rPr>
                <w:rFonts w:hint="eastAsia"/>
                <w:sz w:val="21"/>
                <w:szCs w:val="21"/>
              </w:rPr>
              <w:t>个</w:t>
            </w:r>
          </w:p>
        </w:tc>
        <w:tc>
          <w:tcPr>
            <w:tcW w:w="1704" w:type="dxa"/>
            <w:vAlign w:val="center"/>
          </w:tcPr>
          <w:p w14:paraId="28B32AE4">
            <w:pPr>
              <w:pStyle w:val="240"/>
              <w:spacing w:before="86"/>
              <w:ind w:left="306" w:right="297"/>
              <w:rPr>
                <w:sz w:val="21"/>
                <w:szCs w:val="21"/>
              </w:rPr>
            </w:pPr>
            <w:r>
              <w:rPr>
                <w:rFonts w:hint="eastAsia"/>
                <w:sz w:val="21"/>
                <w:szCs w:val="21"/>
              </w:rPr>
              <w:t>——</w:t>
            </w:r>
          </w:p>
        </w:tc>
        <w:tc>
          <w:tcPr>
            <w:tcW w:w="935" w:type="dxa"/>
            <w:vAlign w:val="center"/>
          </w:tcPr>
          <w:p w14:paraId="201C9557">
            <w:pPr>
              <w:pStyle w:val="240"/>
              <w:rPr>
                <w:rFonts w:ascii="Times New Roman"/>
                <w:sz w:val="24"/>
              </w:rPr>
            </w:pPr>
          </w:p>
        </w:tc>
      </w:tr>
      <w:tr w14:paraId="6B7E4A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3" w:type="dxa"/>
            <w:vAlign w:val="center"/>
          </w:tcPr>
          <w:p w14:paraId="21FF85A7">
            <w:pPr>
              <w:pStyle w:val="240"/>
              <w:spacing w:before="86"/>
              <w:ind w:left="9"/>
              <w:rPr>
                <w:sz w:val="21"/>
                <w:szCs w:val="21"/>
              </w:rPr>
            </w:pPr>
            <w:r>
              <w:rPr>
                <w:w w:val="99"/>
                <w:sz w:val="21"/>
                <w:szCs w:val="21"/>
              </w:rPr>
              <w:t>6</w:t>
            </w:r>
          </w:p>
        </w:tc>
        <w:tc>
          <w:tcPr>
            <w:tcW w:w="4116" w:type="dxa"/>
            <w:vAlign w:val="center"/>
          </w:tcPr>
          <w:p w14:paraId="0C1CBA53">
            <w:pPr>
              <w:pStyle w:val="240"/>
              <w:spacing w:before="86"/>
              <w:ind w:left="408" w:right="402"/>
              <w:rPr>
                <w:sz w:val="21"/>
                <w:szCs w:val="21"/>
              </w:rPr>
            </w:pPr>
            <w:r>
              <w:rPr>
                <w:rFonts w:hint="eastAsia"/>
                <w:sz w:val="21"/>
                <w:szCs w:val="21"/>
              </w:rPr>
              <w:t>消防铲</w:t>
            </w:r>
          </w:p>
        </w:tc>
        <w:tc>
          <w:tcPr>
            <w:tcW w:w="807" w:type="dxa"/>
            <w:vAlign w:val="center"/>
          </w:tcPr>
          <w:p w14:paraId="09593B32">
            <w:pPr>
              <w:pStyle w:val="240"/>
              <w:spacing w:before="86"/>
              <w:ind w:left="119" w:right="111"/>
              <w:rPr>
                <w:sz w:val="21"/>
                <w:szCs w:val="21"/>
              </w:rPr>
            </w:pPr>
            <w:r>
              <w:rPr>
                <w:rFonts w:hint="eastAsia"/>
                <w:sz w:val="21"/>
                <w:szCs w:val="21"/>
              </w:rPr>
              <w:t>1</w:t>
            </w:r>
            <w:r>
              <w:rPr>
                <w:sz w:val="21"/>
                <w:szCs w:val="21"/>
              </w:rPr>
              <w:t>0</w:t>
            </w:r>
            <w:r>
              <w:rPr>
                <w:rFonts w:hint="eastAsia"/>
                <w:sz w:val="21"/>
                <w:szCs w:val="21"/>
              </w:rPr>
              <w:t>把</w:t>
            </w:r>
          </w:p>
        </w:tc>
        <w:tc>
          <w:tcPr>
            <w:tcW w:w="1704" w:type="dxa"/>
            <w:vAlign w:val="center"/>
          </w:tcPr>
          <w:p w14:paraId="11300167">
            <w:pPr>
              <w:pStyle w:val="240"/>
              <w:rPr>
                <w:rFonts w:ascii="Times New Roman"/>
                <w:sz w:val="21"/>
                <w:szCs w:val="21"/>
              </w:rPr>
            </w:pPr>
            <w:r>
              <w:rPr>
                <w:rFonts w:hint="eastAsia" w:ascii="Times New Roman"/>
                <w:sz w:val="21"/>
                <w:szCs w:val="21"/>
              </w:rPr>
              <w:t>——</w:t>
            </w:r>
          </w:p>
        </w:tc>
        <w:tc>
          <w:tcPr>
            <w:tcW w:w="935" w:type="dxa"/>
            <w:vAlign w:val="center"/>
          </w:tcPr>
          <w:p w14:paraId="426D23AE">
            <w:pPr>
              <w:pStyle w:val="240"/>
              <w:rPr>
                <w:rFonts w:ascii="Times New Roman"/>
                <w:sz w:val="24"/>
              </w:rPr>
            </w:pPr>
          </w:p>
        </w:tc>
      </w:tr>
      <w:tr w14:paraId="07DACD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3" w:type="dxa"/>
            <w:vAlign w:val="center"/>
          </w:tcPr>
          <w:p w14:paraId="5AA066FD">
            <w:pPr>
              <w:pStyle w:val="240"/>
              <w:spacing w:before="85"/>
              <w:ind w:left="9"/>
              <w:rPr>
                <w:sz w:val="21"/>
                <w:szCs w:val="21"/>
              </w:rPr>
            </w:pPr>
            <w:r>
              <w:rPr>
                <w:w w:val="99"/>
                <w:sz w:val="21"/>
                <w:szCs w:val="21"/>
              </w:rPr>
              <w:t>7</w:t>
            </w:r>
          </w:p>
        </w:tc>
        <w:tc>
          <w:tcPr>
            <w:tcW w:w="4116" w:type="dxa"/>
            <w:vAlign w:val="center"/>
          </w:tcPr>
          <w:p w14:paraId="0B16FA31">
            <w:pPr>
              <w:pStyle w:val="240"/>
              <w:spacing w:before="85"/>
              <w:ind w:left="408" w:right="399"/>
              <w:rPr>
                <w:sz w:val="21"/>
                <w:szCs w:val="21"/>
              </w:rPr>
            </w:pPr>
            <w:r>
              <w:rPr>
                <w:rFonts w:hint="eastAsia"/>
                <w:sz w:val="21"/>
                <w:szCs w:val="21"/>
              </w:rPr>
              <w:t>消防泵</w:t>
            </w:r>
          </w:p>
        </w:tc>
        <w:tc>
          <w:tcPr>
            <w:tcW w:w="807" w:type="dxa"/>
            <w:vAlign w:val="center"/>
          </w:tcPr>
          <w:p w14:paraId="0415DADA">
            <w:pPr>
              <w:pStyle w:val="240"/>
              <w:spacing w:before="85"/>
              <w:ind w:left="119" w:right="111"/>
              <w:rPr>
                <w:sz w:val="21"/>
                <w:szCs w:val="21"/>
              </w:rPr>
            </w:pPr>
            <w:r>
              <w:rPr>
                <w:rFonts w:hint="eastAsia"/>
                <w:sz w:val="21"/>
                <w:szCs w:val="21"/>
              </w:rPr>
              <w:t>2台</w:t>
            </w:r>
          </w:p>
        </w:tc>
        <w:tc>
          <w:tcPr>
            <w:tcW w:w="1704" w:type="dxa"/>
            <w:vAlign w:val="center"/>
          </w:tcPr>
          <w:p w14:paraId="059FB81A">
            <w:pPr>
              <w:pStyle w:val="240"/>
              <w:rPr>
                <w:rFonts w:asciiTheme="minorEastAsia" w:hAnsiTheme="minorEastAsia" w:eastAsiaTheme="minorEastAsia"/>
                <w:sz w:val="21"/>
                <w:szCs w:val="21"/>
              </w:rPr>
            </w:pPr>
            <w:r>
              <w:rPr>
                <w:rFonts w:hint="eastAsia" w:asciiTheme="minorEastAsia" w:hAnsiTheme="minorEastAsia" w:eastAsiaTheme="minorEastAsia"/>
                <w:sz w:val="21"/>
                <w:szCs w:val="21"/>
              </w:rPr>
              <w:t>扬程3</w:t>
            </w:r>
            <w:r>
              <w:rPr>
                <w:rFonts w:asciiTheme="minorEastAsia" w:hAnsiTheme="minorEastAsia" w:eastAsiaTheme="minorEastAsia"/>
                <w:sz w:val="21"/>
                <w:szCs w:val="21"/>
              </w:rPr>
              <w:t>5</w:t>
            </w:r>
            <w:r>
              <w:rPr>
                <w:rFonts w:hint="eastAsia" w:asciiTheme="minorEastAsia" w:hAnsiTheme="minorEastAsia" w:eastAsiaTheme="minorEastAsia"/>
                <w:sz w:val="21"/>
                <w:szCs w:val="21"/>
              </w:rPr>
              <w:t>米</w:t>
            </w:r>
          </w:p>
        </w:tc>
        <w:tc>
          <w:tcPr>
            <w:tcW w:w="935" w:type="dxa"/>
            <w:vAlign w:val="center"/>
          </w:tcPr>
          <w:p w14:paraId="623065DF">
            <w:pPr>
              <w:pStyle w:val="240"/>
              <w:rPr>
                <w:rFonts w:ascii="Times New Roman"/>
                <w:sz w:val="21"/>
                <w:szCs w:val="21"/>
              </w:rPr>
            </w:pPr>
          </w:p>
        </w:tc>
      </w:tr>
      <w:tr w14:paraId="7B0702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43" w:type="dxa"/>
            <w:vAlign w:val="center"/>
          </w:tcPr>
          <w:p w14:paraId="3CA57553">
            <w:pPr>
              <w:pStyle w:val="240"/>
              <w:spacing w:before="85"/>
              <w:ind w:left="9"/>
              <w:rPr>
                <w:sz w:val="21"/>
                <w:szCs w:val="21"/>
              </w:rPr>
            </w:pPr>
            <w:r>
              <w:rPr>
                <w:w w:val="99"/>
                <w:sz w:val="21"/>
                <w:szCs w:val="21"/>
              </w:rPr>
              <w:t>8</w:t>
            </w:r>
          </w:p>
        </w:tc>
        <w:tc>
          <w:tcPr>
            <w:tcW w:w="4116" w:type="dxa"/>
            <w:vAlign w:val="center"/>
          </w:tcPr>
          <w:p w14:paraId="7C662F77">
            <w:pPr>
              <w:pStyle w:val="240"/>
              <w:spacing w:before="85"/>
              <w:ind w:left="408" w:right="399"/>
              <w:rPr>
                <w:sz w:val="21"/>
                <w:szCs w:val="21"/>
              </w:rPr>
            </w:pPr>
            <w:r>
              <w:rPr>
                <w:rFonts w:hint="eastAsia"/>
                <w:sz w:val="21"/>
                <w:szCs w:val="21"/>
              </w:rPr>
              <w:t>防雷装置</w:t>
            </w:r>
          </w:p>
        </w:tc>
        <w:tc>
          <w:tcPr>
            <w:tcW w:w="807" w:type="dxa"/>
            <w:vAlign w:val="center"/>
          </w:tcPr>
          <w:p w14:paraId="693738FD">
            <w:pPr>
              <w:pStyle w:val="240"/>
              <w:spacing w:before="85"/>
              <w:ind w:left="119" w:right="111"/>
              <w:rPr>
                <w:sz w:val="21"/>
                <w:szCs w:val="21"/>
              </w:rPr>
            </w:pPr>
            <w:r>
              <w:rPr>
                <w:rFonts w:hint="eastAsia"/>
                <w:sz w:val="21"/>
                <w:szCs w:val="21"/>
              </w:rPr>
              <w:t>若干</w:t>
            </w:r>
          </w:p>
        </w:tc>
        <w:tc>
          <w:tcPr>
            <w:tcW w:w="1704" w:type="dxa"/>
            <w:vAlign w:val="center"/>
          </w:tcPr>
          <w:p w14:paraId="3A383BF6">
            <w:pPr>
              <w:pStyle w:val="240"/>
              <w:spacing w:before="85"/>
              <w:ind w:left="306" w:right="298"/>
              <w:rPr>
                <w:sz w:val="21"/>
                <w:szCs w:val="21"/>
              </w:rPr>
            </w:pPr>
            <w:r>
              <w:rPr>
                <w:rFonts w:hint="eastAsia"/>
                <w:sz w:val="21"/>
                <w:szCs w:val="21"/>
              </w:rPr>
              <w:t>避雷网等</w:t>
            </w:r>
          </w:p>
        </w:tc>
        <w:tc>
          <w:tcPr>
            <w:tcW w:w="935" w:type="dxa"/>
            <w:vAlign w:val="center"/>
          </w:tcPr>
          <w:p w14:paraId="0FC59EE9">
            <w:pPr>
              <w:pStyle w:val="240"/>
              <w:rPr>
                <w:rFonts w:ascii="Times New Roman"/>
                <w:sz w:val="21"/>
                <w:szCs w:val="21"/>
              </w:rPr>
            </w:pPr>
          </w:p>
        </w:tc>
      </w:tr>
      <w:tr w14:paraId="72D814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743" w:type="dxa"/>
            <w:vAlign w:val="center"/>
          </w:tcPr>
          <w:p w14:paraId="022B070D">
            <w:pPr>
              <w:pStyle w:val="240"/>
              <w:spacing w:before="87"/>
              <w:ind w:left="9"/>
              <w:rPr>
                <w:sz w:val="21"/>
                <w:szCs w:val="21"/>
              </w:rPr>
            </w:pPr>
            <w:r>
              <w:rPr>
                <w:w w:val="99"/>
                <w:sz w:val="21"/>
                <w:szCs w:val="21"/>
              </w:rPr>
              <w:t>9</w:t>
            </w:r>
          </w:p>
        </w:tc>
        <w:tc>
          <w:tcPr>
            <w:tcW w:w="4116" w:type="dxa"/>
            <w:vAlign w:val="center"/>
          </w:tcPr>
          <w:p w14:paraId="15F7E0DA">
            <w:pPr>
              <w:pStyle w:val="240"/>
              <w:spacing w:before="87"/>
              <w:ind w:left="408" w:right="402"/>
              <w:rPr>
                <w:sz w:val="21"/>
                <w:szCs w:val="21"/>
              </w:rPr>
            </w:pPr>
            <w:r>
              <w:rPr>
                <w:rFonts w:hint="eastAsia"/>
                <w:sz w:val="21"/>
                <w:szCs w:val="21"/>
              </w:rPr>
              <w:t>人体防静电装置</w:t>
            </w:r>
          </w:p>
        </w:tc>
        <w:tc>
          <w:tcPr>
            <w:tcW w:w="807" w:type="dxa"/>
            <w:vAlign w:val="center"/>
          </w:tcPr>
          <w:p w14:paraId="7775F7F9">
            <w:pPr>
              <w:pStyle w:val="240"/>
              <w:spacing w:before="87"/>
              <w:ind w:left="119" w:right="110"/>
              <w:rPr>
                <w:sz w:val="21"/>
                <w:szCs w:val="21"/>
              </w:rPr>
            </w:pPr>
            <w:r>
              <w:rPr>
                <w:rFonts w:hint="eastAsia"/>
                <w:sz w:val="21"/>
                <w:szCs w:val="21"/>
              </w:rPr>
              <w:t>3</w:t>
            </w:r>
            <w:r>
              <w:rPr>
                <w:sz w:val="21"/>
                <w:szCs w:val="21"/>
              </w:rPr>
              <w:t>7</w:t>
            </w:r>
            <w:r>
              <w:rPr>
                <w:rFonts w:hint="eastAsia"/>
                <w:sz w:val="21"/>
                <w:szCs w:val="21"/>
              </w:rPr>
              <w:t>根</w:t>
            </w:r>
          </w:p>
        </w:tc>
        <w:tc>
          <w:tcPr>
            <w:tcW w:w="1704" w:type="dxa"/>
            <w:vAlign w:val="center"/>
          </w:tcPr>
          <w:p w14:paraId="6CCDB1AB">
            <w:pPr>
              <w:pStyle w:val="240"/>
              <w:spacing w:before="87"/>
              <w:ind w:left="306" w:right="298"/>
              <w:rPr>
                <w:sz w:val="21"/>
                <w:szCs w:val="21"/>
              </w:rPr>
            </w:pPr>
            <w:r>
              <w:rPr>
                <w:rFonts w:hint="eastAsia"/>
                <w:sz w:val="21"/>
                <w:szCs w:val="21"/>
              </w:rPr>
              <w:t>——</w:t>
            </w:r>
          </w:p>
        </w:tc>
        <w:tc>
          <w:tcPr>
            <w:tcW w:w="935" w:type="dxa"/>
            <w:vAlign w:val="center"/>
          </w:tcPr>
          <w:p w14:paraId="488C1295">
            <w:pPr>
              <w:pStyle w:val="240"/>
              <w:rPr>
                <w:rFonts w:ascii="Times New Roman"/>
                <w:sz w:val="21"/>
                <w:szCs w:val="21"/>
              </w:rPr>
            </w:pPr>
          </w:p>
        </w:tc>
      </w:tr>
    </w:tbl>
    <w:p w14:paraId="66B244FD">
      <w:pPr>
        <w:pStyle w:val="6"/>
        <w:spacing w:before="120" w:beforeLines="50"/>
        <w:rPr>
          <w:rFonts w:ascii="黑体" w:hAnsi="宋体" w:eastAsia="黑体"/>
          <w:b w:val="0"/>
          <w:bCs w:val="0"/>
          <w:snapToGrid w:val="0"/>
          <w:sz w:val="30"/>
          <w:szCs w:val="30"/>
        </w:rPr>
      </w:pPr>
      <w:r>
        <w:rPr>
          <w:rFonts w:hint="eastAsia" w:ascii="黑体" w:hAnsi="宋体" w:eastAsia="黑体"/>
          <w:b w:val="0"/>
          <w:bCs w:val="0"/>
          <w:snapToGrid w:val="0"/>
          <w:sz w:val="30"/>
          <w:szCs w:val="30"/>
        </w:rPr>
        <w:t>2.5.2安全设施</w:t>
      </w:r>
      <w:bookmarkEnd w:id="82"/>
    </w:p>
    <w:p w14:paraId="4F87E5B9">
      <w:pPr>
        <w:adjustRightInd w:val="0"/>
        <w:snapToGrid w:val="0"/>
        <w:spacing w:line="360" w:lineRule="auto"/>
        <w:ind w:firstLine="560" w:firstLineChars="200"/>
        <w:rPr>
          <w:rFonts w:ascii="宋体" w:hAnsi="宋体" w:cs="宋体"/>
          <w:b w:val="0"/>
          <w:bCs/>
          <w:sz w:val="28"/>
          <w:szCs w:val="28"/>
        </w:rPr>
      </w:pPr>
      <w:r>
        <w:rPr>
          <w:rFonts w:hint="eastAsia" w:ascii="宋体" w:hAnsi="宋体" w:cs="宋体"/>
          <w:b w:val="0"/>
          <w:bCs/>
          <w:sz w:val="28"/>
          <w:szCs w:val="28"/>
        </w:rPr>
        <w:t>根据可行性研究报告所知，该企业新建</w:t>
      </w:r>
      <w:r>
        <w:rPr>
          <w:rFonts w:ascii="宋体" w:hAnsi="宋体" w:cs="宋体"/>
          <w:b w:val="0"/>
          <w:bCs/>
          <w:sz w:val="28"/>
          <w:szCs w:val="28"/>
        </w:rPr>
        <w:t>1#</w:t>
      </w:r>
      <w:r>
        <w:rPr>
          <w:rFonts w:hint="eastAsia" w:ascii="宋体" w:hAnsi="宋体" w:cs="宋体"/>
          <w:b w:val="0"/>
          <w:bCs/>
          <w:sz w:val="28"/>
          <w:szCs w:val="28"/>
        </w:rPr>
        <w:t>、2</w:t>
      </w:r>
      <w:r>
        <w:rPr>
          <w:rFonts w:ascii="宋体" w:hAnsi="宋体" w:cs="宋体"/>
          <w:b w:val="0"/>
          <w:bCs/>
          <w:sz w:val="28"/>
          <w:szCs w:val="28"/>
        </w:rPr>
        <w:t>#</w:t>
      </w:r>
      <w:r>
        <w:rPr>
          <w:rFonts w:hint="eastAsia" w:ascii="宋体" w:hAnsi="宋体" w:cs="宋体"/>
          <w:b w:val="0"/>
          <w:bCs/>
          <w:sz w:val="28"/>
          <w:szCs w:val="28"/>
        </w:rPr>
        <w:t>、3</w:t>
      </w:r>
      <w:r>
        <w:rPr>
          <w:rFonts w:ascii="宋体" w:hAnsi="宋体" w:cs="宋体"/>
          <w:b w:val="0"/>
          <w:bCs/>
          <w:sz w:val="28"/>
          <w:szCs w:val="28"/>
        </w:rPr>
        <w:t>#</w:t>
      </w:r>
      <w:r>
        <w:rPr>
          <w:rFonts w:hint="eastAsia" w:ascii="宋体" w:hAnsi="宋体" w:cs="宋体"/>
          <w:b w:val="0"/>
          <w:bCs/>
          <w:sz w:val="28"/>
          <w:szCs w:val="28"/>
        </w:rPr>
        <w:t>、4</w:t>
      </w:r>
      <w:r>
        <w:rPr>
          <w:rFonts w:ascii="宋体" w:hAnsi="宋体" w:cs="宋体"/>
          <w:b w:val="0"/>
          <w:bCs/>
          <w:sz w:val="28"/>
          <w:szCs w:val="28"/>
        </w:rPr>
        <w:t>#</w:t>
      </w:r>
      <w:r>
        <w:rPr>
          <w:rFonts w:hint="eastAsia" w:ascii="宋体" w:hAnsi="宋体" w:cs="宋体"/>
          <w:b w:val="0"/>
          <w:bCs/>
          <w:sz w:val="28"/>
          <w:szCs w:val="28"/>
        </w:rPr>
        <w:t>、5</w:t>
      </w:r>
      <w:r>
        <w:rPr>
          <w:rFonts w:ascii="宋体" w:hAnsi="宋体" w:cs="宋体"/>
          <w:b w:val="0"/>
          <w:bCs/>
          <w:sz w:val="28"/>
          <w:szCs w:val="28"/>
        </w:rPr>
        <w:t>#</w:t>
      </w:r>
      <w:r>
        <w:rPr>
          <w:rFonts w:hint="eastAsia" w:ascii="宋体" w:hAnsi="宋体" w:cs="宋体"/>
          <w:b w:val="0"/>
          <w:bCs/>
          <w:sz w:val="28"/>
          <w:szCs w:val="28"/>
        </w:rPr>
        <w:t>、6</w:t>
      </w:r>
      <w:r>
        <w:rPr>
          <w:rFonts w:ascii="宋体" w:hAnsi="宋体" w:cs="宋体"/>
          <w:b w:val="0"/>
          <w:bCs/>
          <w:sz w:val="28"/>
          <w:szCs w:val="28"/>
        </w:rPr>
        <w:t>#</w:t>
      </w:r>
      <w:r>
        <w:rPr>
          <w:rFonts w:hint="eastAsia" w:ascii="宋体" w:hAnsi="宋体" w:cs="宋体"/>
          <w:b w:val="0"/>
          <w:bCs/>
          <w:sz w:val="28"/>
          <w:szCs w:val="28"/>
        </w:rPr>
        <w:t>、7</w:t>
      </w:r>
      <w:r>
        <w:rPr>
          <w:rFonts w:ascii="宋体" w:hAnsi="宋体" w:cs="宋体"/>
          <w:b w:val="0"/>
          <w:bCs/>
          <w:sz w:val="28"/>
          <w:szCs w:val="28"/>
        </w:rPr>
        <w:t>#</w:t>
      </w:r>
      <w:r>
        <w:rPr>
          <w:rFonts w:hint="eastAsia" w:ascii="宋体" w:hAnsi="宋体" w:cs="宋体"/>
          <w:b w:val="0"/>
          <w:bCs/>
          <w:sz w:val="28"/>
          <w:szCs w:val="28"/>
        </w:rPr>
        <w:t>、8</w:t>
      </w:r>
      <w:r>
        <w:rPr>
          <w:rFonts w:ascii="宋体" w:hAnsi="宋体" w:cs="宋体"/>
          <w:b w:val="0"/>
          <w:bCs/>
          <w:sz w:val="28"/>
          <w:szCs w:val="28"/>
        </w:rPr>
        <w:t>#</w:t>
      </w:r>
      <w:r>
        <w:rPr>
          <w:rFonts w:hint="eastAsia" w:ascii="宋体" w:hAnsi="宋体" w:cs="宋体"/>
          <w:b w:val="0"/>
          <w:bCs/>
          <w:sz w:val="28"/>
          <w:szCs w:val="28"/>
        </w:rPr>
        <w:t>、9</w:t>
      </w:r>
      <w:r>
        <w:rPr>
          <w:rFonts w:ascii="宋体" w:hAnsi="宋体" w:cs="宋体"/>
          <w:b w:val="0"/>
          <w:bCs/>
          <w:sz w:val="28"/>
          <w:szCs w:val="28"/>
        </w:rPr>
        <w:t>#1.3</w:t>
      </w:r>
      <w:r>
        <w:rPr>
          <w:rFonts w:hint="eastAsia" w:ascii="宋体" w:hAnsi="宋体" w:cs="宋体"/>
          <w:b w:val="0"/>
          <w:bCs/>
          <w:sz w:val="28"/>
          <w:szCs w:val="28"/>
        </w:rPr>
        <w:t>级库房和1</w:t>
      </w:r>
      <w:r>
        <w:rPr>
          <w:rFonts w:ascii="宋体" w:hAnsi="宋体" w:cs="宋体"/>
          <w:b w:val="0"/>
          <w:bCs/>
          <w:sz w:val="28"/>
          <w:szCs w:val="28"/>
        </w:rPr>
        <w:t>0#1.1</w:t>
      </w:r>
      <w:r>
        <w:rPr>
          <w:rFonts w:ascii="宋体" w:hAnsi="宋体" w:cs="宋体"/>
          <w:b w:val="0"/>
          <w:bCs/>
          <w:sz w:val="28"/>
          <w:szCs w:val="28"/>
          <w:vertAlign w:val="superscript"/>
        </w:rPr>
        <w:t>-2</w:t>
      </w:r>
      <w:r>
        <w:rPr>
          <w:rFonts w:hint="eastAsia" w:ascii="宋体" w:hAnsi="宋体" w:cs="宋体"/>
          <w:b w:val="0"/>
          <w:bCs/>
          <w:sz w:val="28"/>
          <w:szCs w:val="28"/>
        </w:rPr>
        <w:t>级库房拟设置的安全设施如下：</w:t>
      </w:r>
    </w:p>
    <w:p w14:paraId="6E1804DE">
      <w:pPr>
        <w:adjustRightInd w:val="0"/>
        <w:snapToGrid w:val="0"/>
        <w:spacing w:line="360" w:lineRule="auto"/>
        <w:ind w:firstLine="560" w:firstLineChars="200"/>
        <w:rPr>
          <w:rFonts w:ascii="宋体" w:hAnsi="宋体" w:cs="宋体"/>
          <w:b w:val="0"/>
          <w:bCs/>
          <w:sz w:val="28"/>
          <w:szCs w:val="28"/>
        </w:rPr>
      </w:pPr>
      <w:r>
        <w:rPr>
          <w:rFonts w:hint="eastAsia" w:ascii="宋体" w:hAnsi="宋体" w:cs="宋体"/>
          <w:b w:val="0"/>
          <w:bCs/>
          <w:sz w:val="28"/>
          <w:szCs w:val="28"/>
        </w:rPr>
        <w:t>1）防雷及防静电设施</w:t>
      </w:r>
    </w:p>
    <w:p w14:paraId="4F139A5C">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（1）建筑物应采取防雷措施。防雷设计应符合现行国家标准《建筑物防雷设计规范》GB 50057的有关规定。</w:t>
      </w:r>
    </w:p>
    <w:p w14:paraId="3D4B8EF5">
      <w:pPr>
        <w:spacing w:line="360" w:lineRule="auto"/>
        <w:ind w:firstLine="560" w:firstLineChars="200"/>
        <w:jc w:val="left"/>
        <w:rPr>
          <w:rFonts w:ascii="宋体" w:hAnsi="宋体" w:cs="宋体"/>
          <w:b w:val="0"/>
          <w:sz w:val="28"/>
          <w:szCs w:val="28"/>
        </w:rPr>
      </w:pPr>
      <w:r>
        <w:rPr>
          <w:rFonts w:hint="eastAsia" w:ascii="宋体" w:hAnsi="宋体" w:cs="宋体"/>
          <w:b w:val="0"/>
          <w:sz w:val="28"/>
          <w:szCs w:val="28"/>
        </w:rPr>
        <w:t>（2）拟新建</w:t>
      </w:r>
      <w:r>
        <w:rPr>
          <w:rFonts w:ascii="宋体" w:hAnsi="宋体" w:cs="宋体"/>
          <w:b w:val="0"/>
          <w:bCs/>
          <w:sz w:val="28"/>
          <w:szCs w:val="28"/>
        </w:rPr>
        <w:t>1#</w:t>
      </w:r>
      <w:r>
        <w:rPr>
          <w:rFonts w:hint="eastAsia" w:ascii="宋体" w:hAnsi="宋体" w:cs="宋体"/>
          <w:b w:val="0"/>
          <w:bCs/>
          <w:sz w:val="28"/>
          <w:szCs w:val="28"/>
        </w:rPr>
        <w:t>、2</w:t>
      </w:r>
      <w:r>
        <w:rPr>
          <w:rFonts w:ascii="宋体" w:hAnsi="宋体" w:cs="宋体"/>
          <w:b w:val="0"/>
          <w:bCs/>
          <w:sz w:val="28"/>
          <w:szCs w:val="28"/>
        </w:rPr>
        <w:t>#</w:t>
      </w:r>
      <w:r>
        <w:rPr>
          <w:rFonts w:hint="eastAsia" w:ascii="宋体" w:hAnsi="宋体" w:cs="宋体"/>
          <w:b w:val="0"/>
          <w:bCs/>
          <w:sz w:val="28"/>
          <w:szCs w:val="28"/>
        </w:rPr>
        <w:t>、3</w:t>
      </w:r>
      <w:r>
        <w:rPr>
          <w:rFonts w:ascii="宋体" w:hAnsi="宋体" w:cs="宋体"/>
          <w:b w:val="0"/>
          <w:bCs/>
          <w:sz w:val="28"/>
          <w:szCs w:val="28"/>
        </w:rPr>
        <w:t>#</w:t>
      </w:r>
      <w:r>
        <w:rPr>
          <w:rFonts w:hint="eastAsia" w:ascii="宋体" w:hAnsi="宋体" w:cs="宋体"/>
          <w:b w:val="0"/>
          <w:bCs/>
          <w:sz w:val="28"/>
          <w:szCs w:val="28"/>
        </w:rPr>
        <w:t>、4</w:t>
      </w:r>
      <w:r>
        <w:rPr>
          <w:rFonts w:ascii="宋体" w:hAnsi="宋体" w:cs="宋体"/>
          <w:b w:val="0"/>
          <w:bCs/>
          <w:sz w:val="28"/>
          <w:szCs w:val="28"/>
        </w:rPr>
        <w:t>#</w:t>
      </w:r>
      <w:r>
        <w:rPr>
          <w:rFonts w:hint="eastAsia" w:ascii="宋体" w:hAnsi="宋体" w:cs="宋体"/>
          <w:b w:val="0"/>
          <w:bCs/>
          <w:sz w:val="28"/>
          <w:szCs w:val="28"/>
        </w:rPr>
        <w:t>、5</w:t>
      </w:r>
      <w:r>
        <w:rPr>
          <w:rFonts w:ascii="宋体" w:hAnsi="宋体" w:cs="宋体"/>
          <w:b w:val="0"/>
          <w:bCs/>
          <w:sz w:val="28"/>
          <w:szCs w:val="28"/>
        </w:rPr>
        <w:t>#</w:t>
      </w:r>
      <w:r>
        <w:rPr>
          <w:rFonts w:hint="eastAsia" w:ascii="宋体" w:hAnsi="宋体" w:cs="宋体"/>
          <w:b w:val="0"/>
          <w:bCs/>
          <w:sz w:val="28"/>
          <w:szCs w:val="28"/>
        </w:rPr>
        <w:t>、6</w:t>
      </w:r>
      <w:r>
        <w:rPr>
          <w:rFonts w:ascii="宋体" w:hAnsi="宋体" w:cs="宋体"/>
          <w:b w:val="0"/>
          <w:bCs/>
          <w:sz w:val="28"/>
          <w:szCs w:val="28"/>
        </w:rPr>
        <w:t>#</w:t>
      </w:r>
      <w:r>
        <w:rPr>
          <w:rFonts w:hint="eastAsia" w:ascii="宋体" w:hAnsi="宋体" w:cs="宋体"/>
          <w:b w:val="0"/>
          <w:bCs/>
          <w:sz w:val="28"/>
          <w:szCs w:val="28"/>
        </w:rPr>
        <w:t>、7</w:t>
      </w:r>
      <w:r>
        <w:rPr>
          <w:rFonts w:ascii="宋体" w:hAnsi="宋体" w:cs="宋体"/>
          <w:b w:val="0"/>
          <w:bCs/>
          <w:sz w:val="28"/>
          <w:szCs w:val="28"/>
        </w:rPr>
        <w:t>#</w:t>
      </w:r>
      <w:r>
        <w:rPr>
          <w:rFonts w:hint="eastAsia" w:ascii="宋体" w:hAnsi="宋体" w:cs="宋体"/>
          <w:b w:val="0"/>
          <w:bCs/>
          <w:sz w:val="28"/>
          <w:szCs w:val="28"/>
        </w:rPr>
        <w:t>、8</w:t>
      </w:r>
      <w:r>
        <w:rPr>
          <w:rFonts w:ascii="宋体" w:hAnsi="宋体" w:cs="宋体"/>
          <w:b w:val="0"/>
          <w:bCs/>
          <w:sz w:val="28"/>
          <w:szCs w:val="28"/>
        </w:rPr>
        <w:t>#</w:t>
      </w:r>
      <w:r>
        <w:rPr>
          <w:rFonts w:hint="eastAsia" w:ascii="宋体" w:hAnsi="宋体" w:cs="宋体"/>
          <w:b w:val="0"/>
          <w:bCs/>
          <w:sz w:val="28"/>
          <w:szCs w:val="28"/>
        </w:rPr>
        <w:t>、9</w:t>
      </w:r>
      <w:r>
        <w:rPr>
          <w:rFonts w:ascii="宋体" w:hAnsi="宋体" w:cs="宋体"/>
          <w:b w:val="0"/>
          <w:bCs/>
          <w:sz w:val="28"/>
          <w:szCs w:val="28"/>
        </w:rPr>
        <w:t>#1.3</w:t>
      </w:r>
      <w:r>
        <w:rPr>
          <w:rFonts w:hint="eastAsia" w:ascii="宋体" w:hAnsi="宋体" w:cs="宋体"/>
          <w:b w:val="0"/>
          <w:bCs/>
          <w:sz w:val="28"/>
          <w:szCs w:val="28"/>
        </w:rPr>
        <w:t>级库房</w:t>
      </w:r>
      <w:r>
        <w:rPr>
          <w:rFonts w:hint="eastAsia" w:ascii="宋体" w:hAnsi="宋体" w:cs="宋体"/>
          <w:b w:val="0"/>
          <w:sz w:val="28"/>
          <w:szCs w:val="28"/>
        </w:rPr>
        <w:t>应按二类防雷要求设置，宜在屋面设置接闪带，并应组成网格。金属屋面板不应作为接闪装置。独立防雷接地电阻应小于10Ω；若与电气系统共用接地装置，则按最小值要求小于4Ω。本项目变电所引至库房的低压供电系统采用TN-C-S接地系统，但从建筑物内总配电箱开始引出的配电线路和分支线路采用TN-S系统。</w:t>
      </w:r>
    </w:p>
    <w:p w14:paraId="3A1CA868">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（3）拟新建1</w:t>
      </w:r>
      <w:r>
        <w:rPr>
          <w:rFonts w:ascii="宋体" w:hAnsi="宋体" w:cs="宋体"/>
          <w:b w:val="0"/>
          <w:spacing w:val="10"/>
          <w:kern w:val="24"/>
          <w:sz w:val="28"/>
          <w:szCs w:val="28"/>
        </w:rPr>
        <w:t>0#1.1</w:t>
      </w:r>
      <w:r>
        <w:rPr>
          <w:rFonts w:ascii="宋体" w:hAnsi="宋体" w:cs="宋体"/>
          <w:b w:val="0"/>
          <w:spacing w:val="10"/>
          <w:kern w:val="24"/>
          <w:sz w:val="28"/>
          <w:szCs w:val="28"/>
          <w:vertAlign w:val="superscript"/>
        </w:rPr>
        <w:t>-2</w:t>
      </w:r>
      <w:r>
        <w:rPr>
          <w:rFonts w:hint="eastAsia" w:ascii="宋体" w:hAnsi="宋体" w:cs="宋体"/>
          <w:b w:val="0"/>
          <w:spacing w:val="10"/>
          <w:kern w:val="24"/>
          <w:sz w:val="28"/>
          <w:szCs w:val="28"/>
        </w:rPr>
        <w:t>级库房应按一类防雷要求设置，</w:t>
      </w:r>
      <w:r>
        <w:rPr>
          <w:rFonts w:hint="eastAsia" w:ascii="宋体" w:hAnsi="宋体" w:cs="宋体"/>
          <w:b w:val="0"/>
          <w:sz w:val="28"/>
          <w:szCs w:val="28"/>
        </w:rPr>
        <w:t>重复接地、防雷接地的接地电阻要求小于10Ω。电气设备接地、防雷接地、弱电系统采用共同接地装置，其接地电阻要求不大于1Ω。</w:t>
      </w:r>
    </w:p>
    <w:p w14:paraId="4CBF6160">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（4）新建各库房出入口处，应设置人体静电释放仪。</w:t>
      </w:r>
    </w:p>
    <w:p w14:paraId="2DB67A22">
      <w:pPr>
        <w:adjustRightInd w:val="0"/>
        <w:snapToGrid w:val="0"/>
        <w:spacing w:line="360" w:lineRule="auto"/>
        <w:ind w:firstLine="560" w:firstLineChars="200"/>
        <w:rPr>
          <w:rFonts w:ascii="宋体" w:hAnsi="宋体" w:cs="宋体"/>
          <w:b w:val="0"/>
          <w:bCs/>
          <w:sz w:val="28"/>
          <w:szCs w:val="28"/>
        </w:rPr>
      </w:pPr>
      <w:r>
        <w:rPr>
          <w:rFonts w:hint="eastAsia" w:ascii="宋体" w:hAnsi="宋体" w:cs="宋体"/>
          <w:b w:val="0"/>
          <w:bCs/>
          <w:sz w:val="28"/>
          <w:szCs w:val="28"/>
        </w:rPr>
        <w:t>2）监控与报警装置</w:t>
      </w:r>
    </w:p>
    <w:p w14:paraId="262D1C98">
      <w:pPr>
        <w:adjustRightInd w:val="0"/>
        <w:snapToGrid w:val="0"/>
        <w:spacing w:line="360" w:lineRule="auto"/>
        <w:ind w:firstLine="560" w:firstLineChars="200"/>
        <w:rPr>
          <w:rFonts w:ascii="宋体" w:hAnsi="宋体" w:cs="宋体"/>
          <w:b w:val="0"/>
          <w:bCs/>
          <w:sz w:val="28"/>
          <w:szCs w:val="28"/>
        </w:rPr>
      </w:pPr>
      <w:r>
        <w:rPr>
          <w:rFonts w:hint="eastAsia" w:ascii="宋体" w:hAnsi="宋体" w:cs="宋体"/>
          <w:b w:val="0"/>
          <w:bCs/>
          <w:sz w:val="28"/>
          <w:szCs w:val="28"/>
        </w:rPr>
        <w:t>（1）配备视频监控系统、入侵报警系统，视频监控系统对拟改建仓库、大门等重点部位进行监控，监控范围100%，并在值班室里拟配置有视频信号显示器和视频信息储存装置。</w:t>
      </w:r>
    </w:p>
    <w:p w14:paraId="01390851">
      <w:pPr>
        <w:adjustRightInd w:val="0"/>
        <w:snapToGrid w:val="0"/>
        <w:spacing w:line="360" w:lineRule="auto"/>
        <w:ind w:firstLine="560" w:firstLineChars="200"/>
        <w:rPr>
          <w:rFonts w:ascii="宋体" w:hAnsi="宋体" w:cs="宋体"/>
          <w:b w:val="0"/>
          <w:bCs/>
          <w:sz w:val="28"/>
          <w:szCs w:val="28"/>
        </w:rPr>
      </w:pPr>
      <w:r>
        <w:rPr>
          <w:rFonts w:hint="eastAsia" w:ascii="宋体" w:hAnsi="宋体" w:cs="宋体"/>
          <w:b w:val="0"/>
          <w:bCs/>
          <w:sz w:val="28"/>
          <w:szCs w:val="28"/>
        </w:rPr>
        <w:t>（2）视频监控系统，监控系统的构成应符合《烟花爆竹企业安全监控系统通用技术条件》（AQ4101-2008）、《视频安防监控系统工程设计规范》（GB50395-2007）等相关规范的规定。</w:t>
      </w:r>
    </w:p>
    <w:p w14:paraId="6E406888">
      <w:pPr>
        <w:adjustRightInd w:val="0"/>
        <w:snapToGrid w:val="0"/>
        <w:spacing w:line="360" w:lineRule="auto"/>
        <w:ind w:firstLine="560" w:firstLineChars="200"/>
        <w:rPr>
          <w:rFonts w:ascii="宋体" w:hAnsi="宋体" w:cs="宋体"/>
          <w:b w:val="0"/>
          <w:bCs/>
          <w:sz w:val="28"/>
          <w:szCs w:val="28"/>
        </w:rPr>
      </w:pPr>
      <w:r>
        <w:rPr>
          <w:rFonts w:hint="eastAsia" w:ascii="宋体" w:hAnsi="宋体" w:cs="宋体"/>
          <w:b w:val="0"/>
          <w:bCs/>
          <w:sz w:val="28"/>
          <w:szCs w:val="28"/>
        </w:rPr>
        <w:t>（3）视频监控设计，电气设备选型、线路技术要求及敷设方式等均应符合GB50161的规定。</w:t>
      </w:r>
    </w:p>
    <w:p w14:paraId="1A75692F">
      <w:pPr>
        <w:adjustRightInd w:val="0"/>
        <w:snapToGrid w:val="0"/>
        <w:spacing w:line="360" w:lineRule="auto"/>
        <w:ind w:firstLine="560" w:firstLineChars="200"/>
        <w:rPr>
          <w:rFonts w:ascii="宋体" w:hAnsi="宋体" w:cs="宋体"/>
          <w:b w:val="0"/>
          <w:bCs/>
          <w:sz w:val="28"/>
          <w:szCs w:val="28"/>
        </w:rPr>
      </w:pPr>
      <w:r>
        <w:rPr>
          <w:rFonts w:hint="eastAsia" w:ascii="宋体" w:hAnsi="宋体" w:cs="宋体"/>
          <w:b w:val="0"/>
          <w:bCs/>
          <w:sz w:val="28"/>
          <w:szCs w:val="28"/>
        </w:rPr>
        <w:t>3）电气</w:t>
      </w:r>
    </w:p>
    <w:p w14:paraId="4334812C">
      <w:pPr>
        <w:adjustRightInd w:val="0"/>
        <w:snapToGrid w:val="0"/>
        <w:spacing w:line="360" w:lineRule="auto"/>
        <w:ind w:firstLine="560" w:firstLineChars="200"/>
        <w:rPr>
          <w:rFonts w:ascii="宋体" w:hAnsi="宋体" w:cs="宋体"/>
          <w:b w:val="0"/>
          <w:bCs/>
          <w:sz w:val="28"/>
          <w:szCs w:val="28"/>
        </w:rPr>
      </w:pPr>
      <w:r>
        <w:rPr>
          <w:rFonts w:hint="eastAsia" w:ascii="宋体" w:hAnsi="宋体" w:cs="宋体"/>
          <w:b w:val="0"/>
          <w:bCs/>
          <w:sz w:val="28"/>
          <w:szCs w:val="28"/>
        </w:rPr>
        <w:t>（1）针对仓库内电气设备可能产生电火花和静电等危险性，本项目库房内不设置照明，但应设疏散照明和疏散指示标志。应急照明照度值不低于该场所正常照明照度值的10%，应急时间不小于30min。</w:t>
      </w:r>
    </w:p>
    <w:p w14:paraId="3B8E0142">
      <w:pPr>
        <w:adjustRightInd w:val="0"/>
        <w:snapToGrid w:val="0"/>
        <w:spacing w:line="360" w:lineRule="auto"/>
        <w:ind w:firstLine="560" w:firstLineChars="200"/>
        <w:rPr>
          <w:rFonts w:ascii="宋体" w:hAnsi="宋体" w:cs="宋体"/>
          <w:b w:val="0"/>
          <w:sz w:val="28"/>
          <w:szCs w:val="28"/>
        </w:rPr>
      </w:pPr>
      <w:r>
        <w:rPr>
          <w:rFonts w:hint="eastAsia" w:ascii="宋体" w:hAnsi="宋体" w:cs="宋体"/>
          <w:b w:val="0"/>
          <w:sz w:val="28"/>
          <w:szCs w:val="28"/>
        </w:rPr>
        <w:t>（2）库区电气线路由当地1</w:t>
      </w:r>
      <w:r>
        <w:rPr>
          <w:rFonts w:ascii="宋体" w:hAnsi="宋体" w:cs="宋体"/>
          <w:b w:val="0"/>
          <w:sz w:val="28"/>
          <w:szCs w:val="28"/>
        </w:rPr>
        <w:t>0kv</w:t>
      </w:r>
      <w:r>
        <w:rPr>
          <w:rFonts w:hint="eastAsia" w:ascii="宋体" w:hAnsi="宋体" w:cs="宋体"/>
          <w:b w:val="0"/>
          <w:sz w:val="28"/>
          <w:szCs w:val="28"/>
        </w:rPr>
        <w:t>供电管网，经3</w:t>
      </w:r>
      <w:r>
        <w:rPr>
          <w:rFonts w:ascii="宋体" w:hAnsi="宋体" w:cs="宋体"/>
          <w:b w:val="0"/>
          <w:sz w:val="28"/>
          <w:szCs w:val="28"/>
        </w:rPr>
        <w:t>15kv</w:t>
      </w:r>
      <w:r>
        <w:rPr>
          <w:rFonts w:hint="eastAsia" w:ascii="宋体" w:hAnsi="宋体" w:cs="宋体"/>
          <w:b w:val="0"/>
          <w:sz w:val="28"/>
          <w:szCs w:val="28"/>
        </w:rPr>
        <w:t>架空变压器降压至0</w:t>
      </w:r>
      <w:r>
        <w:rPr>
          <w:rFonts w:ascii="宋体" w:hAnsi="宋体" w:cs="宋体"/>
          <w:b w:val="0"/>
          <w:sz w:val="28"/>
          <w:szCs w:val="28"/>
        </w:rPr>
        <w:t>.4kv</w:t>
      </w:r>
      <w:r>
        <w:rPr>
          <w:rFonts w:hint="eastAsia" w:ascii="宋体" w:hAnsi="宋体" w:cs="宋体"/>
          <w:b w:val="0"/>
          <w:sz w:val="28"/>
          <w:szCs w:val="28"/>
        </w:rPr>
        <w:t>后引入库区配电室。在配电室低压侧配置集中自动补偿装置，补偿容量按变压器容量的3</w:t>
      </w:r>
      <w:r>
        <w:rPr>
          <w:rFonts w:ascii="宋体" w:hAnsi="宋体" w:cs="宋体"/>
          <w:b w:val="0"/>
          <w:sz w:val="28"/>
          <w:szCs w:val="28"/>
        </w:rPr>
        <w:t>0%</w:t>
      </w:r>
      <w:r>
        <w:rPr>
          <w:rFonts w:hint="eastAsia" w:ascii="宋体" w:hAnsi="宋体" w:cs="宋体"/>
          <w:b w:val="0"/>
          <w:sz w:val="28"/>
          <w:szCs w:val="28"/>
        </w:rPr>
        <w:t>设置，采用智能型无功自动补偿装置（具备分相补偿功能），补偿后的功率因数不低于0.9</w:t>
      </w:r>
      <w:r>
        <w:rPr>
          <w:rFonts w:ascii="宋体" w:hAnsi="宋体" w:cs="宋体"/>
          <w:b w:val="0"/>
          <w:sz w:val="28"/>
          <w:szCs w:val="28"/>
        </w:rPr>
        <w:t>5</w:t>
      </w:r>
      <w:r>
        <w:rPr>
          <w:rFonts w:hint="eastAsia" w:ascii="宋体" w:hAnsi="宋体" w:cs="宋体"/>
          <w:b w:val="0"/>
          <w:sz w:val="28"/>
          <w:szCs w:val="28"/>
        </w:rPr>
        <w:t>。配电系统采用放射式配至各库房就地控制。</w:t>
      </w:r>
    </w:p>
    <w:p w14:paraId="75B09B48">
      <w:pPr>
        <w:adjustRightInd w:val="0"/>
        <w:snapToGrid w:val="0"/>
        <w:spacing w:line="360" w:lineRule="auto"/>
        <w:ind w:firstLine="560" w:firstLineChars="200"/>
        <w:rPr>
          <w:rFonts w:ascii="宋体" w:hAnsi="宋体" w:cs="宋体"/>
          <w:b w:val="0"/>
          <w:bCs/>
          <w:kern w:val="0"/>
          <w:sz w:val="28"/>
          <w:szCs w:val="28"/>
        </w:rPr>
      </w:pPr>
      <w:r>
        <w:rPr>
          <w:rFonts w:hint="eastAsia" w:ascii="宋体" w:hAnsi="宋体" w:cs="宋体"/>
          <w:b w:val="0"/>
          <w:bCs/>
          <w:kern w:val="0"/>
          <w:sz w:val="28"/>
          <w:szCs w:val="28"/>
        </w:rPr>
        <w:t>（3）新建仓库内电气线路应</w:t>
      </w:r>
      <w:r>
        <w:rPr>
          <w:rFonts w:ascii="宋体" w:hAnsi="宋体" w:cs="宋体"/>
          <w:b w:val="0"/>
          <w:bCs/>
          <w:kern w:val="0"/>
          <w:sz w:val="28"/>
          <w:szCs w:val="28"/>
        </w:rPr>
        <w:t>采用</w:t>
      </w:r>
      <w:r>
        <w:rPr>
          <w:rFonts w:hint="eastAsia" w:ascii="宋体" w:hAnsi="宋体" w:cs="宋体"/>
          <w:b w:val="0"/>
          <w:bCs/>
          <w:kern w:val="0"/>
          <w:sz w:val="28"/>
          <w:szCs w:val="28"/>
        </w:rPr>
        <w:t>铜芯阻燃绝缘电线或铜芯阻燃电缆。电线和电</w:t>
      </w:r>
      <w:r>
        <w:rPr>
          <w:rFonts w:ascii="宋体" w:hAnsi="宋体" w:cs="宋体"/>
          <w:b w:val="0"/>
          <w:bCs/>
          <w:kern w:val="0"/>
          <w:sz w:val="28"/>
          <w:szCs w:val="28"/>
        </w:rPr>
        <w:t>缆的</w:t>
      </w:r>
      <w:r>
        <w:rPr>
          <w:rFonts w:hint="eastAsia" w:ascii="宋体" w:hAnsi="宋体" w:cs="宋体"/>
          <w:b w:val="0"/>
          <w:bCs/>
          <w:kern w:val="0"/>
          <w:sz w:val="28"/>
          <w:szCs w:val="28"/>
        </w:rPr>
        <w:t>额定电压不低于450V/750V</w:t>
      </w:r>
      <w:r>
        <w:rPr>
          <w:rFonts w:ascii="宋体" w:hAnsi="宋体" w:cs="宋体"/>
          <w:b w:val="0"/>
          <w:bCs/>
          <w:kern w:val="0"/>
          <w:sz w:val="28"/>
          <w:szCs w:val="28"/>
        </w:rPr>
        <w:t>；通讯导线的</w:t>
      </w:r>
      <w:r>
        <w:rPr>
          <w:rFonts w:hint="eastAsia" w:ascii="宋体" w:hAnsi="宋体" w:cs="宋体"/>
          <w:b w:val="0"/>
          <w:bCs/>
          <w:kern w:val="0"/>
          <w:sz w:val="28"/>
          <w:szCs w:val="28"/>
        </w:rPr>
        <w:t>额定电压不低于300V/</w:t>
      </w:r>
      <w:r>
        <w:rPr>
          <w:rFonts w:ascii="宋体" w:hAnsi="宋体" w:cs="宋体"/>
          <w:b w:val="0"/>
          <w:bCs/>
          <w:kern w:val="0"/>
          <w:sz w:val="28"/>
          <w:szCs w:val="28"/>
        </w:rPr>
        <w:t>5</w:t>
      </w:r>
      <w:r>
        <w:rPr>
          <w:rFonts w:hint="eastAsia" w:ascii="宋体" w:hAnsi="宋体" w:cs="宋体"/>
          <w:b w:val="0"/>
          <w:bCs/>
          <w:kern w:val="0"/>
          <w:sz w:val="28"/>
          <w:szCs w:val="28"/>
        </w:rPr>
        <w:t>0</w:t>
      </w:r>
      <w:r>
        <w:rPr>
          <w:rFonts w:ascii="宋体" w:hAnsi="宋体" w:cs="宋体"/>
          <w:b w:val="0"/>
          <w:bCs/>
          <w:kern w:val="0"/>
          <w:sz w:val="28"/>
          <w:szCs w:val="28"/>
        </w:rPr>
        <w:t>0V。</w:t>
      </w:r>
    </w:p>
    <w:p w14:paraId="1707BD0E">
      <w:pPr>
        <w:adjustRightInd w:val="0"/>
        <w:snapToGrid w:val="0"/>
        <w:spacing w:line="360" w:lineRule="auto"/>
        <w:ind w:firstLine="560" w:firstLineChars="200"/>
        <w:rPr>
          <w:rFonts w:ascii="宋体" w:hAnsi="宋体" w:cs="宋体"/>
          <w:b w:val="0"/>
          <w:bCs/>
          <w:sz w:val="28"/>
          <w:szCs w:val="28"/>
        </w:rPr>
      </w:pPr>
      <w:r>
        <w:rPr>
          <w:rFonts w:hint="eastAsia" w:ascii="宋体" w:hAnsi="宋体" w:cs="宋体"/>
          <w:b w:val="0"/>
          <w:bCs/>
          <w:sz w:val="28"/>
          <w:szCs w:val="28"/>
        </w:rPr>
        <w:t>（4）</w:t>
      </w:r>
      <w:r>
        <w:rPr>
          <w:rFonts w:hint="eastAsia" w:ascii="宋体" w:hAnsi="宋体" w:cs="宋体"/>
          <w:b w:val="0"/>
          <w:bCs/>
          <w:kern w:val="0"/>
          <w:sz w:val="28"/>
          <w:szCs w:val="28"/>
        </w:rPr>
        <w:t>室外电气线路：从库区室外输电线路，应采用380V/220V架空明线，距离仓库房大于1.5倍杆距。</w:t>
      </w:r>
    </w:p>
    <w:p w14:paraId="1F59618A">
      <w:pPr>
        <w:keepNext/>
        <w:keepLines/>
        <w:spacing w:before="120" w:beforeLines="50" w:after="120" w:afterLines="50" w:line="360" w:lineRule="auto"/>
        <w:outlineLvl w:val="1"/>
        <w:rPr>
          <w:rFonts w:ascii="黑体" w:hAnsi="宋体" w:eastAsia="黑体"/>
          <w:b w:val="0"/>
          <w:bCs/>
          <w:snapToGrid w:val="0"/>
          <w:sz w:val="30"/>
          <w:szCs w:val="30"/>
        </w:rPr>
      </w:pPr>
      <w:bookmarkStart w:id="83" w:name="_Toc297251647"/>
      <w:bookmarkStart w:id="84" w:name="_Toc300344394"/>
      <w:bookmarkStart w:id="85" w:name="_Toc300329572"/>
      <w:bookmarkStart w:id="86" w:name="_Toc278054186"/>
      <w:bookmarkStart w:id="87" w:name="_Toc300256197"/>
      <w:bookmarkStart w:id="88" w:name="_Toc205979625"/>
      <w:r>
        <w:rPr>
          <w:rFonts w:hint="eastAsia" w:ascii="黑体" w:hAnsi="宋体" w:eastAsia="黑体"/>
          <w:b w:val="0"/>
          <w:bCs/>
          <w:snapToGrid w:val="0"/>
          <w:sz w:val="30"/>
          <w:szCs w:val="30"/>
        </w:rPr>
        <w:t>2.6库区内、外部距离</w:t>
      </w:r>
      <w:bookmarkEnd w:id="83"/>
      <w:bookmarkEnd w:id="84"/>
      <w:bookmarkEnd w:id="85"/>
      <w:bookmarkEnd w:id="86"/>
      <w:bookmarkEnd w:id="87"/>
      <w:bookmarkEnd w:id="88"/>
    </w:p>
    <w:p w14:paraId="1E6F013A">
      <w:pPr>
        <w:pStyle w:val="6"/>
        <w:rPr>
          <w:rFonts w:ascii="黑体" w:hAnsi="宋体" w:eastAsia="黑体"/>
          <w:b w:val="0"/>
          <w:bCs w:val="0"/>
          <w:snapToGrid w:val="0"/>
          <w:sz w:val="30"/>
          <w:szCs w:val="30"/>
        </w:rPr>
      </w:pPr>
      <w:bookmarkStart w:id="89" w:name="_Toc165038781"/>
      <w:bookmarkStart w:id="90" w:name="_Toc300344395"/>
      <w:bookmarkStart w:id="91" w:name="_Toc300256198"/>
      <w:bookmarkStart w:id="92" w:name="_Toc300329573"/>
      <w:bookmarkStart w:id="93" w:name="_Toc278054187"/>
      <w:r>
        <w:rPr>
          <w:rFonts w:hint="eastAsia" w:ascii="黑体" w:hAnsi="宋体" w:eastAsia="黑体"/>
          <w:b w:val="0"/>
          <w:bCs w:val="0"/>
          <w:snapToGrid w:val="0"/>
          <w:sz w:val="30"/>
          <w:szCs w:val="30"/>
        </w:rPr>
        <w:t>2.6.1库区外部安全距离</w:t>
      </w:r>
      <w:bookmarkEnd w:id="89"/>
      <w:bookmarkEnd w:id="90"/>
      <w:bookmarkEnd w:id="91"/>
      <w:bookmarkEnd w:id="92"/>
      <w:bookmarkEnd w:id="93"/>
    </w:p>
    <w:p w14:paraId="65F5C4A7">
      <w:pPr>
        <w:jc w:val="center"/>
        <w:rPr>
          <w:rFonts w:ascii="黑体" w:hAnsi="黑体" w:eastAsia="黑体" w:cs="Arial"/>
          <w:b w:val="0"/>
          <w:sz w:val="24"/>
        </w:rPr>
      </w:pPr>
      <w:r>
        <w:rPr>
          <w:rFonts w:hint="eastAsia" w:ascii="黑体" w:hAnsi="黑体" w:eastAsia="黑体" w:cs="Arial"/>
          <w:b w:val="0"/>
          <w:sz w:val="24"/>
        </w:rPr>
        <w:t>表2.6</w:t>
      </w:r>
      <w:r>
        <w:rPr>
          <w:rFonts w:ascii="黑体" w:hAnsi="黑体" w:eastAsia="黑体" w:cs="Arial"/>
          <w:b w:val="0"/>
          <w:sz w:val="24"/>
        </w:rPr>
        <w:t>.</w:t>
      </w:r>
      <w:r>
        <w:rPr>
          <w:rFonts w:hint="eastAsia" w:ascii="黑体" w:hAnsi="黑体" w:eastAsia="黑体" w:cs="Arial"/>
          <w:b w:val="0"/>
          <w:sz w:val="24"/>
        </w:rPr>
        <w:t>1  拟新建库区外部安全距离</w:t>
      </w:r>
    </w:p>
    <w:tbl>
      <w:tblPr>
        <w:tblStyle w:val="49"/>
        <w:tblW w:w="91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692"/>
        <w:gridCol w:w="936"/>
        <w:gridCol w:w="2920"/>
        <w:gridCol w:w="744"/>
        <w:gridCol w:w="1581"/>
        <w:gridCol w:w="1322"/>
      </w:tblGrid>
      <w:tr w14:paraId="1A133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tblHeader/>
          <w:jc w:val="center"/>
        </w:trPr>
        <w:tc>
          <w:tcPr>
            <w:tcW w:w="924" w:type="dxa"/>
            <w:shd w:val="clear" w:color="auto" w:fill="auto"/>
            <w:vAlign w:val="center"/>
          </w:tcPr>
          <w:p w14:paraId="5E0147B6">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仓库</w:t>
            </w:r>
          </w:p>
          <w:p w14:paraId="4901D4B0">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名称</w:t>
            </w:r>
          </w:p>
        </w:tc>
        <w:tc>
          <w:tcPr>
            <w:tcW w:w="692" w:type="dxa"/>
            <w:shd w:val="clear" w:color="auto" w:fill="auto"/>
            <w:vAlign w:val="center"/>
          </w:tcPr>
          <w:p w14:paraId="61A2B9A7">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危险等级</w:t>
            </w:r>
          </w:p>
        </w:tc>
        <w:tc>
          <w:tcPr>
            <w:tcW w:w="936" w:type="dxa"/>
            <w:shd w:val="clear" w:color="auto" w:fill="auto"/>
            <w:vAlign w:val="center"/>
          </w:tcPr>
          <w:p w14:paraId="1E78B8C8">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拟定最大限存药量（t）</w:t>
            </w:r>
          </w:p>
        </w:tc>
        <w:tc>
          <w:tcPr>
            <w:tcW w:w="2920" w:type="dxa"/>
            <w:shd w:val="clear" w:color="auto" w:fill="auto"/>
            <w:vAlign w:val="center"/>
          </w:tcPr>
          <w:p w14:paraId="22AA8DE1">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周边建（构）筑物</w:t>
            </w:r>
          </w:p>
        </w:tc>
        <w:tc>
          <w:tcPr>
            <w:tcW w:w="744" w:type="dxa"/>
            <w:shd w:val="clear" w:color="auto" w:fill="auto"/>
            <w:vAlign w:val="center"/>
          </w:tcPr>
          <w:p w14:paraId="06EEBCC3">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标准要求（m）</w:t>
            </w:r>
          </w:p>
        </w:tc>
        <w:tc>
          <w:tcPr>
            <w:tcW w:w="1581" w:type="dxa"/>
            <w:shd w:val="clear" w:color="auto" w:fill="auto"/>
            <w:vAlign w:val="center"/>
          </w:tcPr>
          <w:p w14:paraId="777F5A17">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实际距离（m）</w:t>
            </w:r>
          </w:p>
        </w:tc>
        <w:tc>
          <w:tcPr>
            <w:tcW w:w="1322" w:type="dxa"/>
            <w:vAlign w:val="center"/>
          </w:tcPr>
          <w:p w14:paraId="2FF4E447">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符合性</w:t>
            </w:r>
          </w:p>
        </w:tc>
      </w:tr>
      <w:tr w14:paraId="0924A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restart"/>
            <w:shd w:val="clear" w:color="auto" w:fill="auto"/>
            <w:vAlign w:val="center"/>
          </w:tcPr>
          <w:p w14:paraId="59CDF3FB">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1</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19F36B7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1.3</w:t>
            </w:r>
          </w:p>
        </w:tc>
        <w:tc>
          <w:tcPr>
            <w:tcW w:w="936" w:type="dxa"/>
            <w:vMerge w:val="restart"/>
            <w:shd w:val="clear" w:color="auto" w:fill="auto"/>
            <w:vAlign w:val="center"/>
          </w:tcPr>
          <w:p w14:paraId="45BC4C17">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11.16</w:t>
            </w:r>
          </w:p>
        </w:tc>
        <w:tc>
          <w:tcPr>
            <w:tcW w:w="2920" w:type="dxa"/>
            <w:shd w:val="clear" w:color="auto" w:fill="auto"/>
            <w:vAlign w:val="center"/>
          </w:tcPr>
          <w:p w14:paraId="01934383">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3EA97CA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60518971">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w:t>
            </w:r>
            <w:r>
              <w:rPr>
                <w:rFonts w:asciiTheme="minorEastAsia" w:hAnsiTheme="minorEastAsia" w:eastAsiaTheme="minorEastAsia"/>
                <w:b w:val="0"/>
                <w:szCs w:val="21"/>
              </w:rPr>
              <w:t xml:space="preserve"> </w:t>
            </w:r>
          </w:p>
        </w:tc>
        <w:tc>
          <w:tcPr>
            <w:tcW w:w="1322" w:type="dxa"/>
            <w:vAlign w:val="center"/>
          </w:tcPr>
          <w:p w14:paraId="203C6337">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40BD5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7FF28D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692" w:type="dxa"/>
            <w:vMerge w:val="continue"/>
            <w:shd w:val="clear" w:color="auto" w:fill="auto"/>
            <w:vAlign w:val="center"/>
          </w:tcPr>
          <w:p w14:paraId="64F9575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5521269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5BD05879">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71860AF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1D7E5515">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 xml:space="preserve">m范围内无本条款的所有控制项目 </w:t>
            </w:r>
          </w:p>
        </w:tc>
        <w:tc>
          <w:tcPr>
            <w:tcW w:w="1322" w:type="dxa"/>
            <w:vAlign w:val="center"/>
          </w:tcPr>
          <w:p w14:paraId="4A175C1F">
            <w:pPr>
              <w:spacing w:line="240" w:lineRule="exact"/>
              <w:jc w:val="center"/>
              <w:rPr>
                <w:rFonts w:asciiTheme="minorEastAsia" w:hAnsiTheme="minorEastAsia" w:eastAsiaTheme="minorEastAsia"/>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306C7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4463A3B7">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692" w:type="dxa"/>
            <w:vMerge w:val="continue"/>
            <w:shd w:val="clear" w:color="auto" w:fill="auto"/>
            <w:vAlign w:val="center"/>
          </w:tcPr>
          <w:p w14:paraId="5073107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12F25B0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1255467">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19EF5CB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2D22D068">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250m范围内无本条款的所有控制项目；</w:t>
            </w:r>
          </w:p>
        </w:tc>
        <w:tc>
          <w:tcPr>
            <w:tcW w:w="1322" w:type="dxa"/>
            <w:vAlign w:val="center"/>
          </w:tcPr>
          <w:p w14:paraId="0048BAB6">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EBC5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282C0F8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692" w:type="dxa"/>
            <w:vMerge w:val="continue"/>
            <w:shd w:val="clear" w:color="auto" w:fill="auto"/>
            <w:vAlign w:val="center"/>
          </w:tcPr>
          <w:p w14:paraId="2C62D2C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2F4FB16">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28571B9">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68494E7E">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7E0E4BC3">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322" w:type="dxa"/>
            <w:vAlign w:val="center"/>
          </w:tcPr>
          <w:p w14:paraId="41A5154C">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0C063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1335B7C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692" w:type="dxa"/>
            <w:vMerge w:val="continue"/>
            <w:shd w:val="clear" w:color="auto" w:fill="auto"/>
            <w:vAlign w:val="center"/>
          </w:tcPr>
          <w:p w14:paraId="34F77BB3">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9A7AAA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420B6164">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5936EB14">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653AE0A0">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322" w:type="dxa"/>
            <w:vAlign w:val="center"/>
          </w:tcPr>
          <w:p w14:paraId="758D7DB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E542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29DF80E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692" w:type="dxa"/>
            <w:vMerge w:val="continue"/>
            <w:shd w:val="clear" w:color="auto" w:fill="auto"/>
            <w:vAlign w:val="center"/>
          </w:tcPr>
          <w:p w14:paraId="0081005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59B75596">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4A934278">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183CEDD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5B106CE2">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322" w:type="dxa"/>
            <w:vAlign w:val="center"/>
          </w:tcPr>
          <w:p w14:paraId="2C77AA5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00AE8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restart"/>
            <w:shd w:val="clear" w:color="auto" w:fill="auto"/>
            <w:vAlign w:val="center"/>
          </w:tcPr>
          <w:p w14:paraId="412BCF6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asciiTheme="minorEastAsia" w:hAnsiTheme="minorEastAsia" w:eastAsiaTheme="minorEastAsia"/>
                <w:b w:val="0"/>
                <w:szCs w:val="21"/>
              </w:rPr>
              <w:t>2</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083B2DD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1.3</w:t>
            </w:r>
          </w:p>
        </w:tc>
        <w:tc>
          <w:tcPr>
            <w:tcW w:w="936" w:type="dxa"/>
            <w:vMerge w:val="restart"/>
            <w:shd w:val="clear" w:color="auto" w:fill="auto"/>
            <w:vAlign w:val="center"/>
          </w:tcPr>
          <w:p w14:paraId="471F48B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67EA7E6D">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0E2CCDE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2F247582">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85m范围内无本条款的所有控制项目；西面1</w:t>
            </w:r>
            <w:r>
              <w:rPr>
                <w:rFonts w:asciiTheme="minorEastAsia" w:hAnsiTheme="minorEastAsia" w:eastAsiaTheme="minorEastAsia"/>
                <w:b w:val="0"/>
                <w:szCs w:val="21"/>
              </w:rPr>
              <w:t>20</w:t>
            </w:r>
            <w:r>
              <w:rPr>
                <w:rFonts w:hint="eastAsia" w:asciiTheme="minorEastAsia" w:hAnsiTheme="minorEastAsia" w:eastAsiaTheme="minorEastAsia"/>
                <w:b w:val="0"/>
                <w:szCs w:val="21"/>
              </w:rPr>
              <w:t>米处为本企业办公室</w:t>
            </w:r>
            <w:r>
              <w:rPr>
                <w:rFonts w:asciiTheme="minorEastAsia" w:hAnsiTheme="minorEastAsia" w:eastAsiaTheme="minorEastAsia"/>
                <w:b w:val="0"/>
                <w:szCs w:val="21"/>
              </w:rPr>
              <w:t xml:space="preserve"> </w:t>
            </w:r>
          </w:p>
        </w:tc>
        <w:tc>
          <w:tcPr>
            <w:tcW w:w="1322" w:type="dxa"/>
            <w:vAlign w:val="center"/>
          </w:tcPr>
          <w:p w14:paraId="19A12C2E">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37806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5FBB7729">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2A57BA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9EE1276">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12E9910">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62BFD6F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63B829F8">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p>
        </w:tc>
        <w:tc>
          <w:tcPr>
            <w:tcW w:w="1322" w:type="dxa"/>
            <w:vAlign w:val="center"/>
          </w:tcPr>
          <w:p w14:paraId="71DDDDC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19A98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8224A84">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3D7D89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F9C41C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B745F79">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09CA667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096163D6">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322" w:type="dxa"/>
            <w:vAlign w:val="center"/>
          </w:tcPr>
          <w:p w14:paraId="309299C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0611E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57CBAC82">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760D826">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49F5A5D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37EC5AF">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0E15EA07">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199F17A0">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322" w:type="dxa"/>
            <w:vAlign w:val="center"/>
          </w:tcPr>
          <w:p w14:paraId="7607C57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1500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4EC9AFF">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4B0680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568C00E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1D46F85">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016357D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754DE516">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322" w:type="dxa"/>
            <w:vAlign w:val="center"/>
          </w:tcPr>
          <w:p w14:paraId="19C672E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1662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1C4D244">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1878DB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FDA7C8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4137764">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556F1D7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2811AFBE">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322" w:type="dxa"/>
            <w:vAlign w:val="center"/>
          </w:tcPr>
          <w:p w14:paraId="31C82FD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62ACE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restart"/>
            <w:shd w:val="clear" w:color="auto" w:fill="auto"/>
            <w:vAlign w:val="center"/>
          </w:tcPr>
          <w:p w14:paraId="29A51DCE">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asciiTheme="minorEastAsia" w:hAnsiTheme="minorEastAsia" w:eastAsiaTheme="minorEastAsia"/>
                <w:b w:val="0"/>
                <w:szCs w:val="21"/>
              </w:rPr>
              <w:t>3#</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70CBEE0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2C5F963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2D5C50B4">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6972A35D">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0E356C57">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w:t>
            </w:r>
          </w:p>
        </w:tc>
        <w:tc>
          <w:tcPr>
            <w:tcW w:w="1322" w:type="dxa"/>
            <w:vAlign w:val="center"/>
          </w:tcPr>
          <w:p w14:paraId="338AF29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4A55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7065786F">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647BB07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27DEA4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599EF056">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3A3E9616">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425F6430">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p>
        </w:tc>
        <w:tc>
          <w:tcPr>
            <w:tcW w:w="1322" w:type="dxa"/>
            <w:vAlign w:val="center"/>
          </w:tcPr>
          <w:p w14:paraId="31DB2A6D">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45CAD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64F4B0CC">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5E0CCF6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E5DFDD6">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70C7306">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0474811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73F29AB5">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322" w:type="dxa"/>
            <w:vAlign w:val="center"/>
          </w:tcPr>
          <w:p w14:paraId="6844F4D6">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11E21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2F78E88C">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5F1B15B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09A207E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F9DEA6D">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50DF222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04F1B418">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322" w:type="dxa"/>
            <w:vAlign w:val="center"/>
          </w:tcPr>
          <w:p w14:paraId="302EB12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4BC38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459C4DE">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A95BDA5">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49101BA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D4A898F">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6ACD4F2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532A0C96">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322" w:type="dxa"/>
            <w:vAlign w:val="center"/>
          </w:tcPr>
          <w:p w14:paraId="719C06DD">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2A117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13539976">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F5B9A8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959960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63F547D9">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096CD05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19ED1A7F">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322" w:type="dxa"/>
            <w:vAlign w:val="center"/>
          </w:tcPr>
          <w:p w14:paraId="7BCAE08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5E963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restart"/>
            <w:shd w:val="clear" w:color="auto" w:fill="auto"/>
            <w:vAlign w:val="center"/>
          </w:tcPr>
          <w:p w14:paraId="21B90D8C">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asciiTheme="minorEastAsia" w:hAnsiTheme="minorEastAsia" w:eastAsiaTheme="minorEastAsia"/>
                <w:b w:val="0"/>
                <w:szCs w:val="21"/>
              </w:rPr>
              <w:t>4#</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7A15EBA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3B3245F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411D7B37">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2214A6D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2980E5F9">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w:t>
            </w:r>
          </w:p>
        </w:tc>
        <w:tc>
          <w:tcPr>
            <w:tcW w:w="1322" w:type="dxa"/>
            <w:vAlign w:val="center"/>
          </w:tcPr>
          <w:p w14:paraId="30F82E9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373DA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69596258">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68097B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5E9A82A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BBB278C">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5970772D">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0E879144">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p>
        </w:tc>
        <w:tc>
          <w:tcPr>
            <w:tcW w:w="1322" w:type="dxa"/>
            <w:vAlign w:val="center"/>
          </w:tcPr>
          <w:p w14:paraId="741DABE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4B3A1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00F4E003">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D48064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843F7E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AEBFD40">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63CC5B1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4749A8EA">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322" w:type="dxa"/>
            <w:vAlign w:val="center"/>
          </w:tcPr>
          <w:p w14:paraId="1F35B55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2BC98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75ACDD7">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77288B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560E47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FF22D59">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71D4CC5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73597B43">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322" w:type="dxa"/>
            <w:vAlign w:val="center"/>
          </w:tcPr>
          <w:p w14:paraId="3DDCB88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052B6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4543CECD">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6A5E543">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F6FA07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6E828BE">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567636D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1E8004B9">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322" w:type="dxa"/>
            <w:vAlign w:val="center"/>
          </w:tcPr>
          <w:p w14:paraId="30C607A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4D8C5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5805F659">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03B0CF5">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0935C1A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8689EDC">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438CC90C">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7526F102">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322" w:type="dxa"/>
            <w:vAlign w:val="center"/>
          </w:tcPr>
          <w:p w14:paraId="05A0F49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34150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restart"/>
            <w:shd w:val="clear" w:color="auto" w:fill="auto"/>
            <w:vAlign w:val="center"/>
          </w:tcPr>
          <w:p w14:paraId="514DA2FB">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asciiTheme="minorEastAsia" w:hAnsiTheme="minorEastAsia" w:eastAsiaTheme="minorEastAsia"/>
                <w:b w:val="0"/>
                <w:szCs w:val="21"/>
              </w:rPr>
              <w:t>5#</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2461C50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757FB68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337FEEA8">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26F5FB3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74600E2D">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w:t>
            </w:r>
          </w:p>
        </w:tc>
        <w:tc>
          <w:tcPr>
            <w:tcW w:w="1322" w:type="dxa"/>
            <w:vAlign w:val="center"/>
          </w:tcPr>
          <w:p w14:paraId="4F4C8977">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61F1A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74BD61D">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661E953">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2B8F3B7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78D05DE">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0CE6EF06">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3227517D">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p>
        </w:tc>
        <w:tc>
          <w:tcPr>
            <w:tcW w:w="1322" w:type="dxa"/>
            <w:vAlign w:val="center"/>
          </w:tcPr>
          <w:p w14:paraId="3562FAA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BCB7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57037FD9">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4E84C02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0592C9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14DB65E">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7966E03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08008D23">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322" w:type="dxa"/>
            <w:vAlign w:val="center"/>
          </w:tcPr>
          <w:p w14:paraId="221FCD5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6A9BB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5F410A6B">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F25155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58239EE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48B08B1E">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1D5150B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10A317B7">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322" w:type="dxa"/>
            <w:vAlign w:val="center"/>
          </w:tcPr>
          <w:p w14:paraId="13E305D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4CAC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444D00FD">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3A36545">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E56B1D5">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E1A71E4">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3A530F2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16F07F63">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322" w:type="dxa"/>
            <w:vAlign w:val="center"/>
          </w:tcPr>
          <w:p w14:paraId="1DF46E1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3DD14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B7145BB">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BAC410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714B3B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2323B71">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707F6FD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532D0CF8">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322" w:type="dxa"/>
            <w:vAlign w:val="center"/>
          </w:tcPr>
          <w:p w14:paraId="13EBDA1E">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603C0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restart"/>
            <w:shd w:val="clear" w:color="auto" w:fill="auto"/>
            <w:vAlign w:val="center"/>
          </w:tcPr>
          <w:p w14:paraId="45EF04F8">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asciiTheme="minorEastAsia" w:hAnsiTheme="minorEastAsia" w:eastAsiaTheme="minorEastAsia"/>
                <w:b w:val="0"/>
                <w:szCs w:val="21"/>
              </w:rPr>
              <w:t>6#</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0C0D093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6BABB25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290D4519">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0F590A8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75DBD490">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w:t>
            </w:r>
          </w:p>
        </w:tc>
        <w:tc>
          <w:tcPr>
            <w:tcW w:w="1322" w:type="dxa"/>
            <w:vAlign w:val="center"/>
          </w:tcPr>
          <w:p w14:paraId="36EAA4E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3D174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6C75D993">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521EF7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D2421A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35891FE">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0D29DD07">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20401589">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p>
        </w:tc>
        <w:tc>
          <w:tcPr>
            <w:tcW w:w="1322" w:type="dxa"/>
            <w:vAlign w:val="center"/>
          </w:tcPr>
          <w:p w14:paraId="4AD74F1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FC95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78E15E84">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4EB379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2901845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8AE714B">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5E3960C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4ED97F52">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322" w:type="dxa"/>
            <w:vAlign w:val="center"/>
          </w:tcPr>
          <w:p w14:paraId="0AEC019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2FD88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1441E2E9">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2787D4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428C039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21D96AB">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26E117CC">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6C634BBC">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322" w:type="dxa"/>
            <w:vAlign w:val="center"/>
          </w:tcPr>
          <w:p w14:paraId="38FB96BC">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29E78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B010363">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99C8F2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4E0A890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A0B61E8">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2925F83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6F62D4BD">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322" w:type="dxa"/>
            <w:vAlign w:val="center"/>
          </w:tcPr>
          <w:p w14:paraId="6410795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199A4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660C365E">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3E7C60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56C3543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648653E7">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31BA787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425940A3">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322" w:type="dxa"/>
            <w:vAlign w:val="center"/>
          </w:tcPr>
          <w:p w14:paraId="2E02966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71AA80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restart"/>
            <w:shd w:val="clear" w:color="auto" w:fill="auto"/>
            <w:vAlign w:val="center"/>
          </w:tcPr>
          <w:p w14:paraId="5D79CD86">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asciiTheme="minorEastAsia" w:hAnsiTheme="minorEastAsia" w:eastAsiaTheme="minorEastAsia"/>
                <w:b w:val="0"/>
                <w:szCs w:val="21"/>
              </w:rPr>
              <w:t>7#</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62E75E8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2FD82217">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096C977A">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5CAB548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6A9EDD39">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w:t>
            </w:r>
          </w:p>
        </w:tc>
        <w:tc>
          <w:tcPr>
            <w:tcW w:w="1322" w:type="dxa"/>
            <w:vAlign w:val="center"/>
          </w:tcPr>
          <w:p w14:paraId="6501CA3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444F9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B61C5D0">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42BB93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649C55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4D182100">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64A96054">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286C18D5">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p>
        </w:tc>
        <w:tc>
          <w:tcPr>
            <w:tcW w:w="1322" w:type="dxa"/>
            <w:vAlign w:val="center"/>
          </w:tcPr>
          <w:p w14:paraId="78EF9D9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4DB1D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6462A10B">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082FD6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1326E4B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6B33D69F">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343E0507">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3712490F">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322" w:type="dxa"/>
            <w:vAlign w:val="center"/>
          </w:tcPr>
          <w:p w14:paraId="14E3B297">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60F6F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6625BFBE">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95E2A4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155D901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5C8C57F5">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4A6FAB3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13FC7038">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322" w:type="dxa"/>
            <w:vAlign w:val="center"/>
          </w:tcPr>
          <w:p w14:paraId="3ACC610E">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69129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577A290F">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E44FCE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A25AB0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F77E14D">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39C5207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5A47109F">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322" w:type="dxa"/>
            <w:vAlign w:val="center"/>
          </w:tcPr>
          <w:p w14:paraId="506E0EE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EFF4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62D93C05">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B6C574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2BB53EB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D328748">
            <w:pPr>
              <w:pStyle w:val="2"/>
              <w:spacing w:line="240" w:lineRule="exact"/>
              <w:ind w:firstLine="0" w:firstLineChars="0"/>
              <w:rPr>
                <w:rFonts w:asciiTheme="minorEastAsia" w:hAnsiTheme="minorEastAsia" w:eastAsiaTheme="minorEastAsia"/>
                <w:sz w:val="21"/>
                <w:szCs w:val="21"/>
              </w:rPr>
            </w:pPr>
            <w:r>
              <w:rPr>
                <w:rFonts w:hint="eastAsia" w:asciiTheme="minorEastAsia" w:hAnsiTheme="minorEastAsia" w:eastAsiaTheme="minorEastAsia"/>
                <w:b w:val="0"/>
                <w:sz w:val="21"/>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49440DE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227610B8">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322" w:type="dxa"/>
            <w:vAlign w:val="center"/>
          </w:tcPr>
          <w:p w14:paraId="4D16192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4A9DE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restart"/>
            <w:shd w:val="clear" w:color="auto" w:fill="auto"/>
            <w:vAlign w:val="center"/>
          </w:tcPr>
          <w:p w14:paraId="3AC8A98E">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asciiTheme="minorEastAsia" w:hAnsiTheme="minorEastAsia" w:eastAsiaTheme="minorEastAsia"/>
                <w:b w:val="0"/>
                <w:szCs w:val="21"/>
              </w:rPr>
              <w:t>8#</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1FB02A43">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5342547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04CC5ECC">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28EF2B6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32F6032C">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85m范围内无本条款的所有控制项目；东面1</w:t>
            </w:r>
            <w:r>
              <w:rPr>
                <w:rFonts w:asciiTheme="minorEastAsia" w:hAnsiTheme="minorEastAsia" w:eastAsiaTheme="minorEastAsia"/>
                <w:b w:val="0"/>
                <w:szCs w:val="21"/>
              </w:rPr>
              <w:t>22.5</w:t>
            </w:r>
            <w:r>
              <w:rPr>
                <w:rFonts w:hint="eastAsia" w:asciiTheme="minorEastAsia" w:hAnsiTheme="minorEastAsia" w:eastAsiaTheme="minorEastAsia"/>
                <w:b w:val="0"/>
                <w:szCs w:val="21"/>
              </w:rPr>
              <w:t>米处有一处养猪场</w:t>
            </w:r>
          </w:p>
        </w:tc>
        <w:tc>
          <w:tcPr>
            <w:tcW w:w="1322" w:type="dxa"/>
            <w:vAlign w:val="center"/>
          </w:tcPr>
          <w:p w14:paraId="4334C66D">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0086B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0CF1135B">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C8449B3">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F2E373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2525C5C">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3DCEFB2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5157EF16">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r>
              <w:rPr>
                <w:rFonts w:asciiTheme="minorEastAsia" w:hAnsiTheme="minorEastAsia" w:eastAsiaTheme="minorEastAsia"/>
                <w:b w:val="0"/>
                <w:szCs w:val="21"/>
              </w:rPr>
              <w:t xml:space="preserve"> </w:t>
            </w:r>
          </w:p>
        </w:tc>
        <w:tc>
          <w:tcPr>
            <w:tcW w:w="1322" w:type="dxa"/>
            <w:vAlign w:val="center"/>
          </w:tcPr>
          <w:p w14:paraId="48F7139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35DC2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1C3D7DAA">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6A6175F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1363F75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CC3856C">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15BE48DC">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225848AE">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322" w:type="dxa"/>
            <w:vAlign w:val="center"/>
          </w:tcPr>
          <w:p w14:paraId="275B2B1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2D617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20757045">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B99167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5BDBF8C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626E8C9F">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1460530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65F881D6">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322" w:type="dxa"/>
            <w:vAlign w:val="center"/>
          </w:tcPr>
          <w:p w14:paraId="29206437">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065FB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1E18920">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2F10DF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4D7CD4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BCD0DC2">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4CF31FC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35855756">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322" w:type="dxa"/>
            <w:vAlign w:val="center"/>
          </w:tcPr>
          <w:p w14:paraId="038D4C3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304AE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6CFDD138">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576E4FD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2200176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917CB5D">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36CEB8A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563959DC">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322" w:type="dxa"/>
            <w:vAlign w:val="center"/>
          </w:tcPr>
          <w:p w14:paraId="72F75C17">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211E8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restart"/>
            <w:shd w:val="clear" w:color="auto" w:fill="auto"/>
            <w:vAlign w:val="center"/>
          </w:tcPr>
          <w:p w14:paraId="535A9761">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hint="eastAsia" w:asciiTheme="minorEastAsia" w:hAnsiTheme="minorEastAsia" w:eastAsiaTheme="minorEastAsia"/>
                <w:b w:val="0"/>
                <w:szCs w:val="21"/>
              </w:rPr>
              <w:t>9</w:t>
            </w:r>
            <w:r>
              <w:rPr>
                <w:rFonts w:asciiTheme="minorEastAsia" w:hAnsiTheme="minorEastAsia" w:eastAsiaTheme="minorEastAsia"/>
                <w:b w:val="0"/>
                <w:szCs w:val="21"/>
              </w:rPr>
              <w:t>#</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062DCE9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6EB765B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8.48</w:t>
            </w:r>
          </w:p>
        </w:tc>
        <w:tc>
          <w:tcPr>
            <w:tcW w:w="2920" w:type="dxa"/>
            <w:shd w:val="clear" w:color="auto" w:fill="auto"/>
            <w:vAlign w:val="center"/>
          </w:tcPr>
          <w:p w14:paraId="5BC34FBD">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5EC9A4C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6AB0F07F">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85m范围内无本条款的所有控制项目；东北面8</w:t>
            </w:r>
            <w:r>
              <w:rPr>
                <w:rFonts w:asciiTheme="minorEastAsia" w:hAnsiTheme="minorEastAsia" w:eastAsiaTheme="minorEastAsia"/>
                <w:b w:val="0"/>
                <w:szCs w:val="21"/>
              </w:rPr>
              <w:t>6.44</w:t>
            </w:r>
            <w:r>
              <w:rPr>
                <w:rFonts w:hint="eastAsia" w:asciiTheme="minorEastAsia" w:hAnsiTheme="minorEastAsia" w:eastAsiaTheme="minorEastAsia"/>
                <w:b w:val="0"/>
                <w:szCs w:val="21"/>
              </w:rPr>
              <w:t>米处有一处养猪场</w:t>
            </w:r>
          </w:p>
        </w:tc>
        <w:tc>
          <w:tcPr>
            <w:tcW w:w="1322" w:type="dxa"/>
            <w:vAlign w:val="center"/>
          </w:tcPr>
          <w:p w14:paraId="59A6A91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5435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4E9BFFCA">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75EB54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125665C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42CB3D8">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305D1EE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41718615">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r>
              <w:rPr>
                <w:rFonts w:asciiTheme="minorEastAsia" w:hAnsiTheme="minorEastAsia" w:eastAsiaTheme="minorEastAsia"/>
                <w:b w:val="0"/>
                <w:szCs w:val="21"/>
              </w:rPr>
              <w:t xml:space="preserve"> </w:t>
            </w:r>
          </w:p>
        </w:tc>
        <w:tc>
          <w:tcPr>
            <w:tcW w:w="1322" w:type="dxa"/>
            <w:vAlign w:val="center"/>
          </w:tcPr>
          <w:p w14:paraId="0F916FC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06CAC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13D59942">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40FEC26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274492E5">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480E857">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53C0AE6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47BCECC8">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322" w:type="dxa"/>
            <w:vAlign w:val="center"/>
          </w:tcPr>
          <w:p w14:paraId="74F1B45C">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D625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D231C50">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6B4A06D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CF1F39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5EB78A9">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2E8A487C">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2C030459">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322" w:type="dxa"/>
            <w:vAlign w:val="center"/>
          </w:tcPr>
          <w:p w14:paraId="18CCC28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69655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6F09DD3F">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69B551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9E3B46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13EF8D6">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38CBDCB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0B35677D">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322" w:type="dxa"/>
            <w:vAlign w:val="center"/>
          </w:tcPr>
          <w:p w14:paraId="6A777E8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08907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346EBE0C">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7B12FD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2E509C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C2A93FC">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5609A11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28CBCE4F">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322" w:type="dxa"/>
            <w:vAlign w:val="center"/>
          </w:tcPr>
          <w:p w14:paraId="40E1E496">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36FF8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restart"/>
            <w:shd w:val="clear" w:color="auto" w:fill="auto"/>
            <w:vAlign w:val="center"/>
          </w:tcPr>
          <w:p w14:paraId="0896E1A2">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0#</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29D522D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vertAlign w:val="superscript"/>
              </w:rPr>
              <w:t>-2</w:t>
            </w:r>
          </w:p>
        </w:tc>
        <w:tc>
          <w:tcPr>
            <w:tcW w:w="936" w:type="dxa"/>
            <w:vMerge w:val="restart"/>
            <w:shd w:val="clear" w:color="auto" w:fill="auto"/>
            <w:vAlign w:val="center"/>
          </w:tcPr>
          <w:p w14:paraId="4297C19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2</w:t>
            </w:r>
            <w:r>
              <w:rPr>
                <w:rFonts w:cs="宋体" w:asciiTheme="minorEastAsia" w:hAnsiTheme="minorEastAsia" w:eastAsiaTheme="minorEastAsia"/>
                <w:b w:val="0"/>
                <w:snapToGrid w:val="0"/>
                <w:spacing w:val="-1"/>
                <w:kern w:val="0"/>
                <w:szCs w:val="21"/>
              </w:rPr>
              <w:t>.2</w:t>
            </w:r>
          </w:p>
        </w:tc>
        <w:tc>
          <w:tcPr>
            <w:tcW w:w="2920" w:type="dxa"/>
            <w:shd w:val="clear" w:color="auto" w:fill="auto"/>
            <w:vAlign w:val="center"/>
          </w:tcPr>
          <w:p w14:paraId="2DC34699">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  散住户边缘、职工总数小于或等于50人的企业围墙、本企业生产区建(构)筑物  边缘、无摘挂作业铁路中间 站站界及建筑物边缘、110kV架空输电线路</w:t>
            </w:r>
          </w:p>
        </w:tc>
        <w:tc>
          <w:tcPr>
            <w:tcW w:w="744" w:type="dxa"/>
            <w:shd w:val="clear" w:color="auto" w:fill="auto"/>
            <w:vAlign w:val="center"/>
          </w:tcPr>
          <w:p w14:paraId="1F8DBF95">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205</w:t>
            </w:r>
          </w:p>
        </w:tc>
        <w:tc>
          <w:tcPr>
            <w:tcW w:w="1581" w:type="dxa"/>
            <w:shd w:val="clear" w:color="auto" w:fill="auto"/>
            <w:vAlign w:val="center"/>
          </w:tcPr>
          <w:p w14:paraId="2B825A86">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205</w:t>
            </w:r>
            <w:r>
              <w:rPr>
                <w:rFonts w:hint="eastAsia" w:asciiTheme="minorEastAsia" w:hAnsiTheme="minorEastAsia" w:eastAsiaTheme="minorEastAsia"/>
                <w:b w:val="0"/>
                <w:szCs w:val="21"/>
              </w:rPr>
              <w:t>m范围内无本条款的所有控制项目</w:t>
            </w:r>
          </w:p>
        </w:tc>
        <w:tc>
          <w:tcPr>
            <w:tcW w:w="1322" w:type="dxa"/>
            <w:vAlign w:val="center"/>
          </w:tcPr>
          <w:p w14:paraId="1E01E5A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19522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49FB03DE">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848DCC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D51678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16E7823">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人数大于50人且小于或等于500人的居民点边缘、职工总数小于或等于500人的企业围墙、有摘挂作业的铁路车站站界及建筑物边缘</w:t>
            </w:r>
          </w:p>
        </w:tc>
        <w:tc>
          <w:tcPr>
            <w:tcW w:w="744" w:type="dxa"/>
            <w:shd w:val="clear" w:color="auto" w:fill="auto"/>
            <w:vAlign w:val="center"/>
          </w:tcPr>
          <w:p w14:paraId="2DC23C2D">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275</w:t>
            </w:r>
          </w:p>
        </w:tc>
        <w:tc>
          <w:tcPr>
            <w:tcW w:w="1581" w:type="dxa"/>
            <w:shd w:val="clear" w:color="auto" w:fill="auto"/>
            <w:vAlign w:val="center"/>
          </w:tcPr>
          <w:p w14:paraId="49CD7816">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275</w:t>
            </w:r>
            <w:r>
              <w:rPr>
                <w:rFonts w:hint="eastAsia" w:asciiTheme="minorEastAsia" w:hAnsiTheme="minorEastAsia" w:eastAsiaTheme="minorEastAsia"/>
                <w:b w:val="0"/>
                <w:szCs w:val="21"/>
              </w:rPr>
              <w:t>m范围内无本条款的所有控制项目；</w:t>
            </w:r>
            <w:r>
              <w:rPr>
                <w:rFonts w:asciiTheme="minorEastAsia" w:hAnsiTheme="minorEastAsia" w:eastAsiaTheme="minorEastAsia"/>
                <w:b w:val="0"/>
                <w:szCs w:val="21"/>
              </w:rPr>
              <w:t xml:space="preserve"> </w:t>
            </w:r>
          </w:p>
        </w:tc>
        <w:tc>
          <w:tcPr>
            <w:tcW w:w="1322" w:type="dxa"/>
          </w:tcPr>
          <w:p w14:paraId="40809184">
            <w:pPr>
              <w:spacing w:line="240" w:lineRule="exact"/>
              <w:jc w:val="cente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31C90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4B5D1383">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E83653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C1D48A6">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4F8B01C1">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人数大于500人且小于  或等于5000人的居民点边 缘、职工总数小于或等于 5000人的企业围墙</w:t>
            </w:r>
          </w:p>
        </w:tc>
        <w:tc>
          <w:tcPr>
            <w:tcW w:w="744" w:type="dxa"/>
            <w:shd w:val="clear" w:color="auto" w:fill="auto"/>
            <w:vAlign w:val="center"/>
          </w:tcPr>
          <w:p w14:paraId="43CD8547">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300</w:t>
            </w:r>
          </w:p>
        </w:tc>
        <w:tc>
          <w:tcPr>
            <w:tcW w:w="1581" w:type="dxa"/>
            <w:shd w:val="clear" w:color="auto" w:fill="auto"/>
            <w:vAlign w:val="center"/>
          </w:tcPr>
          <w:p w14:paraId="0AE29A0D">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30</w:t>
            </w:r>
            <w:r>
              <w:rPr>
                <w:rFonts w:hint="eastAsia" w:asciiTheme="minorEastAsia" w:hAnsiTheme="minorEastAsia" w:eastAsiaTheme="minorEastAsia"/>
                <w:b w:val="0"/>
                <w:szCs w:val="21"/>
              </w:rPr>
              <w:t>0m范围内无本条款的所有控制项目；</w:t>
            </w:r>
            <w:r>
              <w:rPr>
                <w:rFonts w:asciiTheme="minorEastAsia" w:hAnsiTheme="minorEastAsia" w:eastAsiaTheme="minorEastAsia"/>
                <w:b w:val="0"/>
                <w:szCs w:val="21"/>
              </w:rPr>
              <w:t xml:space="preserve"> </w:t>
            </w:r>
          </w:p>
        </w:tc>
        <w:tc>
          <w:tcPr>
            <w:tcW w:w="1322" w:type="dxa"/>
          </w:tcPr>
          <w:p w14:paraId="381D3871">
            <w:pPr>
              <w:spacing w:line="240" w:lineRule="exact"/>
              <w:jc w:val="cente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653A7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2082AFF5">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6C086BA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8140DE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E0389D1">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110kV区域变电站围墙， 220kV架空输电线路</w:t>
            </w:r>
          </w:p>
        </w:tc>
        <w:tc>
          <w:tcPr>
            <w:tcW w:w="744" w:type="dxa"/>
            <w:shd w:val="clear" w:color="auto" w:fill="auto"/>
            <w:vAlign w:val="center"/>
          </w:tcPr>
          <w:p w14:paraId="421CD5F4">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320</w:t>
            </w:r>
          </w:p>
        </w:tc>
        <w:tc>
          <w:tcPr>
            <w:tcW w:w="1581" w:type="dxa"/>
            <w:shd w:val="clear" w:color="auto" w:fill="auto"/>
            <w:vAlign w:val="center"/>
          </w:tcPr>
          <w:p w14:paraId="26090A85">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3</w:t>
            </w:r>
            <w:r>
              <w:rPr>
                <w:rFonts w:hint="eastAsia" w:asciiTheme="minorEastAsia" w:hAnsiTheme="minorEastAsia" w:eastAsiaTheme="minorEastAsia"/>
                <w:b w:val="0"/>
                <w:szCs w:val="21"/>
              </w:rPr>
              <w:t>20m范围内无本条款的所有控制项目</w:t>
            </w:r>
          </w:p>
        </w:tc>
        <w:tc>
          <w:tcPr>
            <w:tcW w:w="1322" w:type="dxa"/>
          </w:tcPr>
          <w:p w14:paraId="10A94D52">
            <w:pPr>
              <w:spacing w:line="240" w:lineRule="exact"/>
              <w:jc w:val="cente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06C73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640A1ED8">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2DE796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C8F4EA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59A33B1">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城镇规划边缘、学校、220kV以上的区域变电站围墙，220kV以上架空输电线路</w:t>
            </w:r>
          </w:p>
        </w:tc>
        <w:tc>
          <w:tcPr>
            <w:tcW w:w="744" w:type="dxa"/>
            <w:shd w:val="clear" w:color="auto" w:fill="auto"/>
            <w:vAlign w:val="center"/>
          </w:tcPr>
          <w:p w14:paraId="0EF5C6E3">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480</w:t>
            </w:r>
          </w:p>
        </w:tc>
        <w:tc>
          <w:tcPr>
            <w:tcW w:w="1581" w:type="dxa"/>
            <w:shd w:val="clear" w:color="auto" w:fill="auto"/>
            <w:vAlign w:val="center"/>
          </w:tcPr>
          <w:p w14:paraId="320F0B17">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480</w:t>
            </w:r>
            <w:r>
              <w:rPr>
                <w:rFonts w:hint="eastAsia" w:asciiTheme="minorEastAsia" w:hAnsiTheme="minorEastAsia" w:eastAsiaTheme="minorEastAsia"/>
                <w:b w:val="0"/>
                <w:szCs w:val="21"/>
              </w:rPr>
              <w:t>m范围内无本条款的所有控制项目</w:t>
            </w:r>
          </w:p>
        </w:tc>
        <w:tc>
          <w:tcPr>
            <w:tcW w:w="1322" w:type="dxa"/>
          </w:tcPr>
          <w:p w14:paraId="415CBABD">
            <w:pPr>
              <w:spacing w:line="240" w:lineRule="exact"/>
              <w:jc w:val="cente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41986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4544382A">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E7E963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38387C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5151EB39">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78A13379">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180</w:t>
            </w:r>
          </w:p>
        </w:tc>
        <w:tc>
          <w:tcPr>
            <w:tcW w:w="1581" w:type="dxa"/>
            <w:shd w:val="clear" w:color="auto" w:fill="auto"/>
            <w:vAlign w:val="center"/>
          </w:tcPr>
          <w:p w14:paraId="20225BB7">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80</w:t>
            </w:r>
            <w:r>
              <w:rPr>
                <w:rFonts w:hint="eastAsia" w:asciiTheme="minorEastAsia" w:hAnsiTheme="minorEastAsia" w:eastAsiaTheme="minorEastAsia"/>
                <w:b w:val="0"/>
                <w:szCs w:val="21"/>
              </w:rPr>
              <w:t>m范围内无本条款的其它控制项目</w:t>
            </w:r>
          </w:p>
        </w:tc>
        <w:tc>
          <w:tcPr>
            <w:tcW w:w="1322" w:type="dxa"/>
          </w:tcPr>
          <w:p w14:paraId="6419666F">
            <w:pPr>
              <w:spacing w:line="240" w:lineRule="exact"/>
              <w:jc w:val="cente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2685E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2C36049B">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2CCA4F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BBB6CF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D5E7497">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非本厂的工厂铁路支线、县级公路用地外缘、35kV架空输电线路</w:t>
            </w:r>
          </w:p>
        </w:tc>
        <w:tc>
          <w:tcPr>
            <w:tcW w:w="744" w:type="dxa"/>
            <w:shd w:val="clear" w:color="auto" w:fill="auto"/>
            <w:vAlign w:val="center"/>
          </w:tcPr>
          <w:p w14:paraId="21D3B218">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120</w:t>
            </w:r>
          </w:p>
        </w:tc>
        <w:tc>
          <w:tcPr>
            <w:tcW w:w="1581" w:type="dxa"/>
            <w:shd w:val="clear" w:color="auto" w:fill="auto"/>
            <w:vAlign w:val="center"/>
          </w:tcPr>
          <w:p w14:paraId="18742F7D">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120</w:t>
            </w:r>
            <w:r>
              <w:rPr>
                <w:rFonts w:hint="eastAsia" w:asciiTheme="minorEastAsia" w:hAnsiTheme="minorEastAsia" w:eastAsiaTheme="minorEastAsia"/>
                <w:b w:val="0"/>
                <w:szCs w:val="21"/>
              </w:rPr>
              <w:t>m范围内无本条款的所有控制项目</w:t>
            </w:r>
          </w:p>
        </w:tc>
        <w:tc>
          <w:tcPr>
            <w:tcW w:w="1322" w:type="dxa"/>
            <w:vAlign w:val="center"/>
          </w:tcPr>
          <w:p w14:paraId="6C7AD7A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1D804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 w:type="dxa"/>
            <w:vMerge w:val="continue"/>
            <w:shd w:val="clear" w:color="auto" w:fill="auto"/>
            <w:vAlign w:val="center"/>
          </w:tcPr>
          <w:p w14:paraId="5B66692D">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056B8B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4F750AD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86AB580">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0C46416D">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084293C7">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322" w:type="dxa"/>
            <w:vAlign w:val="center"/>
          </w:tcPr>
          <w:p w14:paraId="778180B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bl>
    <w:p w14:paraId="0D5374A6">
      <w:pPr>
        <w:pStyle w:val="6"/>
        <w:spacing w:before="240" w:beforeLines="100"/>
        <w:rPr>
          <w:rFonts w:ascii="黑体" w:hAnsi="宋体" w:eastAsia="黑体"/>
          <w:b w:val="0"/>
          <w:bCs w:val="0"/>
          <w:snapToGrid w:val="0"/>
          <w:sz w:val="30"/>
          <w:szCs w:val="30"/>
        </w:rPr>
      </w:pPr>
      <w:bookmarkStart w:id="94" w:name="_Toc300329574"/>
      <w:bookmarkStart w:id="95" w:name="_Toc300344396"/>
      <w:bookmarkStart w:id="96" w:name="_Toc300256199"/>
      <w:bookmarkStart w:id="97" w:name="_Toc278054188"/>
      <w:bookmarkStart w:id="98" w:name="_Toc165038782"/>
      <w:r>
        <w:rPr>
          <w:rFonts w:hint="eastAsia" w:ascii="黑体" w:hAnsi="宋体" w:eastAsia="黑体"/>
          <w:b w:val="0"/>
          <w:bCs w:val="0"/>
          <w:snapToGrid w:val="0"/>
          <w:sz w:val="30"/>
          <w:szCs w:val="30"/>
        </w:rPr>
        <w:t>2.6.2库区内部安全距离</w:t>
      </w:r>
      <w:bookmarkEnd w:id="94"/>
      <w:bookmarkEnd w:id="95"/>
      <w:bookmarkEnd w:id="96"/>
      <w:bookmarkEnd w:id="97"/>
      <w:bookmarkEnd w:id="98"/>
    </w:p>
    <w:p w14:paraId="0BF5C397">
      <w:pPr>
        <w:jc w:val="center"/>
        <w:rPr>
          <w:rFonts w:ascii="黑体" w:hAnsi="黑体" w:eastAsia="黑体" w:cs="Arial"/>
          <w:b w:val="0"/>
          <w:sz w:val="24"/>
        </w:rPr>
      </w:pPr>
      <w:r>
        <w:rPr>
          <w:rFonts w:hint="eastAsia" w:ascii="黑体" w:hAnsi="黑体" w:eastAsia="黑体" w:cs="Arial"/>
          <w:b w:val="0"/>
          <w:sz w:val="24"/>
        </w:rPr>
        <w:t>表2.6</w:t>
      </w:r>
      <w:r>
        <w:rPr>
          <w:rFonts w:ascii="黑体" w:hAnsi="黑体" w:eastAsia="黑体" w:cs="Arial"/>
          <w:b w:val="0"/>
          <w:sz w:val="24"/>
        </w:rPr>
        <w:t>.</w:t>
      </w:r>
      <w:r>
        <w:rPr>
          <w:rFonts w:hint="eastAsia" w:ascii="黑体" w:hAnsi="黑体" w:eastAsia="黑体" w:cs="Arial"/>
          <w:b w:val="0"/>
          <w:sz w:val="24"/>
        </w:rPr>
        <w:t>2  拟新建仓库内部距离表（单位：m）</w:t>
      </w:r>
    </w:p>
    <w:tbl>
      <w:tblPr>
        <w:tblStyle w:val="49"/>
        <w:tblW w:w="902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1"/>
        <w:gridCol w:w="709"/>
        <w:gridCol w:w="1276"/>
        <w:gridCol w:w="1701"/>
        <w:gridCol w:w="1134"/>
        <w:gridCol w:w="992"/>
        <w:gridCol w:w="709"/>
        <w:gridCol w:w="1559"/>
      </w:tblGrid>
      <w:tr w14:paraId="648CF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941" w:type="dxa"/>
            <w:tcMar>
              <w:left w:w="0" w:type="dxa"/>
              <w:right w:w="0" w:type="dxa"/>
            </w:tcMar>
            <w:vAlign w:val="center"/>
          </w:tcPr>
          <w:p w14:paraId="73B82B15">
            <w:pPr>
              <w:spacing w:line="2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库房名称</w:t>
            </w:r>
          </w:p>
        </w:tc>
        <w:tc>
          <w:tcPr>
            <w:tcW w:w="709" w:type="dxa"/>
            <w:tcMar>
              <w:left w:w="0" w:type="dxa"/>
              <w:right w:w="0" w:type="dxa"/>
            </w:tcMar>
            <w:vAlign w:val="center"/>
          </w:tcPr>
          <w:p w14:paraId="182F4C4B">
            <w:pPr>
              <w:spacing w:line="2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危险</w:t>
            </w:r>
          </w:p>
          <w:p w14:paraId="3BD1C807">
            <w:pPr>
              <w:spacing w:line="2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等级</w:t>
            </w:r>
          </w:p>
        </w:tc>
        <w:tc>
          <w:tcPr>
            <w:tcW w:w="1276" w:type="dxa"/>
            <w:tcMar>
              <w:left w:w="0" w:type="dxa"/>
              <w:right w:w="0" w:type="dxa"/>
            </w:tcMar>
            <w:vAlign w:val="center"/>
          </w:tcPr>
          <w:p w14:paraId="54E99A5F">
            <w:pPr>
              <w:spacing w:line="2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cs="Arial" w:asciiTheme="minorEastAsia" w:hAnsiTheme="minorEastAsia" w:eastAsiaTheme="minorEastAsia"/>
                <w:bCs/>
                <w:color w:val="000000" w:themeColor="text1"/>
                <w:szCs w:val="21"/>
                <w14:textFill>
                  <w14:solidFill>
                    <w14:schemeClr w14:val="tx1"/>
                  </w14:solidFill>
                </w14:textFill>
              </w:rPr>
              <w:t>拟定最大储存药量（</w:t>
            </w:r>
            <w:r>
              <w:rPr>
                <w:rFonts w:cs="Arial" w:asciiTheme="minorEastAsia" w:hAnsiTheme="minorEastAsia" w:eastAsiaTheme="minorEastAsia"/>
                <w:bCs/>
                <w:color w:val="000000" w:themeColor="text1"/>
                <w:szCs w:val="21"/>
                <w14:textFill>
                  <w14:solidFill>
                    <w14:schemeClr w14:val="tx1"/>
                  </w14:solidFill>
                </w14:textFill>
              </w:rPr>
              <w:t>kg</w:t>
            </w:r>
            <w:r>
              <w:rPr>
                <w:rFonts w:hint="eastAsia" w:cs="Arial" w:asciiTheme="minorEastAsia" w:hAnsiTheme="minorEastAsia" w:eastAsiaTheme="minorEastAsia"/>
                <w:bCs/>
                <w:color w:val="000000" w:themeColor="text1"/>
                <w:szCs w:val="21"/>
                <w14:textFill>
                  <w14:solidFill>
                    <w14:schemeClr w14:val="tx1"/>
                  </w14:solidFill>
                </w14:textFill>
              </w:rPr>
              <w:t>）</w:t>
            </w:r>
          </w:p>
        </w:tc>
        <w:tc>
          <w:tcPr>
            <w:tcW w:w="1701" w:type="dxa"/>
            <w:tcMar>
              <w:left w:w="0" w:type="dxa"/>
              <w:right w:w="0" w:type="dxa"/>
            </w:tcMar>
            <w:vAlign w:val="center"/>
          </w:tcPr>
          <w:p w14:paraId="6FB1826D">
            <w:pPr>
              <w:spacing w:line="2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相邻的建筑名称</w:t>
            </w:r>
          </w:p>
        </w:tc>
        <w:tc>
          <w:tcPr>
            <w:tcW w:w="1134" w:type="dxa"/>
            <w:tcMar>
              <w:left w:w="0" w:type="dxa"/>
              <w:right w:w="0" w:type="dxa"/>
            </w:tcMar>
            <w:vAlign w:val="center"/>
          </w:tcPr>
          <w:p w14:paraId="27D5C230">
            <w:pPr>
              <w:spacing w:line="240" w:lineRule="exact"/>
              <w:jc w:val="center"/>
              <w:rPr>
                <w:rFonts w:asciiTheme="minorEastAsia" w:hAnsiTheme="minorEastAsia" w:eastAsiaTheme="minorEastAsia"/>
                <w:color w:val="000000" w:themeColor="text1"/>
                <w:szCs w:val="21"/>
                <w14:textFill>
                  <w14:solidFill>
                    <w14:schemeClr w14:val="tx1"/>
                  </w14:solidFill>
                </w14:textFill>
              </w:rPr>
            </w:pPr>
            <w:r>
              <w:rPr>
                <w:rFonts w:cs="Arial" w:asciiTheme="minorEastAsia" w:hAnsiTheme="minorEastAsia" w:eastAsiaTheme="minorEastAsia"/>
                <w:bCs/>
                <w:color w:val="000000" w:themeColor="text1"/>
                <w:szCs w:val="21"/>
                <w14:textFill>
                  <w14:solidFill>
                    <w14:schemeClr w14:val="tx1"/>
                  </w14:solidFill>
                </w14:textFill>
              </w:rPr>
              <w:t>规范距离（m）</w:t>
            </w:r>
          </w:p>
        </w:tc>
        <w:tc>
          <w:tcPr>
            <w:tcW w:w="992" w:type="dxa"/>
            <w:tcMar>
              <w:left w:w="0" w:type="dxa"/>
              <w:right w:w="0" w:type="dxa"/>
            </w:tcMar>
            <w:vAlign w:val="center"/>
          </w:tcPr>
          <w:p w14:paraId="35677849">
            <w:pPr>
              <w:spacing w:line="2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cs="Arial" w:asciiTheme="minorEastAsia" w:hAnsiTheme="minorEastAsia" w:eastAsiaTheme="minorEastAsia"/>
                <w:bCs/>
                <w:color w:val="000000" w:themeColor="text1"/>
                <w:szCs w:val="21"/>
                <w14:textFill>
                  <w14:solidFill>
                    <w14:schemeClr w14:val="tx1"/>
                  </w14:solidFill>
                </w14:textFill>
              </w:rPr>
              <w:t>设计</w:t>
            </w:r>
            <w:r>
              <w:rPr>
                <w:rFonts w:cs="Arial" w:asciiTheme="minorEastAsia" w:hAnsiTheme="minorEastAsia" w:eastAsiaTheme="minorEastAsia"/>
                <w:bCs/>
                <w:color w:val="000000" w:themeColor="text1"/>
                <w:szCs w:val="21"/>
                <w14:textFill>
                  <w14:solidFill>
                    <w14:schemeClr w14:val="tx1"/>
                  </w14:solidFill>
                </w14:textFill>
              </w:rPr>
              <w:t>距离（m）</w:t>
            </w:r>
          </w:p>
        </w:tc>
        <w:tc>
          <w:tcPr>
            <w:tcW w:w="709" w:type="dxa"/>
            <w:tcMar>
              <w:left w:w="0" w:type="dxa"/>
              <w:right w:w="0" w:type="dxa"/>
            </w:tcMar>
            <w:vAlign w:val="center"/>
          </w:tcPr>
          <w:p w14:paraId="631BA5B5">
            <w:pPr>
              <w:spacing w:line="2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符合性</w:t>
            </w:r>
          </w:p>
        </w:tc>
        <w:tc>
          <w:tcPr>
            <w:tcW w:w="1559" w:type="dxa"/>
            <w:tcMar>
              <w:left w:w="0" w:type="dxa"/>
              <w:right w:w="0" w:type="dxa"/>
            </w:tcMar>
            <w:vAlign w:val="center"/>
          </w:tcPr>
          <w:p w14:paraId="004938FD">
            <w:pPr>
              <w:spacing w:line="2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备注</w:t>
            </w:r>
          </w:p>
        </w:tc>
      </w:tr>
      <w:tr w14:paraId="707DC3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restart"/>
            <w:tcMar>
              <w:left w:w="0" w:type="dxa"/>
              <w:right w:w="0" w:type="dxa"/>
            </w:tcMar>
            <w:vAlign w:val="center"/>
          </w:tcPr>
          <w:p w14:paraId="11773444">
            <w:pPr>
              <w:spacing w:line="240" w:lineRule="exact"/>
              <w:jc w:val="center"/>
              <w:rPr>
                <w:rFonts w:cs="宋体" w:asciiTheme="minorEastAsia" w:hAnsiTheme="minorEastAsia" w:eastAsiaTheme="minorEastAsia"/>
                <w:b w:val="0"/>
                <w:color w:val="000000" w:themeColor="text1"/>
                <w:szCs w:val="21"/>
                <w14:textFill>
                  <w14:solidFill>
                    <w14:schemeClr w14:val="tx1"/>
                  </w14:solidFill>
                </w14:textFill>
              </w:rPr>
            </w:pPr>
            <w:bookmarkStart w:id="99" w:name="_Hlk196835685"/>
            <w:r>
              <w:rPr>
                <w:rFonts w:cs="Arial" w:asciiTheme="minorEastAsia" w:hAnsiTheme="minorEastAsia" w:eastAsiaTheme="minorEastAsia"/>
                <w:b w:val="0"/>
                <w:color w:val="000000" w:themeColor="text1"/>
                <w:szCs w:val="21"/>
                <w14:textFill>
                  <w14:solidFill>
                    <w14:schemeClr w14:val="tx1"/>
                  </w14:solidFill>
                </w14:textFill>
              </w:rPr>
              <w:t>1</w:t>
            </w:r>
            <w:r>
              <w:rPr>
                <w:rFonts w:hint="eastAsia" w:cs="Arial" w:asciiTheme="minorEastAsia" w:hAnsiTheme="minorEastAsia" w:eastAsiaTheme="minorEastAsia"/>
                <w:b w:val="0"/>
                <w:color w:val="000000" w:themeColor="text1"/>
                <w:szCs w:val="21"/>
                <w14:textFill>
                  <w14:solidFill>
                    <w14:schemeClr w14:val="tx1"/>
                  </w14:solidFill>
                </w14:textFill>
              </w:rPr>
              <w:t>#库房（内设抗爆墙）</w:t>
            </w:r>
          </w:p>
        </w:tc>
        <w:tc>
          <w:tcPr>
            <w:tcW w:w="709" w:type="dxa"/>
            <w:vMerge w:val="restart"/>
            <w:tcMar>
              <w:left w:w="0" w:type="dxa"/>
              <w:right w:w="0" w:type="dxa"/>
            </w:tcMar>
            <w:vAlign w:val="center"/>
          </w:tcPr>
          <w:p w14:paraId="23768EF2">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r>
              <w:rPr>
                <w:rFonts w:hint="eastAsia" w:asciiTheme="minorEastAsia" w:hAnsiTheme="minorEastAsia" w:eastAsiaTheme="minorEastAsia"/>
                <w:b w:val="0"/>
                <w:color w:val="000000" w:themeColor="text1"/>
                <w:szCs w:val="21"/>
                <w14:textFill>
                  <w14:solidFill>
                    <w14:schemeClr w14:val="tx1"/>
                  </w14:solidFill>
                </w14:textFill>
              </w:rPr>
              <w:t>1.3</w:t>
            </w:r>
          </w:p>
        </w:tc>
        <w:tc>
          <w:tcPr>
            <w:tcW w:w="1276" w:type="dxa"/>
            <w:vMerge w:val="restart"/>
            <w:tcMar>
              <w:left w:w="0" w:type="dxa"/>
              <w:right w:w="0" w:type="dxa"/>
            </w:tcMar>
            <w:vAlign w:val="center"/>
          </w:tcPr>
          <w:p w14:paraId="07FEAD52">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cs="Arial" w:asciiTheme="minorEastAsia" w:hAnsiTheme="minorEastAsia" w:eastAsiaTheme="minorEastAsia"/>
                <w:b w:val="0"/>
                <w:color w:val="000000" w:themeColor="text1"/>
                <w:szCs w:val="21"/>
                <w14:textFill>
                  <w14:solidFill>
                    <w14:schemeClr w14:val="tx1"/>
                  </w14:solidFill>
                </w14:textFill>
              </w:rPr>
              <w:t>11160</w:t>
            </w:r>
          </w:p>
        </w:tc>
        <w:tc>
          <w:tcPr>
            <w:tcW w:w="1701" w:type="dxa"/>
            <w:tcMar>
              <w:left w:w="0" w:type="dxa"/>
              <w:right w:w="0" w:type="dxa"/>
            </w:tcMar>
            <w:vAlign w:val="center"/>
          </w:tcPr>
          <w:p w14:paraId="12A9ADDD">
            <w:pPr>
              <w:spacing w:before="50" w:after="50" w:line="240" w:lineRule="exact"/>
              <w:jc w:val="center"/>
              <w:rPr>
                <w:rFonts w:asciiTheme="minorEastAsia" w:hAnsiTheme="minorEastAsia" w:eastAsiaTheme="minorEastAsia"/>
                <w:b w:val="0"/>
                <w:bCs/>
                <w:szCs w:val="21"/>
              </w:rPr>
            </w:pPr>
            <w:r>
              <w:rPr>
                <w:rFonts w:hint="eastAsia" w:cs="Arial" w:asciiTheme="minorEastAsia" w:hAnsiTheme="minorEastAsia" w:eastAsiaTheme="minorEastAsia"/>
                <w:b w:val="0"/>
                <w:szCs w:val="21"/>
              </w:rPr>
              <w:t>1</w:t>
            </w:r>
            <w:r>
              <w:rPr>
                <w:rFonts w:cs="Arial" w:asciiTheme="minorEastAsia" w:hAnsiTheme="minorEastAsia" w:eastAsiaTheme="minorEastAsia"/>
                <w:b w:val="0"/>
                <w:szCs w:val="21"/>
              </w:rPr>
              <w:t>0#</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.1</w:t>
            </w:r>
            <w:r>
              <w:rPr>
                <w:rFonts w:cs="Arial" w:asciiTheme="minorEastAsia" w:hAnsiTheme="minorEastAsia" w:eastAsiaTheme="minorEastAsia"/>
                <w:b w:val="0"/>
                <w:szCs w:val="21"/>
                <w:vertAlign w:val="superscript"/>
              </w:rPr>
              <w:t>-2</w:t>
            </w:r>
            <w:r>
              <w:rPr>
                <w:rFonts w:hint="eastAsia" w:cs="Arial" w:asciiTheme="minorEastAsia" w:hAnsiTheme="minorEastAsia" w:eastAsiaTheme="minorEastAsia"/>
                <w:b w:val="0"/>
                <w:szCs w:val="21"/>
              </w:rPr>
              <w:t>级）</w:t>
            </w:r>
            <w:r>
              <w:rPr>
                <w:rFonts w:hint="eastAsia" w:asciiTheme="minorEastAsia" w:hAnsiTheme="minorEastAsia" w:eastAsiaTheme="minorEastAsia"/>
                <w:b w:val="0"/>
                <w:bCs/>
                <w:szCs w:val="21"/>
              </w:rPr>
              <w:t>2</w:t>
            </w:r>
            <w:r>
              <w:rPr>
                <w:rFonts w:asciiTheme="minorEastAsia" w:hAnsiTheme="minorEastAsia" w:eastAsiaTheme="minorEastAsia"/>
                <w:b w:val="0"/>
                <w:bCs/>
                <w:szCs w:val="21"/>
              </w:rPr>
              <w:t>200kg</w:t>
            </w:r>
          </w:p>
          <w:p w14:paraId="51005591">
            <w:pPr>
              <w:spacing w:before="50" w:after="50" w:line="240" w:lineRule="exact"/>
              <w:jc w:val="center"/>
              <w:rPr>
                <w:rFonts w:cs="Arial" w:asciiTheme="minorEastAsia" w:hAnsiTheme="minorEastAsia" w:eastAsiaTheme="minorEastAsia"/>
                <w:b w:val="0"/>
                <w:szCs w:val="21"/>
              </w:rPr>
            </w:pPr>
            <w:r>
              <w:rPr>
                <w:rFonts w:hint="eastAsia" w:asciiTheme="minorEastAsia" w:hAnsiTheme="minorEastAsia" w:eastAsiaTheme="minorEastAsia"/>
                <w:b w:val="0"/>
                <w:bCs/>
                <w:szCs w:val="21"/>
              </w:rPr>
              <w:t>设有防护屏障</w:t>
            </w:r>
          </w:p>
        </w:tc>
        <w:tc>
          <w:tcPr>
            <w:tcW w:w="1134" w:type="dxa"/>
            <w:tcMar>
              <w:left w:w="0" w:type="dxa"/>
              <w:right w:w="0" w:type="dxa"/>
            </w:tcMar>
            <w:vAlign w:val="center"/>
          </w:tcPr>
          <w:p w14:paraId="5A5EE364">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3</w:t>
            </w:r>
            <w:r>
              <w:rPr>
                <w:rFonts w:cs="Arial" w:asciiTheme="minorEastAsia" w:hAnsiTheme="minorEastAsia" w:eastAsiaTheme="minorEastAsia"/>
                <w:b w:val="0"/>
                <w:szCs w:val="21"/>
              </w:rPr>
              <w:t>2</w:t>
            </w:r>
          </w:p>
        </w:tc>
        <w:tc>
          <w:tcPr>
            <w:tcW w:w="992" w:type="dxa"/>
            <w:tcMar>
              <w:left w:w="0" w:type="dxa"/>
              <w:right w:w="0" w:type="dxa"/>
            </w:tcMar>
            <w:vAlign w:val="center"/>
          </w:tcPr>
          <w:p w14:paraId="143925F8">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3</w:t>
            </w:r>
            <w:r>
              <w:rPr>
                <w:rFonts w:cs="宋体" w:asciiTheme="minorEastAsia" w:hAnsiTheme="minorEastAsia" w:eastAsiaTheme="minorEastAsia"/>
                <w:b w:val="0"/>
                <w:bCs/>
                <w:kern w:val="0"/>
                <w:szCs w:val="21"/>
                <w:lang w:bidi="ar"/>
              </w:rPr>
              <w:t>3</w:t>
            </w:r>
          </w:p>
        </w:tc>
        <w:tc>
          <w:tcPr>
            <w:tcW w:w="709" w:type="dxa"/>
            <w:tcMar>
              <w:left w:w="0" w:type="dxa"/>
              <w:right w:w="0" w:type="dxa"/>
            </w:tcMar>
            <w:vAlign w:val="center"/>
          </w:tcPr>
          <w:p w14:paraId="6C6ADDD2">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1A2960AC">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.3.3</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27B2D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28CB57AB">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60CEE15B">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41F3484C">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29AE1A62">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3</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9800kg</w:t>
            </w:r>
          </w:p>
        </w:tc>
        <w:tc>
          <w:tcPr>
            <w:tcW w:w="1134" w:type="dxa"/>
            <w:tcMar>
              <w:left w:w="0" w:type="dxa"/>
              <w:right w:w="0" w:type="dxa"/>
            </w:tcMar>
            <w:vAlign w:val="center"/>
          </w:tcPr>
          <w:p w14:paraId="53A527EB">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2BE3D623">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62445E37">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64A4E0B1">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1693D7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141CEF5B">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4E2EE808">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780B0EC2">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76AD1311">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2</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9800kg</w:t>
            </w:r>
          </w:p>
        </w:tc>
        <w:tc>
          <w:tcPr>
            <w:tcW w:w="1134" w:type="dxa"/>
            <w:tcMar>
              <w:left w:w="0" w:type="dxa"/>
              <w:right w:w="0" w:type="dxa"/>
            </w:tcMar>
            <w:vAlign w:val="center"/>
          </w:tcPr>
          <w:p w14:paraId="1A6AA35D">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12212078">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5</w:t>
            </w:r>
          </w:p>
        </w:tc>
        <w:tc>
          <w:tcPr>
            <w:tcW w:w="709" w:type="dxa"/>
            <w:tcMar>
              <w:left w:w="0" w:type="dxa"/>
              <w:right w:w="0" w:type="dxa"/>
            </w:tcMar>
            <w:vAlign w:val="center"/>
          </w:tcPr>
          <w:p w14:paraId="71320E77">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2B15A7FA">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6628F5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682E3364">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4CB36735">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41ACE805">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56010F12">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库区运输</w:t>
            </w:r>
          </w:p>
          <w:p w14:paraId="6E412E1C">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道路中心线</w:t>
            </w:r>
          </w:p>
        </w:tc>
        <w:tc>
          <w:tcPr>
            <w:tcW w:w="1134" w:type="dxa"/>
            <w:tcMar>
              <w:left w:w="0" w:type="dxa"/>
              <w:right w:w="0" w:type="dxa"/>
            </w:tcMar>
            <w:vAlign w:val="center"/>
          </w:tcPr>
          <w:p w14:paraId="13F34C4B">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1</w:t>
            </w:r>
            <w:r>
              <w:rPr>
                <w:rFonts w:cs="Arial" w:asciiTheme="minorEastAsia" w:hAnsiTheme="minorEastAsia" w:eastAsiaTheme="minorEastAsia"/>
                <w:b w:val="0"/>
                <w:szCs w:val="21"/>
              </w:rPr>
              <w:t>0</w:t>
            </w:r>
          </w:p>
        </w:tc>
        <w:tc>
          <w:tcPr>
            <w:tcW w:w="992" w:type="dxa"/>
            <w:tcMar>
              <w:left w:w="0" w:type="dxa"/>
              <w:right w:w="0" w:type="dxa"/>
            </w:tcMar>
            <w:vAlign w:val="center"/>
          </w:tcPr>
          <w:p w14:paraId="4F6E5196">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1</w:t>
            </w:r>
            <w:r>
              <w:rPr>
                <w:rFonts w:cs="宋体" w:asciiTheme="minorEastAsia" w:hAnsiTheme="minorEastAsia" w:eastAsiaTheme="minorEastAsia"/>
                <w:b w:val="0"/>
                <w:bCs/>
                <w:kern w:val="0"/>
                <w:szCs w:val="21"/>
                <w:lang w:bidi="ar"/>
              </w:rPr>
              <w:t>0</w:t>
            </w:r>
          </w:p>
        </w:tc>
        <w:tc>
          <w:tcPr>
            <w:tcW w:w="709" w:type="dxa"/>
            <w:tcMar>
              <w:left w:w="0" w:type="dxa"/>
              <w:right w:w="0" w:type="dxa"/>
            </w:tcMar>
            <w:vAlign w:val="center"/>
          </w:tcPr>
          <w:p w14:paraId="061BE10B">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02755BC7">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第7</w:t>
            </w:r>
            <w:r>
              <w:rPr>
                <w:rFonts w:cs="Arial" w:asciiTheme="minorEastAsia" w:hAnsiTheme="minorEastAsia" w:eastAsiaTheme="minorEastAsia"/>
                <w:b w:val="0"/>
                <w:color w:val="000000" w:themeColor="text1"/>
                <w:szCs w:val="21"/>
                <w14:textFill>
                  <w14:solidFill>
                    <w14:schemeClr w14:val="tx1"/>
                  </w14:solidFill>
                </w14:textFill>
              </w:rPr>
              <w:t>.2.2</w:t>
            </w:r>
          </w:p>
        </w:tc>
      </w:tr>
      <w:tr w14:paraId="1560F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restart"/>
            <w:tcMar>
              <w:left w:w="0" w:type="dxa"/>
              <w:right w:w="0" w:type="dxa"/>
            </w:tcMar>
            <w:vAlign w:val="center"/>
          </w:tcPr>
          <w:p w14:paraId="44C332B1">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2</w:t>
            </w:r>
            <w:r>
              <w:rPr>
                <w:rFonts w:cs="Arial" w:asciiTheme="minorEastAsia" w:hAnsiTheme="minorEastAsia" w:eastAsiaTheme="minorEastAsia"/>
                <w:b w:val="0"/>
                <w:color w:val="000000" w:themeColor="text1"/>
                <w:szCs w:val="21"/>
                <w14:textFill>
                  <w14:solidFill>
                    <w14:schemeClr w14:val="tx1"/>
                  </w14:solidFill>
                </w14:textFill>
              </w:rPr>
              <w:t>#</w:t>
            </w:r>
            <w:r>
              <w:rPr>
                <w:rFonts w:hint="eastAsia" w:cs="Arial" w:asciiTheme="minorEastAsia" w:hAnsiTheme="minorEastAsia" w:eastAsiaTheme="minorEastAsia"/>
                <w:b w:val="0"/>
                <w:color w:val="000000" w:themeColor="text1"/>
                <w:szCs w:val="21"/>
                <w14:textFill>
                  <w14:solidFill>
                    <w14:schemeClr w14:val="tx1"/>
                  </w14:solidFill>
                </w14:textFill>
              </w:rPr>
              <w:t>库房</w:t>
            </w:r>
          </w:p>
        </w:tc>
        <w:tc>
          <w:tcPr>
            <w:tcW w:w="709" w:type="dxa"/>
            <w:vMerge w:val="restart"/>
            <w:tcMar>
              <w:left w:w="0" w:type="dxa"/>
              <w:right w:w="0" w:type="dxa"/>
            </w:tcMar>
            <w:vAlign w:val="center"/>
          </w:tcPr>
          <w:p w14:paraId="00E958E2">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r>
              <w:rPr>
                <w:rFonts w:hint="eastAsia" w:asciiTheme="minorEastAsia" w:hAnsiTheme="minorEastAsia" w:eastAsiaTheme="minorEastAsia"/>
                <w:b w:val="0"/>
                <w:color w:val="000000" w:themeColor="text1"/>
                <w:szCs w:val="21"/>
                <w14:textFill>
                  <w14:solidFill>
                    <w14:schemeClr w14:val="tx1"/>
                  </w14:solidFill>
                </w14:textFill>
              </w:rPr>
              <w:t>1</w:t>
            </w:r>
            <w:r>
              <w:rPr>
                <w:rFonts w:asciiTheme="minorEastAsia" w:hAnsiTheme="minorEastAsia" w:eastAsiaTheme="minorEastAsia"/>
                <w:b w:val="0"/>
                <w:color w:val="000000" w:themeColor="text1"/>
                <w:szCs w:val="21"/>
                <w14:textFill>
                  <w14:solidFill>
                    <w14:schemeClr w14:val="tx1"/>
                  </w14:solidFill>
                </w14:textFill>
              </w:rPr>
              <w:t>.3</w:t>
            </w:r>
          </w:p>
        </w:tc>
        <w:tc>
          <w:tcPr>
            <w:tcW w:w="1276" w:type="dxa"/>
            <w:vMerge w:val="restart"/>
            <w:tcMar>
              <w:left w:w="0" w:type="dxa"/>
              <w:right w:w="0" w:type="dxa"/>
            </w:tcMar>
            <w:vAlign w:val="center"/>
          </w:tcPr>
          <w:p w14:paraId="32A0B600">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1</w:t>
            </w:r>
            <w:r>
              <w:rPr>
                <w:rFonts w:cs="Arial" w:asciiTheme="minorEastAsia" w:hAnsiTheme="minorEastAsia" w:eastAsiaTheme="minorEastAsia"/>
                <w:b w:val="0"/>
                <w:color w:val="000000" w:themeColor="text1"/>
                <w:szCs w:val="21"/>
                <w14:textFill>
                  <w14:solidFill>
                    <w14:schemeClr w14:val="tx1"/>
                  </w14:solidFill>
                </w14:textFill>
              </w:rPr>
              <w:t>9800</w:t>
            </w:r>
          </w:p>
        </w:tc>
        <w:tc>
          <w:tcPr>
            <w:tcW w:w="1701" w:type="dxa"/>
            <w:tcMar>
              <w:left w:w="0" w:type="dxa"/>
              <w:right w:w="0" w:type="dxa"/>
            </w:tcMar>
            <w:vAlign w:val="center"/>
          </w:tcPr>
          <w:p w14:paraId="6EA5BEBF">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9800kg</w:t>
            </w:r>
          </w:p>
        </w:tc>
        <w:tc>
          <w:tcPr>
            <w:tcW w:w="1134" w:type="dxa"/>
            <w:tcMar>
              <w:left w:w="0" w:type="dxa"/>
              <w:right w:w="0" w:type="dxa"/>
            </w:tcMar>
            <w:vAlign w:val="center"/>
          </w:tcPr>
          <w:p w14:paraId="20A3D634">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7138C044">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2D41DF16">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3582DD00">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6858D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6F8B00E3">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5971230B">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58E50903">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66772F25">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综合办公室</w:t>
            </w:r>
          </w:p>
        </w:tc>
        <w:tc>
          <w:tcPr>
            <w:tcW w:w="1134" w:type="dxa"/>
            <w:tcMar>
              <w:left w:w="0" w:type="dxa"/>
              <w:right w:w="0" w:type="dxa"/>
            </w:tcMar>
            <w:vAlign w:val="center"/>
          </w:tcPr>
          <w:p w14:paraId="709D53DB">
            <w:pPr>
              <w:spacing w:before="50" w:after="50" w:line="240" w:lineRule="exact"/>
              <w:rPr>
                <w:rFonts w:cs="Arial" w:asciiTheme="minorEastAsia" w:hAnsiTheme="minorEastAsia" w:eastAsiaTheme="minorEastAsia"/>
                <w:b w:val="0"/>
                <w:szCs w:val="21"/>
              </w:rPr>
            </w:pPr>
            <w:r>
              <w:rPr>
                <w:rFonts w:hint="eastAsia" w:cs="Arial" w:asciiTheme="minorEastAsia" w:hAnsiTheme="minorEastAsia" w:eastAsiaTheme="minorEastAsia"/>
                <w:b w:val="0"/>
                <w:szCs w:val="21"/>
              </w:rPr>
              <w:t>8</w:t>
            </w:r>
            <w:r>
              <w:rPr>
                <w:rFonts w:cs="Arial" w:asciiTheme="minorEastAsia" w:hAnsiTheme="minorEastAsia" w:eastAsiaTheme="minorEastAsia"/>
                <w:b w:val="0"/>
                <w:szCs w:val="21"/>
              </w:rPr>
              <w:t>5</w:t>
            </w:r>
            <w:r>
              <w:rPr>
                <w:rFonts w:hint="eastAsia" w:cs="Arial" w:asciiTheme="minorEastAsia" w:hAnsiTheme="minorEastAsia" w:eastAsiaTheme="minorEastAsia"/>
                <w:b w:val="0"/>
                <w:szCs w:val="21"/>
              </w:rPr>
              <w:t>（根据外部安全距离确定）</w:t>
            </w:r>
          </w:p>
        </w:tc>
        <w:tc>
          <w:tcPr>
            <w:tcW w:w="992" w:type="dxa"/>
            <w:tcMar>
              <w:left w:w="0" w:type="dxa"/>
              <w:right w:w="0" w:type="dxa"/>
            </w:tcMar>
            <w:vAlign w:val="center"/>
          </w:tcPr>
          <w:p w14:paraId="5C67A6D3">
            <w:pPr>
              <w:spacing w:before="50" w:after="50" w:line="240" w:lineRule="exact"/>
              <w:jc w:val="center"/>
              <w:rPr>
                <w:rFonts w:cs="宋体" w:asciiTheme="minorEastAsia" w:hAnsiTheme="minorEastAsia" w:eastAsiaTheme="minorEastAsia"/>
                <w:b w:val="0"/>
                <w:bCs/>
                <w:kern w:val="0"/>
                <w:szCs w:val="21"/>
                <w:lang w:bidi="ar"/>
              </w:rPr>
            </w:pPr>
            <w:r>
              <w:rPr>
                <w:rFonts w:cs="宋体" w:asciiTheme="minorEastAsia" w:hAnsiTheme="minorEastAsia" w:eastAsiaTheme="minorEastAsia"/>
                <w:b w:val="0"/>
                <w:bCs/>
                <w:kern w:val="0"/>
                <w:szCs w:val="21"/>
                <w:lang w:bidi="ar"/>
              </w:rPr>
              <w:t>120</w:t>
            </w:r>
          </w:p>
        </w:tc>
        <w:tc>
          <w:tcPr>
            <w:tcW w:w="709" w:type="dxa"/>
            <w:tcMar>
              <w:left w:w="0" w:type="dxa"/>
              <w:right w:w="0" w:type="dxa"/>
            </w:tcMar>
            <w:vAlign w:val="center"/>
          </w:tcPr>
          <w:p w14:paraId="676E0CAA">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2D298640">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.3.7</w:t>
            </w:r>
            <w:r>
              <w:rPr>
                <w:rFonts w:hint="eastAsia" w:cs="Arial" w:asciiTheme="minorEastAsia" w:hAnsiTheme="minorEastAsia" w:eastAsiaTheme="minorEastAsia"/>
                <w:b w:val="0"/>
                <w:color w:val="000000" w:themeColor="text1"/>
                <w:szCs w:val="21"/>
                <w14:textFill>
                  <w14:solidFill>
                    <w14:schemeClr w14:val="tx1"/>
                  </w14:solidFill>
                </w14:textFill>
              </w:rPr>
              <w:t>、第4</w:t>
            </w:r>
            <w:r>
              <w:rPr>
                <w:rFonts w:cs="Arial" w:asciiTheme="minorEastAsia" w:hAnsiTheme="minorEastAsia" w:eastAsiaTheme="minorEastAsia"/>
                <w:b w:val="0"/>
                <w:color w:val="000000" w:themeColor="text1"/>
                <w:szCs w:val="21"/>
                <w14:textFill>
                  <w14:solidFill>
                    <w14:schemeClr w14:val="tx1"/>
                  </w14:solidFill>
                </w14:textFill>
              </w:rPr>
              <w:t>.3.3</w:t>
            </w:r>
          </w:p>
        </w:tc>
      </w:tr>
      <w:tr w14:paraId="417FB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25FD7C0B">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3007E6DA">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55838108">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0611D23C">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库区运输</w:t>
            </w:r>
          </w:p>
          <w:p w14:paraId="6CDEEE5B">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道路中心线</w:t>
            </w:r>
          </w:p>
        </w:tc>
        <w:tc>
          <w:tcPr>
            <w:tcW w:w="1134" w:type="dxa"/>
            <w:tcMar>
              <w:left w:w="0" w:type="dxa"/>
              <w:right w:w="0" w:type="dxa"/>
            </w:tcMar>
            <w:vAlign w:val="center"/>
          </w:tcPr>
          <w:p w14:paraId="40EF9A46">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1</w:t>
            </w:r>
            <w:r>
              <w:rPr>
                <w:rFonts w:cs="Arial" w:asciiTheme="minorEastAsia" w:hAnsiTheme="minorEastAsia" w:eastAsiaTheme="minorEastAsia"/>
                <w:b w:val="0"/>
                <w:szCs w:val="21"/>
              </w:rPr>
              <w:t>0</w:t>
            </w:r>
          </w:p>
        </w:tc>
        <w:tc>
          <w:tcPr>
            <w:tcW w:w="992" w:type="dxa"/>
            <w:tcMar>
              <w:left w:w="0" w:type="dxa"/>
              <w:right w:w="0" w:type="dxa"/>
            </w:tcMar>
            <w:vAlign w:val="center"/>
          </w:tcPr>
          <w:p w14:paraId="2289F8A2">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1</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2449C217">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75E11C70">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第7</w:t>
            </w:r>
            <w:r>
              <w:rPr>
                <w:rFonts w:cs="Arial" w:asciiTheme="minorEastAsia" w:hAnsiTheme="minorEastAsia" w:eastAsiaTheme="minorEastAsia"/>
                <w:b w:val="0"/>
                <w:color w:val="000000" w:themeColor="text1"/>
                <w:szCs w:val="21"/>
                <w14:textFill>
                  <w14:solidFill>
                    <w14:schemeClr w14:val="tx1"/>
                  </w14:solidFill>
                </w14:textFill>
              </w:rPr>
              <w:t>.2.2</w:t>
            </w:r>
          </w:p>
        </w:tc>
      </w:tr>
      <w:tr w14:paraId="3A651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restart"/>
            <w:tcMar>
              <w:left w:w="0" w:type="dxa"/>
              <w:right w:w="0" w:type="dxa"/>
            </w:tcMar>
            <w:vAlign w:val="center"/>
          </w:tcPr>
          <w:p w14:paraId="45074CBE">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3</w:t>
            </w:r>
            <w:r>
              <w:rPr>
                <w:rFonts w:cs="Arial" w:asciiTheme="minorEastAsia" w:hAnsiTheme="minorEastAsia" w:eastAsiaTheme="minorEastAsia"/>
                <w:b w:val="0"/>
                <w:color w:val="000000" w:themeColor="text1"/>
                <w:szCs w:val="21"/>
                <w14:textFill>
                  <w14:solidFill>
                    <w14:schemeClr w14:val="tx1"/>
                  </w14:solidFill>
                </w14:textFill>
              </w:rPr>
              <w:t>#</w:t>
            </w:r>
            <w:r>
              <w:rPr>
                <w:rFonts w:hint="eastAsia" w:cs="Arial" w:asciiTheme="minorEastAsia" w:hAnsiTheme="minorEastAsia" w:eastAsiaTheme="minorEastAsia"/>
                <w:b w:val="0"/>
                <w:color w:val="000000" w:themeColor="text1"/>
                <w:szCs w:val="21"/>
                <w14:textFill>
                  <w14:solidFill>
                    <w14:schemeClr w14:val="tx1"/>
                  </w14:solidFill>
                </w14:textFill>
              </w:rPr>
              <w:t>库房（内设抗爆墙）</w:t>
            </w:r>
          </w:p>
        </w:tc>
        <w:tc>
          <w:tcPr>
            <w:tcW w:w="709" w:type="dxa"/>
            <w:vMerge w:val="restart"/>
            <w:tcMar>
              <w:left w:w="0" w:type="dxa"/>
              <w:right w:w="0" w:type="dxa"/>
            </w:tcMar>
            <w:vAlign w:val="center"/>
          </w:tcPr>
          <w:p w14:paraId="49F40AA9">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r>
              <w:rPr>
                <w:rFonts w:hint="eastAsia" w:asciiTheme="minorEastAsia" w:hAnsiTheme="minorEastAsia" w:eastAsiaTheme="minorEastAsia"/>
                <w:b w:val="0"/>
                <w:color w:val="000000" w:themeColor="text1"/>
                <w:szCs w:val="21"/>
                <w14:textFill>
                  <w14:solidFill>
                    <w14:schemeClr w14:val="tx1"/>
                  </w14:solidFill>
                </w14:textFill>
              </w:rPr>
              <w:t>1</w:t>
            </w:r>
            <w:r>
              <w:rPr>
                <w:rFonts w:asciiTheme="minorEastAsia" w:hAnsiTheme="minorEastAsia" w:eastAsiaTheme="minorEastAsia"/>
                <w:b w:val="0"/>
                <w:color w:val="000000" w:themeColor="text1"/>
                <w:szCs w:val="21"/>
                <w14:textFill>
                  <w14:solidFill>
                    <w14:schemeClr w14:val="tx1"/>
                  </w14:solidFill>
                </w14:textFill>
              </w:rPr>
              <w:t>.3</w:t>
            </w:r>
          </w:p>
        </w:tc>
        <w:tc>
          <w:tcPr>
            <w:tcW w:w="1276" w:type="dxa"/>
            <w:vMerge w:val="restart"/>
            <w:tcMar>
              <w:left w:w="0" w:type="dxa"/>
              <w:right w:w="0" w:type="dxa"/>
            </w:tcMar>
            <w:vAlign w:val="center"/>
          </w:tcPr>
          <w:p w14:paraId="4EE1735B">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1</w:t>
            </w:r>
            <w:r>
              <w:rPr>
                <w:rFonts w:cs="Arial" w:asciiTheme="minorEastAsia" w:hAnsiTheme="minorEastAsia" w:eastAsiaTheme="minorEastAsia"/>
                <w:b w:val="0"/>
                <w:color w:val="000000" w:themeColor="text1"/>
                <w:szCs w:val="21"/>
                <w14:textFill>
                  <w14:solidFill>
                    <w14:schemeClr w14:val="tx1"/>
                  </w14:solidFill>
                </w14:textFill>
              </w:rPr>
              <w:t>9800</w:t>
            </w:r>
          </w:p>
        </w:tc>
        <w:tc>
          <w:tcPr>
            <w:tcW w:w="1701" w:type="dxa"/>
            <w:tcMar>
              <w:left w:w="0" w:type="dxa"/>
              <w:right w:w="0" w:type="dxa"/>
            </w:tcMar>
            <w:vAlign w:val="center"/>
          </w:tcPr>
          <w:p w14:paraId="1089F4BC">
            <w:pPr>
              <w:spacing w:before="50" w:after="50" w:line="240" w:lineRule="exact"/>
              <w:rPr>
                <w:rFonts w:cs="Arial" w:asciiTheme="minorEastAsia" w:hAnsiTheme="minorEastAsia" w:eastAsiaTheme="minorEastAsia"/>
                <w:b w:val="0"/>
                <w:szCs w:val="21"/>
              </w:rPr>
            </w:pPr>
            <w:r>
              <w:rPr>
                <w:rFonts w:hint="eastAsia" w:cs="Arial" w:asciiTheme="minorEastAsia" w:hAnsiTheme="minorEastAsia" w:eastAsiaTheme="minorEastAsia"/>
                <w:b w:val="0"/>
                <w:szCs w:val="21"/>
              </w:rPr>
              <w:t>1</w:t>
            </w:r>
            <w:r>
              <w:rPr>
                <w:rFonts w:cs="Arial" w:asciiTheme="minorEastAsia" w:hAnsiTheme="minorEastAsia" w:eastAsiaTheme="minorEastAsia"/>
                <w:b w:val="0"/>
                <w:szCs w:val="21"/>
              </w:rPr>
              <w:t>0#</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.1</w:t>
            </w:r>
            <w:r>
              <w:rPr>
                <w:rFonts w:cs="Arial" w:asciiTheme="minorEastAsia" w:hAnsiTheme="minorEastAsia" w:eastAsiaTheme="minorEastAsia"/>
                <w:b w:val="0"/>
                <w:szCs w:val="21"/>
                <w:vertAlign w:val="superscript"/>
              </w:rPr>
              <w:t>-2</w:t>
            </w:r>
            <w:r>
              <w:rPr>
                <w:rFonts w:hint="eastAsia" w:cs="Arial" w:asciiTheme="minorEastAsia" w:hAnsiTheme="minorEastAsia" w:eastAsiaTheme="minorEastAsia"/>
                <w:b w:val="0"/>
                <w:szCs w:val="21"/>
              </w:rPr>
              <w:t>级）</w:t>
            </w:r>
          </w:p>
          <w:p w14:paraId="4723CD24">
            <w:pPr>
              <w:pStyle w:val="2"/>
              <w:spacing w:line="240" w:lineRule="exact"/>
              <w:ind w:firstLine="0" w:firstLineChars="0"/>
              <w:jc w:val="center"/>
              <w:rPr>
                <w:rFonts w:asciiTheme="minorEastAsia" w:hAnsiTheme="minorEastAsia" w:eastAsiaTheme="minorEastAsia"/>
                <w:b w:val="0"/>
                <w:bCs/>
                <w:sz w:val="21"/>
                <w:szCs w:val="21"/>
              </w:rPr>
            </w:pPr>
            <w:r>
              <w:rPr>
                <w:rFonts w:hint="eastAsia" w:asciiTheme="minorEastAsia" w:hAnsiTheme="minorEastAsia" w:eastAsiaTheme="minorEastAsia"/>
                <w:b w:val="0"/>
                <w:bCs/>
                <w:sz w:val="21"/>
                <w:szCs w:val="21"/>
              </w:rPr>
              <w:t>2</w:t>
            </w:r>
            <w:r>
              <w:rPr>
                <w:rFonts w:asciiTheme="minorEastAsia" w:hAnsiTheme="minorEastAsia" w:eastAsiaTheme="minorEastAsia"/>
                <w:b w:val="0"/>
                <w:bCs/>
                <w:sz w:val="21"/>
                <w:szCs w:val="21"/>
              </w:rPr>
              <w:t>200kg</w:t>
            </w:r>
          </w:p>
          <w:p w14:paraId="659C25E1">
            <w:pPr>
              <w:pStyle w:val="2"/>
              <w:spacing w:line="240" w:lineRule="exact"/>
              <w:ind w:firstLine="0" w:firstLineChars="0"/>
              <w:jc w:val="center"/>
              <w:rPr>
                <w:rFonts w:asciiTheme="minorEastAsia" w:hAnsiTheme="minorEastAsia" w:eastAsiaTheme="minorEastAsia"/>
                <w:b w:val="0"/>
                <w:bCs/>
                <w:sz w:val="21"/>
                <w:szCs w:val="21"/>
              </w:rPr>
            </w:pPr>
            <w:r>
              <w:rPr>
                <w:rFonts w:hint="eastAsia" w:asciiTheme="minorEastAsia" w:hAnsiTheme="minorEastAsia" w:eastAsiaTheme="minorEastAsia"/>
                <w:b w:val="0"/>
                <w:bCs/>
                <w:sz w:val="21"/>
                <w:szCs w:val="21"/>
              </w:rPr>
              <w:t>设有防护屏障</w:t>
            </w:r>
          </w:p>
        </w:tc>
        <w:tc>
          <w:tcPr>
            <w:tcW w:w="1134" w:type="dxa"/>
            <w:tcMar>
              <w:left w:w="0" w:type="dxa"/>
              <w:right w:w="0" w:type="dxa"/>
            </w:tcMar>
            <w:vAlign w:val="center"/>
          </w:tcPr>
          <w:p w14:paraId="209530A3">
            <w:pPr>
              <w:spacing w:before="50" w:after="50" w:line="240" w:lineRule="exact"/>
              <w:rPr>
                <w:rFonts w:cs="Arial" w:asciiTheme="minorEastAsia" w:hAnsiTheme="minorEastAsia" w:eastAsiaTheme="minorEastAsia"/>
                <w:b w:val="0"/>
                <w:szCs w:val="21"/>
              </w:rPr>
            </w:pPr>
            <w:r>
              <w:rPr>
                <w:rFonts w:hint="eastAsia" w:cs="Arial" w:asciiTheme="minorEastAsia" w:hAnsiTheme="minorEastAsia" w:eastAsiaTheme="minorEastAsia"/>
                <w:b w:val="0"/>
                <w:szCs w:val="21"/>
              </w:rPr>
              <w:t>3</w:t>
            </w:r>
            <w:r>
              <w:rPr>
                <w:rFonts w:cs="Arial" w:asciiTheme="minorEastAsia" w:hAnsiTheme="minorEastAsia" w:eastAsiaTheme="minorEastAsia"/>
                <w:b w:val="0"/>
                <w:szCs w:val="21"/>
              </w:rPr>
              <w:t>2</w:t>
            </w:r>
            <w:r>
              <w:rPr>
                <w:rFonts w:hint="eastAsia" w:cs="Arial" w:asciiTheme="minorEastAsia" w:hAnsiTheme="minorEastAsia" w:eastAsiaTheme="minorEastAsia"/>
                <w:b w:val="0"/>
                <w:szCs w:val="21"/>
              </w:rPr>
              <w:t>（按防火分区最大计算药量取值）</w:t>
            </w:r>
          </w:p>
        </w:tc>
        <w:tc>
          <w:tcPr>
            <w:tcW w:w="992" w:type="dxa"/>
            <w:tcMar>
              <w:left w:w="0" w:type="dxa"/>
              <w:right w:w="0" w:type="dxa"/>
            </w:tcMar>
            <w:vAlign w:val="center"/>
          </w:tcPr>
          <w:p w14:paraId="5D505470">
            <w:pPr>
              <w:spacing w:before="50" w:after="50" w:line="240" w:lineRule="exact"/>
              <w:jc w:val="center"/>
              <w:rPr>
                <w:rFonts w:cs="宋体" w:asciiTheme="minorEastAsia" w:hAnsiTheme="minorEastAsia" w:eastAsiaTheme="minorEastAsia"/>
                <w:b w:val="0"/>
                <w:bCs/>
                <w:kern w:val="0"/>
                <w:szCs w:val="21"/>
                <w:lang w:bidi="ar"/>
              </w:rPr>
            </w:pPr>
            <w:r>
              <w:rPr>
                <w:rFonts w:cs="宋体" w:asciiTheme="minorEastAsia" w:hAnsiTheme="minorEastAsia" w:eastAsiaTheme="minorEastAsia"/>
                <w:b w:val="0"/>
                <w:bCs/>
                <w:kern w:val="0"/>
                <w:szCs w:val="21"/>
                <w:lang w:bidi="ar"/>
              </w:rPr>
              <w:t>37.5</w:t>
            </w:r>
          </w:p>
        </w:tc>
        <w:tc>
          <w:tcPr>
            <w:tcW w:w="709" w:type="dxa"/>
            <w:tcMar>
              <w:left w:w="0" w:type="dxa"/>
              <w:right w:w="0" w:type="dxa"/>
            </w:tcMar>
            <w:vAlign w:val="center"/>
          </w:tcPr>
          <w:p w14:paraId="226BD39C">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167C0F32">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.3.3</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0C1A6A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355EC2A4">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27210EC2">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39A92A45">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66B73BE8">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9800kg</w:t>
            </w:r>
          </w:p>
        </w:tc>
        <w:tc>
          <w:tcPr>
            <w:tcW w:w="1134" w:type="dxa"/>
            <w:tcMar>
              <w:left w:w="0" w:type="dxa"/>
              <w:right w:w="0" w:type="dxa"/>
            </w:tcMar>
            <w:vAlign w:val="center"/>
          </w:tcPr>
          <w:p w14:paraId="5F809028">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6BCA47A6">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5</w:t>
            </w:r>
          </w:p>
        </w:tc>
        <w:tc>
          <w:tcPr>
            <w:tcW w:w="709" w:type="dxa"/>
            <w:tcMar>
              <w:left w:w="0" w:type="dxa"/>
              <w:right w:w="0" w:type="dxa"/>
            </w:tcMar>
            <w:vAlign w:val="center"/>
          </w:tcPr>
          <w:p w14:paraId="32B7512E">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40A494B8">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5C5BE8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1D2F4871">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401F9066">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3CAC567A">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09580750">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5</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9800kg</w:t>
            </w:r>
          </w:p>
        </w:tc>
        <w:tc>
          <w:tcPr>
            <w:tcW w:w="1134" w:type="dxa"/>
            <w:tcMar>
              <w:left w:w="0" w:type="dxa"/>
              <w:right w:w="0" w:type="dxa"/>
            </w:tcMar>
            <w:vAlign w:val="center"/>
          </w:tcPr>
          <w:p w14:paraId="553A4D19">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457BF636">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0E95B095">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763F5765">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063B0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2ED5CF14">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3628254F">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12E8E72A">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16F95DA7">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库区运输</w:t>
            </w:r>
          </w:p>
          <w:p w14:paraId="55D9F44A">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道路中心线</w:t>
            </w:r>
          </w:p>
        </w:tc>
        <w:tc>
          <w:tcPr>
            <w:tcW w:w="1134" w:type="dxa"/>
            <w:tcMar>
              <w:left w:w="0" w:type="dxa"/>
              <w:right w:w="0" w:type="dxa"/>
            </w:tcMar>
            <w:vAlign w:val="center"/>
          </w:tcPr>
          <w:p w14:paraId="64F4016B">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1</w:t>
            </w:r>
            <w:r>
              <w:rPr>
                <w:rFonts w:cs="Arial" w:asciiTheme="minorEastAsia" w:hAnsiTheme="minorEastAsia" w:eastAsiaTheme="minorEastAsia"/>
                <w:b w:val="0"/>
                <w:szCs w:val="21"/>
              </w:rPr>
              <w:t>0</w:t>
            </w:r>
          </w:p>
        </w:tc>
        <w:tc>
          <w:tcPr>
            <w:tcW w:w="992" w:type="dxa"/>
            <w:tcMar>
              <w:left w:w="0" w:type="dxa"/>
              <w:right w:w="0" w:type="dxa"/>
            </w:tcMar>
            <w:vAlign w:val="center"/>
          </w:tcPr>
          <w:p w14:paraId="356A7FF7">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1</w:t>
            </w:r>
            <w:r>
              <w:rPr>
                <w:rFonts w:cs="宋体" w:asciiTheme="minorEastAsia" w:hAnsiTheme="minorEastAsia" w:eastAsiaTheme="minorEastAsia"/>
                <w:b w:val="0"/>
                <w:bCs/>
                <w:kern w:val="0"/>
                <w:szCs w:val="21"/>
                <w:lang w:bidi="ar"/>
              </w:rPr>
              <w:t>0</w:t>
            </w:r>
          </w:p>
        </w:tc>
        <w:tc>
          <w:tcPr>
            <w:tcW w:w="709" w:type="dxa"/>
            <w:tcMar>
              <w:left w:w="0" w:type="dxa"/>
              <w:right w:w="0" w:type="dxa"/>
            </w:tcMar>
            <w:vAlign w:val="center"/>
          </w:tcPr>
          <w:p w14:paraId="2F63DE4D">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23FC2C7C">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第7</w:t>
            </w:r>
            <w:r>
              <w:rPr>
                <w:rFonts w:cs="Arial" w:asciiTheme="minorEastAsia" w:hAnsiTheme="minorEastAsia" w:eastAsiaTheme="minorEastAsia"/>
                <w:b w:val="0"/>
                <w:color w:val="000000" w:themeColor="text1"/>
                <w:szCs w:val="21"/>
                <w14:textFill>
                  <w14:solidFill>
                    <w14:schemeClr w14:val="tx1"/>
                  </w14:solidFill>
                </w14:textFill>
              </w:rPr>
              <w:t>.2.2</w:t>
            </w:r>
          </w:p>
        </w:tc>
      </w:tr>
      <w:tr w14:paraId="51C977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restart"/>
            <w:tcMar>
              <w:left w:w="0" w:type="dxa"/>
              <w:right w:w="0" w:type="dxa"/>
            </w:tcMar>
            <w:vAlign w:val="center"/>
          </w:tcPr>
          <w:p w14:paraId="58183BAE">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4</w:t>
            </w:r>
            <w:r>
              <w:rPr>
                <w:rFonts w:cs="Arial" w:asciiTheme="minorEastAsia" w:hAnsiTheme="minorEastAsia" w:eastAsiaTheme="minorEastAsia"/>
                <w:b w:val="0"/>
                <w:color w:val="000000" w:themeColor="text1"/>
                <w:szCs w:val="21"/>
                <w14:textFill>
                  <w14:solidFill>
                    <w14:schemeClr w14:val="tx1"/>
                  </w14:solidFill>
                </w14:textFill>
              </w:rPr>
              <w:t>#</w:t>
            </w:r>
            <w:r>
              <w:rPr>
                <w:rFonts w:hint="eastAsia" w:cs="Arial" w:asciiTheme="minorEastAsia" w:hAnsiTheme="minorEastAsia" w:eastAsiaTheme="minorEastAsia"/>
                <w:b w:val="0"/>
                <w:color w:val="000000" w:themeColor="text1"/>
                <w:szCs w:val="21"/>
                <w14:textFill>
                  <w14:solidFill>
                    <w14:schemeClr w14:val="tx1"/>
                  </w14:solidFill>
                </w14:textFill>
              </w:rPr>
              <w:t>库房</w:t>
            </w:r>
          </w:p>
        </w:tc>
        <w:tc>
          <w:tcPr>
            <w:tcW w:w="709" w:type="dxa"/>
            <w:vMerge w:val="restart"/>
            <w:tcMar>
              <w:left w:w="0" w:type="dxa"/>
              <w:right w:w="0" w:type="dxa"/>
            </w:tcMar>
            <w:vAlign w:val="center"/>
          </w:tcPr>
          <w:p w14:paraId="139FD8C7">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r>
              <w:rPr>
                <w:rFonts w:hint="eastAsia" w:asciiTheme="minorEastAsia" w:hAnsiTheme="minorEastAsia" w:eastAsiaTheme="minorEastAsia"/>
                <w:b w:val="0"/>
                <w:color w:val="000000" w:themeColor="text1"/>
                <w:szCs w:val="21"/>
                <w14:textFill>
                  <w14:solidFill>
                    <w14:schemeClr w14:val="tx1"/>
                  </w14:solidFill>
                </w14:textFill>
              </w:rPr>
              <w:t>1</w:t>
            </w:r>
            <w:r>
              <w:rPr>
                <w:rFonts w:asciiTheme="minorEastAsia" w:hAnsiTheme="minorEastAsia" w:eastAsiaTheme="minorEastAsia"/>
                <w:b w:val="0"/>
                <w:color w:val="000000" w:themeColor="text1"/>
                <w:szCs w:val="21"/>
                <w14:textFill>
                  <w14:solidFill>
                    <w14:schemeClr w14:val="tx1"/>
                  </w14:solidFill>
                </w14:textFill>
              </w:rPr>
              <w:t>.3</w:t>
            </w:r>
          </w:p>
        </w:tc>
        <w:tc>
          <w:tcPr>
            <w:tcW w:w="1276" w:type="dxa"/>
            <w:vMerge w:val="restart"/>
            <w:tcMar>
              <w:left w:w="0" w:type="dxa"/>
              <w:right w:w="0" w:type="dxa"/>
            </w:tcMar>
            <w:vAlign w:val="center"/>
          </w:tcPr>
          <w:p w14:paraId="4C694476">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1</w:t>
            </w:r>
            <w:r>
              <w:rPr>
                <w:rFonts w:cs="Arial" w:asciiTheme="minorEastAsia" w:hAnsiTheme="minorEastAsia" w:eastAsiaTheme="minorEastAsia"/>
                <w:b w:val="0"/>
                <w:color w:val="000000" w:themeColor="text1"/>
                <w:szCs w:val="21"/>
                <w14:textFill>
                  <w14:solidFill>
                    <w14:schemeClr w14:val="tx1"/>
                  </w14:solidFill>
                </w14:textFill>
              </w:rPr>
              <w:t>9800</w:t>
            </w:r>
          </w:p>
        </w:tc>
        <w:tc>
          <w:tcPr>
            <w:tcW w:w="1701" w:type="dxa"/>
            <w:tcMar>
              <w:left w:w="0" w:type="dxa"/>
              <w:right w:w="0" w:type="dxa"/>
            </w:tcMar>
            <w:vAlign w:val="center"/>
          </w:tcPr>
          <w:p w14:paraId="29173E65">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6</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9800</w:t>
            </w:r>
            <w:r>
              <w:rPr>
                <w:rFonts w:hint="eastAsia" w:cs="Arial" w:asciiTheme="minorEastAsia" w:hAnsiTheme="minorEastAsia" w:eastAsiaTheme="minorEastAsia"/>
                <w:b w:val="0"/>
                <w:szCs w:val="21"/>
              </w:rPr>
              <w:t>kg</w:t>
            </w:r>
          </w:p>
        </w:tc>
        <w:tc>
          <w:tcPr>
            <w:tcW w:w="1134" w:type="dxa"/>
            <w:tcMar>
              <w:left w:w="0" w:type="dxa"/>
              <w:right w:w="0" w:type="dxa"/>
            </w:tcMar>
            <w:vAlign w:val="center"/>
          </w:tcPr>
          <w:p w14:paraId="662B47F2">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62DD55A0">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5</w:t>
            </w:r>
          </w:p>
        </w:tc>
        <w:tc>
          <w:tcPr>
            <w:tcW w:w="709" w:type="dxa"/>
            <w:tcMar>
              <w:left w:w="0" w:type="dxa"/>
              <w:right w:w="0" w:type="dxa"/>
            </w:tcMar>
            <w:vAlign w:val="center"/>
          </w:tcPr>
          <w:p w14:paraId="7174D6A1">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48E8016F">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GB</w:t>
            </w:r>
            <w:r>
              <w:rPr>
                <w:rFonts w:cs="Arial" w:asciiTheme="minorEastAsia" w:hAnsiTheme="minorEastAsia" w:eastAsiaTheme="minorEastAsia"/>
                <w:b w:val="0"/>
                <w:color w:val="000000" w:themeColor="text1"/>
                <w:szCs w:val="21"/>
                <w14:textFill>
                  <w14:solidFill>
                    <w14:schemeClr w14:val="tx1"/>
                  </w14:solidFill>
                </w14:textFill>
              </w:rPr>
              <w:t>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13020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1803030D">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4A977D1E">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5E027A27">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3B5D7311">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库区运输</w:t>
            </w:r>
          </w:p>
          <w:p w14:paraId="5E805950">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道路中心线</w:t>
            </w:r>
          </w:p>
        </w:tc>
        <w:tc>
          <w:tcPr>
            <w:tcW w:w="1134" w:type="dxa"/>
            <w:tcMar>
              <w:left w:w="0" w:type="dxa"/>
              <w:right w:w="0" w:type="dxa"/>
            </w:tcMar>
            <w:vAlign w:val="center"/>
          </w:tcPr>
          <w:p w14:paraId="6CF27C1E">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1</w:t>
            </w:r>
            <w:r>
              <w:rPr>
                <w:rFonts w:cs="Arial" w:asciiTheme="minorEastAsia" w:hAnsiTheme="minorEastAsia" w:eastAsiaTheme="minorEastAsia"/>
                <w:b w:val="0"/>
                <w:szCs w:val="21"/>
              </w:rPr>
              <w:t>0</w:t>
            </w:r>
          </w:p>
        </w:tc>
        <w:tc>
          <w:tcPr>
            <w:tcW w:w="992" w:type="dxa"/>
            <w:tcMar>
              <w:left w:w="0" w:type="dxa"/>
              <w:right w:w="0" w:type="dxa"/>
            </w:tcMar>
            <w:vAlign w:val="center"/>
          </w:tcPr>
          <w:p w14:paraId="4F78A13D">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1</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01E752D4">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372232CD">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第7</w:t>
            </w:r>
            <w:r>
              <w:rPr>
                <w:rFonts w:cs="Arial" w:asciiTheme="minorEastAsia" w:hAnsiTheme="minorEastAsia" w:eastAsiaTheme="minorEastAsia"/>
                <w:b w:val="0"/>
                <w:color w:val="000000" w:themeColor="text1"/>
                <w:szCs w:val="21"/>
                <w14:textFill>
                  <w14:solidFill>
                    <w14:schemeClr w14:val="tx1"/>
                  </w14:solidFill>
                </w14:textFill>
              </w:rPr>
              <w:t>.2.2</w:t>
            </w:r>
          </w:p>
        </w:tc>
      </w:tr>
      <w:tr w14:paraId="4892E3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restart"/>
            <w:tcMar>
              <w:left w:w="0" w:type="dxa"/>
              <w:right w:w="0" w:type="dxa"/>
            </w:tcMar>
            <w:vAlign w:val="center"/>
          </w:tcPr>
          <w:p w14:paraId="014B91FF">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5</w:t>
            </w:r>
            <w:r>
              <w:rPr>
                <w:rFonts w:cs="Arial" w:asciiTheme="minorEastAsia" w:hAnsiTheme="minorEastAsia" w:eastAsiaTheme="minorEastAsia"/>
                <w:b w:val="0"/>
                <w:color w:val="000000" w:themeColor="text1"/>
                <w:szCs w:val="21"/>
                <w14:textFill>
                  <w14:solidFill>
                    <w14:schemeClr w14:val="tx1"/>
                  </w14:solidFill>
                </w14:textFill>
              </w:rPr>
              <w:t>#</w:t>
            </w:r>
            <w:r>
              <w:rPr>
                <w:rFonts w:hint="eastAsia" w:cs="Arial" w:asciiTheme="minorEastAsia" w:hAnsiTheme="minorEastAsia" w:eastAsiaTheme="minorEastAsia"/>
                <w:b w:val="0"/>
                <w:color w:val="000000" w:themeColor="text1"/>
                <w:szCs w:val="21"/>
                <w14:textFill>
                  <w14:solidFill>
                    <w14:schemeClr w14:val="tx1"/>
                  </w14:solidFill>
                </w14:textFill>
              </w:rPr>
              <w:t>库房</w:t>
            </w:r>
          </w:p>
        </w:tc>
        <w:tc>
          <w:tcPr>
            <w:tcW w:w="709" w:type="dxa"/>
            <w:vMerge w:val="restart"/>
            <w:tcMar>
              <w:left w:w="0" w:type="dxa"/>
              <w:right w:w="0" w:type="dxa"/>
            </w:tcMar>
            <w:vAlign w:val="center"/>
          </w:tcPr>
          <w:p w14:paraId="77911FD4">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r>
              <w:rPr>
                <w:rFonts w:hint="eastAsia" w:asciiTheme="minorEastAsia" w:hAnsiTheme="minorEastAsia" w:eastAsiaTheme="minorEastAsia"/>
                <w:b w:val="0"/>
                <w:color w:val="000000" w:themeColor="text1"/>
                <w:szCs w:val="21"/>
                <w14:textFill>
                  <w14:solidFill>
                    <w14:schemeClr w14:val="tx1"/>
                  </w14:solidFill>
                </w14:textFill>
              </w:rPr>
              <w:t>1</w:t>
            </w:r>
            <w:r>
              <w:rPr>
                <w:rFonts w:asciiTheme="minorEastAsia" w:hAnsiTheme="minorEastAsia" w:eastAsiaTheme="minorEastAsia"/>
                <w:b w:val="0"/>
                <w:color w:val="000000" w:themeColor="text1"/>
                <w:szCs w:val="21"/>
                <w14:textFill>
                  <w14:solidFill>
                    <w14:schemeClr w14:val="tx1"/>
                  </w14:solidFill>
                </w14:textFill>
              </w:rPr>
              <w:t>.3</w:t>
            </w:r>
          </w:p>
        </w:tc>
        <w:tc>
          <w:tcPr>
            <w:tcW w:w="1276" w:type="dxa"/>
            <w:vMerge w:val="restart"/>
            <w:tcMar>
              <w:left w:w="0" w:type="dxa"/>
              <w:right w:w="0" w:type="dxa"/>
            </w:tcMar>
            <w:vAlign w:val="center"/>
          </w:tcPr>
          <w:p w14:paraId="27E4C929">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1</w:t>
            </w:r>
            <w:r>
              <w:rPr>
                <w:rFonts w:cs="Arial" w:asciiTheme="minorEastAsia" w:hAnsiTheme="minorEastAsia" w:eastAsiaTheme="minorEastAsia"/>
                <w:b w:val="0"/>
                <w:color w:val="000000" w:themeColor="text1"/>
                <w:szCs w:val="21"/>
                <w14:textFill>
                  <w14:solidFill>
                    <w14:schemeClr w14:val="tx1"/>
                  </w14:solidFill>
                </w14:textFill>
              </w:rPr>
              <w:t>9800</w:t>
            </w:r>
          </w:p>
        </w:tc>
        <w:tc>
          <w:tcPr>
            <w:tcW w:w="1701" w:type="dxa"/>
            <w:tcMar>
              <w:left w:w="0" w:type="dxa"/>
              <w:right w:w="0" w:type="dxa"/>
            </w:tcMar>
            <w:vAlign w:val="center"/>
          </w:tcPr>
          <w:p w14:paraId="0197EB4A">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6</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9800kg</w:t>
            </w:r>
          </w:p>
        </w:tc>
        <w:tc>
          <w:tcPr>
            <w:tcW w:w="1134" w:type="dxa"/>
            <w:tcMar>
              <w:left w:w="0" w:type="dxa"/>
              <w:right w:w="0" w:type="dxa"/>
            </w:tcMar>
            <w:vAlign w:val="center"/>
          </w:tcPr>
          <w:p w14:paraId="4054A737">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6E9BFAB1">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5</w:t>
            </w:r>
          </w:p>
        </w:tc>
        <w:tc>
          <w:tcPr>
            <w:tcW w:w="709" w:type="dxa"/>
            <w:tcMar>
              <w:left w:w="0" w:type="dxa"/>
              <w:right w:w="0" w:type="dxa"/>
            </w:tcMar>
            <w:vAlign w:val="center"/>
          </w:tcPr>
          <w:p w14:paraId="146E1EA9">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3E41BA6E">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5D262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0A106BE9">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1108B5E6">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2F1C009D">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3EEA71A8">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7</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9800kg</w:t>
            </w:r>
          </w:p>
        </w:tc>
        <w:tc>
          <w:tcPr>
            <w:tcW w:w="1134" w:type="dxa"/>
            <w:tcMar>
              <w:left w:w="0" w:type="dxa"/>
              <w:right w:w="0" w:type="dxa"/>
            </w:tcMar>
            <w:vAlign w:val="center"/>
          </w:tcPr>
          <w:p w14:paraId="68CDB9BA">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677910F0">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54B1E062">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729F4F6A">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13ED4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008DD6B7">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338636BA">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0EB94712">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2E50372C">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库区运输</w:t>
            </w:r>
          </w:p>
          <w:p w14:paraId="35855D7E">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道路中心线</w:t>
            </w:r>
          </w:p>
        </w:tc>
        <w:tc>
          <w:tcPr>
            <w:tcW w:w="1134" w:type="dxa"/>
            <w:tcMar>
              <w:left w:w="0" w:type="dxa"/>
              <w:right w:w="0" w:type="dxa"/>
            </w:tcMar>
            <w:vAlign w:val="center"/>
          </w:tcPr>
          <w:p w14:paraId="3EDF0800">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1</w:t>
            </w:r>
            <w:r>
              <w:rPr>
                <w:rFonts w:cs="Arial" w:asciiTheme="minorEastAsia" w:hAnsiTheme="minorEastAsia" w:eastAsiaTheme="minorEastAsia"/>
                <w:b w:val="0"/>
                <w:szCs w:val="21"/>
              </w:rPr>
              <w:t>0</w:t>
            </w:r>
          </w:p>
        </w:tc>
        <w:tc>
          <w:tcPr>
            <w:tcW w:w="992" w:type="dxa"/>
            <w:tcMar>
              <w:left w:w="0" w:type="dxa"/>
              <w:right w:w="0" w:type="dxa"/>
            </w:tcMar>
            <w:vAlign w:val="center"/>
          </w:tcPr>
          <w:p w14:paraId="540FBD1C">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1</w:t>
            </w:r>
            <w:r>
              <w:rPr>
                <w:rFonts w:cs="宋体" w:asciiTheme="minorEastAsia" w:hAnsiTheme="minorEastAsia" w:eastAsiaTheme="minorEastAsia"/>
                <w:b w:val="0"/>
                <w:bCs/>
                <w:kern w:val="0"/>
                <w:szCs w:val="21"/>
                <w:lang w:bidi="ar"/>
              </w:rPr>
              <w:t>0</w:t>
            </w:r>
          </w:p>
        </w:tc>
        <w:tc>
          <w:tcPr>
            <w:tcW w:w="709" w:type="dxa"/>
            <w:tcMar>
              <w:left w:w="0" w:type="dxa"/>
              <w:right w:w="0" w:type="dxa"/>
            </w:tcMar>
            <w:vAlign w:val="center"/>
          </w:tcPr>
          <w:p w14:paraId="48633B8C">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1AE0FF01">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第7</w:t>
            </w:r>
            <w:r>
              <w:rPr>
                <w:rFonts w:cs="Arial" w:asciiTheme="minorEastAsia" w:hAnsiTheme="minorEastAsia" w:eastAsiaTheme="minorEastAsia"/>
                <w:b w:val="0"/>
                <w:color w:val="000000" w:themeColor="text1"/>
                <w:szCs w:val="21"/>
                <w14:textFill>
                  <w14:solidFill>
                    <w14:schemeClr w14:val="tx1"/>
                  </w14:solidFill>
                </w14:textFill>
              </w:rPr>
              <w:t>.2.2</w:t>
            </w:r>
          </w:p>
        </w:tc>
      </w:tr>
      <w:tr w14:paraId="6140D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restart"/>
            <w:tcMar>
              <w:left w:w="0" w:type="dxa"/>
              <w:right w:w="0" w:type="dxa"/>
            </w:tcMar>
            <w:vAlign w:val="center"/>
          </w:tcPr>
          <w:p w14:paraId="6921E875">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6</w:t>
            </w:r>
            <w:r>
              <w:rPr>
                <w:rFonts w:cs="Arial" w:asciiTheme="minorEastAsia" w:hAnsiTheme="minorEastAsia" w:eastAsiaTheme="minorEastAsia"/>
                <w:b w:val="0"/>
                <w:color w:val="000000" w:themeColor="text1"/>
                <w:szCs w:val="21"/>
                <w14:textFill>
                  <w14:solidFill>
                    <w14:schemeClr w14:val="tx1"/>
                  </w14:solidFill>
                </w14:textFill>
              </w:rPr>
              <w:t>#</w:t>
            </w:r>
            <w:r>
              <w:rPr>
                <w:rFonts w:hint="eastAsia" w:cs="Arial" w:asciiTheme="minorEastAsia" w:hAnsiTheme="minorEastAsia" w:eastAsiaTheme="minorEastAsia"/>
                <w:b w:val="0"/>
                <w:color w:val="000000" w:themeColor="text1"/>
                <w:szCs w:val="21"/>
                <w14:textFill>
                  <w14:solidFill>
                    <w14:schemeClr w14:val="tx1"/>
                  </w14:solidFill>
                </w14:textFill>
              </w:rPr>
              <w:t>库房</w:t>
            </w:r>
          </w:p>
        </w:tc>
        <w:tc>
          <w:tcPr>
            <w:tcW w:w="709" w:type="dxa"/>
            <w:vMerge w:val="restart"/>
            <w:tcMar>
              <w:left w:w="0" w:type="dxa"/>
              <w:right w:w="0" w:type="dxa"/>
            </w:tcMar>
            <w:vAlign w:val="center"/>
          </w:tcPr>
          <w:p w14:paraId="474EE230">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r>
              <w:rPr>
                <w:rFonts w:hint="eastAsia" w:asciiTheme="minorEastAsia" w:hAnsiTheme="minorEastAsia" w:eastAsiaTheme="minorEastAsia"/>
                <w:b w:val="0"/>
                <w:color w:val="000000" w:themeColor="text1"/>
                <w:szCs w:val="21"/>
                <w14:textFill>
                  <w14:solidFill>
                    <w14:schemeClr w14:val="tx1"/>
                  </w14:solidFill>
                </w14:textFill>
              </w:rPr>
              <w:t>1</w:t>
            </w:r>
            <w:r>
              <w:rPr>
                <w:rFonts w:asciiTheme="minorEastAsia" w:hAnsiTheme="minorEastAsia" w:eastAsiaTheme="minorEastAsia"/>
                <w:b w:val="0"/>
                <w:color w:val="000000" w:themeColor="text1"/>
                <w:szCs w:val="21"/>
                <w14:textFill>
                  <w14:solidFill>
                    <w14:schemeClr w14:val="tx1"/>
                  </w14:solidFill>
                </w14:textFill>
              </w:rPr>
              <w:t>.3</w:t>
            </w:r>
          </w:p>
        </w:tc>
        <w:tc>
          <w:tcPr>
            <w:tcW w:w="1276" w:type="dxa"/>
            <w:vMerge w:val="restart"/>
            <w:tcMar>
              <w:left w:w="0" w:type="dxa"/>
              <w:right w:w="0" w:type="dxa"/>
            </w:tcMar>
            <w:vAlign w:val="center"/>
          </w:tcPr>
          <w:p w14:paraId="1CBA3E9F">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1</w:t>
            </w:r>
            <w:r>
              <w:rPr>
                <w:rFonts w:cs="Arial" w:asciiTheme="minorEastAsia" w:hAnsiTheme="minorEastAsia" w:eastAsiaTheme="minorEastAsia"/>
                <w:b w:val="0"/>
                <w:color w:val="000000" w:themeColor="text1"/>
                <w:szCs w:val="21"/>
                <w14:textFill>
                  <w14:solidFill>
                    <w14:schemeClr w14:val="tx1"/>
                  </w14:solidFill>
                </w14:textFill>
              </w:rPr>
              <w:t>9800</w:t>
            </w:r>
          </w:p>
        </w:tc>
        <w:tc>
          <w:tcPr>
            <w:tcW w:w="1701" w:type="dxa"/>
            <w:tcMar>
              <w:left w:w="0" w:type="dxa"/>
              <w:right w:w="0" w:type="dxa"/>
            </w:tcMar>
            <w:vAlign w:val="center"/>
          </w:tcPr>
          <w:p w14:paraId="09F0B3FF">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8</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9800kg</w:t>
            </w:r>
          </w:p>
        </w:tc>
        <w:tc>
          <w:tcPr>
            <w:tcW w:w="1134" w:type="dxa"/>
            <w:tcMar>
              <w:left w:w="0" w:type="dxa"/>
              <w:right w:w="0" w:type="dxa"/>
            </w:tcMar>
            <w:vAlign w:val="center"/>
          </w:tcPr>
          <w:p w14:paraId="29378F20">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35160FBC">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69569D07">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6543D526">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w:t>
            </w:r>
            <w:r>
              <w:rPr>
                <w:rFonts w:cs="Arial" w:asciiTheme="minorEastAsia" w:hAnsiTheme="minorEastAsia" w:eastAsiaTheme="minorEastAsia"/>
                <w:b w:val="0"/>
                <w:color w:val="000000" w:themeColor="text1"/>
                <w:szCs w:val="21"/>
                <w14:textFill>
                  <w14:solidFill>
                    <w14:schemeClr w14:val="tx1"/>
                  </w14:solidFill>
                </w14:textFill>
              </w:rPr>
              <w:t>5.3.4</w:t>
            </w:r>
          </w:p>
        </w:tc>
      </w:tr>
      <w:tr w14:paraId="3D516F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2C3EF42A">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4368D030">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5E36D368">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1991B379">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库区运输</w:t>
            </w:r>
          </w:p>
          <w:p w14:paraId="0459D9B0">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道路中心线</w:t>
            </w:r>
          </w:p>
        </w:tc>
        <w:tc>
          <w:tcPr>
            <w:tcW w:w="1134" w:type="dxa"/>
            <w:tcMar>
              <w:left w:w="0" w:type="dxa"/>
              <w:right w:w="0" w:type="dxa"/>
            </w:tcMar>
            <w:vAlign w:val="center"/>
          </w:tcPr>
          <w:p w14:paraId="1D2CA59D">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1</w:t>
            </w:r>
            <w:r>
              <w:rPr>
                <w:rFonts w:cs="Arial" w:asciiTheme="minorEastAsia" w:hAnsiTheme="minorEastAsia" w:eastAsiaTheme="minorEastAsia"/>
                <w:b w:val="0"/>
                <w:szCs w:val="21"/>
              </w:rPr>
              <w:t>0</w:t>
            </w:r>
          </w:p>
        </w:tc>
        <w:tc>
          <w:tcPr>
            <w:tcW w:w="992" w:type="dxa"/>
            <w:tcMar>
              <w:left w:w="0" w:type="dxa"/>
              <w:right w:w="0" w:type="dxa"/>
            </w:tcMar>
            <w:vAlign w:val="center"/>
          </w:tcPr>
          <w:p w14:paraId="1E32591E">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1</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004FD9BD">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216255CE">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第7</w:t>
            </w:r>
            <w:r>
              <w:rPr>
                <w:rFonts w:cs="Arial" w:asciiTheme="minorEastAsia" w:hAnsiTheme="minorEastAsia" w:eastAsiaTheme="minorEastAsia"/>
                <w:b w:val="0"/>
                <w:color w:val="000000" w:themeColor="text1"/>
                <w:szCs w:val="21"/>
                <w14:textFill>
                  <w14:solidFill>
                    <w14:schemeClr w14:val="tx1"/>
                  </w14:solidFill>
                </w14:textFill>
              </w:rPr>
              <w:t>.2.2</w:t>
            </w:r>
          </w:p>
        </w:tc>
      </w:tr>
      <w:tr w14:paraId="254F3B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restart"/>
            <w:tcMar>
              <w:left w:w="0" w:type="dxa"/>
              <w:right w:w="0" w:type="dxa"/>
            </w:tcMar>
            <w:vAlign w:val="center"/>
          </w:tcPr>
          <w:p w14:paraId="42BBB22C">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7</w:t>
            </w:r>
            <w:r>
              <w:rPr>
                <w:rFonts w:cs="Arial" w:asciiTheme="minorEastAsia" w:hAnsiTheme="minorEastAsia" w:eastAsiaTheme="minorEastAsia"/>
                <w:b w:val="0"/>
                <w:color w:val="000000" w:themeColor="text1"/>
                <w:szCs w:val="21"/>
                <w14:textFill>
                  <w14:solidFill>
                    <w14:schemeClr w14:val="tx1"/>
                  </w14:solidFill>
                </w14:textFill>
              </w:rPr>
              <w:t>#</w:t>
            </w:r>
            <w:r>
              <w:rPr>
                <w:rFonts w:hint="eastAsia" w:cs="Arial" w:asciiTheme="minorEastAsia" w:hAnsiTheme="minorEastAsia" w:eastAsiaTheme="minorEastAsia"/>
                <w:b w:val="0"/>
                <w:color w:val="000000" w:themeColor="text1"/>
                <w:szCs w:val="21"/>
                <w14:textFill>
                  <w14:solidFill>
                    <w14:schemeClr w14:val="tx1"/>
                  </w14:solidFill>
                </w14:textFill>
              </w:rPr>
              <w:t>库房</w:t>
            </w:r>
          </w:p>
        </w:tc>
        <w:tc>
          <w:tcPr>
            <w:tcW w:w="709" w:type="dxa"/>
            <w:vMerge w:val="restart"/>
            <w:tcMar>
              <w:left w:w="0" w:type="dxa"/>
              <w:right w:w="0" w:type="dxa"/>
            </w:tcMar>
            <w:vAlign w:val="center"/>
          </w:tcPr>
          <w:p w14:paraId="691565A4">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r>
              <w:rPr>
                <w:rFonts w:hint="eastAsia" w:asciiTheme="minorEastAsia" w:hAnsiTheme="minorEastAsia" w:eastAsiaTheme="minorEastAsia"/>
                <w:b w:val="0"/>
                <w:color w:val="000000" w:themeColor="text1"/>
                <w:szCs w:val="21"/>
                <w14:textFill>
                  <w14:solidFill>
                    <w14:schemeClr w14:val="tx1"/>
                  </w14:solidFill>
                </w14:textFill>
              </w:rPr>
              <w:t>1</w:t>
            </w:r>
            <w:r>
              <w:rPr>
                <w:rFonts w:asciiTheme="minorEastAsia" w:hAnsiTheme="minorEastAsia" w:eastAsiaTheme="minorEastAsia"/>
                <w:b w:val="0"/>
                <w:color w:val="000000" w:themeColor="text1"/>
                <w:szCs w:val="21"/>
                <w14:textFill>
                  <w14:solidFill>
                    <w14:schemeClr w14:val="tx1"/>
                  </w14:solidFill>
                </w14:textFill>
              </w:rPr>
              <w:t>.3</w:t>
            </w:r>
          </w:p>
        </w:tc>
        <w:tc>
          <w:tcPr>
            <w:tcW w:w="1276" w:type="dxa"/>
            <w:vMerge w:val="restart"/>
            <w:tcMar>
              <w:left w:w="0" w:type="dxa"/>
              <w:right w:w="0" w:type="dxa"/>
            </w:tcMar>
            <w:vAlign w:val="center"/>
          </w:tcPr>
          <w:p w14:paraId="7F8CD334">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1</w:t>
            </w:r>
            <w:r>
              <w:rPr>
                <w:rFonts w:cs="Arial" w:asciiTheme="minorEastAsia" w:hAnsiTheme="minorEastAsia" w:eastAsiaTheme="minorEastAsia"/>
                <w:b w:val="0"/>
                <w:color w:val="000000" w:themeColor="text1"/>
                <w:szCs w:val="21"/>
                <w14:textFill>
                  <w14:solidFill>
                    <w14:schemeClr w14:val="tx1"/>
                  </w14:solidFill>
                </w14:textFill>
              </w:rPr>
              <w:t>9800</w:t>
            </w:r>
          </w:p>
        </w:tc>
        <w:tc>
          <w:tcPr>
            <w:tcW w:w="1701" w:type="dxa"/>
            <w:tcMar>
              <w:left w:w="0" w:type="dxa"/>
              <w:right w:w="0" w:type="dxa"/>
            </w:tcMar>
            <w:vAlign w:val="center"/>
          </w:tcPr>
          <w:p w14:paraId="1E72447E">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8</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9800kg</w:t>
            </w:r>
          </w:p>
        </w:tc>
        <w:tc>
          <w:tcPr>
            <w:tcW w:w="1134" w:type="dxa"/>
            <w:tcMar>
              <w:left w:w="0" w:type="dxa"/>
              <w:right w:w="0" w:type="dxa"/>
            </w:tcMar>
            <w:vAlign w:val="center"/>
          </w:tcPr>
          <w:p w14:paraId="3ABF50DD">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1CC2CE21">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5</w:t>
            </w:r>
          </w:p>
        </w:tc>
        <w:tc>
          <w:tcPr>
            <w:tcW w:w="709" w:type="dxa"/>
            <w:tcMar>
              <w:left w:w="0" w:type="dxa"/>
              <w:right w:w="0" w:type="dxa"/>
            </w:tcMar>
            <w:vAlign w:val="center"/>
          </w:tcPr>
          <w:p w14:paraId="14A4B59D">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04480090">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6F9A4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3130F7D3">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7161B6B3">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36E8064F">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1DF34F55">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9</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库房1</w:t>
            </w:r>
            <w:r>
              <w:rPr>
                <w:rFonts w:cs="Arial" w:asciiTheme="minorEastAsia" w:hAnsiTheme="minorEastAsia" w:eastAsiaTheme="minorEastAsia"/>
                <w:b w:val="0"/>
                <w:szCs w:val="21"/>
              </w:rPr>
              <w:t>8480kg</w:t>
            </w:r>
          </w:p>
        </w:tc>
        <w:tc>
          <w:tcPr>
            <w:tcW w:w="1134" w:type="dxa"/>
            <w:tcMar>
              <w:left w:w="0" w:type="dxa"/>
              <w:right w:w="0" w:type="dxa"/>
            </w:tcMar>
            <w:vAlign w:val="center"/>
          </w:tcPr>
          <w:p w14:paraId="1C915571">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0452E30F">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33949CBD">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455C3EE8">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48DD22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36D7DF1E">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02814F11">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4C0FB040">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57BB59FE">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库区运输</w:t>
            </w:r>
          </w:p>
          <w:p w14:paraId="2A56048C">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道路中心线</w:t>
            </w:r>
          </w:p>
        </w:tc>
        <w:tc>
          <w:tcPr>
            <w:tcW w:w="1134" w:type="dxa"/>
            <w:tcMar>
              <w:left w:w="0" w:type="dxa"/>
              <w:right w:w="0" w:type="dxa"/>
            </w:tcMar>
            <w:vAlign w:val="center"/>
          </w:tcPr>
          <w:p w14:paraId="1BE6CF98">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1</w:t>
            </w:r>
            <w:r>
              <w:rPr>
                <w:rFonts w:cs="Arial" w:asciiTheme="minorEastAsia" w:hAnsiTheme="minorEastAsia" w:eastAsiaTheme="minorEastAsia"/>
                <w:b w:val="0"/>
                <w:szCs w:val="21"/>
              </w:rPr>
              <w:t>0</w:t>
            </w:r>
          </w:p>
        </w:tc>
        <w:tc>
          <w:tcPr>
            <w:tcW w:w="992" w:type="dxa"/>
            <w:tcMar>
              <w:left w:w="0" w:type="dxa"/>
              <w:right w:w="0" w:type="dxa"/>
            </w:tcMar>
            <w:vAlign w:val="center"/>
          </w:tcPr>
          <w:p w14:paraId="133B23B2">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1</w:t>
            </w:r>
            <w:r>
              <w:rPr>
                <w:rFonts w:cs="宋体" w:asciiTheme="minorEastAsia" w:hAnsiTheme="minorEastAsia" w:eastAsiaTheme="minorEastAsia"/>
                <w:b w:val="0"/>
                <w:bCs/>
                <w:kern w:val="0"/>
                <w:szCs w:val="21"/>
                <w:lang w:bidi="ar"/>
              </w:rPr>
              <w:t>0</w:t>
            </w:r>
          </w:p>
        </w:tc>
        <w:tc>
          <w:tcPr>
            <w:tcW w:w="709" w:type="dxa"/>
            <w:tcMar>
              <w:left w:w="0" w:type="dxa"/>
              <w:right w:w="0" w:type="dxa"/>
            </w:tcMar>
            <w:vAlign w:val="center"/>
          </w:tcPr>
          <w:p w14:paraId="473FBC4A">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1C48CA94">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第7</w:t>
            </w:r>
            <w:r>
              <w:rPr>
                <w:rFonts w:cs="Arial" w:asciiTheme="minorEastAsia" w:hAnsiTheme="minorEastAsia" w:eastAsiaTheme="minorEastAsia"/>
                <w:b w:val="0"/>
                <w:color w:val="000000" w:themeColor="text1"/>
                <w:szCs w:val="21"/>
                <w14:textFill>
                  <w14:solidFill>
                    <w14:schemeClr w14:val="tx1"/>
                  </w14:solidFill>
                </w14:textFill>
              </w:rPr>
              <w:t>.2.2</w:t>
            </w:r>
          </w:p>
        </w:tc>
      </w:tr>
      <w:tr w14:paraId="020CEA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restart"/>
            <w:tcMar>
              <w:left w:w="0" w:type="dxa"/>
              <w:right w:w="0" w:type="dxa"/>
            </w:tcMar>
            <w:vAlign w:val="center"/>
          </w:tcPr>
          <w:p w14:paraId="1E163577">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8</w:t>
            </w:r>
            <w:r>
              <w:rPr>
                <w:rFonts w:cs="Arial" w:asciiTheme="minorEastAsia" w:hAnsiTheme="minorEastAsia" w:eastAsiaTheme="minorEastAsia"/>
                <w:b w:val="0"/>
                <w:color w:val="000000" w:themeColor="text1"/>
                <w:szCs w:val="21"/>
                <w14:textFill>
                  <w14:solidFill>
                    <w14:schemeClr w14:val="tx1"/>
                  </w14:solidFill>
                </w14:textFill>
              </w:rPr>
              <w:t>#</w:t>
            </w:r>
            <w:r>
              <w:rPr>
                <w:rFonts w:hint="eastAsia" w:cs="Arial" w:asciiTheme="minorEastAsia" w:hAnsiTheme="minorEastAsia" w:eastAsiaTheme="minorEastAsia"/>
                <w:b w:val="0"/>
                <w:color w:val="000000" w:themeColor="text1"/>
                <w:szCs w:val="21"/>
                <w14:textFill>
                  <w14:solidFill>
                    <w14:schemeClr w14:val="tx1"/>
                  </w14:solidFill>
                </w14:textFill>
              </w:rPr>
              <w:t>库房</w:t>
            </w:r>
          </w:p>
        </w:tc>
        <w:tc>
          <w:tcPr>
            <w:tcW w:w="709" w:type="dxa"/>
            <w:vMerge w:val="restart"/>
            <w:tcMar>
              <w:left w:w="0" w:type="dxa"/>
              <w:right w:w="0" w:type="dxa"/>
            </w:tcMar>
            <w:vAlign w:val="center"/>
          </w:tcPr>
          <w:p w14:paraId="675FAAE5">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r>
              <w:rPr>
                <w:rFonts w:hint="eastAsia" w:asciiTheme="minorEastAsia" w:hAnsiTheme="minorEastAsia" w:eastAsiaTheme="minorEastAsia"/>
                <w:b w:val="0"/>
                <w:color w:val="000000" w:themeColor="text1"/>
                <w:szCs w:val="21"/>
                <w14:textFill>
                  <w14:solidFill>
                    <w14:schemeClr w14:val="tx1"/>
                  </w14:solidFill>
                </w14:textFill>
              </w:rPr>
              <w:t>1</w:t>
            </w:r>
            <w:r>
              <w:rPr>
                <w:rFonts w:asciiTheme="minorEastAsia" w:hAnsiTheme="minorEastAsia" w:eastAsiaTheme="minorEastAsia"/>
                <w:b w:val="0"/>
                <w:color w:val="000000" w:themeColor="text1"/>
                <w:szCs w:val="21"/>
                <w14:textFill>
                  <w14:solidFill>
                    <w14:schemeClr w14:val="tx1"/>
                  </w14:solidFill>
                </w14:textFill>
              </w:rPr>
              <w:t>.3</w:t>
            </w:r>
          </w:p>
        </w:tc>
        <w:tc>
          <w:tcPr>
            <w:tcW w:w="1276" w:type="dxa"/>
            <w:vMerge w:val="restart"/>
            <w:tcMar>
              <w:left w:w="0" w:type="dxa"/>
              <w:right w:w="0" w:type="dxa"/>
            </w:tcMar>
            <w:vAlign w:val="center"/>
          </w:tcPr>
          <w:p w14:paraId="241D8321">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1</w:t>
            </w:r>
            <w:r>
              <w:rPr>
                <w:rFonts w:cs="Arial" w:asciiTheme="minorEastAsia" w:hAnsiTheme="minorEastAsia" w:eastAsiaTheme="minorEastAsia"/>
                <w:b w:val="0"/>
                <w:color w:val="000000" w:themeColor="text1"/>
                <w:szCs w:val="21"/>
                <w14:textFill>
                  <w14:solidFill>
                    <w14:schemeClr w14:val="tx1"/>
                  </w14:solidFill>
                </w14:textFill>
              </w:rPr>
              <w:t>9800</w:t>
            </w:r>
          </w:p>
        </w:tc>
        <w:tc>
          <w:tcPr>
            <w:tcW w:w="1701" w:type="dxa"/>
            <w:tcMar>
              <w:left w:w="0" w:type="dxa"/>
              <w:right w:w="0" w:type="dxa"/>
            </w:tcMar>
            <w:vAlign w:val="center"/>
          </w:tcPr>
          <w:p w14:paraId="24297429">
            <w:pPr>
              <w:spacing w:before="50" w:after="50" w:line="240" w:lineRule="exac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6#</w:t>
            </w:r>
            <w:r>
              <w:rPr>
                <w:rFonts w:hint="eastAsia" w:cs="Arial" w:asciiTheme="minorEastAsia" w:hAnsiTheme="minorEastAsia" w:eastAsiaTheme="minorEastAsia"/>
                <w:b w:val="0"/>
                <w:szCs w:val="21"/>
              </w:rPr>
              <w:t xml:space="preserve">库房 </w:t>
            </w:r>
            <w:r>
              <w:rPr>
                <w:rFonts w:cs="Arial" w:asciiTheme="minorEastAsia" w:hAnsiTheme="minorEastAsia" w:eastAsiaTheme="minorEastAsia"/>
                <w:b w:val="0"/>
                <w:szCs w:val="21"/>
              </w:rPr>
              <w:t>19800kg</w:t>
            </w:r>
          </w:p>
        </w:tc>
        <w:tc>
          <w:tcPr>
            <w:tcW w:w="1134" w:type="dxa"/>
            <w:tcMar>
              <w:left w:w="0" w:type="dxa"/>
              <w:right w:w="0" w:type="dxa"/>
            </w:tcMar>
            <w:vAlign w:val="center"/>
          </w:tcPr>
          <w:p w14:paraId="703114CE">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2F47E575">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57020080">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6EE08152">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w:t>
            </w:r>
            <w:r>
              <w:rPr>
                <w:rFonts w:cs="Arial" w:asciiTheme="minorEastAsia" w:hAnsiTheme="minorEastAsia" w:eastAsiaTheme="minorEastAsia"/>
                <w:b w:val="0"/>
                <w:color w:val="000000" w:themeColor="text1"/>
                <w:szCs w:val="21"/>
                <w14:textFill>
                  <w14:solidFill>
                    <w14:schemeClr w14:val="tx1"/>
                  </w14:solidFill>
                </w14:textFill>
              </w:rPr>
              <w:t>5.3.4</w:t>
            </w:r>
          </w:p>
        </w:tc>
      </w:tr>
      <w:tr w14:paraId="58D8B0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3976143C">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0F949A73">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0C75BAD9">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22DBB097">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7</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 xml:space="preserve">库房 </w:t>
            </w:r>
            <w:r>
              <w:rPr>
                <w:rFonts w:cs="Arial" w:asciiTheme="minorEastAsia" w:hAnsiTheme="minorEastAsia" w:eastAsiaTheme="minorEastAsia"/>
                <w:b w:val="0"/>
                <w:szCs w:val="21"/>
              </w:rPr>
              <w:t>19800kg</w:t>
            </w:r>
          </w:p>
        </w:tc>
        <w:tc>
          <w:tcPr>
            <w:tcW w:w="1134" w:type="dxa"/>
            <w:tcMar>
              <w:left w:w="0" w:type="dxa"/>
              <w:right w:w="0" w:type="dxa"/>
            </w:tcMar>
            <w:vAlign w:val="center"/>
          </w:tcPr>
          <w:p w14:paraId="36DF577E">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32695B38">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5</w:t>
            </w:r>
          </w:p>
        </w:tc>
        <w:tc>
          <w:tcPr>
            <w:tcW w:w="709" w:type="dxa"/>
            <w:tcMar>
              <w:left w:w="0" w:type="dxa"/>
              <w:right w:w="0" w:type="dxa"/>
            </w:tcMar>
            <w:vAlign w:val="center"/>
          </w:tcPr>
          <w:p w14:paraId="3B8AF6F7">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1FECA1F6">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0B696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596588C5">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13D8289B">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65D9F094">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38424A08">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库区运输</w:t>
            </w:r>
          </w:p>
          <w:p w14:paraId="5E0E3879">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道路中心线</w:t>
            </w:r>
          </w:p>
        </w:tc>
        <w:tc>
          <w:tcPr>
            <w:tcW w:w="1134" w:type="dxa"/>
            <w:tcMar>
              <w:left w:w="0" w:type="dxa"/>
              <w:right w:w="0" w:type="dxa"/>
            </w:tcMar>
            <w:vAlign w:val="center"/>
          </w:tcPr>
          <w:p w14:paraId="1280E78C">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1</w:t>
            </w:r>
            <w:r>
              <w:rPr>
                <w:rFonts w:cs="Arial" w:asciiTheme="minorEastAsia" w:hAnsiTheme="minorEastAsia" w:eastAsiaTheme="minorEastAsia"/>
                <w:b w:val="0"/>
                <w:szCs w:val="21"/>
              </w:rPr>
              <w:t>0</w:t>
            </w:r>
          </w:p>
        </w:tc>
        <w:tc>
          <w:tcPr>
            <w:tcW w:w="992" w:type="dxa"/>
            <w:tcMar>
              <w:left w:w="0" w:type="dxa"/>
              <w:right w:w="0" w:type="dxa"/>
            </w:tcMar>
            <w:vAlign w:val="center"/>
          </w:tcPr>
          <w:p w14:paraId="54ED5E82">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1</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2796A6D2">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1F388C29">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第7</w:t>
            </w:r>
            <w:r>
              <w:rPr>
                <w:rFonts w:cs="Arial" w:asciiTheme="minorEastAsia" w:hAnsiTheme="minorEastAsia" w:eastAsiaTheme="minorEastAsia"/>
                <w:b w:val="0"/>
                <w:color w:val="000000" w:themeColor="text1"/>
                <w:szCs w:val="21"/>
                <w14:textFill>
                  <w14:solidFill>
                    <w14:schemeClr w14:val="tx1"/>
                  </w14:solidFill>
                </w14:textFill>
              </w:rPr>
              <w:t>.2.2</w:t>
            </w:r>
          </w:p>
        </w:tc>
      </w:tr>
      <w:tr w14:paraId="4BF98D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restart"/>
            <w:tcMar>
              <w:left w:w="0" w:type="dxa"/>
              <w:right w:w="0" w:type="dxa"/>
            </w:tcMar>
            <w:vAlign w:val="center"/>
          </w:tcPr>
          <w:p w14:paraId="1FF71E54">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9</w:t>
            </w:r>
            <w:r>
              <w:rPr>
                <w:rFonts w:cs="Arial" w:asciiTheme="minorEastAsia" w:hAnsiTheme="minorEastAsia" w:eastAsiaTheme="minorEastAsia"/>
                <w:b w:val="0"/>
                <w:color w:val="000000" w:themeColor="text1"/>
                <w:szCs w:val="21"/>
                <w14:textFill>
                  <w14:solidFill>
                    <w14:schemeClr w14:val="tx1"/>
                  </w14:solidFill>
                </w14:textFill>
              </w:rPr>
              <w:t>#</w:t>
            </w:r>
            <w:r>
              <w:rPr>
                <w:rFonts w:hint="eastAsia" w:cs="Arial" w:asciiTheme="minorEastAsia" w:hAnsiTheme="minorEastAsia" w:eastAsiaTheme="minorEastAsia"/>
                <w:b w:val="0"/>
                <w:color w:val="000000" w:themeColor="text1"/>
                <w:szCs w:val="21"/>
                <w14:textFill>
                  <w14:solidFill>
                    <w14:schemeClr w14:val="tx1"/>
                  </w14:solidFill>
                </w14:textFill>
              </w:rPr>
              <w:t>库房</w:t>
            </w:r>
          </w:p>
        </w:tc>
        <w:tc>
          <w:tcPr>
            <w:tcW w:w="709" w:type="dxa"/>
            <w:vMerge w:val="restart"/>
            <w:tcMar>
              <w:left w:w="0" w:type="dxa"/>
              <w:right w:w="0" w:type="dxa"/>
            </w:tcMar>
            <w:vAlign w:val="center"/>
          </w:tcPr>
          <w:p w14:paraId="4A0713CC">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r>
              <w:rPr>
                <w:rFonts w:hint="eastAsia" w:asciiTheme="minorEastAsia" w:hAnsiTheme="minorEastAsia" w:eastAsiaTheme="minorEastAsia"/>
                <w:b w:val="0"/>
                <w:color w:val="000000" w:themeColor="text1"/>
                <w:szCs w:val="21"/>
                <w14:textFill>
                  <w14:solidFill>
                    <w14:schemeClr w14:val="tx1"/>
                  </w14:solidFill>
                </w14:textFill>
              </w:rPr>
              <w:t>1</w:t>
            </w:r>
            <w:r>
              <w:rPr>
                <w:rFonts w:asciiTheme="minorEastAsia" w:hAnsiTheme="minorEastAsia" w:eastAsiaTheme="minorEastAsia"/>
                <w:b w:val="0"/>
                <w:color w:val="000000" w:themeColor="text1"/>
                <w:szCs w:val="21"/>
                <w14:textFill>
                  <w14:solidFill>
                    <w14:schemeClr w14:val="tx1"/>
                  </w14:solidFill>
                </w14:textFill>
              </w:rPr>
              <w:t>.3</w:t>
            </w:r>
          </w:p>
        </w:tc>
        <w:tc>
          <w:tcPr>
            <w:tcW w:w="1276" w:type="dxa"/>
            <w:vMerge w:val="restart"/>
            <w:tcMar>
              <w:left w:w="0" w:type="dxa"/>
              <w:right w:w="0" w:type="dxa"/>
            </w:tcMar>
            <w:vAlign w:val="center"/>
          </w:tcPr>
          <w:p w14:paraId="13221B4B">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1</w:t>
            </w:r>
            <w:r>
              <w:rPr>
                <w:rFonts w:cs="Arial" w:asciiTheme="minorEastAsia" w:hAnsiTheme="minorEastAsia" w:eastAsiaTheme="minorEastAsia"/>
                <w:b w:val="0"/>
                <w:color w:val="000000" w:themeColor="text1"/>
                <w:szCs w:val="21"/>
                <w14:textFill>
                  <w14:solidFill>
                    <w14:schemeClr w14:val="tx1"/>
                  </w14:solidFill>
                </w14:textFill>
              </w:rPr>
              <w:t>8480</w:t>
            </w:r>
          </w:p>
        </w:tc>
        <w:tc>
          <w:tcPr>
            <w:tcW w:w="1701" w:type="dxa"/>
            <w:tcMar>
              <w:left w:w="0" w:type="dxa"/>
              <w:right w:w="0" w:type="dxa"/>
            </w:tcMar>
            <w:vAlign w:val="center"/>
          </w:tcPr>
          <w:p w14:paraId="5B1CCE79">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7</w:t>
            </w:r>
            <w:r>
              <w:rPr>
                <w:rFonts w:cs="Arial" w:asciiTheme="minorEastAsia" w:hAnsiTheme="minorEastAsia" w:eastAsiaTheme="minorEastAsia"/>
                <w:b w:val="0"/>
                <w:szCs w:val="21"/>
              </w:rPr>
              <w:t>#</w:t>
            </w:r>
            <w:r>
              <w:rPr>
                <w:rFonts w:hint="eastAsia" w:cs="Arial" w:asciiTheme="minorEastAsia" w:hAnsiTheme="minorEastAsia" w:eastAsiaTheme="minorEastAsia"/>
                <w:b w:val="0"/>
                <w:szCs w:val="21"/>
              </w:rPr>
              <w:t xml:space="preserve">库房 </w:t>
            </w:r>
            <w:r>
              <w:rPr>
                <w:rFonts w:cs="Arial" w:asciiTheme="minorEastAsia" w:hAnsiTheme="minorEastAsia" w:eastAsiaTheme="minorEastAsia"/>
                <w:b w:val="0"/>
                <w:szCs w:val="21"/>
              </w:rPr>
              <w:t>19800kg</w:t>
            </w:r>
          </w:p>
        </w:tc>
        <w:tc>
          <w:tcPr>
            <w:tcW w:w="1134" w:type="dxa"/>
            <w:tcMar>
              <w:left w:w="0" w:type="dxa"/>
              <w:right w:w="0" w:type="dxa"/>
            </w:tcMar>
            <w:vAlign w:val="center"/>
          </w:tcPr>
          <w:p w14:paraId="0D4D0D26">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4</w:t>
            </w:r>
            <w:r>
              <w:rPr>
                <w:rFonts w:cs="Arial" w:asciiTheme="minorEastAsia" w:hAnsiTheme="minorEastAsia" w:eastAsiaTheme="minorEastAsia"/>
                <w:b w:val="0"/>
                <w:szCs w:val="21"/>
              </w:rPr>
              <w:t>0</w:t>
            </w:r>
          </w:p>
        </w:tc>
        <w:tc>
          <w:tcPr>
            <w:tcW w:w="992" w:type="dxa"/>
            <w:tcMar>
              <w:left w:w="0" w:type="dxa"/>
              <w:right w:w="0" w:type="dxa"/>
            </w:tcMar>
            <w:vAlign w:val="center"/>
          </w:tcPr>
          <w:p w14:paraId="20998F9A">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4</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1CF6E6F9">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684FEE0C">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.3.4</w:t>
            </w:r>
          </w:p>
        </w:tc>
      </w:tr>
      <w:tr w14:paraId="7FD053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4E2A93D7">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1C5078F9">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003C378E">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34BBB69B">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库区运输</w:t>
            </w:r>
          </w:p>
          <w:p w14:paraId="066936D7">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道路中心线</w:t>
            </w:r>
          </w:p>
        </w:tc>
        <w:tc>
          <w:tcPr>
            <w:tcW w:w="1134" w:type="dxa"/>
            <w:tcMar>
              <w:left w:w="0" w:type="dxa"/>
              <w:right w:w="0" w:type="dxa"/>
            </w:tcMar>
            <w:vAlign w:val="center"/>
          </w:tcPr>
          <w:p w14:paraId="1AAAFE72">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1</w:t>
            </w:r>
            <w:r>
              <w:rPr>
                <w:rFonts w:cs="Arial" w:asciiTheme="minorEastAsia" w:hAnsiTheme="minorEastAsia" w:eastAsiaTheme="minorEastAsia"/>
                <w:b w:val="0"/>
                <w:szCs w:val="21"/>
              </w:rPr>
              <w:t>0</w:t>
            </w:r>
          </w:p>
        </w:tc>
        <w:tc>
          <w:tcPr>
            <w:tcW w:w="992" w:type="dxa"/>
            <w:tcMar>
              <w:left w:w="0" w:type="dxa"/>
              <w:right w:w="0" w:type="dxa"/>
            </w:tcMar>
            <w:vAlign w:val="center"/>
          </w:tcPr>
          <w:p w14:paraId="42A3D712">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1</w:t>
            </w:r>
            <w:r>
              <w:rPr>
                <w:rFonts w:cs="宋体" w:asciiTheme="minorEastAsia" w:hAnsiTheme="minorEastAsia" w:eastAsiaTheme="minorEastAsia"/>
                <w:b w:val="0"/>
                <w:bCs/>
                <w:kern w:val="0"/>
                <w:szCs w:val="21"/>
                <w:lang w:bidi="ar"/>
              </w:rPr>
              <w:t>0.5</w:t>
            </w:r>
          </w:p>
        </w:tc>
        <w:tc>
          <w:tcPr>
            <w:tcW w:w="709" w:type="dxa"/>
            <w:tcMar>
              <w:left w:w="0" w:type="dxa"/>
              <w:right w:w="0" w:type="dxa"/>
            </w:tcMar>
            <w:vAlign w:val="center"/>
          </w:tcPr>
          <w:p w14:paraId="246BE8AE">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37FFC457">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第7</w:t>
            </w:r>
            <w:r>
              <w:rPr>
                <w:rFonts w:cs="Arial" w:asciiTheme="minorEastAsia" w:hAnsiTheme="minorEastAsia" w:eastAsiaTheme="minorEastAsia"/>
                <w:b w:val="0"/>
                <w:color w:val="000000" w:themeColor="text1"/>
                <w:szCs w:val="21"/>
                <w14:textFill>
                  <w14:solidFill>
                    <w14:schemeClr w14:val="tx1"/>
                  </w14:solidFill>
                </w14:textFill>
              </w:rPr>
              <w:t>.2.2</w:t>
            </w:r>
          </w:p>
        </w:tc>
      </w:tr>
      <w:tr w14:paraId="1072DA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restart"/>
            <w:tcMar>
              <w:left w:w="0" w:type="dxa"/>
              <w:right w:w="0" w:type="dxa"/>
            </w:tcMar>
            <w:vAlign w:val="center"/>
          </w:tcPr>
          <w:p w14:paraId="2A2D93A7">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1</w:t>
            </w:r>
            <w:r>
              <w:rPr>
                <w:rFonts w:cs="Arial" w:asciiTheme="minorEastAsia" w:hAnsiTheme="minorEastAsia" w:eastAsiaTheme="minorEastAsia"/>
                <w:b w:val="0"/>
                <w:color w:val="000000" w:themeColor="text1"/>
                <w:szCs w:val="21"/>
                <w14:textFill>
                  <w14:solidFill>
                    <w14:schemeClr w14:val="tx1"/>
                  </w14:solidFill>
                </w14:textFill>
              </w:rPr>
              <w:t>0#</w:t>
            </w:r>
            <w:r>
              <w:rPr>
                <w:rFonts w:hint="eastAsia" w:cs="Arial" w:asciiTheme="minorEastAsia" w:hAnsiTheme="minorEastAsia" w:eastAsiaTheme="minorEastAsia"/>
                <w:b w:val="0"/>
                <w:color w:val="000000" w:themeColor="text1"/>
                <w:szCs w:val="21"/>
                <w14:textFill>
                  <w14:solidFill>
                    <w14:schemeClr w14:val="tx1"/>
                  </w14:solidFill>
                </w14:textFill>
              </w:rPr>
              <w:t>库房</w:t>
            </w:r>
          </w:p>
        </w:tc>
        <w:tc>
          <w:tcPr>
            <w:tcW w:w="709" w:type="dxa"/>
            <w:vMerge w:val="restart"/>
            <w:tcMar>
              <w:left w:w="0" w:type="dxa"/>
              <w:right w:w="0" w:type="dxa"/>
            </w:tcMar>
            <w:vAlign w:val="center"/>
          </w:tcPr>
          <w:p w14:paraId="3EE79015">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r>
              <w:rPr>
                <w:rFonts w:hint="eastAsia" w:asciiTheme="minorEastAsia" w:hAnsiTheme="minorEastAsia" w:eastAsiaTheme="minorEastAsia"/>
                <w:b w:val="0"/>
                <w:color w:val="000000" w:themeColor="text1"/>
                <w:szCs w:val="21"/>
                <w14:textFill>
                  <w14:solidFill>
                    <w14:schemeClr w14:val="tx1"/>
                  </w14:solidFill>
                </w14:textFill>
              </w:rPr>
              <w:t>1</w:t>
            </w:r>
            <w:r>
              <w:rPr>
                <w:rFonts w:asciiTheme="minorEastAsia" w:hAnsiTheme="minorEastAsia" w:eastAsiaTheme="minorEastAsia"/>
                <w:b w:val="0"/>
                <w:color w:val="000000" w:themeColor="text1"/>
                <w:szCs w:val="21"/>
                <w14:textFill>
                  <w14:solidFill>
                    <w14:schemeClr w14:val="tx1"/>
                  </w14:solidFill>
                </w14:textFill>
              </w:rPr>
              <w:t>.1</w:t>
            </w:r>
            <w:r>
              <w:rPr>
                <w:rFonts w:asciiTheme="minorEastAsia" w:hAnsiTheme="minorEastAsia" w:eastAsiaTheme="minorEastAsia"/>
                <w:b w:val="0"/>
                <w:color w:val="000000" w:themeColor="text1"/>
                <w:szCs w:val="21"/>
                <w:vertAlign w:val="superscript"/>
                <w14:textFill>
                  <w14:solidFill>
                    <w14:schemeClr w14:val="tx1"/>
                  </w14:solidFill>
                </w14:textFill>
              </w:rPr>
              <w:t>-2</w:t>
            </w:r>
          </w:p>
        </w:tc>
        <w:tc>
          <w:tcPr>
            <w:tcW w:w="1276" w:type="dxa"/>
            <w:vMerge w:val="restart"/>
            <w:tcMar>
              <w:left w:w="0" w:type="dxa"/>
              <w:right w:w="0" w:type="dxa"/>
            </w:tcMar>
            <w:vAlign w:val="center"/>
          </w:tcPr>
          <w:p w14:paraId="4EC2751C">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2</w:t>
            </w:r>
            <w:r>
              <w:rPr>
                <w:rFonts w:cs="Arial" w:asciiTheme="minorEastAsia" w:hAnsiTheme="minorEastAsia" w:eastAsiaTheme="minorEastAsia"/>
                <w:b w:val="0"/>
                <w:color w:val="000000" w:themeColor="text1"/>
                <w:szCs w:val="21"/>
                <w14:textFill>
                  <w14:solidFill>
                    <w14:schemeClr w14:val="tx1"/>
                  </w14:solidFill>
                </w14:textFill>
              </w:rPr>
              <w:t>200</w:t>
            </w:r>
          </w:p>
        </w:tc>
        <w:tc>
          <w:tcPr>
            <w:tcW w:w="1701" w:type="dxa"/>
            <w:tcMar>
              <w:left w:w="0" w:type="dxa"/>
              <w:right w:w="0" w:type="dxa"/>
            </w:tcMar>
            <w:vAlign w:val="center"/>
          </w:tcPr>
          <w:p w14:paraId="3C70DAEC">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综合办公室</w:t>
            </w:r>
          </w:p>
        </w:tc>
        <w:tc>
          <w:tcPr>
            <w:tcW w:w="1134" w:type="dxa"/>
            <w:tcMar>
              <w:left w:w="0" w:type="dxa"/>
              <w:right w:w="0" w:type="dxa"/>
            </w:tcMar>
            <w:vAlign w:val="center"/>
          </w:tcPr>
          <w:p w14:paraId="7209C90E">
            <w:pPr>
              <w:spacing w:before="50" w:after="50" w:line="240" w:lineRule="exact"/>
              <w:rPr>
                <w:rFonts w:cs="Arial" w:asciiTheme="minorEastAsia" w:hAnsiTheme="minorEastAsia" w:eastAsiaTheme="minorEastAsia"/>
                <w:b w:val="0"/>
                <w:szCs w:val="21"/>
              </w:rPr>
            </w:pPr>
            <w:r>
              <w:rPr>
                <w:rFonts w:hint="eastAsia" w:cs="Arial" w:asciiTheme="minorEastAsia" w:hAnsiTheme="minorEastAsia" w:eastAsiaTheme="minorEastAsia"/>
                <w:b w:val="0"/>
                <w:szCs w:val="21"/>
              </w:rPr>
              <w:t>2</w:t>
            </w:r>
            <w:r>
              <w:rPr>
                <w:rFonts w:cs="Arial" w:asciiTheme="minorEastAsia" w:hAnsiTheme="minorEastAsia" w:eastAsiaTheme="minorEastAsia"/>
                <w:b w:val="0"/>
                <w:szCs w:val="21"/>
              </w:rPr>
              <w:t>05</w:t>
            </w:r>
            <w:r>
              <w:rPr>
                <w:rFonts w:hint="eastAsia" w:cs="Arial" w:asciiTheme="minorEastAsia" w:hAnsiTheme="minorEastAsia" w:eastAsiaTheme="minorEastAsia"/>
                <w:b w:val="0"/>
                <w:szCs w:val="21"/>
              </w:rPr>
              <w:t>（根据外部安全距离确定）</w:t>
            </w:r>
          </w:p>
        </w:tc>
        <w:tc>
          <w:tcPr>
            <w:tcW w:w="992" w:type="dxa"/>
            <w:tcMar>
              <w:left w:w="0" w:type="dxa"/>
              <w:right w:w="0" w:type="dxa"/>
            </w:tcMar>
            <w:vAlign w:val="center"/>
          </w:tcPr>
          <w:p w14:paraId="7C022C67">
            <w:pPr>
              <w:spacing w:before="50" w:after="50" w:line="240" w:lineRule="exact"/>
              <w:jc w:val="center"/>
              <w:rPr>
                <w:rFonts w:cs="宋体" w:asciiTheme="minorEastAsia" w:hAnsiTheme="minorEastAsia" w:eastAsiaTheme="minorEastAsia"/>
                <w:b w:val="0"/>
                <w:bCs/>
                <w:kern w:val="0"/>
                <w:szCs w:val="21"/>
                <w:lang w:bidi="ar"/>
              </w:rPr>
            </w:pPr>
            <w:r>
              <w:rPr>
                <w:rFonts w:cs="宋体" w:asciiTheme="minorEastAsia" w:hAnsiTheme="minorEastAsia" w:eastAsiaTheme="minorEastAsia"/>
                <w:b w:val="0"/>
                <w:bCs/>
                <w:kern w:val="0"/>
                <w:szCs w:val="21"/>
                <w:lang w:bidi="ar"/>
              </w:rPr>
              <w:t>206.8</w:t>
            </w:r>
          </w:p>
        </w:tc>
        <w:tc>
          <w:tcPr>
            <w:tcW w:w="709" w:type="dxa"/>
            <w:tcMar>
              <w:left w:w="0" w:type="dxa"/>
              <w:right w:w="0" w:type="dxa"/>
            </w:tcMar>
            <w:vAlign w:val="center"/>
          </w:tcPr>
          <w:p w14:paraId="48487C3B">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7E36A305">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w:t>
            </w:r>
            <w:r>
              <w:rPr>
                <w:rFonts w:cs="Arial" w:asciiTheme="minorEastAsia" w:hAnsiTheme="minorEastAsia" w:eastAsiaTheme="minorEastAsia"/>
                <w:b w:val="0"/>
                <w:color w:val="000000" w:themeColor="text1"/>
                <w:szCs w:val="21"/>
                <w14:textFill>
                  <w14:solidFill>
                    <w14:schemeClr w14:val="tx1"/>
                  </w14:solidFill>
                </w14:textFill>
              </w:rPr>
              <w:t>5.3.7</w:t>
            </w:r>
            <w:r>
              <w:rPr>
                <w:rFonts w:hint="eastAsia" w:cs="Arial" w:asciiTheme="minorEastAsia" w:hAnsiTheme="minorEastAsia" w:eastAsiaTheme="minorEastAsia"/>
                <w:b w:val="0"/>
                <w:color w:val="000000" w:themeColor="text1"/>
                <w:szCs w:val="21"/>
                <w14:textFill>
                  <w14:solidFill>
                    <w14:schemeClr w14:val="tx1"/>
                  </w14:solidFill>
                </w14:textFill>
              </w:rPr>
              <w:t>、第</w:t>
            </w:r>
            <w:r>
              <w:rPr>
                <w:rFonts w:cs="Arial" w:asciiTheme="minorEastAsia" w:hAnsiTheme="minorEastAsia" w:eastAsiaTheme="minorEastAsia"/>
                <w:b w:val="0"/>
                <w:color w:val="000000" w:themeColor="text1"/>
                <w:szCs w:val="21"/>
                <w14:textFill>
                  <w14:solidFill>
                    <w14:schemeClr w14:val="tx1"/>
                  </w14:solidFill>
                </w14:textFill>
              </w:rPr>
              <w:t>4.3.2</w:t>
            </w:r>
          </w:p>
        </w:tc>
      </w:tr>
      <w:tr w14:paraId="47CC1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229CB117">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51345B90">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7B638ADB">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69587771">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值班室</w:t>
            </w:r>
          </w:p>
        </w:tc>
        <w:tc>
          <w:tcPr>
            <w:tcW w:w="1134" w:type="dxa"/>
            <w:tcMar>
              <w:left w:w="0" w:type="dxa"/>
              <w:right w:w="0" w:type="dxa"/>
            </w:tcMar>
            <w:vAlign w:val="center"/>
          </w:tcPr>
          <w:p w14:paraId="410B882B">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8</w:t>
            </w:r>
            <w:r>
              <w:rPr>
                <w:rFonts w:cs="Arial" w:asciiTheme="minorEastAsia" w:hAnsiTheme="minorEastAsia" w:eastAsiaTheme="minorEastAsia"/>
                <w:b w:val="0"/>
                <w:szCs w:val="21"/>
              </w:rPr>
              <w:t>8</w:t>
            </w:r>
          </w:p>
        </w:tc>
        <w:tc>
          <w:tcPr>
            <w:tcW w:w="992" w:type="dxa"/>
            <w:tcMar>
              <w:left w:w="0" w:type="dxa"/>
              <w:right w:w="0" w:type="dxa"/>
            </w:tcMar>
            <w:vAlign w:val="center"/>
          </w:tcPr>
          <w:p w14:paraId="2458D50C">
            <w:pPr>
              <w:spacing w:before="50" w:after="50" w:line="240" w:lineRule="exact"/>
              <w:jc w:val="center"/>
              <w:rPr>
                <w:rFonts w:cs="宋体" w:asciiTheme="minorEastAsia" w:hAnsiTheme="minorEastAsia" w:eastAsiaTheme="minorEastAsia"/>
                <w:b w:val="0"/>
                <w:bCs/>
                <w:kern w:val="0"/>
                <w:szCs w:val="21"/>
                <w:lang w:bidi="ar"/>
              </w:rPr>
            </w:pPr>
            <w:r>
              <w:rPr>
                <w:rFonts w:hint="eastAsia" w:cs="宋体" w:asciiTheme="minorEastAsia" w:hAnsiTheme="minorEastAsia" w:eastAsiaTheme="minorEastAsia"/>
                <w:b w:val="0"/>
                <w:bCs/>
                <w:kern w:val="0"/>
                <w:szCs w:val="21"/>
                <w:lang w:bidi="ar"/>
              </w:rPr>
              <w:t>2</w:t>
            </w:r>
            <w:r>
              <w:rPr>
                <w:rFonts w:cs="宋体" w:asciiTheme="minorEastAsia" w:hAnsiTheme="minorEastAsia" w:eastAsiaTheme="minorEastAsia"/>
                <w:b w:val="0"/>
                <w:bCs/>
                <w:kern w:val="0"/>
                <w:szCs w:val="21"/>
                <w:lang w:bidi="ar"/>
              </w:rPr>
              <w:t>20.8</w:t>
            </w:r>
          </w:p>
        </w:tc>
        <w:tc>
          <w:tcPr>
            <w:tcW w:w="709" w:type="dxa"/>
            <w:tcMar>
              <w:left w:w="0" w:type="dxa"/>
              <w:right w:w="0" w:type="dxa"/>
            </w:tcMar>
            <w:vAlign w:val="center"/>
          </w:tcPr>
          <w:p w14:paraId="6852EB29">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41FDDC9A">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第5</w:t>
            </w:r>
            <w:r>
              <w:rPr>
                <w:rFonts w:cs="Arial" w:asciiTheme="minorEastAsia" w:hAnsiTheme="minorEastAsia" w:eastAsiaTheme="minorEastAsia"/>
                <w:b w:val="0"/>
                <w:color w:val="000000" w:themeColor="text1"/>
                <w:szCs w:val="21"/>
                <w14:textFill>
                  <w14:solidFill>
                    <w14:schemeClr w14:val="tx1"/>
                  </w14:solidFill>
                </w14:textFill>
              </w:rPr>
              <w:t>.3.6</w:t>
            </w:r>
          </w:p>
        </w:tc>
      </w:tr>
      <w:tr w14:paraId="28EBF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941" w:type="dxa"/>
            <w:vMerge w:val="continue"/>
            <w:tcMar>
              <w:left w:w="0" w:type="dxa"/>
              <w:right w:w="0" w:type="dxa"/>
            </w:tcMar>
            <w:vAlign w:val="center"/>
          </w:tcPr>
          <w:p w14:paraId="10FD9516">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709" w:type="dxa"/>
            <w:vMerge w:val="continue"/>
            <w:tcMar>
              <w:left w:w="0" w:type="dxa"/>
              <w:right w:w="0" w:type="dxa"/>
            </w:tcMar>
            <w:vAlign w:val="center"/>
          </w:tcPr>
          <w:p w14:paraId="6646DDB2">
            <w:pPr>
              <w:spacing w:line="240" w:lineRule="exact"/>
              <w:jc w:val="center"/>
              <w:rPr>
                <w:rFonts w:asciiTheme="minorEastAsia" w:hAnsiTheme="minorEastAsia" w:eastAsiaTheme="minorEastAsia"/>
                <w:b w:val="0"/>
                <w:color w:val="000000" w:themeColor="text1"/>
                <w:szCs w:val="21"/>
                <w14:textFill>
                  <w14:solidFill>
                    <w14:schemeClr w14:val="tx1"/>
                  </w14:solidFill>
                </w14:textFill>
              </w:rPr>
            </w:pPr>
          </w:p>
        </w:tc>
        <w:tc>
          <w:tcPr>
            <w:tcW w:w="1276" w:type="dxa"/>
            <w:vMerge w:val="continue"/>
            <w:tcMar>
              <w:left w:w="0" w:type="dxa"/>
              <w:right w:w="0" w:type="dxa"/>
            </w:tcMar>
            <w:vAlign w:val="center"/>
          </w:tcPr>
          <w:p w14:paraId="38068DCE">
            <w:pPr>
              <w:spacing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p>
        </w:tc>
        <w:tc>
          <w:tcPr>
            <w:tcW w:w="1701" w:type="dxa"/>
            <w:tcMar>
              <w:left w:w="0" w:type="dxa"/>
              <w:right w:w="0" w:type="dxa"/>
            </w:tcMar>
            <w:vAlign w:val="center"/>
          </w:tcPr>
          <w:p w14:paraId="65260AF0">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库区运输</w:t>
            </w:r>
          </w:p>
          <w:p w14:paraId="100E18C3">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道路中心线</w:t>
            </w:r>
          </w:p>
        </w:tc>
        <w:tc>
          <w:tcPr>
            <w:tcW w:w="1134" w:type="dxa"/>
            <w:tcMar>
              <w:left w:w="0" w:type="dxa"/>
              <w:right w:w="0" w:type="dxa"/>
            </w:tcMar>
            <w:vAlign w:val="center"/>
          </w:tcPr>
          <w:p w14:paraId="55313DA2">
            <w:pPr>
              <w:spacing w:before="50" w:after="50" w:line="240" w:lineRule="exact"/>
              <w:jc w:val="center"/>
              <w:rPr>
                <w:rFonts w:cs="Arial" w:asciiTheme="minorEastAsia" w:hAnsiTheme="minorEastAsia" w:eastAsiaTheme="minorEastAsia"/>
                <w:b w:val="0"/>
                <w:szCs w:val="21"/>
              </w:rPr>
            </w:pPr>
            <w:r>
              <w:rPr>
                <w:rFonts w:hint="eastAsia" w:cs="Arial" w:asciiTheme="minorEastAsia" w:hAnsiTheme="minorEastAsia" w:eastAsiaTheme="minorEastAsia"/>
                <w:b w:val="0"/>
                <w:szCs w:val="21"/>
              </w:rPr>
              <w:t>1</w:t>
            </w:r>
            <w:r>
              <w:rPr>
                <w:rFonts w:cs="Arial" w:asciiTheme="minorEastAsia" w:hAnsiTheme="minorEastAsia" w:eastAsiaTheme="minorEastAsia"/>
                <w:b w:val="0"/>
                <w:szCs w:val="21"/>
              </w:rPr>
              <w:t>0</w:t>
            </w:r>
          </w:p>
        </w:tc>
        <w:tc>
          <w:tcPr>
            <w:tcW w:w="992" w:type="dxa"/>
            <w:tcMar>
              <w:left w:w="0" w:type="dxa"/>
              <w:right w:w="0" w:type="dxa"/>
            </w:tcMar>
            <w:vAlign w:val="center"/>
          </w:tcPr>
          <w:p w14:paraId="62FB16AF">
            <w:pPr>
              <w:spacing w:before="50" w:after="50" w:line="240" w:lineRule="exact"/>
              <w:jc w:val="center"/>
              <w:rPr>
                <w:rFonts w:cs="宋体" w:asciiTheme="minorEastAsia" w:hAnsiTheme="minorEastAsia" w:eastAsiaTheme="minorEastAsia"/>
                <w:b w:val="0"/>
                <w:bCs/>
                <w:kern w:val="0"/>
                <w:szCs w:val="21"/>
                <w:lang w:bidi="ar"/>
              </w:rPr>
            </w:pPr>
            <w:r>
              <w:rPr>
                <w:rFonts w:cs="宋体" w:asciiTheme="minorEastAsia" w:hAnsiTheme="minorEastAsia" w:eastAsiaTheme="minorEastAsia"/>
                <w:b w:val="0"/>
                <w:bCs/>
                <w:kern w:val="0"/>
                <w:szCs w:val="21"/>
                <w:lang w:bidi="ar"/>
              </w:rPr>
              <w:t>15</w:t>
            </w:r>
          </w:p>
        </w:tc>
        <w:tc>
          <w:tcPr>
            <w:tcW w:w="709" w:type="dxa"/>
            <w:tcMar>
              <w:left w:w="0" w:type="dxa"/>
              <w:right w:w="0" w:type="dxa"/>
            </w:tcMar>
            <w:vAlign w:val="center"/>
          </w:tcPr>
          <w:p w14:paraId="7CE6FAD4">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符合</w:t>
            </w:r>
          </w:p>
        </w:tc>
        <w:tc>
          <w:tcPr>
            <w:tcW w:w="1559" w:type="dxa"/>
            <w:tcMar>
              <w:left w:w="0" w:type="dxa"/>
              <w:right w:w="0" w:type="dxa"/>
            </w:tcMar>
            <w:vAlign w:val="center"/>
          </w:tcPr>
          <w:p w14:paraId="0C32322E">
            <w:pPr>
              <w:spacing w:before="50" w:after="50" w:line="240" w:lineRule="exact"/>
              <w:jc w:val="center"/>
              <w:rPr>
                <w:rFonts w:cs="Arial" w:asciiTheme="minorEastAsia" w:hAnsiTheme="minorEastAsia" w:eastAsiaTheme="minorEastAsia"/>
                <w:b w:val="0"/>
                <w:color w:val="000000" w:themeColor="text1"/>
                <w:szCs w:val="21"/>
                <w14:textFill>
                  <w14:solidFill>
                    <w14:schemeClr w14:val="tx1"/>
                  </w14:solidFill>
                </w14:textFill>
              </w:rPr>
            </w:pPr>
            <w:r>
              <w:rPr>
                <w:rFonts w:hint="eastAsia" w:cs="Arial" w:asciiTheme="minorEastAsia" w:hAnsiTheme="minorEastAsia" w:eastAsiaTheme="minorEastAsia"/>
                <w:b w:val="0"/>
                <w:color w:val="000000" w:themeColor="text1"/>
                <w:szCs w:val="21"/>
                <w14:textFill>
                  <w14:solidFill>
                    <w14:schemeClr w14:val="tx1"/>
                  </w14:solidFill>
                </w14:textFill>
              </w:rPr>
              <w:t>G</w:t>
            </w:r>
            <w:r>
              <w:rPr>
                <w:rFonts w:cs="Arial" w:asciiTheme="minorEastAsia" w:hAnsiTheme="minorEastAsia" w:eastAsiaTheme="minorEastAsia"/>
                <w:b w:val="0"/>
                <w:color w:val="000000" w:themeColor="text1"/>
                <w:szCs w:val="21"/>
                <w14:textFill>
                  <w14:solidFill>
                    <w14:schemeClr w14:val="tx1"/>
                  </w14:solidFill>
                </w14:textFill>
              </w:rPr>
              <w:t>B50161</w:t>
            </w:r>
            <w:r>
              <w:rPr>
                <w:rFonts w:hint="eastAsia" w:cs="Arial" w:asciiTheme="minorEastAsia" w:hAnsiTheme="minorEastAsia" w:eastAsiaTheme="minorEastAsia"/>
                <w:b w:val="0"/>
                <w:color w:val="000000" w:themeColor="text1"/>
                <w:szCs w:val="21"/>
                <w14:textFill>
                  <w14:solidFill>
                    <w14:schemeClr w14:val="tx1"/>
                  </w14:solidFill>
                </w14:textFill>
              </w:rPr>
              <w:t>第7</w:t>
            </w:r>
            <w:r>
              <w:rPr>
                <w:rFonts w:cs="Arial" w:asciiTheme="minorEastAsia" w:hAnsiTheme="minorEastAsia" w:eastAsiaTheme="minorEastAsia"/>
                <w:b w:val="0"/>
                <w:color w:val="000000" w:themeColor="text1"/>
                <w:szCs w:val="21"/>
                <w14:textFill>
                  <w14:solidFill>
                    <w14:schemeClr w14:val="tx1"/>
                  </w14:solidFill>
                </w14:textFill>
              </w:rPr>
              <w:t>.2.2</w:t>
            </w:r>
          </w:p>
        </w:tc>
      </w:tr>
      <w:bookmarkEnd w:id="99"/>
    </w:tbl>
    <w:p w14:paraId="3137E631">
      <w:pPr>
        <w:keepNext/>
        <w:keepLines/>
        <w:spacing w:before="240" w:beforeLines="100" w:after="120" w:afterLines="50" w:line="360" w:lineRule="auto"/>
        <w:outlineLvl w:val="1"/>
        <w:rPr>
          <w:rFonts w:ascii="黑体" w:hAnsi="宋体" w:eastAsia="黑体"/>
          <w:b w:val="0"/>
          <w:bCs/>
          <w:snapToGrid w:val="0"/>
          <w:sz w:val="32"/>
          <w:szCs w:val="32"/>
        </w:rPr>
      </w:pPr>
      <w:bookmarkStart w:id="100" w:name="_Toc297251648"/>
      <w:bookmarkStart w:id="101" w:name="_Toc300256200"/>
      <w:bookmarkStart w:id="102" w:name="_Toc205979626"/>
      <w:bookmarkStart w:id="103" w:name="_Toc300344397"/>
      <w:bookmarkStart w:id="104" w:name="_Toc278054189"/>
      <w:bookmarkStart w:id="105" w:name="_Toc300329575"/>
      <w:r>
        <w:rPr>
          <w:rFonts w:hint="eastAsia" w:ascii="黑体" w:hAnsi="宋体" w:eastAsia="黑体"/>
          <w:b w:val="0"/>
          <w:bCs/>
          <w:snapToGrid w:val="0"/>
          <w:sz w:val="32"/>
          <w:szCs w:val="32"/>
        </w:rPr>
        <w:t>2.7安全管理介绍</w:t>
      </w:r>
      <w:bookmarkEnd w:id="100"/>
      <w:bookmarkEnd w:id="101"/>
      <w:bookmarkEnd w:id="102"/>
      <w:bookmarkEnd w:id="103"/>
      <w:bookmarkEnd w:id="104"/>
      <w:bookmarkEnd w:id="105"/>
    </w:p>
    <w:p w14:paraId="2312143C">
      <w:pPr>
        <w:pStyle w:val="6"/>
        <w:rPr>
          <w:rFonts w:ascii="黑体" w:hAnsi="宋体" w:eastAsia="黑体"/>
          <w:b w:val="0"/>
          <w:bCs w:val="0"/>
          <w:snapToGrid w:val="0"/>
          <w:sz w:val="30"/>
          <w:szCs w:val="30"/>
        </w:rPr>
      </w:pPr>
      <w:bookmarkStart w:id="106" w:name="_Toc165038784"/>
      <w:bookmarkStart w:id="107" w:name="_Toc300329576"/>
      <w:bookmarkStart w:id="108" w:name="_Toc300256201"/>
      <w:bookmarkStart w:id="109" w:name="_Toc300344398"/>
      <w:bookmarkStart w:id="110" w:name="_Toc278054190"/>
      <w:r>
        <w:rPr>
          <w:rFonts w:hint="eastAsia" w:ascii="黑体" w:hAnsi="宋体" w:eastAsia="黑体"/>
          <w:b w:val="0"/>
          <w:bCs w:val="0"/>
          <w:snapToGrid w:val="0"/>
          <w:sz w:val="30"/>
          <w:szCs w:val="30"/>
        </w:rPr>
        <w:t>2.7.1安全管理组织机构</w:t>
      </w:r>
      <w:bookmarkEnd w:id="106"/>
      <w:bookmarkEnd w:id="107"/>
      <w:bookmarkEnd w:id="108"/>
      <w:bookmarkEnd w:id="109"/>
      <w:bookmarkEnd w:id="110"/>
    </w:p>
    <w:p w14:paraId="5AE47A9B">
      <w:pPr>
        <w:adjustRightInd w:val="0"/>
        <w:snapToGrid w:val="0"/>
        <w:spacing w:line="360" w:lineRule="auto"/>
        <w:ind w:firstLine="560" w:firstLineChars="200"/>
        <w:rPr>
          <w:rFonts w:ascii="宋体" w:hAnsi="宋体" w:cs="宋体"/>
          <w:b w:val="0"/>
          <w:sz w:val="28"/>
          <w:szCs w:val="28"/>
        </w:rPr>
      </w:pPr>
      <w:r>
        <w:rPr>
          <w:rFonts w:hint="eastAsia" w:ascii="宋体" w:hAnsi="宋体" w:cs="宋体"/>
          <w:b w:val="0"/>
          <w:sz w:val="28"/>
          <w:szCs w:val="28"/>
        </w:rPr>
        <w:t>黑龙江泰运烟花有限公司应按《</w:t>
      </w:r>
      <w:r>
        <w:rPr>
          <w:rFonts w:hint="eastAsia" w:ascii="宋体" w:hAnsi="宋体" w:cs="宋体"/>
          <w:b w:val="0"/>
          <w:sz w:val="28"/>
          <w:szCs w:val="22"/>
        </w:rPr>
        <w:t>烟花爆竹经营许可实施办法》</w:t>
      </w:r>
      <w:r>
        <w:rPr>
          <w:rFonts w:hint="eastAsia" w:ascii="宋体" w:hAnsi="宋体" w:cs="宋体"/>
          <w:b w:val="0"/>
          <w:sz w:val="28"/>
          <w:szCs w:val="28"/>
        </w:rPr>
        <w:t>相关规定设立安全管理组织机构、仓库保卫组织机构、产品质量检测检验管理机构和应急救援组织机构等机构。</w:t>
      </w:r>
    </w:p>
    <w:p w14:paraId="14F7DF90">
      <w:pPr>
        <w:pStyle w:val="6"/>
        <w:rPr>
          <w:rFonts w:ascii="黑体" w:hAnsi="宋体" w:eastAsia="黑体"/>
          <w:b w:val="0"/>
          <w:bCs w:val="0"/>
          <w:snapToGrid w:val="0"/>
          <w:sz w:val="30"/>
          <w:szCs w:val="30"/>
        </w:rPr>
      </w:pPr>
      <w:bookmarkStart w:id="111" w:name="_Toc165038785"/>
      <w:bookmarkStart w:id="112" w:name="_Toc300256202"/>
      <w:bookmarkStart w:id="113" w:name="_Toc300344399"/>
      <w:bookmarkStart w:id="114" w:name="_Toc278054191"/>
      <w:bookmarkStart w:id="115" w:name="_Toc300329577"/>
      <w:r>
        <w:rPr>
          <w:rFonts w:hint="eastAsia" w:ascii="黑体" w:hAnsi="宋体" w:eastAsia="黑体"/>
          <w:b w:val="0"/>
          <w:bCs w:val="0"/>
          <w:snapToGrid w:val="0"/>
          <w:sz w:val="30"/>
          <w:szCs w:val="30"/>
        </w:rPr>
        <w:t>2.7.2劳动定员和人员培训</w:t>
      </w:r>
      <w:bookmarkEnd w:id="111"/>
      <w:bookmarkEnd w:id="112"/>
      <w:bookmarkEnd w:id="113"/>
      <w:bookmarkEnd w:id="114"/>
      <w:bookmarkEnd w:id="115"/>
    </w:p>
    <w:p w14:paraId="6F48AFC1">
      <w:pPr>
        <w:adjustRightInd w:val="0"/>
        <w:snapToGrid w:val="0"/>
        <w:spacing w:line="360" w:lineRule="auto"/>
        <w:ind w:firstLine="560" w:firstLineChars="200"/>
        <w:rPr>
          <w:rFonts w:ascii="宋体" w:hAnsi="宋体" w:cs="Arial"/>
          <w:b w:val="0"/>
          <w:sz w:val="28"/>
        </w:rPr>
      </w:pPr>
      <w:r>
        <w:rPr>
          <w:rFonts w:hint="eastAsia" w:ascii="宋体" w:hAnsi="宋体" w:cs="Arial"/>
          <w:b w:val="0"/>
          <w:sz w:val="28"/>
        </w:rPr>
        <w:t>黑龙江泰运烟花有限公司应按</w:t>
      </w:r>
      <w:r>
        <w:rPr>
          <w:rFonts w:hint="eastAsia" w:ascii="宋体" w:hAnsi="宋体" w:cs="宋体"/>
          <w:b w:val="0"/>
          <w:sz w:val="28"/>
          <w:szCs w:val="28"/>
        </w:rPr>
        <w:t>《</w:t>
      </w:r>
      <w:r>
        <w:rPr>
          <w:rFonts w:hint="eastAsia" w:ascii="宋体" w:hAnsi="宋体" w:cs="宋体"/>
          <w:b w:val="0"/>
          <w:sz w:val="28"/>
          <w:szCs w:val="22"/>
        </w:rPr>
        <w:t>烟花爆竹经营许可实施办法》</w:t>
      </w:r>
      <w:r>
        <w:rPr>
          <w:rFonts w:hint="eastAsia" w:ascii="宋体" w:hAnsi="宋体" w:cs="Arial"/>
          <w:b w:val="0"/>
          <w:sz w:val="28"/>
        </w:rPr>
        <w:t>相关规定配备主要负责人1人、至少配备分管安全负责人1人、安全生产管理人员1人、相关作业人员</w:t>
      </w:r>
      <w:r>
        <w:rPr>
          <w:rFonts w:ascii="宋体" w:hAnsi="宋体" w:cs="Arial"/>
          <w:b w:val="0"/>
          <w:sz w:val="28"/>
        </w:rPr>
        <w:t>（保管员、守护员、搬运员）等，</w:t>
      </w:r>
      <w:r>
        <w:rPr>
          <w:rFonts w:hint="eastAsia" w:ascii="宋体" w:hAnsi="宋体" w:cs="Arial"/>
          <w:b w:val="0"/>
          <w:sz w:val="28"/>
        </w:rPr>
        <w:t>并</w:t>
      </w:r>
      <w:r>
        <w:rPr>
          <w:rFonts w:ascii="宋体" w:hAnsi="宋体" w:cs="Arial"/>
          <w:b w:val="0"/>
          <w:sz w:val="28"/>
        </w:rPr>
        <w:t>按</w:t>
      </w:r>
      <w:r>
        <w:rPr>
          <w:rFonts w:hint="eastAsia" w:ascii="宋体" w:hAnsi="宋体" w:cs="Arial"/>
          <w:b w:val="0"/>
          <w:sz w:val="28"/>
        </w:rPr>
        <w:t>规定</w:t>
      </w:r>
      <w:r>
        <w:rPr>
          <w:rFonts w:ascii="宋体" w:hAnsi="宋体" w:cs="Arial"/>
          <w:b w:val="0"/>
          <w:sz w:val="28"/>
        </w:rPr>
        <w:t>要求参加人员培训，</w:t>
      </w:r>
      <w:r>
        <w:rPr>
          <w:rFonts w:hint="eastAsia" w:ascii="宋体" w:hAnsi="宋体" w:cs="Arial"/>
          <w:b w:val="0"/>
          <w:sz w:val="28"/>
        </w:rPr>
        <w:t>考核</w:t>
      </w:r>
      <w:r>
        <w:rPr>
          <w:rFonts w:ascii="宋体" w:hAnsi="宋体" w:cs="Arial"/>
          <w:b w:val="0"/>
          <w:sz w:val="28"/>
        </w:rPr>
        <w:t>合格后持证上岗。</w:t>
      </w:r>
    </w:p>
    <w:p w14:paraId="0E1A3996">
      <w:pPr>
        <w:adjustRightInd w:val="0"/>
        <w:snapToGrid w:val="0"/>
        <w:spacing w:line="360" w:lineRule="auto"/>
        <w:ind w:firstLine="560" w:firstLineChars="200"/>
        <w:rPr>
          <w:rFonts w:ascii="Arial" w:hAnsi="宋体" w:cs="Arial"/>
          <w:b w:val="0"/>
          <w:sz w:val="28"/>
        </w:rPr>
      </w:pPr>
      <w:r>
        <w:rPr>
          <w:rFonts w:hint="eastAsia" w:ascii="Arial" w:hAnsi="宋体" w:cs="Arial"/>
          <w:b w:val="0"/>
          <w:sz w:val="28"/>
        </w:rPr>
        <w:t>根据《生产经营单位安全培训规定》、《特种作业人员安全技术培训考核管理规定》规定，生产经营单位安全培训的对象包括主要负责人、安全生产管理人员、特种作业人员和其他从业人员。</w:t>
      </w:r>
    </w:p>
    <w:p w14:paraId="4297A7DB">
      <w:pPr>
        <w:adjustRightInd w:val="0"/>
        <w:snapToGrid w:val="0"/>
        <w:spacing w:line="360" w:lineRule="auto"/>
        <w:ind w:firstLine="560" w:firstLineChars="200"/>
        <w:rPr>
          <w:rFonts w:ascii="宋体" w:hAnsi="宋体" w:cs="Arial"/>
          <w:b w:val="0"/>
          <w:sz w:val="28"/>
        </w:rPr>
      </w:pPr>
      <w:r>
        <w:rPr>
          <w:rFonts w:hint="eastAsia" w:ascii="宋体" w:hAnsi="宋体" w:cs="Arial"/>
          <w:b w:val="0"/>
          <w:sz w:val="28"/>
        </w:rPr>
        <w:t>根据《生产经营单位安全培训规定》第的</w:t>
      </w:r>
      <w:r>
        <w:rPr>
          <w:rFonts w:ascii="宋体" w:hAnsi="宋体" w:cs="Arial"/>
          <w:b w:val="0"/>
          <w:sz w:val="28"/>
        </w:rPr>
        <w:t>要求，</w:t>
      </w:r>
      <w:r>
        <w:rPr>
          <w:rFonts w:hint="eastAsia" w:ascii="宋体" w:hAnsi="宋体" w:cs="Arial"/>
          <w:b w:val="0"/>
          <w:sz w:val="28"/>
        </w:rPr>
        <w:t>本企业属于烟花爆竹生产经营单位，</w:t>
      </w:r>
      <w:r>
        <w:rPr>
          <w:rFonts w:ascii="宋体" w:hAnsi="宋体" w:cs="Arial"/>
          <w:b w:val="0"/>
          <w:sz w:val="28"/>
        </w:rPr>
        <w:t>单位主要负责人和安全生产管理人员初次安全培训时间不得少于48学时，每年再培训时间不得少于16学时。</w:t>
      </w:r>
      <w:r>
        <w:rPr>
          <w:rFonts w:hint="eastAsia" w:ascii="宋体" w:hAnsi="宋体" w:cs="Arial"/>
          <w:b w:val="0"/>
          <w:sz w:val="28"/>
        </w:rPr>
        <w:t>新上岗的从业人员安全培训时间不得少于72学时，每年再培训时间不得少于20学时。特种作业人员应当按照国家有关规定经专门的安全作业培训，培训时间由政府主管部门规定。</w:t>
      </w:r>
    </w:p>
    <w:p w14:paraId="0D736354">
      <w:pPr>
        <w:pStyle w:val="6"/>
        <w:rPr>
          <w:rFonts w:ascii="黑体" w:hAnsi="宋体" w:eastAsia="黑体"/>
          <w:b w:val="0"/>
          <w:bCs w:val="0"/>
          <w:snapToGrid w:val="0"/>
          <w:sz w:val="30"/>
          <w:szCs w:val="30"/>
        </w:rPr>
      </w:pPr>
      <w:bookmarkStart w:id="116" w:name="_Toc165038786"/>
      <w:bookmarkStart w:id="117" w:name="_Toc300329578"/>
      <w:bookmarkStart w:id="118" w:name="_Toc278054192"/>
      <w:bookmarkStart w:id="119" w:name="_Toc300256203"/>
      <w:bookmarkStart w:id="120" w:name="_Toc300344400"/>
      <w:r>
        <w:rPr>
          <w:rFonts w:ascii="黑体" w:hAnsi="宋体" w:eastAsia="黑体"/>
          <w:b w:val="0"/>
          <w:bCs w:val="0"/>
          <w:snapToGrid w:val="0"/>
          <w:sz w:val="30"/>
          <w:szCs w:val="30"/>
        </w:rPr>
        <w:t>2.</w:t>
      </w:r>
      <w:r>
        <w:rPr>
          <w:rFonts w:hint="eastAsia" w:ascii="黑体" w:hAnsi="宋体" w:eastAsia="黑体"/>
          <w:b w:val="0"/>
          <w:bCs w:val="0"/>
          <w:snapToGrid w:val="0"/>
          <w:sz w:val="30"/>
          <w:szCs w:val="30"/>
        </w:rPr>
        <w:t>7</w:t>
      </w:r>
      <w:r>
        <w:rPr>
          <w:rFonts w:ascii="黑体" w:hAnsi="宋体" w:eastAsia="黑体"/>
          <w:b w:val="0"/>
          <w:bCs w:val="0"/>
          <w:snapToGrid w:val="0"/>
          <w:sz w:val="30"/>
          <w:szCs w:val="30"/>
        </w:rPr>
        <w:t>.</w:t>
      </w:r>
      <w:r>
        <w:rPr>
          <w:rFonts w:hint="eastAsia" w:ascii="黑体" w:hAnsi="宋体" w:eastAsia="黑体"/>
          <w:b w:val="0"/>
          <w:bCs w:val="0"/>
          <w:snapToGrid w:val="0"/>
          <w:sz w:val="30"/>
          <w:szCs w:val="30"/>
        </w:rPr>
        <w:t>3安全经营管理制度</w:t>
      </w:r>
      <w:bookmarkEnd w:id="116"/>
      <w:bookmarkEnd w:id="117"/>
      <w:bookmarkEnd w:id="118"/>
      <w:bookmarkEnd w:id="119"/>
      <w:bookmarkEnd w:id="120"/>
    </w:p>
    <w:p w14:paraId="3D62B88B">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黑龙江泰运烟花有限公司应按相关规定要求拟制定各类人员岗位职责及安全生产目标管理制度、安全生产检查制度等各项管理制度。详见表2.7.3</w:t>
      </w:r>
    </w:p>
    <w:p w14:paraId="3D0F205A">
      <w:pPr>
        <w:jc w:val="center"/>
        <w:rPr>
          <w:rFonts w:ascii="Arial" w:hAnsi="Arial" w:eastAsia="黑体" w:cs="Arial"/>
          <w:b w:val="0"/>
          <w:sz w:val="24"/>
        </w:rPr>
      </w:pPr>
      <w:r>
        <w:rPr>
          <w:rFonts w:hint="eastAsia" w:ascii="Arial" w:hAnsi="Arial" w:eastAsia="黑体" w:cs="Arial"/>
          <w:b w:val="0"/>
          <w:sz w:val="24"/>
        </w:rPr>
        <w:t>表2.7.3  拟建立的安全管理制度清单</w:t>
      </w:r>
    </w:p>
    <w:tbl>
      <w:tblPr>
        <w:tblStyle w:val="49"/>
        <w:tblW w:w="84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13"/>
        <w:gridCol w:w="5259"/>
      </w:tblGrid>
      <w:tr w14:paraId="2C040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13" w:type="dxa"/>
            <w:vAlign w:val="center"/>
          </w:tcPr>
          <w:p w14:paraId="104AE8B0">
            <w:pPr>
              <w:tabs>
                <w:tab w:val="left" w:pos="2160"/>
              </w:tabs>
              <w:spacing w:line="280" w:lineRule="exact"/>
              <w:jc w:val="center"/>
              <w:rPr>
                <w:rFonts w:ascii="Arial" w:hAnsi="Arial" w:cs="Arial"/>
                <w:szCs w:val="21"/>
              </w:rPr>
            </w:pPr>
            <w:r>
              <w:rPr>
                <w:rFonts w:ascii="Arial" w:hAnsi="Times New Roman" w:cs="Arial"/>
                <w:szCs w:val="21"/>
              </w:rPr>
              <w:t>类别</w:t>
            </w:r>
          </w:p>
        </w:tc>
        <w:tc>
          <w:tcPr>
            <w:tcW w:w="5259" w:type="dxa"/>
            <w:vAlign w:val="center"/>
          </w:tcPr>
          <w:p w14:paraId="713ED60C">
            <w:pPr>
              <w:tabs>
                <w:tab w:val="left" w:pos="2160"/>
              </w:tabs>
              <w:spacing w:line="280" w:lineRule="exact"/>
              <w:jc w:val="center"/>
              <w:rPr>
                <w:rFonts w:ascii="Arial" w:hAnsi="Arial" w:cs="Arial"/>
                <w:szCs w:val="21"/>
              </w:rPr>
            </w:pPr>
            <w:r>
              <w:rPr>
                <w:rFonts w:ascii="Arial" w:hAnsi="Times New Roman" w:cs="Arial"/>
                <w:szCs w:val="21"/>
              </w:rPr>
              <w:t>名称</w:t>
            </w:r>
          </w:p>
        </w:tc>
      </w:tr>
      <w:tr w14:paraId="48DC7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restart"/>
            <w:vAlign w:val="center"/>
          </w:tcPr>
          <w:p w14:paraId="646C8C60">
            <w:pPr>
              <w:tabs>
                <w:tab w:val="left" w:pos="2160"/>
              </w:tabs>
              <w:spacing w:line="280" w:lineRule="exact"/>
              <w:jc w:val="center"/>
              <w:rPr>
                <w:rFonts w:ascii="Arial" w:hAnsi="Arial" w:cs="Arial"/>
                <w:b w:val="0"/>
                <w:szCs w:val="21"/>
              </w:rPr>
            </w:pPr>
            <w:r>
              <w:rPr>
                <w:rFonts w:ascii="Arial" w:hAnsi="Times New Roman" w:cs="Arial"/>
                <w:b w:val="0"/>
                <w:szCs w:val="21"/>
              </w:rPr>
              <w:t>安全生产责任制</w:t>
            </w:r>
          </w:p>
        </w:tc>
        <w:tc>
          <w:tcPr>
            <w:tcW w:w="5259" w:type="dxa"/>
            <w:vAlign w:val="center"/>
          </w:tcPr>
          <w:p w14:paraId="4DE4CA3A">
            <w:pPr>
              <w:rPr>
                <w:rFonts w:ascii="Arial" w:hAnsi="Arial" w:cs="Arial"/>
                <w:szCs w:val="21"/>
              </w:rPr>
            </w:pPr>
            <w:r>
              <w:rPr>
                <w:rFonts w:ascii="Arial" w:hAnsi="Times New Roman" w:cs="Arial"/>
                <w:b w:val="0"/>
                <w:szCs w:val="21"/>
              </w:rPr>
              <w:t>总经理安全生产责任制</w:t>
            </w:r>
          </w:p>
        </w:tc>
      </w:tr>
      <w:tr w14:paraId="7217D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1DEEA59F">
            <w:pPr>
              <w:tabs>
                <w:tab w:val="left" w:pos="2160"/>
              </w:tabs>
              <w:spacing w:line="280" w:lineRule="exact"/>
              <w:jc w:val="center"/>
              <w:rPr>
                <w:rFonts w:ascii="Arial" w:hAnsi="Arial" w:cs="Arial"/>
                <w:b w:val="0"/>
                <w:szCs w:val="21"/>
              </w:rPr>
            </w:pPr>
          </w:p>
        </w:tc>
        <w:tc>
          <w:tcPr>
            <w:tcW w:w="5259" w:type="dxa"/>
            <w:vAlign w:val="center"/>
          </w:tcPr>
          <w:p w14:paraId="42F356E1">
            <w:pPr>
              <w:rPr>
                <w:rFonts w:ascii="Arial" w:hAnsi="Arial" w:cs="Arial"/>
                <w:b w:val="0"/>
                <w:szCs w:val="21"/>
              </w:rPr>
            </w:pPr>
            <w:r>
              <w:rPr>
                <w:rFonts w:ascii="Arial" w:hAnsi="Times New Roman" w:cs="Arial"/>
                <w:b w:val="0"/>
                <w:szCs w:val="21"/>
              </w:rPr>
              <w:t>分管安全副总经理安全生产责任制</w:t>
            </w:r>
          </w:p>
        </w:tc>
      </w:tr>
      <w:tr w14:paraId="73CD2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1458F06B">
            <w:pPr>
              <w:tabs>
                <w:tab w:val="left" w:pos="2160"/>
              </w:tabs>
              <w:spacing w:line="280" w:lineRule="exact"/>
              <w:jc w:val="center"/>
              <w:rPr>
                <w:rFonts w:ascii="Arial" w:hAnsi="Arial" w:cs="Arial"/>
                <w:b w:val="0"/>
                <w:szCs w:val="21"/>
              </w:rPr>
            </w:pPr>
          </w:p>
        </w:tc>
        <w:tc>
          <w:tcPr>
            <w:tcW w:w="5259" w:type="dxa"/>
            <w:vAlign w:val="center"/>
          </w:tcPr>
          <w:p w14:paraId="461A4A27">
            <w:pPr>
              <w:rPr>
                <w:rFonts w:ascii="Arial" w:hAnsi="Arial" w:cs="Arial"/>
                <w:b w:val="0"/>
                <w:szCs w:val="21"/>
              </w:rPr>
            </w:pPr>
            <w:r>
              <w:rPr>
                <w:rFonts w:ascii="Arial" w:hAnsi="Times New Roman" w:cs="Arial"/>
                <w:b w:val="0"/>
                <w:szCs w:val="21"/>
              </w:rPr>
              <w:t>安全员安全生产责任制</w:t>
            </w:r>
          </w:p>
        </w:tc>
      </w:tr>
      <w:tr w14:paraId="1F319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493F6564">
            <w:pPr>
              <w:tabs>
                <w:tab w:val="left" w:pos="2160"/>
              </w:tabs>
              <w:spacing w:line="280" w:lineRule="exact"/>
              <w:jc w:val="center"/>
              <w:rPr>
                <w:rFonts w:ascii="Arial" w:hAnsi="Arial" w:cs="Arial"/>
                <w:b w:val="0"/>
                <w:szCs w:val="21"/>
              </w:rPr>
            </w:pPr>
          </w:p>
        </w:tc>
        <w:tc>
          <w:tcPr>
            <w:tcW w:w="5259" w:type="dxa"/>
            <w:vAlign w:val="center"/>
          </w:tcPr>
          <w:p w14:paraId="42CC5995">
            <w:pPr>
              <w:rPr>
                <w:rFonts w:ascii="Arial" w:hAnsi="Arial" w:cs="Arial"/>
                <w:b w:val="0"/>
                <w:szCs w:val="21"/>
              </w:rPr>
            </w:pPr>
            <w:r>
              <w:rPr>
                <w:rFonts w:ascii="Arial" w:hAnsi="Times New Roman" w:cs="Arial"/>
                <w:b w:val="0"/>
                <w:szCs w:val="21"/>
              </w:rPr>
              <w:t>公司仓库负责人安全生产责任制</w:t>
            </w:r>
          </w:p>
        </w:tc>
      </w:tr>
      <w:tr w14:paraId="47C0B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27215974">
            <w:pPr>
              <w:tabs>
                <w:tab w:val="left" w:pos="2160"/>
              </w:tabs>
              <w:spacing w:line="280" w:lineRule="exact"/>
              <w:jc w:val="center"/>
              <w:rPr>
                <w:rFonts w:ascii="Arial" w:hAnsi="Arial" w:cs="Arial"/>
                <w:b w:val="0"/>
                <w:szCs w:val="21"/>
              </w:rPr>
            </w:pPr>
          </w:p>
        </w:tc>
        <w:tc>
          <w:tcPr>
            <w:tcW w:w="5259" w:type="dxa"/>
            <w:vAlign w:val="center"/>
          </w:tcPr>
          <w:p w14:paraId="26CF8CBC">
            <w:pPr>
              <w:rPr>
                <w:rFonts w:ascii="Arial" w:hAnsi="Arial" w:cs="Arial"/>
                <w:b w:val="0"/>
                <w:szCs w:val="21"/>
              </w:rPr>
            </w:pPr>
            <w:r>
              <w:rPr>
                <w:rFonts w:ascii="Arial" w:hAnsi="Times New Roman" w:cs="Arial"/>
                <w:b w:val="0"/>
                <w:szCs w:val="21"/>
              </w:rPr>
              <w:t>义务消防队安全生产责任制</w:t>
            </w:r>
          </w:p>
        </w:tc>
      </w:tr>
      <w:tr w14:paraId="37DDE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1E0CB915">
            <w:pPr>
              <w:tabs>
                <w:tab w:val="left" w:pos="2160"/>
              </w:tabs>
              <w:spacing w:line="280" w:lineRule="exact"/>
              <w:jc w:val="center"/>
              <w:rPr>
                <w:rFonts w:ascii="Arial" w:hAnsi="Arial" w:cs="Arial"/>
                <w:b w:val="0"/>
                <w:szCs w:val="21"/>
              </w:rPr>
            </w:pPr>
          </w:p>
        </w:tc>
        <w:tc>
          <w:tcPr>
            <w:tcW w:w="5259" w:type="dxa"/>
            <w:vAlign w:val="center"/>
          </w:tcPr>
          <w:p w14:paraId="45CC5DF9">
            <w:pPr>
              <w:rPr>
                <w:rFonts w:ascii="Arial" w:hAnsi="Arial" w:cs="Arial"/>
                <w:b w:val="0"/>
                <w:szCs w:val="21"/>
              </w:rPr>
            </w:pPr>
            <w:r>
              <w:rPr>
                <w:rFonts w:ascii="Arial" w:hAnsi="Times New Roman" w:cs="Arial"/>
                <w:b w:val="0"/>
                <w:szCs w:val="21"/>
              </w:rPr>
              <w:t>门卫保安安全生产责任制</w:t>
            </w:r>
          </w:p>
        </w:tc>
      </w:tr>
      <w:tr w14:paraId="7C91C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7C35836E">
            <w:pPr>
              <w:tabs>
                <w:tab w:val="left" w:pos="2160"/>
              </w:tabs>
              <w:spacing w:line="280" w:lineRule="exact"/>
              <w:jc w:val="center"/>
              <w:rPr>
                <w:rFonts w:ascii="Arial" w:hAnsi="Arial" w:cs="Arial"/>
                <w:b w:val="0"/>
                <w:szCs w:val="21"/>
              </w:rPr>
            </w:pPr>
          </w:p>
        </w:tc>
        <w:tc>
          <w:tcPr>
            <w:tcW w:w="5259" w:type="dxa"/>
            <w:vAlign w:val="center"/>
          </w:tcPr>
          <w:p w14:paraId="7564960B">
            <w:pPr>
              <w:rPr>
                <w:rFonts w:ascii="Arial" w:hAnsi="Arial" w:cs="Arial"/>
                <w:b w:val="0"/>
                <w:szCs w:val="21"/>
              </w:rPr>
            </w:pPr>
            <w:r>
              <w:rPr>
                <w:rFonts w:ascii="Arial" w:hAnsi="Times New Roman" w:cs="Arial"/>
                <w:b w:val="0"/>
                <w:szCs w:val="21"/>
              </w:rPr>
              <w:t>库管员安全责任制</w:t>
            </w:r>
          </w:p>
        </w:tc>
      </w:tr>
      <w:tr w14:paraId="4186B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74BBD04E">
            <w:pPr>
              <w:tabs>
                <w:tab w:val="left" w:pos="2160"/>
              </w:tabs>
              <w:spacing w:line="280" w:lineRule="exact"/>
              <w:jc w:val="center"/>
              <w:rPr>
                <w:rFonts w:ascii="Arial" w:hAnsi="Arial" w:cs="Arial"/>
                <w:b w:val="0"/>
                <w:szCs w:val="21"/>
              </w:rPr>
            </w:pPr>
          </w:p>
        </w:tc>
        <w:tc>
          <w:tcPr>
            <w:tcW w:w="5259" w:type="dxa"/>
            <w:vAlign w:val="center"/>
          </w:tcPr>
          <w:p w14:paraId="200DA4C7">
            <w:pPr>
              <w:rPr>
                <w:rFonts w:ascii="Arial" w:hAnsi="Arial" w:cs="Arial"/>
                <w:b w:val="0"/>
                <w:szCs w:val="21"/>
              </w:rPr>
            </w:pPr>
            <w:r>
              <w:rPr>
                <w:rFonts w:ascii="Arial" w:hAnsi="Times New Roman" w:cs="Arial"/>
                <w:b w:val="0"/>
                <w:szCs w:val="21"/>
              </w:rPr>
              <w:t>装卸、搬运工安全责任制</w:t>
            </w:r>
          </w:p>
        </w:tc>
      </w:tr>
      <w:tr w14:paraId="3AC94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4E76D6C8">
            <w:pPr>
              <w:tabs>
                <w:tab w:val="left" w:pos="2160"/>
              </w:tabs>
              <w:spacing w:line="280" w:lineRule="exact"/>
              <w:jc w:val="center"/>
              <w:rPr>
                <w:rFonts w:ascii="Arial" w:hAnsi="Arial" w:cs="Arial"/>
                <w:b w:val="0"/>
                <w:szCs w:val="21"/>
              </w:rPr>
            </w:pPr>
          </w:p>
        </w:tc>
        <w:tc>
          <w:tcPr>
            <w:tcW w:w="5259" w:type="dxa"/>
            <w:vAlign w:val="center"/>
          </w:tcPr>
          <w:p w14:paraId="45C3FDFF">
            <w:pPr>
              <w:rPr>
                <w:rFonts w:ascii="Arial" w:hAnsi="Arial" w:cs="Arial"/>
                <w:b w:val="0"/>
                <w:szCs w:val="21"/>
              </w:rPr>
            </w:pPr>
            <w:r>
              <w:rPr>
                <w:rFonts w:ascii="Arial" w:hAnsi="Times New Roman" w:cs="Arial"/>
                <w:b w:val="0"/>
                <w:szCs w:val="21"/>
              </w:rPr>
              <w:t>驾驶员岗位责任制</w:t>
            </w:r>
          </w:p>
        </w:tc>
      </w:tr>
      <w:tr w14:paraId="00683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616A7C47">
            <w:pPr>
              <w:tabs>
                <w:tab w:val="left" w:pos="2160"/>
              </w:tabs>
              <w:spacing w:line="280" w:lineRule="exact"/>
              <w:jc w:val="center"/>
              <w:rPr>
                <w:rFonts w:ascii="Arial" w:hAnsi="Arial" w:cs="Arial"/>
                <w:b w:val="0"/>
                <w:szCs w:val="21"/>
              </w:rPr>
            </w:pPr>
          </w:p>
        </w:tc>
        <w:tc>
          <w:tcPr>
            <w:tcW w:w="5259" w:type="dxa"/>
            <w:vAlign w:val="center"/>
          </w:tcPr>
          <w:p w14:paraId="221842E3">
            <w:pPr>
              <w:rPr>
                <w:rFonts w:ascii="Arial" w:hAnsi="Arial" w:cs="Arial"/>
                <w:b w:val="0"/>
                <w:szCs w:val="21"/>
              </w:rPr>
            </w:pPr>
            <w:r>
              <w:rPr>
                <w:rFonts w:ascii="Arial" w:hAnsi="Times New Roman" w:cs="Arial"/>
                <w:b w:val="0"/>
                <w:szCs w:val="21"/>
              </w:rPr>
              <w:t>押运员岗位责任制</w:t>
            </w:r>
          </w:p>
        </w:tc>
      </w:tr>
      <w:tr w14:paraId="0EE58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45D487C4">
            <w:pPr>
              <w:tabs>
                <w:tab w:val="left" w:pos="2160"/>
              </w:tabs>
              <w:spacing w:line="280" w:lineRule="exact"/>
              <w:jc w:val="center"/>
              <w:rPr>
                <w:rFonts w:ascii="Arial" w:hAnsi="Arial" w:cs="Arial"/>
                <w:b w:val="0"/>
                <w:szCs w:val="21"/>
              </w:rPr>
            </w:pPr>
          </w:p>
        </w:tc>
        <w:tc>
          <w:tcPr>
            <w:tcW w:w="5259" w:type="dxa"/>
            <w:vAlign w:val="center"/>
          </w:tcPr>
          <w:p w14:paraId="630BFAFB">
            <w:pPr>
              <w:rPr>
                <w:rFonts w:ascii="Arial" w:hAnsi="Arial" w:cs="Arial"/>
                <w:b w:val="0"/>
                <w:szCs w:val="21"/>
              </w:rPr>
            </w:pPr>
            <w:r>
              <w:rPr>
                <w:rFonts w:ascii="Arial" w:hAnsi="Times New Roman" w:cs="Arial"/>
                <w:b w:val="0"/>
                <w:szCs w:val="21"/>
              </w:rPr>
              <w:t>行政管理人员岗位责任制</w:t>
            </w:r>
          </w:p>
        </w:tc>
      </w:tr>
      <w:tr w14:paraId="04A16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05196A13">
            <w:pPr>
              <w:tabs>
                <w:tab w:val="left" w:pos="2160"/>
              </w:tabs>
              <w:spacing w:line="280" w:lineRule="exact"/>
              <w:jc w:val="center"/>
              <w:rPr>
                <w:rFonts w:ascii="Arial" w:hAnsi="Arial" w:cs="Arial"/>
                <w:b w:val="0"/>
                <w:szCs w:val="21"/>
              </w:rPr>
            </w:pPr>
          </w:p>
        </w:tc>
        <w:tc>
          <w:tcPr>
            <w:tcW w:w="5259" w:type="dxa"/>
            <w:vAlign w:val="center"/>
          </w:tcPr>
          <w:p w14:paraId="2D324178">
            <w:pPr>
              <w:rPr>
                <w:rFonts w:ascii="Arial" w:hAnsi="Arial" w:cs="Arial"/>
                <w:b w:val="0"/>
                <w:szCs w:val="21"/>
              </w:rPr>
            </w:pPr>
            <w:r>
              <w:rPr>
                <w:rFonts w:ascii="Arial" w:hAnsi="Times New Roman" w:cs="Arial"/>
                <w:b w:val="0"/>
                <w:szCs w:val="21"/>
              </w:rPr>
              <w:t>安全生产责任制考核制度</w:t>
            </w:r>
          </w:p>
        </w:tc>
      </w:tr>
      <w:tr w14:paraId="05C9F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599882EF">
            <w:pPr>
              <w:tabs>
                <w:tab w:val="left" w:pos="2160"/>
              </w:tabs>
              <w:spacing w:line="280" w:lineRule="exact"/>
              <w:jc w:val="center"/>
              <w:rPr>
                <w:rFonts w:ascii="Arial" w:hAnsi="Arial" w:cs="Arial"/>
                <w:b w:val="0"/>
                <w:szCs w:val="21"/>
              </w:rPr>
            </w:pPr>
          </w:p>
        </w:tc>
        <w:tc>
          <w:tcPr>
            <w:tcW w:w="5259" w:type="dxa"/>
            <w:vAlign w:val="center"/>
          </w:tcPr>
          <w:p w14:paraId="40B08CF3">
            <w:pPr>
              <w:rPr>
                <w:rFonts w:ascii="Arial" w:hAnsi="Arial" w:cs="Arial"/>
                <w:b w:val="0"/>
                <w:szCs w:val="21"/>
              </w:rPr>
            </w:pPr>
            <w:r>
              <w:rPr>
                <w:rFonts w:ascii="Arial" w:hAnsi="Times New Roman" w:cs="Arial"/>
                <w:b w:val="0"/>
                <w:szCs w:val="21"/>
              </w:rPr>
              <w:t>管理人员目标责任制年终考核办法</w:t>
            </w:r>
          </w:p>
        </w:tc>
      </w:tr>
      <w:tr w14:paraId="54FCE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restart"/>
            <w:vAlign w:val="center"/>
          </w:tcPr>
          <w:p w14:paraId="1B9A2B83">
            <w:pPr>
              <w:tabs>
                <w:tab w:val="left" w:pos="2160"/>
              </w:tabs>
              <w:spacing w:line="280" w:lineRule="exact"/>
              <w:jc w:val="center"/>
              <w:rPr>
                <w:rFonts w:ascii="Arial" w:hAnsi="Arial" w:cs="Arial"/>
                <w:b w:val="0"/>
                <w:szCs w:val="21"/>
              </w:rPr>
            </w:pPr>
            <w:r>
              <w:rPr>
                <w:rFonts w:ascii="Arial" w:hAnsi="Times New Roman" w:cs="Arial"/>
                <w:b w:val="0"/>
                <w:szCs w:val="21"/>
              </w:rPr>
              <w:t>安全生产管理制度</w:t>
            </w:r>
          </w:p>
        </w:tc>
        <w:tc>
          <w:tcPr>
            <w:tcW w:w="5259" w:type="dxa"/>
            <w:vAlign w:val="center"/>
          </w:tcPr>
          <w:p w14:paraId="146F2040">
            <w:pPr>
              <w:rPr>
                <w:rFonts w:ascii="Arial" w:hAnsi="Arial" w:cs="Arial"/>
                <w:b w:val="0"/>
                <w:szCs w:val="21"/>
              </w:rPr>
            </w:pPr>
            <w:r>
              <w:rPr>
                <w:rFonts w:ascii="Arial" w:hAnsi="Times New Roman" w:cs="Arial"/>
                <w:b w:val="0"/>
                <w:szCs w:val="21"/>
              </w:rPr>
              <w:t>安全生产目标管理制度</w:t>
            </w:r>
          </w:p>
        </w:tc>
      </w:tr>
      <w:tr w14:paraId="62426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281C5C9D">
            <w:pPr>
              <w:tabs>
                <w:tab w:val="left" w:pos="2160"/>
              </w:tabs>
              <w:spacing w:line="280" w:lineRule="exact"/>
              <w:jc w:val="center"/>
              <w:rPr>
                <w:rFonts w:ascii="Arial" w:hAnsi="Arial" w:cs="Arial"/>
                <w:szCs w:val="21"/>
              </w:rPr>
            </w:pPr>
          </w:p>
        </w:tc>
        <w:tc>
          <w:tcPr>
            <w:tcW w:w="5259" w:type="dxa"/>
            <w:vAlign w:val="center"/>
          </w:tcPr>
          <w:p w14:paraId="749212F2">
            <w:pPr>
              <w:rPr>
                <w:rFonts w:ascii="Arial" w:hAnsi="Arial" w:cs="Arial"/>
                <w:b w:val="0"/>
                <w:szCs w:val="21"/>
              </w:rPr>
            </w:pPr>
            <w:r>
              <w:rPr>
                <w:rFonts w:ascii="Arial" w:hAnsi="Times New Roman" w:cs="Arial"/>
                <w:b w:val="0"/>
                <w:szCs w:val="21"/>
              </w:rPr>
              <w:t>安全生产检查制度</w:t>
            </w:r>
          </w:p>
        </w:tc>
      </w:tr>
      <w:tr w14:paraId="57113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63CB4A91">
            <w:pPr>
              <w:tabs>
                <w:tab w:val="left" w:pos="2160"/>
              </w:tabs>
              <w:spacing w:line="280" w:lineRule="exact"/>
              <w:jc w:val="center"/>
              <w:rPr>
                <w:rFonts w:ascii="Arial" w:hAnsi="Arial" w:cs="Arial"/>
                <w:szCs w:val="21"/>
              </w:rPr>
            </w:pPr>
          </w:p>
        </w:tc>
        <w:tc>
          <w:tcPr>
            <w:tcW w:w="5259" w:type="dxa"/>
            <w:vAlign w:val="center"/>
          </w:tcPr>
          <w:p w14:paraId="1E9D8892">
            <w:pPr>
              <w:rPr>
                <w:rFonts w:ascii="Arial" w:hAnsi="Arial" w:cs="Arial"/>
                <w:b w:val="0"/>
                <w:szCs w:val="21"/>
              </w:rPr>
            </w:pPr>
            <w:r>
              <w:rPr>
                <w:rFonts w:ascii="Arial" w:hAnsi="Times New Roman" w:cs="Arial"/>
                <w:b w:val="0"/>
                <w:szCs w:val="21"/>
              </w:rPr>
              <w:t>安全生产监督保证制度</w:t>
            </w:r>
          </w:p>
        </w:tc>
      </w:tr>
      <w:tr w14:paraId="2A21D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362DBFC8">
            <w:pPr>
              <w:tabs>
                <w:tab w:val="left" w:pos="2160"/>
              </w:tabs>
              <w:spacing w:line="280" w:lineRule="exact"/>
              <w:jc w:val="center"/>
              <w:rPr>
                <w:rFonts w:ascii="Arial" w:hAnsi="Arial" w:cs="Arial"/>
                <w:szCs w:val="21"/>
              </w:rPr>
            </w:pPr>
          </w:p>
        </w:tc>
        <w:tc>
          <w:tcPr>
            <w:tcW w:w="5259" w:type="dxa"/>
            <w:vAlign w:val="center"/>
          </w:tcPr>
          <w:p w14:paraId="779982F8">
            <w:pPr>
              <w:rPr>
                <w:rFonts w:ascii="Arial" w:hAnsi="Arial" w:cs="Arial"/>
                <w:b w:val="0"/>
                <w:szCs w:val="21"/>
              </w:rPr>
            </w:pPr>
            <w:r>
              <w:rPr>
                <w:rFonts w:ascii="Arial" w:hAnsi="Times New Roman" w:cs="Arial"/>
                <w:b w:val="0"/>
                <w:szCs w:val="21"/>
              </w:rPr>
              <w:t>安全生产技术措施审批制度</w:t>
            </w:r>
          </w:p>
        </w:tc>
      </w:tr>
      <w:tr w14:paraId="05D37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298B2A04">
            <w:pPr>
              <w:tabs>
                <w:tab w:val="left" w:pos="2160"/>
              </w:tabs>
              <w:spacing w:line="280" w:lineRule="exact"/>
              <w:jc w:val="center"/>
              <w:rPr>
                <w:rFonts w:ascii="Arial" w:hAnsi="Arial" w:cs="Arial"/>
                <w:szCs w:val="21"/>
              </w:rPr>
            </w:pPr>
          </w:p>
        </w:tc>
        <w:tc>
          <w:tcPr>
            <w:tcW w:w="5259" w:type="dxa"/>
            <w:vAlign w:val="center"/>
          </w:tcPr>
          <w:p w14:paraId="1A9AD2F8">
            <w:pPr>
              <w:rPr>
                <w:rFonts w:ascii="Arial" w:hAnsi="Arial" w:cs="Arial"/>
                <w:b w:val="0"/>
                <w:szCs w:val="21"/>
              </w:rPr>
            </w:pPr>
            <w:r>
              <w:rPr>
                <w:rFonts w:ascii="Arial" w:hAnsi="Times New Roman" w:cs="Arial"/>
                <w:b w:val="0"/>
                <w:szCs w:val="21"/>
              </w:rPr>
              <w:t>安全生产设备、设施管理制度</w:t>
            </w:r>
          </w:p>
        </w:tc>
      </w:tr>
      <w:tr w14:paraId="17517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11DB07AA">
            <w:pPr>
              <w:tabs>
                <w:tab w:val="left" w:pos="2160"/>
              </w:tabs>
              <w:spacing w:line="280" w:lineRule="exact"/>
              <w:jc w:val="center"/>
              <w:rPr>
                <w:rFonts w:ascii="Arial" w:hAnsi="Arial" w:cs="Arial"/>
                <w:szCs w:val="21"/>
              </w:rPr>
            </w:pPr>
          </w:p>
        </w:tc>
        <w:tc>
          <w:tcPr>
            <w:tcW w:w="5259" w:type="dxa"/>
            <w:vAlign w:val="center"/>
          </w:tcPr>
          <w:p w14:paraId="0CFA88FB">
            <w:pPr>
              <w:rPr>
                <w:rFonts w:ascii="Arial" w:hAnsi="Arial" w:cs="Arial"/>
                <w:b w:val="0"/>
                <w:szCs w:val="21"/>
              </w:rPr>
            </w:pPr>
            <w:r>
              <w:rPr>
                <w:rFonts w:ascii="Arial" w:hAnsi="Times New Roman" w:cs="Arial"/>
                <w:b w:val="0"/>
                <w:szCs w:val="21"/>
              </w:rPr>
              <w:t>事故隐患整改制度</w:t>
            </w:r>
          </w:p>
        </w:tc>
      </w:tr>
      <w:tr w14:paraId="306EC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332FCFBC">
            <w:pPr>
              <w:tabs>
                <w:tab w:val="left" w:pos="2160"/>
              </w:tabs>
              <w:spacing w:line="280" w:lineRule="exact"/>
              <w:jc w:val="center"/>
              <w:rPr>
                <w:rFonts w:ascii="Arial" w:hAnsi="Arial" w:cs="Arial"/>
                <w:szCs w:val="21"/>
              </w:rPr>
            </w:pPr>
          </w:p>
        </w:tc>
        <w:tc>
          <w:tcPr>
            <w:tcW w:w="5259" w:type="dxa"/>
            <w:vAlign w:val="center"/>
          </w:tcPr>
          <w:p w14:paraId="3A425D7B">
            <w:pPr>
              <w:rPr>
                <w:rFonts w:ascii="Arial" w:hAnsi="Arial" w:cs="Arial"/>
                <w:b w:val="0"/>
                <w:szCs w:val="21"/>
              </w:rPr>
            </w:pPr>
            <w:r>
              <w:rPr>
                <w:rFonts w:ascii="Arial" w:hAnsi="Times New Roman" w:cs="Arial"/>
                <w:b w:val="0"/>
                <w:szCs w:val="21"/>
              </w:rPr>
              <w:t>动火作业管理制度</w:t>
            </w:r>
          </w:p>
        </w:tc>
      </w:tr>
      <w:tr w14:paraId="73BE2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48592CB2">
            <w:pPr>
              <w:tabs>
                <w:tab w:val="left" w:pos="2160"/>
              </w:tabs>
              <w:spacing w:line="280" w:lineRule="exact"/>
              <w:jc w:val="center"/>
              <w:rPr>
                <w:rFonts w:ascii="Arial" w:hAnsi="Arial" w:cs="Arial"/>
                <w:szCs w:val="21"/>
              </w:rPr>
            </w:pPr>
          </w:p>
        </w:tc>
        <w:tc>
          <w:tcPr>
            <w:tcW w:w="5259" w:type="dxa"/>
            <w:vAlign w:val="center"/>
          </w:tcPr>
          <w:p w14:paraId="5C0C3BF1">
            <w:pPr>
              <w:rPr>
                <w:rFonts w:ascii="Arial" w:hAnsi="Arial" w:cs="Arial"/>
                <w:b w:val="0"/>
                <w:szCs w:val="21"/>
              </w:rPr>
            </w:pPr>
            <w:r>
              <w:rPr>
                <w:rFonts w:ascii="Arial" w:hAnsi="Times New Roman" w:cs="Arial"/>
                <w:b w:val="0"/>
                <w:szCs w:val="21"/>
              </w:rPr>
              <w:t>从业人员安全教育培训制度</w:t>
            </w:r>
          </w:p>
        </w:tc>
      </w:tr>
      <w:tr w14:paraId="1C174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6A1894F7">
            <w:pPr>
              <w:tabs>
                <w:tab w:val="left" w:pos="2160"/>
              </w:tabs>
              <w:spacing w:line="280" w:lineRule="exact"/>
              <w:jc w:val="center"/>
              <w:rPr>
                <w:rFonts w:ascii="Arial" w:hAnsi="Arial" w:cs="Arial"/>
                <w:szCs w:val="21"/>
              </w:rPr>
            </w:pPr>
          </w:p>
        </w:tc>
        <w:tc>
          <w:tcPr>
            <w:tcW w:w="5259" w:type="dxa"/>
            <w:vAlign w:val="center"/>
          </w:tcPr>
          <w:p w14:paraId="0825C586">
            <w:pPr>
              <w:rPr>
                <w:rFonts w:ascii="Arial" w:hAnsi="Arial" w:cs="Arial"/>
                <w:b w:val="0"/>
                <w:szCs w:val="21"/>
              </w:rPr>
            </w:pPr>
            <w:r>
              <w:rPr>
                <w:rFonts w:ascii="Arial" w:hAnsi="Times New Roman" w:cs="Arial"/>
                <w:b w:val="0"/>
                <w:szCs w:val="21"/>
              </w:rPr>
              <w:t>烟花爆竹出入库登记及流向登记制度</w:t>
            </w:r>
          </w:p>
        </w:tc>
      </w:tr>
      <w:tr w14:paraId="3BED4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766953BA">
            <w:pPr>
              <w:tabs>
                <w:tab w:val="left" w:pos="2160"/>
              </w:tabs>
              <w:spacing w:line="280" w:lineRule="exact"/>
              <w:jc w:val="center"/>
              <w:rPr>
                <w:rFonts w:ascii="Arial" w:hAnsi="Arial" w:cs="Arial"/>
                <w:szCs w:val="21"/>
              </w:rPr>
            </w:pPr>
          </w:p>
        </w:tc>
        <w:tc>
          <w:tcPr>
            <w:tcW w:w="5259" w:type="dxa"/>
            <w:vAlign w:val="center"/>
          </w:tcPr>
          <w:p w14:paraId="0B6DECA7">
            <w:pPr>
              <w:rPr>
                <w:rFonts w:ascii="Arial" w:hAnsi="Arial" w:cs="Arial"/>
                <w:b w:val="0"/>
                <w:szCs w:val="21"/>
              </w:rPr>
            </w:pPr>
            <w:r>
              <w:rPr>
                <w:rFonts w:ascii="Arial" w:hAnsi="Times New Roman" w:cs="Arial"/>
                <w:b w:val="0"/>
                <w:szCs w:val="21"/>
              </w:rPr>
              <w:t>烟花爆竹入库验收制度</w:t>
            </w:r>
          </w:p>
        </w:tc>
      </w:tr>
      <w:tr w14:paraId="37EB7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372D056B">
            <w:pPr>
              <w:tabs>
                <w:tab w:val="left" w:pos="2160"/>
              </w:tabs>
              <w:spacing w:line="280" w:lineRule="exact"/>
              <w:jc w:val="center"/>
              <w:rPr>
                <w:rFonts w:ascii="Arial" w:hAnsi="Arial" w:cs="Arial"/>
                <w:szCs w:val="21"/>
              </w:rPr>
            </w:pPr>
          </w:p>
        </w:tc>
        <w:tc>
          <w:tcPr>
            <w:tcW w:w="5259" w:type="dxa"/>
            <w:vAlign w:val="center"/>
          </w:tcPr>
          <w:p w14:paraId="67957CB7">
            <w:pPr>
              <w:rPr>
                <w:rFonts w:ascii="Arial" w:hAnsi="Arial" w:cs="Arial"/>
                <w:b w:val="0"/>
                <w:szCs w:val="21"/>
              </w:rPr>
            </w:pPr>
            <w:r>
              <w:rPr>
                <w:rFonts w:ascii="Arial" w:hAnsi="Times New Roman" w:cs="Arial"/>
                <w:b w:val="0"/>
                <w:szCs w:val="21"/>
              </w:rPr>
              <w:t>烟花爆竹仓库保管制度</w:t>
            </w:r>
          </w:p>
        </w:tc>
      </w:tr>
      <w:tr w14:paraId="70B16F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008C70E6">
            <w:pPr>
              <w:tabs>
                <w:tab w:val="left" w:pos="2160"/>
              </w:tabs>
              <w:spacing w:line="280" w:lineRule="exact"/>
              <w:jc w:val="center"/>
              <w:rPr>
                <w:rFonts w:ascii="Arial" w:hAnsi="Arial" w:cs="Arial"/>
                <w:szCs w:val="21"/>
              </w:rPr>
            </w:pPr>
          </w:p>
        </w:tc>
        <w:tc>
          <w:tcPr>
            <w:tcW w:w="5259" w:type="dxa"/>
            <w:vAlign w:val="center"/>
          </w:tcPr>
          <w:p w14:paraId="71C2E3D0">
            <w:pPr>
              <w:rPr>
                <w:rFonts w:ascii="Arial" w:hAnsi="Arial" w:cs="Arial"/>
                <w:b w:val="0"/>
                <w:szCs w:val="21"/>
              </w:rPr>
            </w:pPr>
            <w:r>
              <w:rPr>
                <w:rFonts w:ascii="Arial" w:hAnsi="Times New Roman" w:cs="Arial"/>
                <w:b w:val="0"/>
                <w:szCs w:val="21"/>
              </w:rPr>
              <w:t>门卫、保卫管理制度</w:t>
            </w:r>
          </w:p>
        </w:tc>
      </w:tr>
      <w:tr w14:paraId="633AF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5E76D350">
            <w:pPr>
              <w:tabs>
                <w:tab w:val="left" w:pos="2160"/>
              </w:tabs>
              <w:spacing w:line="280" w:lineRule="exact"/>
              <w:jc w:val="center"/>
              <w:rPr>
                <w:rFonts w:ascii="Arial" w:hAnsi="Arial" w:cs="Arial"/>
                <w:szCs w:val="21"/>
              </w:rPr>
            </w:pPr>
          </w:p>
        </w:tc>
        <w:tc>
          <w:tcPr>
            <w:tcW w:w="5259" w:type="dxa"/>
            <w:vAlign w:val="center"/>
          </w:tcPr>
          <w:p w14:paraId="15887AC9">
            <w:pPr>
              <w:rPr>
                <w:rFonts w:ascii="Arial" w:hAnsi="Arial" w:cs="Arial"/>
                <w:b w:val="0"/>
                <w:szCs w:val="21"/>
              </w:rPr>
            </w:pPr>
            <w:r>
              <w:rPr>
                <w:rFonts w:ascii="Arial" w:hAnsi="Times New Roman" w:cs="Arial"/>
                <w:b w:val="0"/>
                <w:szCs w:val="21"/>
              </w:rPr>
              <w:t>防护用品（具）管理制度</w:t>
            </w:r>
          </w:p>
        </w:tc>
      </w:tr>
      <w:tr w14:paraId="5A539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213D4FB2">
            <w:pPr>
              <w:tabs>
                <w:tab w:val="left" w:pos="2160"/>
              </w:tabs>
              <w:spacing w:line="280" w:lineRule="exact"/>
              <w:jc w:val="center"/>
              <w:rPr>
                <w:rFonts w:ascii="Arial" w:hAnsi="Arial" w:cs="Arial"/>
                <w:szCs w:val="21"/>
              </w:rPr>
            </w:pPr>
          </w:p>
        </w:tc>
        <w:tc>
          <w:tcPr>
            <w:tcW w:w="5259" w:type="dxa"/>
            <w:vAlign w:val="center"/>
          </w:tcPr>
          <w:p w14:paraId="15233871">
            <w:pPr>
              <w:rPr>
                <w:rFonts w:ascii="Arial" w:hAnsi="Arial" w:cs="Arial"/>
                <w:b w:val="0"/>
                <w:szCs w:val="21"/>
              </w:rPr>
            </w:pPr>
            <w:r>
              <w:rPr>
                <w:rFonts w:ascii="Arial" w:hAnsi="Times New Roman" w:cs="Arial"/>
                <w:b w:val="0"/>
                <w:szCs w:val="21"/>
              </w:rPr>
              <w:t>职业卫生管理制度</w:t>
            </w:r>
          </w:p>
        </w:tc>
      </w:tr>
      <w:tr w14:paraId="3BD9E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708088B8">
            <w:pPr>
              <w:tabs>
                <w:tab w:val="left" w:pos="2160"/>
              </w:tabs>
              <w:spacing w:line="280" w:lineRule="exact"/>
              <w:jc w:val="center"/>
              <w:rPr>
                <w:rFonts w:ascii="Arial" w:hAnsi="Arial" w:cs="Arial"/>
                <w:szCs w:val="21"/>
              </w:rPr>
            </w:pPr>
          </w:p>
        </w:tc>
        <w:tc>
          <w:tcPr>
            <w:tcW w:w="5259" w:type="dxa"/>
            <w:vAlign w:val="center"/>
          </w:tcPr>
          <w:p w14:paraId="7CE0B345">
            <w:pPr>
              <w:rPr>
                <w:rFonts w:ascii="Arial" w:hAnsi="Arial" w:cs="Arial"/>
                <w:b w:val="0"/>
                <w:szCs w:val="21"/>
              </w:rPr>
            </w:pPr>
            <w:r>
              <w:rPr>
                <w:rFonts w:ascii="Arial" w:hAnsi="Times New Roman" w:cs="Arial"/>
                <w:b w:val="0"/>
                <w:szCs w:val="21"/>
              </w:rPr>
              <w:t>安全生产费用提取制度</w:t>
            </w:r>
          </w:p>
        </w:tc>
      </w:tr>
      <w:tr w14:paraId="23384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228DEC6C">
            <w:pPr>
              <w:tabs>
                <w:tab w:val="left" w:pos="2160"/>
              </w:tabs>
              <w:spacing w:line="280" w:lineRule="exact"/>
              <w:jc w:val="center"/>
              <w:rPr>
                <w:rFonts w:ascii="Arial" w:hAnsi="Arial" w:cs="Arial"/>
                <w:szCs w:val="21"/>
              </w:rPr>
            </w:pPr>
          </w:p>
        </w:tc>
        <w:tc>
          <w:tcPr>
            <w:tcW w:w="5259" w:type="dxa"/>
            <w:vAlign w:val="center"/>
          </w:tcPr>
          <w:p w14:paraId="0ACCAF07">
            <w:pPr>
              <w:rPr>
                <w:rFonts w:ascii="Arial" w:hAnsi="Arial" w:cs="Arial"/>
                <w:b w:val="0"/>
                <w:szCs w:val="21"/>
              </w:rPr>
            </w:pPr>
            <w:r>
              <w:rPr>
                <w:rFonts w:ascii="Arial" w:hAnsi="Times New Roman" w:cs="Arial"/>
                <w:b w:val="0"/>
                <w:szCs w:val="21"/>
              </w:rPr>
              <w:t>上下班考勤与违章登记制度</w:t>
            </w:r>
          </w:p>
        </w:tc>
      </w:tr>
      <w:tr w14:paraId="65AFE3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5C81F57C">
            <w:pPr>
              <w:tabs>
                <w:tab w:val="left" w:pos="2160"/>
              </w:tabs>
              <w:spacing w:line="280" w:lineRule="exact"/>
              <w:jc w:val="center"/>
              <w:rPr>
                <w:rFonts w:ascii="Arial" w:hAnsi="Arial" w:cs="Arial"/>
                <w:szCs w:val="21"/>
              </w:rPr>
            </w:pPr>
          </w:p>
        </w:tc>
        <w:tc>
          <w:tcPr>
            <w:tcW w:w="5259" w:type="dxa"/>
            <w:vAlign w:val="center"/>
          </w:tcPr>
          <w:p w14:paraId="5AA36516">
            <w:pPr>
              <w:rPr>
                <w:rFonts w:ascii="Arial" w:hAnsi="Arial" w:cs="Arial"/>
                <w:b w:val="0"/>
                <w:szCs w:val="21"/>
              </w:rPr>
            </w:pPr>
            <w:r>
              <w:rPr>
                <w:rFonts w:ascii="Arial" w:hAnsi="Times New Roman" w:cs="Arial"/>
                <w:b w:val="0"/>
                <w:szCs w:val="21"/>
              </w:rPr>
              <w:t>烟花爆竹销毁制度</w:t>
            </w:r>
          </w:p>
        </w:tc>
      </w:tr>
      <w:tr w14:paraId="6F6CD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4C837D28">
            <w:pPr>
              <w:tabs>
                <w:tab w:val="left" w:pos="2160"/>
              </w:tabs>
              <w:spacing w:line="280" w:lineRule="exact"/>
              <w:jc w:val="center"/>
              <w:rPr>
                <w:rFonts w:ascii="Arial" w:hAnsi="Arial" w:cs="Arial"/>
                <w:szCs w:val="21"/>
              </w:rPr>
            </w:pPr>
          </w:p>
        </w:tc>
        <w:tc>
          <w:tcPr>
            <w:tcW w:w="5259" w:type="dxa"/>
            <w:vAlign w:val="center"/>
          </w:tcPr>
          <w:p w14:paraId="37852E9D">
            <w:pPr>
              <w:rPr>
                <w:rFonts w:ascii="Arial" w:hAnsi="Arial" w:cs="Arial"/>
                <w:b w:val="0"/>
                <w:szCs w:val="21"/>
              </w:rPr>
            </w:pPr>
            <w:r>
              <w:rPr>
                <w:rFonts w:ascii="Arial" w:hAnsi="Times New Roman" w:cs="Arial"/>
                <w:b w:val="0"/>
                <w:szCs w:val="21"/>
              </w:rPr>
              <w:t>安全奖惩制度及办法</w:t>
            </w:r>
          </w:p>
        </w:tc>
      </w:tr>
      <w:tr w14:paraId="445A7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4C7C86E5">
            <w:pPr>
              <w:tabs>
                <w:tab w:val="left" w:pos="2160"/>
              </w:tabs>
              <w:spacing w:line="280" w:lineRule="exact"/>
              <w:jc w:val="center"/>
              <w:rPr>
                <w:rFonts w:ascii="Arial" w:hAnsi="Arial" w:cs="Arial"/>
                <w:szCs w:val="21"/>
              </w:rPr>
            </w:pPr>
          </w:p>
        </w:tc>
        <w:tc>
          <w:tcPr>
            <w:tcW w:w="5259" w:type="dxa"/>
            <w:vAlign w:val="center"/>
          </w:tcPr>
          <w:p w14:paraId="295AA517">
            <w:pPr>
              <w:rPr>
                <w:rFonts w:ascii="Arial" w:hAnsi="Arial" w:cs="Arial"/>
                <w:b w:val="0"/>
                <w:szCs w:val="21"/>
              </w:rPr>
            </w:pPr>
            <w:r>
              <w:rPr>
                <w:rFonts w:ascii="Arial" w:hAnsi="Times New Roman" w:cs="Arial"/>
                <w:b w:val="0"/>
                <w:szCs w:val="21"/>
              </w:rPr>
              <w:t>烟花爆竹出入库管理制度</w:t>
            </w:r>
          </w:p>
        </w:tc>
      </w:tr>
      <w:tr w14:paraId="33870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49C83BD2">
            <w:pPr>
              <w:tabs>
                <w:tab w:val="left" w:pos="2160"/>
              </w:tabs>
              <w:spacing w:line="280" w:lineRule="exact"/>
              <w:jc w:val="center"/>
              <w:rPr>
                <w:rFonts w:ascii="Arial" w:hAnsi="Arial" w:cs="Arial"/>
                <w:szCs w:val="21"/>
              </w:rPr>
            </w:pPr>
          </w:p>
        </w:tc>
        <w:tc>
          <w:tcPr>
            <w:tcW w:w="5259" w:type="dxa"/>
            <w:vAlign w:val="center"/>
          </w:tcPr>
          <w:p w14:paraId="768B239C">
            <w:pPr>
              <w:rPr>
                <w:rFonts w:ascii="Arial" w:hAnsi="Arial" w:cs="Arial"/>
                <w:b w:val="0"/>
                <w:szCs w:val="21"/>
              </w:rPr>
            </w:pPr>
            <w:r>
              <w:rPr>
                <w:rFonts w:ascii="Arial" w:hAnsi="Times New Roman" w:cs="Arial"/>
                <w:b w:val="0"/>
                <w:szCs w:val="21"/>
              </w:rPr>
              <w:t>仓库安全标识管理制度</w:t>
            </w:r>
          </w:p>
        </w:tc>
      </w:tr>
      <w:tr w14:paraId="4B3F9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3CF6B22E">
            <w:pPr>
              <w:tabs>
                <w:tab w:val="left" w:pos="2160"/>
              </w:tabs>
              <w:spacing w:line="280" w:lineRule="exact"/>
              <w:jc w:val="center"/>
              <w:rPr>
                <w:rFonts w:ascii="Arial" w:hAnsi="Arial" w:cs="Arial"/>
                <w:szCs w:val="21"/>
              </w:rPr>
            </w:pPr>
          </w:p>
        </w:tc>
        <w:tc>
          <w:tcPr>
            <w:tcW w:w="5259" w:type="dxa"/>
            <w:vAlign w:val="center"/>
          </w:tcPr>
          <w:p w14:paraId="4019B764">
            <w:pPr>
              <w:rPr>
                <w:rFonts w:ascii="Arial" w:hAnsi="Arial" w:cs="Arial"/>
                <w:b w:val="0"/>
                <w:szCs w:val="21"/>
              </w:rPr>
            </w:pPr>
            <w:r>
              <w:rPr>
                <w:rFonts w:ascii="Arial" w:hAnsi="Times New Roman" w:cs="Arial"/>
                <w:b w:val="0"/>
                <w:szCs w:val="21"/>
              </w:rPr>
              <w:t>烟花爆竹仓库消防安全制度</w:t>
            </w:r>
          </w:p>
        </w:tc>
      </w:tr>
      <w:tr w14:paraId="3945B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08512710">
            <w:pPr>
              <w:tabs>
                <w:tab w:val="left" w:pos="2160"/>
              </w:tabs>
              <w:spacing w:line="280" w:lineRule="exact"/>
              <w:jc w:val="center"/>
              <w:rPr>
                <w:rFonts w:ascii="Arial" w:hAnsi="Arial" w:cs="Arial"/>
                <w:szCs w:val="21"/>
              </w:rPr>
            </w:pPr>
          </w:p>
        </w:tc>
        <w:tc>
          <w:tcPr>
            <w:tcW w:w="5259" w:type="dxa"/>
            <w:vAlign w:val="center"/>
          </w:tcPr>
          <w:p w14:paraId="688F4813">
            <w:pPr>
              <w:rPr>
                <w:rFonts w:ascii="Arial" w:hAnsi="Arial" w:cs="Arial"/>
                <w:b w:val="0"/>
                <w:szCs w:val="21"/>
              </w:rPr>
            </w:pPr>
            <w:r>
              <w:rPr>
                <w:rFonts w:ascii="Arial" w:hAnsi="Times New Roman" w:cs="Arial"/>
                <w:b w:val="0"/>
                <w:szCs w:val="21"/>
              </w:rPr>
              <w:t>购销合同管理制度</w:t>
            </w:r>
          </w:p>
        </w:tc>
      </w:tr>
      <w:tr w14:paraId="57D90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5B4A1F37">
            <w:pPr>
              <w:tabs>
                <w:tab w:val="left" w:pos="2160"/>
              </w:tabs>
              <w:spacing w:line="280" w:lineRule="exact"/>
              <w:jc w:val="center"/>
              <w:rPr>
                <w:rFonts w:ascii="Arial" w:hAnsi="Arial" w:cs="Arial"/>
                <w:szCs w:val="21"/>
              </w:rPr>
            </w:pPr>
          </w:p>
        </w:tc>
        <w:tc>
          <w:tcPr>
            <w:tcW w:w="5259" w:type="dxa"/>
            <w:vAlign w:val="center"/>
          </w:tcPr>
          <w:p w14:paraId="25ABF31E">
            <w:pPr>
              <w:rPr>
                <w:rFonts w:ascii="Arial" w:hAnsi="Times New Roman" w:cs="Arial"/>
                <w:b w:val="0"/>
                <w:szCs w:val="21"/>
              </w:rPr>
            </w:pPr>
            <w:r>
              <w:rPr>
                <w:rFonts w:hint="eastAsia" w:ascii="Times New Roman" w:hAnsi="Times New Roman"/>
                <w:b w:val="0"/>
              </w:rPr>
              <w:t>风险分级管控制度</w:t>
            </w:r>
          </w:p>
        </w:tc>
      </w:tr>
      <w:tr w14:paraId="6426B3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3E1DB37F">
            <w:pPr>
              <w:tabs>
                <w:tab w:val="left" w:pos="2160"/>
              </w:tabs>
              <w:spacing w:line="280" w:lineRule="exact"/>
              <w:jc w:val="center"/>
              <w:rPr>
                <w:rFonts w:ascii="Arial" w:hAnsi="Arial" w:cs="Arial"/>
                <w:szCs w:val="21"/>
              </w:rPr>
            </w:pPr>
          </w:p>
        </w:tc>
        <w:tc>
          <w:tcPr>
            <w:tcW w:w="5259" w:type="dxa"/>
            <w:vAlign w:val="center"/>
          </w:tcPr>
          <w:p w14:paraId="1E63AD38">
            <w:pPr>
              <w:rPr>
                <w:rFonts w:ascii="Arial" w:hAnsi="Times New Roman" w:cs="Arial"/>
                <w:b w:val="0"/>
                <w:szCs w:val="21"/>
              </w:rPr>
            </w:pPr>
            <w:r>
              <w:rPr>
                <w:rFonts w:hint="eastAsia" w:ascii="Times New Roman" w:hAnsi="Times New Roman"/>
                <w:b w:val="0"/>
              </w:rPr>
              <w:t>隐患排查治理制度</w:t>
            </w:r>
          </w:p>
        </w:tc>
      </w:tr>
      <w:tr w14:paraId="3E662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4D3504D8">
            <w:pPr>
              <w:tabs>
                <w:tab w:val="left" w:pos="2160"/>
              </w:tabs>
              <w:spacing w:line="280" w:lineRule="exact"/>
              <w:jc w:val="center"/>
              <w:rPr>
                <w:rFonts w:ascii="Arial" w:hAnsi="Arial" w:cs="Arial"/>
                <w:szCs w:val="21"/>
              </w:rPr>
            </w:pPr>
          </w:p>
        </w:tc>
        <w:tc>
          <w:tcPr>
            <w:tcW w:w="5259" w:type="dxa"/>
            <w:vAlign w:val="center"/>
          </w:tcPr>
          <w:p w14:paraId="4368AB8D">
            <w:pPr>
              <w:rPr>
                <w:rFonts w:ascii="Arial" w:hAnsi="Times New Roman" w:cs="Arial"/>
                <w:b w:val="0"/>
                <w:szCs w:val="21"/>
              </w:rPr>
            </w:pPr>
            <w:r>
              <w:rPr>
                <w:rFonts w:hint="eastAsia" w:ascii="Times New Roman" w:hAnsi="Times New Roman"/>
                <w:b w:val="0"/>
              </w:rPr>
              <w:t>安全生产事故报告制度</w:t>
            </w:r>
          </w:p>
        </w:tc>
      </w:tr>
      <w:tr w14:paraId="1C9ED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17BAB2D7">
            <w:pPr>
              <w:tabs>
                <w:tab w:val="left" w:pos="2160"/>
              </w:tabs>
              <w:spacing w:line="280" w:lineRule="exact"/>
              <w:jc w:val="center"/>
              <w:rPr>
                <w:rFonts w:ascii="Arial" w:hAnsi="Arial" w:cs="Arial"/>
                <w:szCs w:val="21"/>
              </w:rPr>
            </w:pPr>
          </w:p>
        </w:tc>
        <w:tc>
          <w:tcPr>
            <w:tcW w:w="5259" w:type="dxa"/>
            <w:vAlign w:val="center"/>
          </w:tcPr>
          <w:p w14:paraId="548B182D">
            <w:pPr>
              <w:rPr>
                <w:rFonts w:ascii="Times New Roman" w:hAnsi="Times New Roman"/>
                <w:b w:val="0"/>
              </w:rPr>
            </w:pPr>
            <w:r>
              <w:rPr>
                <w:rFonts w:hint="eastAsia" w:ascii="Times New Roman" w:hAnsi="Times New Roman"/>
                <w:b w:val="0"/>
              </w:rPr>
              <w:t>安全生产巡查、检查制度</w:t>
            </w:r>
          </w:p>
        </w:tc>
      </w:tr>
      <w:tr w14:paraId="3850E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restart"/>
            <w:vAlign w:val="center"/>
          </w:tcPr>
          <w:p w14:paraId="1AD8D416">
            <w:pPr>
              <w:tabs>
                <w:tab w:val="left" w:pos="2160"/>
              </w:tabs>
              <w:spacing w:line="280" w:lineRule="exact"/>
              <w:jc w:val="center"/>
              <w:rPr>
                <w:rFonts w:ascii="Arial" w:hAnsi="Arial" w:cs="Arial"/>
                <w:b w:val="0"/>
                <w:szCs w:val="21"/>
              </w:rPr>
            </w:pPr>
            <w:r>
              <w:rPr>
                <w:rFonts w:ascii="Arial" w:hAnsi="Times New Roman" w:cs="Arial"/>
                <w:b w:val="0"/>
                <w:szCs w:val="21"/>
              </w:rPr>
              <w:t>操作规程</w:t>
            </w:r>
          </w:p>
        </w:tc>
        <w:tc>
          <w:tcPr>
            <w:tcW w:w="5259" w:type="dxa"/>
            <w:vAlign w:val="center"/>
          </w:tcPr>
          <w:p w14:paraId="0ABB498E">
            <w:pPr>
              <w:rPr>
                <w:rFonts w:ascii="Arial" w:hAnsi="Arial" w:cs="Arial"/>
                <w:b w:val="0"/>
                <w:szCs w:val="21"/>
              </w:rPr>
            </w:pPr>
            <w:r>
              <w:rPr>
                <w:rFonts w:ascii="Arial" w:hAnsi="Times New Roman" w:cs="Arial"/>
                <w:b w:val="0"/>
                <w:szCs w:val="21"/>
              </w:rPr>
              <w:t>成品入库运输安全操作规程</w:t>
            </w:r>
          </w:p>
        </w:tc>
      </w:tr>
      <w:tr w14:paraId="57491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75C82A3A">
            <w:pPr>
              <w:tabs>
                <w:tab w:val="left" w:pos="2160"/>
              </w:tabs>
              <w:spacing w:line="280" w:lineRule="exact"/>
              <w:jc w:val="center"/>
              <w:rPr>
                <w:rFonts w:ascii="Arial" w:hAnsi="Arial" w:cs="Arial"/>
                <w:b w:val="0"/>
                <w:szCs w:val="21"/>
              </w:rPr>
            </w:pPr>
          </w:p>
        </w:tc>
        <w:tc>
          <w:tcPr>
            <w:tcW w:w="5259" w:type="dxa"/>
            <w:vAlign w:val="center"/>
          </w:tcPr>
          <w:p w14:paraId="5FCF0BB0">
            <w:pPr>
              <w:rPr>
                <w:rFonts w:ascii="Arial" w:hAnsi="Arial" w:cs="Arial"/>
                <w:b w:val="0"/>
                <w:szCs w:val="21"/>
              </w:rPr>
            </w:pPr>
            <w:r>
              <w:rPr>
                <w:rFonts w:ascii="Arial" w:hAnsi="Times New Roman" w:cs="Arial"/>
                <w:b w:val="0"/>
                <w:szCs w:val="21"/>
              </w:rPr>
              <w:t>销毁作业安全操作规程</w:t>
            </w:r>
          </w:p>
        </w:tc>
      </w:tr>
      <w:tr w14:paraId="6F26B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3BC8377A">
            <w:pPr>
              <w:tabs>
                <w:tab w:val="left" w:pos="2160"/>
              </w:tabs>
              <w:spacing w:line="280" w:lineRule="exact"/>
              <w:jc w:val="center"/>
              <w:rPr>
                <w:rFonts w:ascii="Arial" w:hAnsi="Arial" w:cs="Arial"/>
                <w:b w:val="0"/>
                <w:szCs w:val="21"/>
              </w:rPr>
            </w:pPr>
          </w:p>
        </w:tc>
        <w:tc>
          <w:tcPr>
            <w:tcW w:w="5259" w:type="dxa"/>
            <w:vAlign w:val="center"/>
          </w:tcPr>
          <w:p w14:paraId="30F57ED0">
            <w:pPr>
              <w:rPr>
                <w:rFonts w:ascii="Arial" w:hAnsi="Arial" w:cs="Arial"/>
                <w:b w:val="0"/>
                <w:szCs w:val="21"/>
              </w:rPr>
            </w:pPr>
            <w:r>
              <w:rPr>
                <w:rFonts w:ascii="Arial" w:hAnsi="Times New Roman" w:cs="Arial"/>
                <w:b w:val="0"/>
                <w:szCs w:val="21"/>
              </w:rPr>
              <w:t>库房管理岗位操作规程</w:t>
            </w:r>
          </w:p>
        </w:tc>
      </w:tr>
      <w:tr w14:paraId="4E8C5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591EA7BD">
            <w:pPr>
              <w:tabs>
                <w:tab w:val="left" w:pos="2160"/>
              </w:tabs>
              <w:spacing w:line="280" w:lineRule="exact"/>
              <w:jc w:val="center"/>
              <w:rPr>
                <w:rFonts w:ascii="Arial" w:hAnsi="Arial" w:cs="Arial"/>
                <w:b w:val="0"/>
                <w:szCs w:val="21"/>
              </w:rPr>
            </w:pPr>
          </w:p>
        </w:tc>
        <w:tc>
          <w:tcPr>
            <w:tcW w:w="5259" w:type="dxa"/>
            <w:vAlign w:val="center"/>
          </w:tcPr>
          <w:p w14:paraId="3CF007D7">
            <w:pPr>
              <w:rPr>
                <w:rFonts w:ascii="Arial" w:hAnsi="Arial" w:cs="Arial"/>
                <w:b w:val="0"/>
                <w:szCs w:val="21"/>
              </w:rPr>
            </w:pPr>
            <w:r>
              <w:rPr>
                <w:rFonts w:ascii="Arial" w:hAnsi="Times New Roman" w:cs="Arial"/>
                <w:b w:val="0"/>
                <w:szCs w:val="21"/>
              </w:rPr>
              <w:t>消防安全岗位操作规程</w:t>
            </w:r>
          </w:p>
        </w:tc>
      </w:tr>
      <w:tr w14:paraId="5B698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16E726C9">
            <w:pPr>
              <w:tabs>
                <w:tab w:val="left" w:pos="2160"/>
              </w:tabs>
              <w:spacing w:line="280" w:lineRule="exact"/>
              <w:jc w:val="center"/>
              <w:rPr>
                <w:rFonts w:ascii="Arial" w:hAnsi="Arial" w:cs="Arial"/>
                <w:b w:val="0"/>
                <w:szCs w:val="21"/>
              </w:rPr>
            </w:pPr>
          </w:p>
        </w:tc>
        <w:tc>
          <w:tcPr>
            <w:tcW w:w="5259" w:type="dxa"/>
            <w:vAlign w:val="center"/>
          </w:tcPr>
          <w:p w14:paraId="6D5F0ECF">
            <w:pPr>
              <w:rPr>
                <w:rFonts w:ascii="Arial" w:hAnsi="Arial" w:cs="Arial"/>
                <w:b w:val="0"/>
                <w:szCs w:val="21"/>
              </w:rPr>
            </w:pPr>
            <w:r>
              <w:rPr>
                <w:rFonts w:ascii="Arial" w:hAnsi="Times New Roman" w:cs="Arial"/>
                <w:b w:val="0"/>
                <w:szCs w:val="21"/>
              </w:rPr>
              <w:t>车辆管理岗位操作规程</w:t>
            </w:r>
          </w:p>
        </w:tc>
      </w:tr>
      <w:tr w14:paraId="1FFBA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4A7D4D5E">
            <w:pPr>
              <w:tabs>
                <w:tab w:val="left" w:pos="2160"/>
              </w:tabs>
              <w:spacing w:line="280" w:lineRule="exact"/>
              <w:jc w:val="center"/>
              <w:rPr>
                <w:rFonts w:ascii="Arial" w:hAnsi="Arial" w:cs="Arial"/>
                <w:b w:val="0"/>
                <w:szCs w:val="21"/>
              </w:rPr>
            </w:pPr>
          </w:p>
        </w:tc>
        <w:tc>
          <w:tcPr>
            <w:tcW w:w="5259" w:type="dxa"/>
            <w:vAlign w:val="center"/>
          </w:tcPr>
          <w:p w14:paraId="60D0DB2C">
            <w:pPr>
              <w:rPr>
                <w:rFonts w:ascii="Arial" w:hAnsi="Arial" w:cs="Arial"/>
                <w:b w:val="0"/>
                <w:szCs w:val="21"/>
              </w:rPr>
            </w:pPr>
            <w:r>
              <w:rPr>
                <w:rFonts w:ascii="Arial" w:hAnsi="Times New Roman" w:cs="Arial"/>
                <w:b w:val="0"/>
                <w:szCs w:val="21"/>
              </w:rPr>
              <w:t>检验验收岗位操作规程</w:t>
            </w:r>
          </w:p>
        </w:tc>
      </w:tr>
      <w:tr w14:paraId="0248C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4182F947">
            <w:pPr>
              <w:tabs>
                <w:tab w:val="left" w:pos="2160"/>
              </w:tabs>
              <w:spacing w:line="280" w:lineRule="exact"/>
              <w:jc w:val="center"/>
              <w:rPr>
                <w:rFonts w:ascii="Arial" w:hAnsi="Arial" w:cs="Arial"/>
                <w:b w:val="0"/>
                <w:szCs w:val="21"/>
              </w:rPr>
            </w:pPr>
          </w:p>
        </w:tc>
        <w:tc>
          <w:tcPr>
            <w:tcW w:w="5259" w:type="dxa"/>
            <w:vAlign w:val="center"/>
          </w:tcPr>
          <w:p w14:paraId="03EBE4E5">
            <w:pPr>
              <w:rPr>
                <w:rFonts w:ascii="Arial" w:hAnsi="Arial" w:cs="Arial"/>
                <w:b w:val="0"/>
                <w:szCs w:val="21"/>
              </w:rPr>
            </w:pPr>
            <w:r>
              <w:rPr>
                <w:rFonts w:ascii="Arial" w:hAnsi="Times New Roman" w:cs="Arial"/>
                <w:b w:val="0"/>
                <w:szCs w:val="21"/>
              </w:rPr>
              <w:t>装卸、运输人员岗位安全操作规程</w:t>
            </w:r>
          </w:p>
        </w:tc>
      </w:tr>
      <w:tr w14:paraId="458AB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152AE431">
            <w:pPr>
              <w:tabs>
                <w:tab w:val="left" w:pos="2160"/>
              </w:tabs>
              <w:spacing w:line="280" w:lineRule="exact"/>
              <w:jc w:val="center"/>
              <w:rPr>
                <w:rFonts w:ascii="Arial" w:hAnsi="Arial" w:cs="Arial"/>
                <w:b w:val="0"/>
                <w:szCs w:val="21"/>
              </w:rPr>
            </w:pPr>
          </w:p>
        </w:tc>
        <w:tc>
          <w:tcPr>
            <w:tcW w:w="5259" w:type="dxa"/>
            <w:vAlign w:val="center"/>
          </w:tcPr>
          <w:p w14:paraId="08394B14">
            <w:pPr>
              <w:rPr>
                <w:rFonts w:ascii="Arial" w:hAnsi="Arial" w:cs="Arial"/>
                <w:b w:val="0"/>
                <w:szCs w:val="21"/>
              </w:rPr>
            </w:pPr>
            <w:r>
              <w:rPr>
                <w:rFonts w:ascii="Arial" w:hAnsi="Times New Roman" w:cs="Arial"/>
                <w:b w:val="0"/>
                <w:szCs w:val="21"/>
              </w:rPr>
              <w:t>库内运输、搬运人员岗位操作规程</w:t>
            </w:r>
          </w:p>
        </w:tc>
      </w:tr>
      <w:tr w14:paraId="1203E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484C8913">
            <w:pPr>
              <w:tabs>
                <w:tab w:val="left" w:pos="2160"/>
              </w:tabs>
              <w:spacing w:line="280" w:lineRule="exact"/>
              <w:jc w:val="center"/>
              <w:rPr>
                <w:rFonts w:ascii="Arial" w:hAnsi="Arial" w:cs="Arial"/>
                <w:b w:val="0"/>
                <w:szCs w:val="21"/>
              </w:rPr>
            </w:pPr>
          </w:p>
        </w:tc>
        <w:tc>
          <w:tcPr>
            <w:tcW w:w="5259" w:type="dxa"/>
            <w:vAlign w:val="center"/>
          </w:tcPr>
          <w:p w14:paraId="63A61147">
            <w:pPr>
              <w:rPr>
                <w:rFonts w:ascii="Arial" w:hAnsi="Arial" w:cs="Arial"/>
                <w:b w:val="0"/>
                <w:szCs w:val="21"/>
              </w:rPr>
            </w:pPr>
            <w:r>
              <w:rPr>
                <w:rFonts w:ascii="Arial" w:hAnsi="Times New Roman" w:cs="Arial"/>
                <w:b w:val="0"/>
                <w:szCs w:val="21"/>
              </w:rPr>
              <w:t>查验岗位操作规程</w:t>
            </w:r>
          </w:p>
        </w:tc>
      </w:tr>
      <w:tr w14:paraId="23EE0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0D30BF40">
            <w:pPr>
              <w:tabs>
                <w:tab w:val="left" w:pos="2160"/>
              </w:tabs>
              <w:spacing w:line="280" w:lineRule="exact"/>
              <w:jc w:val="center"/>
              <w:rPr>
                <w:rFonts w:ascii="Arial" w:hAnsi="Arial" w:cs="Arial"/>
                <w:b w:val="0"/>
                <w:szCs w:val="21"/>
              </w:rPr>
            </w:pPr>
          </w:p>
        </w:tc>
        <w:tc>
          <w:tcPr>
            <w:tcW w:w="5259" w:type="dxa"/>
            <w:vAlign w:val="center"/>
          </w:tcPr>
          <w:p w14:paraId="052E95E6">
            <w:pPr>
              <w:rPr>
                <w:rFonts w:ascii="Arial" w:hAnsi="Arial" w:cs="Arial"/>
                <w:b w:val="0"/>
                <w:szCs w:val="21"/>
              </w:rPr>
            </w:pPr>
            <w:r>
              <w:rPr>
                <w:rFonts w:ascii="Arial" w:hAnsi="Times New Roman" w:cs="Arial"/>
                <w:b w:val="0"/>
                <w:szCs w:val="21"/>
              </w:rPr>
              <w:t>货物拆箱操作规程</w:t>
            </w:r>
          </w:p>
        </w:tc>
      </w:tr>
      <w:tr w14:paraId="1C434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vAlign w:val="center"/>
          </w:tcPr>
          <w:p w14:paraId="47B74D04">
            <w:pPr>
              <w:tabs>
                <w:tab w:val="left" w:pos="2160"/>
              </w:tabs>
              <w:spacing w:line="280" w:lineRule="exact"/>
              <w:jc w:val="center"/>
              <w:rPr>
                <w:rFonts w:ascii="Arial" w:hAnsi="Arial" w:cs="Arial"/>
                <w:b w:val="0"/>
                <w:szCs w:val="21"/>
              </w:rPr>
            </w:pPr>
          </w:p>
        </w:tc>
        <w:tc>
          <w:tcPr>
            <w:tcW w:w="5259" w:type="dxa"/>
            <w:vAlign w:val="center"/>
          </w:tcPr>
          <w:p w14:paraId="6B3B8625">
            <w:pPr>
              <w:rPr>
                <w:rFonts w:ascii="Arial" w:hAnsi="Arial" w:cs="Arial"/>
                <w:b w:val="0"/>
                <w:szCs w:val="21"/>
              </w:rPr>
            </w:pPr>
            <w:r>
              <w:rPr>
                <w:rFonts w:ascii="Arial" w:hAnsi="Times New Roman" w:cs="Arial"/>
                <w:b w:val="0"/>
                <w:szCs w:val="21"/>
              </w:rPr>
              <w:t>货物运输操作规程</w:t>
            </w:r>
          </w:p>
        </w:tc>
      </w:tr>
      <w:tr w14:paraId="044DDC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Align w:val="center"/>
          </w:tcPr>
          <w:p w14:paraId="2E320E73">
            <w:pPr>
              <w:tabs>
                <w:tab w:val="left" w:pos="2160"/>
              </w:tabs>
              <w:spacing w:line="280" w:lineRule="exact"/>
              <w:jc w:val="center"/>
              <w:rPr>
                <w:rFonts w:ascii="Arial" w:hAnsi="Arial" w:cs="Arial"/>
                <w:b w:val="0"/>
                <w:szCs w:val="21"/>
              </w:rPr>
            </w:pPr>
            <w:r>
              <w:rPr>
                <w:rFonts w:ascii="Arial" w:hAnsi="Times New Roman" w:cs="Arial"/>
                <w:b w:val="0"/>
                <w:szCs w:val="21"/>
              </w:rPr>
              <w:t>安全事故应急救援预案</w:t>
            </w:r>
          </w:p>
        </w:tc>
        <w:tc>
          <w:tcPr>
            <w:tcW w:w="5259" w:type="dxa"/>
            <w:vAlign w:val="center"/>
          </w:tcPr>
          <w:p w14:paraId="5F98B49D">
            <w:pPr>
              <w:tabs>
                <w:tab w:val="left" w:pos="2160"/>
              </w:tabs>
              <w:spacing w:line="280" w:lineRule="exact"/>
              <w:rPr>
                <w:rFonts w:ascii="Arial" w:hAnsi="Arial" w:cs="Arial"/>
                <w:b w:val="0"/>
                <w:szCs w:val="21"/>
              </w:rPr>
            </w:pPr>
            <w:r>
              <w:rPr>
                <w:rFonts w:hint="eastAsia" w:ascii="Arial" w:hAnsi="Times New Roman" w:cs="Arial"/>
                <w:b w:val="0"/>
                <w:szCs w:val="21"/>
              </w:rPr>
              <w:t>生产安全</w:t>
            </w:r>
            <w:r>
              <w:rPr>
                <w:rFonts w:ascii="Arial" w:hAnsi="Times New Roman" w:cs="Arial"/>
                <w:b w:val="0"/>
                <w:szCs w:val="21"/>
              </w:rPr>
              <w:t>事故</w:t>
            </w:r>
            <w:r>
              <w:rPr>
                <w:rFonts w:hint="eastAsia" w:ascii="Arial" w:hAnsi="Times New Roman" w:cs="Arial"/>
                <w:b w:val="0"/>
                <w:szCs w:val="21"/>
              </w:rPr>
              <w:t>应急</w:t>
            </w:r>
            <w:r>
              <w:rPr>
                <w:rFonts w:ascii="Arial" w:hAnsi="Times New Roman" w:cs="Arial"/>
                <w:b w:val="0"/>
                <w:szCs w:val="21"/>
              </w:rPr>
              <w:t>预案</w:t>
            </w:r>
            <w:r>
              <w:rPr>
                <w:rFonts w:hint="eastAsia" w:ascii="Arial" w:hAnsi="Times New Roman" w:cs="Arial"/>
                <w:b w:val="0"/>
                <w:szCs w:val="21"/>
              </w:rPr>
              <w:t>及备案文件</w:t>
            </w:r>
          </w:p>
        </w:tc>
      </w:tr>
    </w:tbl>
    <w:p w14:paraId="285ACF92">
      <w:pPr>
        <w:keepNext/>
        <w:keepLines/>
        <w:spacing w:before="240" w:beforeLines="100" w:after="120" w:afterLines="50" w:line="360" w:lineRule="auto"/>
        <w:outlineLvl w:val="1"/>
        <w:rPr>
          <w:rFonts w:ascii="黑体" w:hAnsi="宋体" w:eastAsia="黑体"/>
          <w:b w:val="0"/>
          <w:bCs/>
          <w:snapToGrid w:val="0"/>
          <w:sz w:val="30"/>
          <w:szCs w:val="30"/>
        </w:rPr>
      </w:pPr>
      <w:bookmarkStart w:id="121" w:name="_Toc205979627"/>
      <w:r>
        <w:rPr>
          <w:rFonts w:hint="eastAsia" w:ascii="黑体" w:hAnsi="宋体" w:eastAsia="黑体"/>
          <w:b w:val="0"/>
          <w:bCs/>
          <w:snapToGrid w:val="0"/>
          <w:sz w:val="30"/>
          <w:szCs w:val="30"/>
        </w:rPr>
        <w:t>2.8给、排水及消防</w:t>
      </w:r>
      <w:bookmarkEnd w:id="121"/>
    </w:p>
    <w:p w14:paraId="2BC55802">
      <w:pPr>
        <w:pStyle w:val="6"/>
        <w:rPr>
          <w:rFonts w:ascii="黑体" w:hAnsi="黑体" w:eastAsia="黑体" w:cs="宋体"/>
          <w:b w:val="0"/>
          <w:bCs w:val="0"/>
          <w:szCs w:val="28"/>
        </w:rPr>
      </w:pPr>
      <w:bookmarkStart w:id="122" w:name="_Toc278054197"/>
      <w:bookmarkStart w:id="123" w:name="_Toc300256208"/>
      <w:bookmarkStart w:id="124" w:name="_Toc300329583"/>
      <w:bookmarkStart w:id="125" w:name="_Toc300344405"/>
      <w:r>
        <w:rPr>
          <w:rFonts w:hint="eastAsia" w:ascii="黑体" w:hAnsi="黑体" w:eastAsia="黑体" w:cs="宋体"/>
          <w:b w:val="0"/>
          <w:bCs w:val="0"/>
          <w:szCs w:val="28"/>
        </w:rPr>
        <w:t>2.8.1给、排水</w:t>
      </w:r>
    </w:p>
    <w:p w14:paraId="2043BDF3">
      <w:pPr>
        <w:spacing w:line="360" w:lineRule="auto"/>
        <w:ind w:firstLine="560" w:firstLineChars="200"/>
        <w:jc w:val="left"/>
        <w:rPr>
          <w:rFonts w:ascii="宋体" w:hAnsi="宋体" w:cs="宋体"/>
          <w:b w:val="0"/>
          <w:sz w:val="28"/>
          <w:szCs w:val="28"/>
        </w:rPr>
      </w:pPr>
      <w:r>
        <w:rPr>
          <w:rFonts w:hint="eastAsia" w:ascii="宋体" w:hAnsi="宋体" w:cs="宋体"/>
          <w:b w:val="0"/>
          <w:sz w:val="28"/>
          <w:szCs w:val="28"/>
        </w:rPr>
        <w:t>1）给水</w:t>
      </w:r>
    </w:p>
    <w:p w14:paraId="2A34727B">
      <w:pPr>
        <w:spacing w:line="360" w:lineRule="auto"/>
        <w:ind w:firstLine="560" w:firstLineChars="200"/>
        <w:rPr>
          <w:rFonts w:ascii="宋体" w:hAnsi="宋体" w:cs="宋体"/>
          <w:b w:val="0"/>
          <w:sz w:val="28"/>
          <w:szCs w:val="28"/>
        </w:rPr>
      </w:pPr>
      <w:r>
        <w:rPr>
          <w:rFonts w:hint="eastAsia" w:ascii="宋体" w:hAnsi="宋体" w:cs="宋体"/>
          <w:b w:val="0"/>
          <w:sz w:val="28"/>
          <w:szCs w:val="28"/>
        </w:rPr>
        <w:t>经建设方确认，本项目消防、生活用水水源采用地下水（库区内自建的深水井），可以满足本项目用水需求。</w:t>
      </w:r>
    </w:p>
    <w:p w14:paraId="74265F7A">
      <w:pPr>
        <w:spacing w:line="360" w:lineRule="auto"/>
        <w:ind w:firstLine="560" w:firstLineChars="200"/>
        <w:jc w:val="left"/>
        <w:rPr>
          <w:rFonts w:ascii="宋体" w:hAnsi="宋体" w:cs="宋体"/>
          <w:b w:val="0"/>
          <w:sz w:val="28"/>
          <w:szCs w:val="28"/>
        </w:rPr>
      </w:pPr>
      <w:r>
        <w:rPr>
          <w:rFonts w:hint="eastAsia" w:ascii="宋体" w:hAnsi="宋体" w:cs="宋体"/>
          <w:b w:val="0"/>
          <w:sz w:val="28"/>
          <w:szCs w:val="28"/>
        </w:rPr>
        <w:t>2）排水</w:t>
      </w:r>
    </w:p>
    <w:p w14:paraId="43F4758E">
      <w:pPr>
        <w:spacing w:line="360" w:lineRule="auto"/>
        <w:ind w:firstLine="560" w:firstLineChars="200"/>
        <w:jc w:val="left"/>
        <w:rPr>
          <w:rFonts w:ascii="宋体" w:hAnsi="宋体" w:cs="宋体"/>
          <w:b w:val="0"/>
          <w:sz w:val="28"/>
          <w:szCs w:val="28"/>
        </w:rPr>
      </w:pPr>
      <w:r>
        <w:rPr>
          <w:rFonts w:hint="eastAsia" w:ascii="宋体" w:hAnsi="宋体" w:cs="宋体"/>
          <w:b w:val="0"/>
          <w:sz w:val="28"/>
          <w:szCs w:val="28"/>
        </w:rPr>
        <w:t>（1）本地区年降水量较少，采用自然排水。</w:t>
      </w:r>
    </w:p>
    <w:p w14:paraId="56DC69B2">
      <w:pPr>
        <w:spacing w:line="360" w:lineRule="auto"/>
        <w:ind w:firstLine="560" w:firstLineChars="200"/>
        <w:jc w:val="left"/>
        <w:rPr>
          <w:rFonts w:ascii="宋体" w:hAnsi="宋体" w:cs="宋体"/>
          <w:b w:val="0"/>
          <w:sz w:val="28"/>
          <w:szCs w:val="28"/>
        </w:rPr>
      </w:pPr>
      <w:r>
        <w:rPr>
          <w:rFonts w:hint="eastAsia" w:ascii="宋体" w:hAnsi="宋体" w:cs="宋体"/>
          <w:b w:val="0"/>
          <w:sz w:val="28"/>
          <w:szCs w:val="28"/>
        </w:rPr>
        <w:t>（2）污水排水</w:t>
      </w:r>
    </w:p>
    <w:p w14:paraId="7B029F36">
      <w:pPr>
        <w:spacing w:line="360" w:lineRule="auto"/>
        <w:ind w:firstLine="560" w:firstLineChars="200"/>
        <w:rPr>
          <w:rFonts w:ascii="宋体" w:hAnsi="宋体" w:cs="宋体"/>
          <w:b w:val="0"/>
          <w:sz w:val="28"/>
          <w:szCs w:val="28"/>
        </w:rPr>
      </w:pPr>
      <w:r>
        <w:rPr>
          <w:rFonts w:hint="eastAsia" w:ascii="宋体" w:hAnsi="宋体" w:cs="宋体"/>
          <w:b w:val="0"/>
          <w:sz w:val="28"/>
          <w:szCs w:val="28"/>
        </w:rPr>
        <w:t>本工程最高日生活用水量10m</w:t>
      </w:r>
      <w:r>
        <w:rPr>
          <w:rFonts w:hint="eastAsia" w:ascii="宋体" w:hAnsi="宋体" w:cs="宋体"/>
          <w:b w:val="0"/>
          <w:sz w:val="28"/>
          <w:szCs w:val="28"/>
          <w:vertAlign w:val="superscript"/>
        </w:rPr>
        <w:t>3</w:t>
      </w:r>
      <w:r>
        <w:rPr>
          <w:rFonts w:hint="eastAsia" w:ascii="宋体" w:hAnsi="宋体" w:cs="宋体"/>
          <w:b w:val="0"/>
          <w:sz w:val="28"/>
          <w:szCs w:val="28"/>
        </w:rPr>
        <w:t>，日产生污水量很小，如当地环境允许，生活污水经化粪池初级处理后，排入旱地。如环境不允许，建设(V=4*6*2=48m</w:t>
      </w:r>
      <w:r>
        <w:rPr>
          <w:rFonts w:hint="eastAsia" w:ascii="宋体" w:hAnsi="宋体" w:cs="宋体"/>
          <w:b w:val="0"/>
          <w:sz w:val="28"/>
          <w:szCs w:val="28"/>
          <w:vertAlign w:val="superscript"/>
        </w:rPr>
        <w:t>3</w:t>
      </w:r>
      <w:r>
        <w:rPr>
          <w:rFonts w:hint="eastAsia" w:ascii="宋体" w:hAnsi="宋体" w:cs="宋体"/>
          <w:b w:val="0"/>
          <w:sz w:val="28"/>
          <w:szCs w:val="28"/>
        </w:rPr>
        <w:t>)有效污水池一座，定期外运。</w:t>
      </w:r>
    </w:p>
    <w:p w14:paraId="156BC60C">
      <w:pPr>
        <w:spacing w:line="360" w:lineRule="auto"/>
        <w:ind w:firstLine="560" w:firstLineChars="200"/>
        <w:rPr>
          <w:rFonts w:ascii="宋体" w:hAnsi="宋体" w:cs="宋体"/>
          <w:b w:val="0"/>
          <w:sz w:val="28"/>
          <w:szCs w:val="28"/>
        </w:rPr>
      </w:pPr>
      <w:r>
        <w:rPr>
          <w:rFonts w:hint="eastAsia" w:ascii="宋体" w:hAnsi="宋体" w:cs="宋体"/>
          <w:b w:val="0"/>
          <w:sz w:val="28"/>
          <w:szCs w:val="28"/>
        </w:rPr>
        <w:t>经营过程不产生生产废水，如发生储存、运输等方面安全事故，由消防产生的废水的处置，待环境评价后再做处理</w:t>
      </w:r>
      <w:r>
        <w:rPr>
          <w:rFonts w:ascii="宋体" w:hAnsi="宋体" w:cs="宋体"/>
          <w:b w:val="0"/>
          <w:sz w:val="28"/>
          <w:szCs w:val="28"/>
        </w:rPr>
        <w:t>。</w:t>
      </w:r>
    </w:p>
    <w:p w14:paraId="1B03C053">
      <w:pPr>
        <w:pStyle w:val="6"/>
        <w:rPr>
          <w:rFonts w:ascii="黑体" w:hAnsi="黑体" w:eastAsia="黑体" w:cs="宋体"/>
          <w:b w:val="0"/>
          <w:bCs w:val="0"/>
          <w:szCs w:val="28"/>
        </w:rPr>
      </w:pPr>
      <w:r>
        <w:rPr>
          <w:rFonts w:hint="eastAsia" w:ascii="黑体" w:hAnsi="黑体" w:eastAsia="黑体" w:cs="宋体"/>
          <w:b w:val="0"/>
          <w:bCs w:val="0"/>
          <w:szCs w:val="28"/>
        </w:rPr>
        <w:t>2.8.2消防</w:t>
      </w:r>
    </w:p>
    <w:p w14:paraId="29A6B741">
      <w:pPr>
        <w:spacing w:line="360" w:lineRule="auto"/>
        <w:ind w:firstLine="560" w:firstLineChars="200"/>
        <w:rPr>
          <w:rFonts w:ascii="宋体" w:hAnsi="宋体" w:cs="宋体"/>
          <w:b w:val="0"/>
          <w:sz w:val="28"/>
          <w:szCs w:val="28"/>
        </w:rPr>
      </w:pPr>
      <w:r>
        <w:rPr>
          <w:rFonts w:ascii="宋体" w:hAnsi="宋体" w:cs="宋体"/>
          <w:b w:val="0"/>
          <w:sz w:val="28"/>
          <w:szCs w:val="28"/>
        </w:rPr>
        <w:t>根据《建筑设计防火规范</w:t>
      </w:r>
      <w:r>
        <w:rPr>
          <w:rFonts w:hint="eastAsia" w:ascii="宋体" w:hAnsi="宋体" w:cs="宋体"/>
          <w:b w:val="0"/>
          <w:sz w:val="28"/>
          <w:szCs w:val="28"/>
        </w:rPr>
        <w:t>（2018年版）</w:t>
      </w:r>
      <w:r>
        <w:rPr>
          <w:rFonts w:ascii="宋体" w:hAnsi="宋体" w:cs="宋体"/>
          <w:b w:val="0"/>
          <w:sz w:val="28"/>
          <w:szCs w:val="28"/>
        </w:rPr>
        <w:t>》</w:t>
      </w:r>
      <w:r>
        <w:rPr>
          <w:rFonts w:hint="eastAsia" w:ascii="宋体" w:hAnsi="宋体" w:cs="宋体"/>
          <w:b w:val="0"/>
          <w:sz w:val="28"/>
          <w:szCs w:val="28"/>
        </w:rPr>
        <w:t>GB50016-2014</w:t>
      </w:r>
      <w:r>
        <w:rPr>
          <w:rFonts w:ascii="宋体" w:hAnsi="宋体" w:cs="宋体"/>
          <w:b w:val="0"/>
          <w:sz w:val="28"/>
          <w:szCs w:val="28"/>
        </w:rPr>
        <w:t>第8章</w:t>
      </w:r>
      <w:r>
        <w:rPr>
          <w:rFonts w:hint="eastAsia" w:ascii="宋体" w:hAnsi="宋体" w:cs="宋体"/>
          <w:b w:val="0"/>
          <w:sz w:val="28"/>
          <w:szCs w:val="28"/>
        </w:rPr>
        <w:t>的</w:t>
      </w:r>
      <w:r>
        <w:rPr>
          <w:rFonts w:ascii="宋体" w:hAnsi="宋体" w:cs="宋体"/>
          <w:b w:val="0"/>
          <w:sz w:val="28"/>
          <w:szCs w:val="28"/>
        </w:rPr>
        <w:t>相关要求，本项目</w:t>
      </w:r>
      <w:r>
        <w:rPr>
          <w:rFonts w:hint="eastAsia" w:ascii="宋体" w:hAnsi="宋体" w:cs="宋体"/>
          <w:b w:val="0"/>
          <w:sz w:val="28"/>
          <w:szCs w:val="28"/>
        </w:rPr>
        <w:t>应</w:t>
      </w:r>
      <w:r>
        <w:rPr>
          <w:rFonts w:ascii="宋体" w:hAnsi="宋体" w:cs="宋体"/>
          <w:b w:val="0"/>
          <w:sz w:val="28"/>
          <w:szCs w:val="28"/>
        </w:rPr>
        <w:t>设置室内</w:t>
      </w:r>
      <w:r>
        <w:rPr>
          <w:rFonts w:hint="eastAsia" w:ascii="宋体" w:hAnsi="宋体" w:cs="宋体"/>
          <w:b w:val="0"/>
          <w:sz w:val="28"/>
          <w:szCs w:val="28"/>
        </w:rPr>
        <w:t>、</w:t>
      </w:r>
      <w:r>
        <w:rPr>
          <w:rFonts w:ascii="宋体" w:hAnsi="宋体" w:cs="宋体"/>
          <w:b w:val="0"/>
          <w:sz w:val="28"/>
          <w:szCs w:val="28"/>
        </w:rPr>
        <w:t>外消火栓系统。</w:t>
      </w:r>
      <w:r>
        <w:rPr>
          <w:rFonts w:hint="eastAsia" w:ascii="宋体" w:hAnsi="宋体" w:cs="宋体"/>
          <w:b w:val="0"/>
          <w:sz w:val="28"/>
          <w:szCs w:val="28"/>
        </w:rPr>
        <w:t>但考虑到本项目涉及的很多烟花爆竹含有镁铝合金、铝银粉等物质，这些物质是</w:t>
      </w:r>
      <w:r>
        <w:rPr>
          <w:rFonts w:ascii="宋体" w:hAnsi="宋体" w:cs="宋体"/>
          <w:b w:val="0"/>
          <w:sz w:val="28"/>
          <w:szCs w:val="28"/>
        </w:rPr>
        <w:t>遇水放出易燃气体的物质和混合物</w:t>
      </w:r>
      <w:r>
        <w:rPr>
          <w:rFonts w:hint="eastAsia" w:ascii="宋体" w:hAnsi="宋体" w:cs="宋体"/>
          <w:b w:val="0"/>
          <w:sz w:val="28"/>
          <w:szCs w:val="28"/>
        </w:rPr>
        <w:t>, 所以本项目烟花爆竹成品仓库内可不设置室内消火栓，但应</w:t>
      </w:r>
      <w:r>
        <w:rPr>
          <w:rFonts w:ascii="宋体" w:hAnsi="宋体" w:cs="宋体"/>
          <w:b w:val="0"/>
          <w:sz w:val="28"/>
          <w:szCs w:val="28"/>
        </w:rPr>
        <w:t>设置</w:t>
      </w:r>
      <w:r>
        <w:rPr>
          <w:rFonts w:hint="eastAsia" w:ascii="宋体" w:hAnsi="宋体" w:cs="宋体"/>
          <w:b w:val="0"/>
          <w:sz w:val="28"/>
          <w:szCs w:val="28"/>
        </w:rPr>
        <w:t>室外消火栓给水系统</w:t>
      </w:r>
      <w:r>
        <w:rPr>
          <w:rFonts w:ascii="宋体" w:hAnsi="宋体" w:cs="宋体"/>
          <w:b w:val="0"/>
          <w:sz w:val="28"/>
          <w:szCs w:val="28"/>
        </w:rPr>
        <w:t>。</w:t>
      </w:r>
      <w:r>
        <w:rPr>
          <w:rFonts w:hint="eastAsia" w:ascii="宋体" w:hAnsi="宋体" w:cs="宋体"/>
          <w:b w:val="0"/>
          <w:sz w:val="28"/>
          <w:szCs w:val="28"/>
        </w:rPr>
        <w:t>其中室外消火栓高压消防给水系统应由消防泵房（消防水泵+稳压装置）、消防水池、室外消防给水管网和室外消火栓四个部分组成的临时高压消防给水系统。</w:t>
      </w:r>
    </w:p>
    <w:p w14:paraId="0C098C9E">
      <w:pPr>
        <w:spacing w:line="360" w:lineRule="auto"/>
        <w:ind w:firstLine="560" w:firstLineChars="200"/>
        <w:rPr>
          <w:rFonts w:ascii="宋体" w:hAnsi="宋体" w:cs="宋体"/>
          <w:b w:val="0"/>
          <w:sz w:val="28"/>
          <w:szCs w:val="28"/>
        </w:rPr>
      </w:pPr>
      <w:r>
        <w:rPr>
          <w:rFonts w:hint="eastAsia" w:ascii="宋体" w:hAnsi="宋体" w:cs="宋体"/>
          <w:b w:val="0"/>
          <w:sz w:val="28"/>
          <w:szCs w:val="28"/>
        </w:rPr>
        <w:t>1）总消防用水量计算</w:t>
      </w:r>
    </w:p>
    <w:p w14:paraId="69E47C0F">
      <w:pPr>
        <w:spacing w:line="360" w:lineRule="auto"/>
        <w:ind w:firstLine="560" w:firstLineChars="200"/>
        <w:rPr>
          <w:rFonts w:asciiTheme="minorEastAsia" w:hAnsiTheme="minorEastAsia" w:eastAsiaTheme="minorEastAsia"/>
          <w:b w:val="0"/>
          <w:sz w:val="28"/>
          <w:szCs w:val="28"/>
        </w:rPr>
      </w:pPr>
      <w:r>
        <w:rPr>
          <w:rFonts w:hint="eastAsia" w:asciiTheme="minorEastAsia" w:hAnsiTheme="minorEastAsia" w:eastAsiaTheme="minorEastAsia"/>
          <w:b w:val="0"/>
          <w:sz w:val="28"/>
          <w:szCs w:val="28"/>
        </w:rPr>
        <w:t>（1）室外消火栓设计流量的确定</w:t>
      </w:r>
    </w:p>
    <w:p w14:paraId="0DB7006C">
      <w:pPr>
        <w:spacing w:line="360" w:lineRule="auto"/>
        <w:ind w:firstLine="560" w:firstLineChars="200"/>
        <w:jc w:val="left"/>
        <w:rPr>
          <w:rFonts w:cs="宋体" w:asciiTheme="minorEastAsia" w:hAnsiTheme="minorEastAsia" w:eastAsiaTheme="minorEastAsia"/>
          <w:b w:val="0"/>
          <w:sz w:val="28"/>
          <w:szCs w:val="28"/>
        </w:rPr>
      </w:pPr>
      <w:r>
        <w:rPr>
          <w:rFonts w:hint="eastAsia" w:asciiTheme="minorEastAsia" w:hAnsiTheme="minorEastAsia" w:eastAsiaTheme="minorEastAsia"/>
          <w:b w:val="0"/>
          <w:sz w:val="28"/>
          <w:szCs w:val="28"/>
        </w:rPr>
        <w:t>根据《建筑设计防火规范（2018年版）》GB50016-2014，《烟花爆竹工程设计安全标准》GB50161-2022，《烟花爆竹批发仓库建设标准》JB125-2009，《消</w:t>
      </w:r>
      <w:r>
        <w:rPr>
          <w:rFonts w:asciiTheme="minorEastAsia" w:hAnsiTheme="minorEastAsia" w:eastAsiaTheme="minorEastAsia"/>
          <w:b w:val="0"/>
          <w:sz w:val="28"/>
          <w:szCs w:val="28"/>
        </w:rPr>
        <w:t>防给水及消火栓系统技术规范》GB50974-2014</w:t>
      </w:r>
      <w:r>
        <w:rPr>
          <w:rFonts w:hint="eastAsia" w:asciiTheme="minorEastAsia" w:hAnsiTheme="minorEastAsia" w:eastAsiaTheme="minorEastAsia"/>
          <w:b w:val="0"/>
          <w:sz w:val="28"/>
          <w:szCs w:val="28"/>
        </w:rPr>
        <w:t>第</w:t>
      </w:r>
      <w:r>
        <w:rPr>
          <w:rFonts w:asciiTheme="minorEastAsia" w:hAnsiTheme="minorEastAsia" w:eastAsiaTheme="minorEastAsia"/>
          <w:b w:val="0"/>
          <w:sz w:val="28"/>
          <w:szCs w:val="28"/>
        </w:rPr>
        <w:t>3.3.2、3.5.2</w:t>
      </w:r>
      <w:r>
        <w:rPr>
          <w:rFonts w:hint="eastAsia" w:asciiTheme="minorEastAsia" w:hAnsiTheme="minorEastAsia" w:eastAsiaTheme="minorEastAsia"/>
          <w:b w:val="0"/>
          <w:sz w:val="28"/>
          <w:szCs w:val="28"/>
        </w:rPr>
        <w:t>、3.6.2</w:t>
      </w:r>
      <w:r>
        <w:rPr>
          <w:rFonts w:asciiTheme="minorEastAsia" w:hAnsiTheme="minorEastAsia" w:eastAsiaTheme="minorEastAsia"/>
          <w:b w:val="0"/>
          <w:sz w:val="28"/>
          <w:szCs w:val="28"/>
        </w:rPr>
        <w:t>条，消防用水量</w:t>
      </w:r>
      <w:r>
        <w:rPr>
          <w:rFonts w:hint="eastAsia" w:asciiTheme="minorEastAsia" w:hAnsiTheme="minorEastAsia" w:eastAsiaTheme="minorEastAsia"/>
          <w:b w:val="0"/>
          <w:sz w:val="28"/>
          <w:szCs w:val="28"/>
        </w:rPr>
        <w:t>应</w:t>
      </w:r>
      <w:r>
        <w:rPr>
          <w:rFonts w:asciiTheme="minorEastAsia" w:hAnsiTheme="minorEastAsia" w:eastAsiaTheme="minorEastAsia"/>
          <w:b w:val="0"/>
          <w:sz w:val="28"/>
          <w:szCs w:val="28"/>
        </w:rPr>
        <w:t>按</w:t>
      </w:r>
      <w:r>
        <w:rPr>
          <w:rFonts w:hint="eastAsia" w:asciiTheme="minorEastAsia" w:hAnsiTheme="minorEastAsia" w:eastAsiaTheme="minorEastAsia"/>
          <w:b w:val="0"/>
          <w:sz w:val="28"/>
          <w:szCs w:val="28"/>
        </w:rPr>
        <w:t>库区内总</w:t>
      </w:r>
      <w:r>
        <w:rPr>
          <w:rFonts w:asciiTheme="minorEastAsia" w:hAnsiTheme="minorEastAsia" w:eastAsiaTheme="minorEastAsia"/>
          <w:b w:val="0"/>
          <w:sz w:val="28"/>
          <w:szCs w:val="28"/>
        </w:rPr>
        <w:t>消防</w:t>
      </w:r>
      <w:r>
        <w:rPr>
          <w:rFonts w:hint="eastAsia" w:asciiTheme="minorEastAsia" w:hAnsiTheme="minorEastAsia" w:eastAsiaTheme="minorEastAsia"/>
          <w:b w:val="0"/>
          <w:sz w:val="28"/>
          <w:szCs w:val="28"/>
        </w:rPr>
        <w:t>用</w:t>
      </w:r>
      <w:r>
        <w:rPr>
          <w:rFonts w:asciiTheme="minorEastAsia" w:hAnsiTheme="minorEastAsia" w:eastAsiaTheme="minorEastAsia"/>
          <w:b w:val="0"/>
          <w:sz w:val="28"/>
          <w:szCs w:val="28"/>
        </w:rPr>
        <w:t>水量最大一座建筑物计算</w:t>
      </w:r>
      <w:r>
        <w:rPr>
          <w:rFonts w:hint="eastAsia" w:asciiTheme="minorEastAsia" w:hAnsiTheme="minorEastAsia" w:eastAsiaTheme="minorEastAsia"/>
          <w:b w:val="0"/>
          <w:sz w:val="28"/>
          <w:szCs w:val="28"/>
        </w:rPr>
        <w:t>确定，并按甲类仓库设计。本项目取</w:t>
      </w:r>
      <w:r>
        <w:rPr>
          <w:rFonts w:asciiTheme="minorEastAsia" w:hAnsiTheme="minorEastAsia" w:eastAsiaTheme="minorEastAsia"/>
          <w:b w:val="0"/>
          <w:sz w:val="28"/>
          <w:szCs w:val="28"/>
        </w:rPr>
        <w:t>2#</w:t>
      </w:r>
      <w:r>
        <w:rPr>
          <w:rFonts w:hint="eastAsia" w:asciiTheme="minorEastAsia" w:hAnsiTheme="minorEastAsia" w:eastAsiaTheme="minorEastAsia"/>
          <w:b w:val="0"/>
          <w:sz w:val="28"/>
          <w:szCs w:val="28"/>
        </w:rPr>
        <w:t>1</w:t>
      </w:r>
      <w:r>
        <w:rPr>
          <w:rFonts w:asciiTheme="minorEastAsia" w:hAnsiTheme="minorEastAsia" w:eastAsiaTheme="minorEastAsia"/>
          <w:b w:val="0"/>
          <w:sz w:val="28"/>
          <w:szCs w:val="28"/>
        </w:rPr>
        <w:t>.3</w:t>
      </w:r>
      <w:r>
        <w:rPr>
          <w:rFonts w:hint="eastAsia" w:asciiTheme="minorEastAsia" w:hAnsiTheme="minorEastAsia" w:eastAsiaTheme="minorEastAsia"/>
          <w:b w:val="0"/>
          <w:sz w:val="28"/>
          <w:szCs w:val="28"/>
        </w:rPr>
        <w:t>级库面积最大，建筑面积为</w:t>
      </w:r>
      <w:r>
        <w:rPr>
          <w:rFonts w:asciiTheme="minorEastAsia" w:hAnsiTheme="minorEastAsia" w:eastAsiaTheme="minorEastAsia"/>
          <w:b w:val="0"/>
          <w:sz w:val="28"/>
          <w:szCs w:val="28"/>
        </w:rPr>
        <w:t>990</w:t>
      </w:r>
      <w:r>
        <w:rPr>
          <w:rFonts w:hint="eastAsia" w:asciiTheme="minorEastAsia" w:hAnsiTheme="minorEastAsia" w:eastAsiaTheme="minorEastAsia"/>
          <w:b w:val="0"/>
          <w:sz w:val="28"/>
          <w:szCs w:val="28"/>
        </w:rPr>
        <w:t>m</w:t>
      </w:r>
      <w:r>
        <w:rPr>
          <w:rFonts w:hint="eastAsia" w:asciiTheme="minorEastAsia" w:hAnsiTheme="minorEastAsia" w:eastAsiaTheme="minorEastAsia"/>
          <w:b w:val="0"/>
          <w:sz w:val="28"/>
          <w:szCs w:val="28"/>
          <w:vertAlign w:val="superscript"/>
        </w:rPr>
        <w:t>2</w:t>
      </w:r>
      <w:r>
        <w:rPr>
          <w:rFonts w:hint="eastAsia" w:asciiTheme="minorEastAsia" w:hAnsiTheme="minorEastAsia" w:eastAsiaTheme="minorEastAsia"/>
          <w:b w:val="0"/>
          <w:sz w:val="28"/>
          <w:szCs w:val="28"/>
        </w:rPr>
        <w:t>，仓库的体积范围区间为</w:t>
      </w:r>
      <w:r>
        <w:rPr>
          <w:rFonts w:asciiTheme="minorEastAsia" w:hAnsiTheme="minorEastAsia" w:eastAsiaTheme="minorEastAsia"/>
          <w:b w:val="0"/>
          <w:sz w:val="28"/>
          <w:szCs w:val="28"/>
        </w:rPr>
        <w:t>3</w:t>
      </w:r>
      <w:r>
        <w:rPr>
          <w:rFonts w:hint="eastAsia" w:asciiTheme="minorEastAsia" w:hAnsiTheme="minorEastAsia" w:eastAsiaTheme="minorEastAsia"/>
          <w:b w:val="0"/>
          <w:sz w:val="28"/>
          <w:szCs w:val="28"/>
        </w:rPr>
        <w:t>000</w:t>
      </w:r>
      <w:r>
        <w:rPr>
          <w:rFonts w:asciiTheme="minorEastAsia" w:hAnsiTheme="minorEastAsia" w:eastAsiaTheme="minorEastAsia"/>
          <w:b w:val="0"/>
          <w:sz w:val="28"/>
          <w:szCs w:val="28"/>
        </w:rPr>
        <w:t>m</w:t>
      </w:r>
      <w:r>
        <w:rPr>
          <w:rFonts w:asciiTheme="minorEastAsia" w:hAnsiTheme="minorEastAsia" w:eastAsiaTheme="minorEastAsia"/>
          <w:b w:val="0"/>
          <w:sz w:val="28"/>
          <w:szCs w:val="28"/>
          <w:vertAlign w:val="superscript"/>
        </w:rPr>
        <w:t>3</w:t>
      </w:r>
      <w:r>
        <w:rPr>
          <w:rFonts w:hint="eastAsia" w:asciiTheme="minorEastAsia" w:hAnsiTheme="minorEastAsia" w:eastAsiaTheme="minorEastAsia"/>
          <w:b w:val="0"/>
          <w:sz w:val="28"/>
          <w:szCs w:val="28"/>
        </w:rPr>
        <w:t>＜</w:t>
      </w:r>
      <w:r>
        <w:rPr>
          <w:rFonts w:asciiTheme="minorEastAsia" w:hAnsiTheme="minorEastAsia" w:eastAsiaTheme="minorEastAsia"/>
          <w:b w:val="0"/>
          <w:sz w:val="28"/>
          <w:szCs w:val="28"/>
        </w:rPr>
        <w:t>V</w:t>
      </w:r>
      <w:r>
        <w:rPr>
          <w:rFonts w:hint="eastAsia" w:asciiTheme="minorEastAsia" w:hAnsiTheme="minorEastAsia" w:eastAsiaTheme="minorEastAsia"/>
          <w:b w:val="0"/>
          <w:sz w:val="28"/>
          <w:szCs w:val="28"/>
        </w:rPr>
        <w:t>≤</w:t>
      </w:r>
      <w:r>
        <w:rPr>
          <w:rFonts w:asciiTheme="minorEastAsia" w:hAnsiTheme="minorEastAsia" w:eastAsiaTheme="minorEastAsia"/>
          <w:b w:val="0"/>
          <w:sz w:val="28"/>
          <w:szCs w:val="28"/>
        </w:rPr>
        <w:t>5</w:t>
      </w:r>
      <w:r>
        <w:rPr>
          <w:rFonts w:hint="eastAsia" w:asciiTheme="minorEastAsia" w:hAnsiTheme="minorEastAsia" w:eastAsiaTheme="minorEastAsia"/>
          <w:b w:val="0"/>
          <w:sz w:val="28"/>
          <w:szCs w:val="28"/>
        </w:rPr>
        <w:t>000</w:t>
      </w:r>
      <w:r>
        <w:rPr>
          <w:rFonts w:asciiTheme="minorEastAsia" w:hAnsiTheme="minorEastAsia" w:eastAsiaTheme="minorEastAsia"/>
          <w:b w:val="0"/>
          <w:sz w:val="28"/>
          <w:szCs w:val="28"/>
        </w:rPr>
        <w:t>m</w:t>
      </w:r>
      <w:r>
        <w:rPr>
          <w:rFonts w:asciiTheme="minorEastAsia" w:hAnsiTheme="minorEastAsia" w:eastAsiaTheme="minorEastAsia"/>
          <w:b w:val="0"/>
          <w:sz w:val="28"/>
          <w:szCs w:val="28"/>
          <w:vertAlign w:val="superscript"/>
        </w:rPr>
        <w:t>3</w:t>
      </w:r>
      <w:r>
        <w:rPr>
          <w:rFonts w:hint="eastAsia" w:asciiTheme="minorEastAsia" w:hAnsiTheme="minorEastAsia" w:eastAsiaTheme="minorEastAsia"/>
          <w:b w:val="0"/>
          <w:sz w:val="28"/>
          <w:szCs w:val="28"/>
        </w:rPr>
        <w:t>，室外消火栓设计流量为25L/s。</w:t>
      </w:r>
    </w:p>
    <w:p w14:paraId="62FDAEE7">
      <w:pPr>
        <w:spacing w:line="360" w:lineRule="auto"/>
        <w:ind w:firstLine="560" w:firstLineChars="200"/>
        <w:rPr>
          <w:rFonts w:asciiTheme="minorEastAsia" w:hAnsiTheme="minorEastAsia" w:eastAsiaTheme="minorEastAsia"/>
          <w:b w:val="0"/>
          <w:sz w:val="28"/>
          <w:szCs w:val="28"/>
        </w:rPr>
      </w:pPr>
      <w:r>
        <w:rPr>
          <w:rFonts w:hint="eastAsia" w:asciiTheme="minorEastAsia" w:hAnsiTheme="minorEastAsia" w:eastAsiaTheme="minorEastAsia"/>
          <w:b w:val="0"/>
          <w:sz w:val="28"/>
          <w:szCs w:val="28"/>
        </w:rPr>
        <w:t>（2）</w:t>
      </w:r>
      <w:r>
        <w:rPr>
          <w:rFonts w:asciiTheme="minorEastAsia" w:hAnsiTheme="minorEastAsia" w:eastAsiaTheme="minorEastAsia"/>
          <w:b w:val="0"/>
          <w:sz w:val="28"/>
          <w:szCs w:val="28"/>
        </w:rPr>
        <w:t>火灾次数确定</w:t>
      </w:r>
    </w:p>
    <w:p w14:paraId="1E9CA99F">
      <w:pPr>
        <w:spacing w:line="360" w:lineRule="auto"/>
        <w:ind w:right="183" w:rightChars="87" w:firstLine="537" w:firstLineChars="192"/>
        <w:rPr>
          <w:rFonts w:asciiTheme="minorEastAsia" w:hAnsiTheme="minorEastAsia" w:eastAsiaTheme="minorEastAsia"/>
          <w:b w:val="0"/>
          <w:sz w:val="28"/>
          <w:szCs w:val="28"/>
        </w:rPr>
      </w:pPr>
      <w:r>
        <w:rPr>
          <w:rFonts w:asciiTheme="minorEastAsia" w:hAnsiTheme="minorEastAsia" w:eastAsiaTheme="minorEastAsia"/>
          <w:b w:val="0"/>
          <w:sz w:val="28"/>
          <w:szCs w:val="28"/>
        </w:rPr>
        <w:t>根据《消防给水及消火栓系统技术规范》GB50974-2014</w:t>
      </w:r>
      <w:r>
        <w:rPr>
          <w:rFonts w:hint="eastAsia" w:asciiTheme="minorEastAsia" w:hAnsiTheme="minorEastAsia" w:eastAsiaTheme="minorEastAsia"/>
          <w:b w:val="0"/>
          <w:sz w:val="28"/>
          <w:szCs w:val="28"/>
        </w:rPr>
        <w:t>第</w:t>
      </w:r>
      <w:r>
        <w:rPr>
          <w:rFonts w:asciiTheme="minorEastAsia" w:hAnsiTheme="minorEastAsia" w:eastAsiaTheme="minorEastAsia"/>
          <w:b w:val="0"/>
          <w:sz w:val="28"/>
          <w:szCs w:val="28"/>
        </w:rPr>
        <w:t>3.1.1条，同一时间内的火灾起数按1起确定。</w:t>
      </w:r>
    </w:p>
    <w:p w14:paraId="2155635C">
      <w:pPr>
        <w:spacing w:line="360" w:lineRule="auto"/>
        <w:ind w:firstLine="560" w:firstLineChars="200"/>
        <w:rPr>
          <w:rFonts w:asciiTheme="minorEastAsia" w:hAnsiTheme="minorEastAsia" w:eastAsiaTheme="minorEastAsia"/>
          <w:b w:val="0"/>
          <w:sz w:val="28"/>
          <w:szCs w:val="28"/>
        </w:rPr>
      </w:pPr>
      <w:r>
        <w:rPr>
          <w:rFonts w:hint="eastAsia" w:asciiTheme="minorEastAsia" w:hAnsiTheme="minorEastAsia" w:eastAsiaTheme="minorEastAsia"/>
          <w:b w:val="0"/>
          <w:sz w:val="28"/>
          <w:szCs w:val="28"/>
        </w:rPr>
        <w:t>（3）</w:t>
      </w:r>
      <w:r>
        <w:rPr>
          <w:rFonts w:asciiTheme="minorEastAsia" w:hAnsiTheme="minorEastAsia" w:eastAsiaTheme="minorEastAsia"/>
          <w:b w:val="0"/>
          <w:sz w:val="28"/>
          <w:szCs w:val="28"/>
        </w:rPr>
        <w:t>火灾</w:t>
      </w:r>
      <w:r>
        <w:rPr>
          <w:rFonts w:hint="eastAsia" w:asciiTheme="minorEastAsia" w:hAnsiTheme="minorEastAsia" w:eastAsiaTheme="minorEastAsia"/>
          <w:b w:val="0"/>
          <w:sz w:val="28"/>
          <w:szCs w:val="28"/>
        </w:rPr>
        <w:t>延续时间</w:t>
      </w:r>
      <w:r>
        <w:rPr>
          <w:rFonts w:asciiTheme="minorEastAsia" w:hAnsiTheme="minorEastAsia" w:eastAsiaTheme="minorEastAsia"/>
          <w:b w:val="0"/>
          <w:sz w:val="28"/>
          <w:szCs w:val="28"/>
        </w:rPr>
        <w:t>确定</w:t>
      </w:r>
    </w:p>
    <w:p w14:paraId="40F366ED">
      <w:pPr>
        <w:spacing w:line="360" w:lineRule="auto"/>
        <w:ind w:right="183" w:rightChars="87" w:firstLine="537" w:firstLineChars="192"/>
        <w:rPr>
          <w:rFonts w:asciiTheme="minorEastAsia" w:hAnsiTheme="minorEastAsia" w:eastAsiaTheme="minorEastAsia"/>
          <w:b w:val="0"/>
          <w:sz w:val="28"/>
          <w:szCs w:val="28"/>
        </w:rPr>
      </w:pPr>
      <w:r>
        <w:rPr>
          <w:rFonts w:asciiTheme="minorEastAsia" w:hAnsiTheme="minorEastAsia" w:eastAsiaTheme="minorEastAsia"/>
          <w:b w:val="0"/>
          <w:sz w:val="28"/>
          <w:szCs w:val="28"/>
        </w:rPr>
        <w:t>本项目</w:t>
      </w:r>
      <w:r>
        <w:rPr>
          <w:rFonts w:hint="eastAsia" w:asciiTheme="minorEastAsia" w:hAnsiTheme="minorEastAsia" w:eastAsiaTheme="minorEastAsia"/>
          <w:b w:val="0"/>
          <w:sz w:val="28"/>
          <w:szCs w:val="28"/>
        </w:rPr>
        <w:t>消防延续时间按3h计算。</w:t>
      </w:r>
    </w:p>
    <w:p w14:paraId="41A8E851">
      <w:pPr>
        <w:spacing w:line="360" w:lineRule="auto"/>
        <w:ind w:firstLine="560" w:firstLineChars="200"/>
        <w:rPr>
          <w:rFonts w:asciiTheme="minorEastAsia" w:hAnsiTheme="minorEastAsia" w:eastAsiaTheme="minorEastAsia"/>
          <w:b w:val="0"/>
          <w:sz w:val="28"/>
          <w:szCs w:val="28"/>
        </w:rPr>
      </w:pPr>
      <w:r>
        <w:rPr>
          <w:rFonts w:hint="eastAsia" w:asciiTheme="minorEastAsia" w:hAnsiTheme="minorEastAsia" w:eastAsiaTheme="minorEastAsia"/>
          <w:b w:val="0"/>
          <w:sz w:val="28"/>
          <w:szCs w:val="28"/>
        </w:rPr>
        <w:t>（4）</w:t>
      </w:r>
      <w:r>
        <w:rPr>
          <w:rFonts w:asciiTheme="minorEastAsia" w:hAnsiTheme="minorEastAsia" w:eastAsiaTheme="minorEastAsia"/>
          <w:b w:val="0"/>
          <w:sz w:val="28"/>
          <w:szCs w:val="28"/>
        </w:rPr>
        <w:t>一次灭火</w:t>
      </w:r>
      <w:r>
        <w:rPr>
          <w:rFonts w:hint="eastAsia" w:asciiTheme="minorEastAsia" w:hAnsiTheme="minorEastAsia" w:eastAsiaTheme="minorEastAsia"/>
          <w:b w:val="0"/>
          <w:sz w:val="28"/>
          <w:szCs w:val="28"/>
        </w:rPr>
        <w:t>总</w:t>
      </w:r>
      <w:r>
        <w:rPr>
          <w:rFonts w:asciiTheme="minorEastAsia" w:hAnsiTheme="minorEastAsia" w:eastAsiaTheme="minorEastAsia"/>
          <w:b w:val="0"/>
          <w:sz w:val="28"/>
          <w:szCs w:val="28"/>
        </w:rPr>
        <w:t>消防</w:t>
      </w:r>
      <w:r>
        <w:rPr>
          <w:rFonts w:hint="eastAsia" w:asciiTheme="minorEastAsia" w:hAnsiTheme="minorEastAsia" w:eastAsiaTheme="minorEastAsia"/>
          <w:b w:val="0"/>
          <w:sz w:val="28"/>
          <w:szCs w:val="28"/>
        </w:rPr>
        <w:t>用</w:t>
      </w:r>
      <w:r>
        <w:rPr>
          <w:rFonts w:asciiTheme="minorEastAsia" w:hAnsiTheme="minorEastAsia" w:eastAsiaTheme="minorEastAsia"/>
          <w:b w:val="0"/>
          <w:sz w:val="28"/>
          <w:szCs w:val="28"/>
        </w:rPr>
        <w:t>水量</w:t>
      </w:r>
      <w:r>
        <w:rPr>
          <w:rFonts w:hint="eastAsia" w:asciiTheme="minorEastAsia" w:hAnsiTheme="minorEastAsia" w:eastAsiaTheme="minorEastAsia"/>
          <w:b w:val="0"/>
          <w:sz w:val="28"/>
          <w:szCs w:val="28"/>
        </w:rPr>
        <w:t>的</w:t>
      </w:r>
      <w:r>
        <w:rPr>
          <w:rFonts w:asciiTheme="minorEastAsia" w:hAnsiTheme="minorEastAsia" w:eastAsiaTheme="minorEastAsia"/>
          <w:b w:val="0"/>
          <w:sz w:val="28"/>
          <w:szCs w:val="28"/>
        </w:rPr>
        <w:t>确定</w:t>
      </w:r>
    </w:p>
    <w:p w14:paraId="18742CC0">
      <w:pPr>
        <w:spacing w:line="360" w:lineRule="auto"/>
        <w:ind w:firstLine="560" w:firstLineChars="200"/>
        <w:jc w:val="left"/>
        <w:rPr>
          <w:rFonts w:cs="宋体" w:asciiTheme="minorEastAsia" w:hAnsiTheme="minorEastAsia" w:eastAsiaTheme="minorEastAsia"/>
          <w:b w:val="0"/>
          <w:sz w:val="28"/>
          <w:szCs w:val="28"/>
        </w:rPr>
      </w:pPr>
      <w:r>
        <w:rPr>
          <w:rFonts w:asciiTheme="minorEastAsia" w:hAnsiTheme="minorEastAsia" w:eastAsiaTheme="minorEastAsia"/>
          <w:b w:val="0"/>
          <w:sz w:val="28"/>
          <w:szCs w:val="28"/>
        </w:rPr>
        <w:t>根据</w:t>
      </w:r>
      <w:r>
        <w:rPr>
          <w:rFonts w:hint="eastAsia" w:asciiTheme="minorEastAsia" w:hAnsiTheme="minorEastAsia" w:eastAsiaTheme="minorEastAsia"/>
          <w:b w:val="0"/>
          <w:sz w:val="28"/>
          <w:szCs w:val="28"/>
        </w:rPr>
        <w:t>（</w:t>
      </w:r>
      <w:r>
        <w:rPr>
          <w:rFonts w:asciiTheme="minorEastAsia" w:hAnsiTheme="minorEastAsia" w:eastAsiaTheme="minorEastAsia"/>
          <w:b w:val="0"/>
          <w:sz w:val="28"/>
          <w:szCs w:val="28"/>
        </w:rPr>
        <w:t>1）</w:t>
      </w:r>
      <w:r>
        <w:rPr>
          <w:rFonts w:hint="eastAsia" w:asciiTheme="minorEastAsia" w:hAnsiTheme="minorEastAsia" w:eastAsiaTheme="minorEastAsia"/>
          <w:b w:val="0"/>
          <w:sz w:val="28"/>
          <w:szCs w:val="28"/>
        </w:rPr>
        <w:t>、（2）、（3）综合</w:t>
      </w:r>
      <w:r>
        <w:rPr>
          <w:rFonts w:asciiTheme="minorEastAsia" w:hAnsiTheme="minorEastAsia" w:eastAsiaTheme="minorEastAsia"/>
          <w:b w:val="0"/>
          <w:sz w:val="28"/>
          <w:szCs w:val="28"/>
        </w:rPr>
        <w:t>计算，</w:t>
      </w:r>
      <w:r>
        <w:rPr>
          <w:rFonts w:hint="eastAsia" w:asciiTheme="minorEastAsia" w:hAnsiTheme="minorEastAsia" w:eastAsiaTheme="minorEastAsia"/>
          <w:b w:val="0"/>
          <w:sz w:val="28"/>
          <w:szCs w:val="28"/>
        </w:rPr>
        <w:t>本项目库区</w:t>
      </w:r>
      <w:r>
        <w:rPr>
          <w:rFonts w:asciiTheme="minorEastAsia" w:hAnsiTheme="minorEastAsia" w:eastAsiaTheme="minorEastAsia"/>
          <w:b w:val="0"/>
          <w:sz w:val="28"/>
          <w:szCs w:val="28"/>
        </w:rPr>
        <w:t>一次灭火</w:t>
      </w:r>
      <w:r>
        <w:rPr>
          <w:rFonts w:hint="eastAsia" w:asciiTheme="minorEastAsia" w:hAnsiTheme="minorEastAsia" w:eastAsiaTheme="minorEastAsia"/>
          <w:b w:val="0"/>
          <w:sz w:val="28"/>
          <w:szCs w:val="28"/>
        </w:rPr>
        <w:t>所需的总消防用水量为：3h×25L/s×3600/1000=270m³。</w:t>
      </w:r>
    </w:p>
    <w:p w14:paraId="129837D7">
      <w:pPr>
        <w:spacing w:line="360" w:lineRule="auto"/>
        <w:ind w:firstLine="560" w:firstLineChars="200"/>
        <w:rPr>
          <w:rFonts w:ascii="宋体" w:hAnsi="宋体" w:cs="宋体"/>
          <w:b w:val="0"/>
          <w:sz w:val="28"/>
          <w:szCs w:val="28"/>
        </w:rPr>
      </w:pPr>
      <w:r>
        <w:rPr>
          <w:rFonts w:hint="eastAsia" w:ascii="宋体" w:hAnsi="宋体" w:cs="宋体"/>
          <w:b w:val="0"/>
          <w:sz w:val="28"/>
          <w:szCs w:val="28"/>
        </w:rPr>
        <w:t>（5）消防水池补水</w:t>
      </w:r>
      <w:r>
        <w:rPr>
          <w:rFonts w:ascii="宋体" w:hAnsi="宋体" w:cs="宋体"/>
          <w:b w:val="0"/>
          <w:sz w:val="28"/>
          <w:szCs w:val="28"/>
        </w:rPr>
        <w:t>量</w:t>
      </w:r>
      <w:r>
        <w:rPr>
          <w:rFonts w:hint="eastAsia" w:ascii="宋体" w:hAnsi="宋体" w:cs="宋体"/>
          <w:b w:val="0"/>
          <w:sz w:val="28"/>
          <w:szCs w:val="28"/>
        </w:rPr>
        <w:t>的</w:t>
      </w:r>
      <w:r>
        <w:rPr>
          <w:rFonts w:ascii="宋体" w:hAnsi="宋体" w:cs="宋体"/>
          <w:b w:val="0"/>
          <w:sz w:val="28"/>
          <w:szCs w:val="28"/>
        </w:rPr>
        <w:t>确定</w:t>
      </w:r>
    </w:p>
    <w:p w14:paraId="19679736">
      <w:pPr>
        <w:spacing w:line="360" w:lineRule="auto"/>
        <w:ind w:firstLine="560" w:firstLineChars="200"/>
        <w:rPr>
          <w:rFonts w:ascii="宋体" w:hAnsi="宋体" w:cs="宋体"/>
          <w:b w:val="0"/>
          <w:sz w:val="28"/>
          <w:szCs w:val="28"/>
        </w:rPr>
      </w:pPr>
      <w:r>
        <w:rPr>
          <w:rFonts w:hint="eastAsia" w:ascii="宋体" w:hAnsi="宋体" w:cs="宋体"/>
          <w:b w:val="0"/>
          <w:sz w:val="28"/>
          <w:szCs w:val="28"/>
        </w:rPr>
        <w:t>本项目拟改建有效容积为</w:t>
      </w:r>
      <w:r>
        <w:rPr>
          <w:rFonts w:ascii="宋体" w:hAnsi="宋体" w:cs="宋体"/>
          <w:b w:val="0"/>
          <w:sz w:val="28"/>
          <w:szCs w:val="28"/>
        </w:rPr>
        <w:t>270</w:t>
      </w:r>
      <w:r>
        <w:rPr>
          <w:rFonts w:hint="eastAsia" w:ascii="宋体" w:hAnsi="宋体" w:cs="宋体"/>
          <w:b w:val="0"/>
          <w:sz w:val="28"/>
          <w:szCs w:val="28"/>
        </w:rPr>
        <w:t>m³消防水池提供消防水源，能满足库区</w:t>
      </w:r>
      <w:r>
        <w:rPr>
          <w:rFonts w:ascii="宋体" w:hAnsi="宋体" w:cs="宋体"/>
          <w:b w:val="0"/>
          <w:sz w:val="28"/>
          <w:szCs w:val="28"/>
        </w:rPr>
        <w:t>一次灭火</w:t>
      </w:r>
      <w:r>
        <w:rPr>
          <w:rFonts w:hint="eastAsia" w:ascii="宋体" w:hAnsi="宋体" w:cs="宋体"/>
          <w:b w:val="0"/>
          <w:sz w:val="28"/>
          <w:szCs w:val="28"/>
        </w:rPr>
        <w:t>所需的总消防用水量（270m</w:t>
      </w:r>
      <w:r>
        <w:rPr>
          <w:rFonts w:hint="eastAsia" w:ascii="宋体" w:hAnsi="宋体" w:cs="宋体"/>
          <w:b w:val="0"/>
          <w:sz w:val="28"/>
          <w:szCs w:val="28"/>
          <w:vertAlign w:val="superscript"/>
        </w:rPr>
        <w:t>3</w:t>
      </w:r>
      <w:r>
        <w:rPr>
          <w:rFonts w:hint="eastAsia" w:ascii="宋体" w:hAnsi="宋体" w:cs="宋体"/>
          <w:b w:val="0"/>
          <w:sz w:val="28"/>
          <w:szCs w:val="28"/>
        </w:rPr>
        <w:t>）的需求；消防水池的补水量为2</w:t>
      </w:r>
      <w:r>
        <w:rPr>
          <w:rFonts w:ascii="宋体" w:hAnsi="宋体" w:cs="宋体"/>
          <w:b w:val="0"/>
          <w:sz w:val="28"/>
          <w:szCs w:val="28"/>
        </w:rPr>
        <w:t>5</w:t>
      </w:r>
      <w:r>
        <w:rPr>
          <w:rFonts w:hint="eastAsia" w:ascii="宋体" w:hAnsi="宋体" w:cs="宋体"/>
          <w:b w:val="0"/>
          <w:sz w:val="28"/>
          <w:szCs w:val="28"/>
        </w:rPr>
        <w:t>m³/h，消防水池应设置就地水位指示，在消防控制中心应设置水位指示及高低水位报警。</w:t>
      </w:r>
    </w:p>
    <w:p w14:paraId="52E6D9E2">
      <w:pPr>
        <w:spacing w:line="360" w:lineRule="auto"/>
        <w:ind w:firstLine="560" w:firstLineChars="200"/>
        <w:rPr>
          <w:rFonts w:ascii="宋体" w:hAnsi="宋体" w:cs="宋体"/>
          <w:b w:val="0"/>
          <w:sz w:val="28"/>
          <w:szCs w:val="28"/>
        </w:rPr>
      </w:pPr>
      <w:r>
        <w:rPr>
          <w:rFonts w:hint="eastAsia" w:ascii="宋体" w:hAnsi="宋体" w:cs="宋体"/>
          <w:b w:val="0"/>
          <w:sz w:val="28"/>
          <w:szCs w:val="28"/>
        </w:rPr>
        <w:t>2）</w:t>
      </w:r>
      <w:r>
        <w:rPr>
          <w:rFonts w:ascii="宋体" w:hAnsi="宋体" w:cs="宋体"/>
          <w:b w:val="0"/>
          <w:sz w:val="28"/>
          <w:szCs w:val="28"/>
        </w:rPr>
        <w:t>消防设施及灭火器设置</w:t>
      </w:r>
    </w:p>
    <w:p w14:paraId="07BE4E60">
      <w:pPr>
        <w:spacing w:line="360" w:lineRule="auto"/>
        <w:ind w:firstLine="560" w:firstLineChars="200"/>
        <w:rPr>
          <w:rFonts w:ascii="宋体" w:hAnsi="宋体" w:cs="宋体"/>
          <w:b w:val="0"/>
          <w:sz w:val="28"/>
          <w:szCs w:val="28"/>
        </w:rPr>
      </w:pPr>
      <w:r>
        <w:rPr>
          <w:rFonts w:hint="eastAsia" w:ascii="宋体" w:hAnsi="宋体" w:cs="宋体"/>
          <w:b w:val="0"/>
          <w:sz w:val="28"/>
          <w:szCs w:val="28"/>
        </w:rPr>
        <w:t>（1）本项目室外消防管网应按环状网布置，库房的水池、室外消火栓的给水均由室外消防给水管网接入。</w:t>
      </w:r>
    </w:p>
    <w:p w14:paraId="2DEB5BED">
      <w:pPr>
        <w:spacing w:line="360" w:lineRule="auto"/>
        <w:ind w:firstLine="560" w:firstLineChars="200"/>
        <w:rPr>
          <w:rFonts w:ascii="宋体" w:hAnsi="宋体" w:cs="宋体"/>
          <w:b w:val="0"/>
          <w:sz w:val="28"/>
          <w:szCs w:val="28"/>
        </w:rPr>
      </w:pPr>
      <w:r>
        <w:rPr>
          <w:rFonts w:hint="eastAsia" w:ascii="宋体" w:hAnsi="宋体" w:cs="宋体"/>
          <w:b w:val="0"/>
          <w:sz w:val="28"/>
          <w:szCs w:val="28"/>
        </w:rPr>
        <w:t>（2）本项目应</w:t>
      </w:r>
      <w:r>
        <w:rPr>
          <w:rFonts w:ascii="宋体" w:hAnsi="宋体" w:cs="宋体"/>
          <w:b w:val="0"/>
          <w:sz w:val="28"/>
          <w:szCs w:val="28"/>
        </w:rPr>
        <w:t>按相关规定配置</w:t>
      </w:r>
      <w:r>
        <w:rPr>
          <w:rFonts w:hint="eastAsia" w:ascii="宋体" w:hAnsi="宋体" w:cs="宋体"/>
          <w:b w:val="0"/>
          <w:sz w:val="28"/>
          <w:szCs w:val="28"/>
        </w:rPr>
        <w:t>一定数量的推车式磷酸铵盐干粉灭火器。</w:t>
      </w:r>
    </w:p>
    <w:p w14:paraId="642E84F2">
      <w:pPr>
        <w:keepNext/>
        <w:snapToGrid w:val="0"/>
        <w:spacing w:before="240" w:beforeLines="100" w:after="120" w:afterLines="50" w:line="360" w:lineRule="auto"/>
        <w:outlineLvl w:val="1"/>
        <w:rPr>
          <w:rFonts w:ascii="黑体" w:hAnsi="黑体" w:eastAsia="黑体" w:cs="楷体"/>
          <w:b w:val="0"/>
          <w:sz w:val="30"/>
          <w:szCs w:val="30"/>
        </w:rPr>
      </w:pPr>
      <w:bookmarkStart w:id="126" w:name="_Toc29412"/>
      <w:bookmarkStart w:id="127" w:name="_Toc7220"/>
      <w:bookmarkStart w:id="128" w:name="_Toc124539509"/>
      <w:bookmarkStart w:id="129" w:name="_Toc65855298"/>
      <w:bookmarkStart w:id="130" w:name="_Toc205979628"/>
      <w:r>
        <w:rPr>
          <w:rFonts w:hint="eastAsia" w:ascii="黑体" w:hAnsi="黑体" w:eastAsia="黑体" w:cs="楷体"/>
          <w:b w:val="0"/>
          <w:sz w:val="30"/>
          <w:szCs w:val="30"/>
        </w:rPr>
        <w:t>2.9</w:t>
      </w:r>
      <w:bookmarkEnd w:id="126"/>
      <w:bookmarkEnd w:id="127"/>
      <w:bookmarkEnd w:id="128"/>
      <w:bookmarkEnd w:id="129"/>
      <w:r>
        <w:rPr>
          <w:rFonts w:hint="eastAsia" w:ascii="黑体" w:hAnsi="黑体" w:eastAsia="黑体" w:cs="楷体"/>
          <w:b w:val="0"/>
          <w:sz w:val="30"/>
          <w:szCs w:val="30"/>
        </w:rPr>
        <w:t>供（配）电设施</w:t>
      </w:r>
      <w:bookmarkEnd w:id="130"/>
    </w:p>
    <w:p w14:paraId="2859C0BD">
      <w:pPr>
        <w:spacing w:line="360" w:lineRule="auto"/>
        <w:ind w:firstLine="560" w:firstLineChars="200"/>
        <w:rPr>
          <w:rFonts w:ascii="宋体" w:hAnsi="宋体" w:cs="宋体"/>
          <w:b w:val="0"/>
          <w:sz w:val="28"/>
          <w:szCs w:val="28"/>
        </w:rPr>
      </w:pPr>
      <w:bookmarkStart w:id="131" w:name="_Toc65855299"/>
      <w:r>
        <w:rPr>
          <w:rFonts w:ascii="宋体" w:hAnsi="宋体" w:cs="宋体"/>
          <w:b w:val="0"/>
          <w:sz w:val="28"/>
          <w:szCs w:val="28"/>
        </w:rPr>
        <w:t>1）电源</w:t>
      </w:r>
    </w:p>
    <w:p w14:paraId="26380786">
      <w:pPr>
        <w:spacing w:line="360" w:lineRule="auto"/>
        <w:ind w:firstLine="560" w:firstLineChars="200"/>
        <w:rPr>
          <w:rFonts w:ascii="宋体" w:hAnsi="宋体" w:cs="宋体"/>
          <w:b w:val="0"/>
          <w:sz w:val="28"/>
          <w:szCs w:val="28"/>
        </w:rPr>
      </w:pPr>
      <w:r>
        <w:rPr>
          <w:rFonts w:hint="eastAsia" w:ascii="宋体" w:hAnsi="宋体" w:cs="宋体"/>
          <w:b w:val="0"/>
          <w:sz w:val="28"/>
          <w:szCs w:val="28"/>
        </w:rPr>
        <w:t>本项目消防、应急照明、安防用电负荷属于二级负荷，其他用电负荷均属于三级负荷。</w:t>
      </w:r>
    </w:p>
    <w:p w14:paraId="24BEFB7B">
      <w:pPr>
        <w:spacing w:line="360" w:lineRule="auto"/>
        <w:ind w:firstLine="560" w:firstLineChars="200"/>
        <w:rPr>
          <w:rFonts w:ascii="宋体" w:hAnsi="宋体" w:cs="宋体"/>
          <w:b w:val="0"/>
          <w:sz w:val="28"/>
          <w:szCs w:val="28"/>
        </w:rPr>
      </w:pPr>
      <w:r>
        <w:rPr>
          <w:rFonts w:hint="eastAsia" w:ascii="宋体" w:hAnsi="宋体" w:cs="宋体"/>
          <w:b w:val="0"/>
          <w:sz w:val="28"/>
          <w:szCs w:val="28"/>
        </w:rPr>
        <w:t>自项目外部380V的电力线（业主自行负责）引入值班室动力配电箱AP-HD-1；机房电源，消防主电源均自动力箱AP-HD-1引来。消防泵电源建议业主自备柴油发电机作为备用电源，发电机容量为100KVA。</w:t>
      </w:r>
    </w:p>
    <w:p w14:paraId="6346737F">
      <w:pPr>
        <w:spacing w:line="360" w:lineRule="auto"/>
        <w:ind w:firstLine="560" w:firstLineChars="200"/>
        <w:rPr>
          <w:rFonts w:ascii="宋体" w:hAnsi="宋体" w:cs="宋体"/>
          <w:b w:val="0"/>
          <w:sz w:val="28"/>
          <w:szCs w:val="28"/>
        </w:rPr>
      </w:pPr>
      <w:r>
        <w:rPr>
          <w:rFonts w:hint="eastAsia" w:ascii="宋体" w:hAnsi="宋体" w:cs="宋体"/>
          <w:b w:val="0"/>
          <w:sz w:val="28"/>
          <w:szCs w:val="28"/>
        </w:rPr>
        <w:t>2）配电装置</w:t>
      </w:r>
    </w:p>
    <w:p w14:paraId="03F53B07">
      <w:pPr>
        <w:spacing w:line="360" w:lineRule="auto"/>
        <w:ind w:firstLine="560" w:firstLineChars="200"/>
        <w:rPr>
          <w:rFonts w:ascii="宋体" w:hAnsi="宋体" w:cs="宋体"/>
          <w:b w:val="0"/>
          <w:sz w:val="28"/>
          <w:szCs w:val="28"/>
        </w:rPr>
      </w:pPr>
      <w:r>
        <w:rPr>
          <w:rFonts w:hint="eastAsia" w:ascii="宋体" w:hAnsi="宋体" w:cs="宋体"/>
          <w:b w:val="0"/>
          <w:sz w:val="28"/>
          <w:szCs w:val="28"/>
        </w:rPr>
        <w:t>本项目总负荷约20.0KW，其中消防负荷为15KW，照明动力负荷5KW，配电电压为380V/220V。采用TN-S系统配电，系统内中性线（N）与保护线（P</w:t>
      </w:r>
      <w:r>
        <w:rPr>
          <w:rFonts w:ascii="宋体" w:hAnsi="宋体" w:cs="宋体"/>
          <w:b w:val="0"/>
          <w:sz w:val="28"/>
          <w:szCs w:val="28"/>
        </w:rPr>
        <w:t>E</w:t>
      </w:r>
      <w:r>
        <w:rPr>
          <w:rFonts w:hint="eastAsia" w:ascii="宋体" w:hAnsi="宋体" w:cs="宋体"/>
          <w:b w:val="0"/>
          <w:sz w:val="28"/>
          <w:szCs w:val="28"/>
        </w:rPr>
        <w:t>）严格分开，进线处PE线采用重复接地。</w:t>
      </w:r>
      <w:r>
        <w:rPr>
          <w:rFonts w:ascii="宋体" w:hAnsi="宋体" w:cs="宋体"/>
          <w:b w:val="0"/>
          <w:sz w:val="28"/>
          <w:szCs w:val="28"/>
        </w:rPr>
        <w:t>进线电缆埋地敷设。采用放射式供配电方式向</w:t>
      </w:r>
      <w:r>
        <w:rPr>
          <w:rFonts w:hint="eastAsia" w:ascii="宋体" w:hAnsi="宋体" w:cs="宋体"/>
          <w:b w:val="0"/>
          <w:sz w:val="28"/>
          <w:szCs w:val="28"/>
        </w:rPr>
        <w:t>全库区</w:t>
      </w:r>
      <w:r>
        <w:rPr>
          <w:rFonts w:ascii="宋体" w:hAnsi="宋体" w:cs="宋体"/>
          <w:b w:val="0"/>
          <w:sz w:val="28"/>
          <w:szCs w:val="28"/>
        </w:rPr>
        <w:t>负荷供电，</w:t>
      </w:r>
      <w:r>
        <w:rPr>
          <w:rFonts w:hint="eastAsia" w:ascii="宋体" w:hAnsi="宋体" w:cs="宋体"/>
          <w:b w:val="0"/>
          <w:sz w:val="28"/>
          <w:szCs w:val="28"/>
        </w:rPr>
        <w:t>整个</w:t>
      </w:r>
      <w:r>
        <w:rPr>
          <w:rFonts w:ascii="宋体" w:hAnsi="宋体" w:cs="宋体"/>
          <w:b w:val="0"/>
          <w:sz w:val="28"/>
          <w:szCs w:val="28"/>
        </w:rPr>
        <w:t>380/220V配电系统采用TN–S接地保护系统。</w:t>
      </w:r>
    </w:p>
    <w:p w14:paraId="38C25BA6">
      <w:pPr>
        <w:spacing w:line="360" w:lineRule="auto"/>
        <w:ind w:firstLine="560" w:firstLineChars="200"/>
        <w:rPr>
          <w:rFonts w:ascii="宋体" w:hAnsi="宋体" w:cs="宋体"/>
          <w:b w:val="0"/>
          <w:sz w:val="28"/>
          <w:szCs w:val="28"/>
        </w:rPr>
      </w:pPr>
      <w:r>
        <w:rPr>
          <w:rFonts w:ascii="宋体" w:hAnsi="宋体" w:cs="宋体"/>
          <w:b w:val="0"/>
          <w:sz w:val="28"/>
          <w:szCs w:val="28"/>
        </w:rPr>
        <w:t xml:space="preserve"> </w:t>
      </w:r>
      <w:r>
        <w:rPr>
          <w:rFonts w:hint="eastAsia" w:ascii="宋体" w:hAnsi="宋体" w:cs="宋体"/>
          <w:b w:val="0"/>
          <w:sz w:val="28"/>
          <w:szCs w:val="28"/>
        </w:rPr>
        <w:t xml:space="preserve"> 3</w:t>
      </w:r>
      <w:r>
        <w:rPr>
          <w:rFonts w:ascii="宋体" w:hAnsi="宋体" w:cs="宋体"/>
          <w:b w:val="0"/>
          <w:sz w:val="28"/>
          <w:szCs w:val="28"/>
        </w:rPr>
        <w:t>）电力照明线路</w:t>
      </w:r>
    </w:p>
    <w:p w14:paraId="0868C0AE">
      <w:pPr>
        <w:spacing w:line="360" w:lineRule="auto"/>
        <w:ind w:firstLine="560" w:firstLineChars="200"/>
        <w:rPr>
          <w:rFonts w:ascii="Times New Roman" w:hAnsi="Times New Roman"/>
          <w:b w:val="0"/>
          <w:sz w:val="28"/>
          <w:szCs w:val="28"/>
        </w:rPr>
      </w:pPr>
      <w:r>
        <w:rPr>
          <w:rFonts w:hint="eastAsia" w:ascii="宋体" w:hAnsi="宋体" w:cs="宋体"/>
          <w:b w:val="0"/>
          <w:sz w:val="28"/>
          <w:szCs w:val="28"/>
        </w:rPr>
        <w:t>本项目进线电源电缆选用YJV22-0.6/1KV交联聚氯乙烯绝缘铜芯电缆直埋，过库区道路、墙时穿钢管保护；烟花爆竹仓库不设置照明，</w:t>
      </w:r>
      <w:r>
        <w:rPr>
          <w:rFonts w:hint="eastAsia" w:ascii="宋体" w:hAnsi="宋体" w:cs="宋体"/>
          <w:b w:val="0"/>
          <w:bCs/>
          <w:spacing w:val="10"/>
          <w:kern w:val="24"/>
          <w:sz w:val="28"/>
          <w:szCs w:val="28"/>
        </w:rPr>
        <w:t>应</w:t>
      </w:r>
      <w:r>
        <w:rPr>
          <w:rFonts w:hint="eastAsia" w:asciiTheme="minorEastAsia" w:hAnsiTheme="minorEastAsia" w:eastAsiaTheme="minorEastAsia" w:cstheme="minorEastAsia"/>
          <w:b w:val="0"/>
          <w:bCs/>
          <w:spacing w:val="-3"/>
          <w:sz w:val="28"/>
          <w:szCs w:val="28"/>
        </w:rPr>
        <w:t>设疏散照明和疏散指示标志。应急照明照度值不低于该场所正常照明照度值的10%，应急时间不小于30min。</w:t>
      </w:r>
      <w:r>
        <w:rPr>
          <w:rFonts w:hint="eastAsia" w:ascii="宋体" w:hAnsi="宋体" w:cs="宋体"/>
          <w:b w:val="0"/>
          <w:sz w:val="28"/>
          <w:szCs w:val="28"/>
        </w:rPr>
        <w:t>库区设置路灯，水泵房照明线路采用耐火绝缘导线穿镀锌焊接钢管沿墙、梁、柱明敷设</w:t>
      </w:r>
      <w:r>
        <w:rPr>
          <w:rFonts w:hint="eastAsia" w:ascii="Times New Roman" w:hAnsi="Times New Roman"/>
          <w:b w:val="0"/>
          <w:sz w:val="28"/>
          <w:szCs w:val="28"/>
        </w:rPr>
        <w:t>。</w:t>
      </w:r>
    </w:p>
    <w:bookmarkEnd w:id="131"/>
    <w:p w14:paraId="4434ECC8">
      <w:pPr>
        <w:keepNext/>
        <w:snapToGrid w:val="0"/>
        <w:spacing w:before="240" w:beforeLines="100" w:after="120" w:afterLines="50" w:line="360" w:lineRule="auto"/>
        <w:outlineLvl w:val="1"/>
        <w:rPr>
          <w:rFonts w:ascii="黑体" w:hAnsi="黑体" w:eastAsia="黑体" w:cs="楷体"/>
          <w:b w:val="0"/>
          <w:sz w:val="30"/>
          <w:szCs w:val="30"/>
        </w:rPr>
      </w:pPr>
      <w:bookmarkStart w:id="132" w:name="_Toc65855301"/>
      <w:bookmarkStart w:id="133" w:name="_Toc124539512"/>
      <w:bookmarkStart w:id="134" w:name="_Toc20366"/>
      <w:bookmarkStart w:id="135" w:name="_Toc20124"/>
      <w:bookmarkStart w:id="136" w:name="_Toc205979629"/>
      <w:r>
        <w:rPr>
          <w:rFonts w:hint="eastAsia" w:ascii="黑体" w:hAnsi="黑体" w:eastAsia="黑体" w:cs="楷体"/>
          <w:b w:val="0"/>
          <w:sz w:val="30"/>
          <w:szCs w:val="30"/>
        </w:rPr>
        <w:t>2.10防雷</w:t>
      </w:r>
      <w:bookmarkEnd w:id="132"/>
      <w:r>
        <w:rPr>
          <w:rFonts w:hint="eastAsia" w:ascii="黑体" w:hAnsi="黑体" w:eastAsia="黑体" w:cs="楷体"/>
          <w:b w:val="0"/>
          <w:sz w:val="30"/>
          <w:szCs w:val="30"/>
        </w:rPr>
        <w:t>防静电</w:t>
      </w:r>
      <w:bookmarkEnd w:id="133"/>
      <w:bookmarkEnd w:id="134"/>
      <w:bookmarkEnd w:id="135"/>
      <w:bookmarkEnd w:id="136"/>
    </w:p>
    <w:p w14:paraId="2A4919BC">
      <w:pPr>
        <w:spacing w:line="360" w:lineRule="auto"/>
        <w:ind w:firstLine="560" w:firstLineChars="200"/>
        <w:jc w:val="left"/>
        <w:rPr>
          <w:rFonts w:ascii="宋体" w:hAnsi="宋体" w:cs="宋体"/>
          <w:b w:val="0"/>
          <w:sz w:val="28"/>
          <w:szCs w:val="28"/>
        </w:rPr>
      </w:pPr>
      <w:r>
        <w:rPr>
          <w:rFonts w:hint="eastAsia" w:ascii="宋体" w:hAnsi="宋体" w:cs="宋体"/>
          <w:b w:val="0"/>
          <w:sz w:val="28"/>
          <w:szCs w:val="28"/>
        </w:rPr>
        <w:t>为保证人身及用电设备的安全，所有电气设备在正常时不带电的金属部分均做重复接地。本项目拟新建</w:t>
      </w:r>
      <w:r>
        <w:rPr>
          <w:rFonts w:ascii="宋体" w:hAnsi="宋体" w:cs="宋体"/>
          <w:b w:val="0"/>
          <w:sz w:val="28"/>
          <w:szCs w:val="28"/>
        </w:rPr>
        <w:t>10#</w:t>
      </w:r>
      <w:r>
        <w:rPr>
          <w:rFonts w:hint="eastAsia" w:ascii="宋体" w:hAnsi="宋体" w:cs="宋体"/>
          <w:b w:val="0"/>
          <w:sz w:val="28"/>
          <w:szCs w:val="28"/>
        </w:rPr>
        <w:t>1</w:t>
      </w:r>
      <w:r>
        <w:rPr>
          <w:rFonts w:ascii="宋体" w:hAnsi="宋体" w:cs="宋体"/>
          <w:b w:val="0"/>
          <w:sz w:val="28"/>
          <w:szCs w:val="28"/>
        </w:rPr>
        <w:t>.1</w:t>
      </w:r>
      <w:r>
        <w:rPr>
          <w:rFonts w:ascii="宋体" w:hAnsi="宋体" w:cs="宋体"/>
          <w:b w:val="0"/>
          <w:sz w:val="28"/>
          <w:szCs w:val="28"/>
          <w:vertAlign w:val="superscript"/>
        </w:rPr>
        <w:t>-2</w:t>
      </w:r>
      <w:r>
        <w:rPr>
          <w:rFonts w:hint="eastAsia" w:ascii="宋体" w:hAnsi="宋体" w:cs="宋体"/>
          <w:b w:val="0"/>
          <w:sz w:val="28"/>
          <w:szCs w:val="28"/>
        </w:rPr>
        <w:t>级仓库应按一类防雷要求设置，重复接地、防雷接地的接地电阻要求小于10Ω。电气设备接地、防雷接地、弱电系统采用共同接地装置，其接地电阻要求不大于1Ω。拟新建</w:t>
      </w:r>
      <w:r>
        <w:rPr>
          <w:rFonts w:ascii="宋体" w:hAnsi="宋体" w:cs="宋体"/>
          <w:b w:val="0"/>
          <w:bCs/>
          <w:sz w:val="28"/>
          <w:szCs w:val="28"/>
        </w:rPr>
        <w:t>1#</w:t>
      </w:r>
      <w:r>
        <w:rPr>
          <w:rFonts w:hint="eastAsia" w:ascii="宋体" w:hAnsi="宋体" w:cs="宋体"/>
          <w:b w:val="0"/>
          <w:bCs/>
          <w:sz w:val="28"/>
          <w:szCs w:val="28"/>
        </w:rPr>
        <w:t>、2</w:t>
      </w:r>
      <w:r>
        <w:rPr>
          <w:rFonts w:ascii="宋体" w:hAnsi="宋体" w:cs="宋体"/>
          <w:b w:val="0"/>
          <w:bCs/>
          <w:sz w:val="28"/>
          <w:szCs w:val="28"/>
        </w:rPr>
        <w:t>#</w:t>
      </w:r>
      <w:r>
        <w:rPr>
          <w:rFonts w:hint="eastAsia" w:ascii="宋体" w:hAnsi="宋体" w:cs="宋体"/>
          <w:b w:val="0"/>
          <w:bCs/>
          <w:sz w:val="28"/>
          <w:szCs w:val="28"/>
        </w:rPr>
        <w:t>、3</w:t>
      </w:r>
      <w:r>
        <w:rPr>
          <w:rFonts w:ascii="宋体" w:hAnsi="宋体" w:cs="宋体"/>
          <w:b w:val="0"/>
          <w:bCs/>
          <w:sz w:val="28"/>
          <w:szCs w:val="28"/>
        </w:rPr>
        <w:t>#</w:t>
      </w:r>
      <w:r>
        <w:rPr>
          <w:rFonts w:hint="eastAsia" w:ascii="宋体" w:hAnsi="宋体" w:cs="宋体"/>
          <w:b w:val="0"/>
          <w:bCs/>
          <w:sz w:val="28"/>
          <w:szCs w:val="28"/>
        </w:rPr>
        <w:t>、4</w:t>
      </w:r>
      <w:r>
        <w:rPr>
          <w:rFonts w:ascii="宋体" w:hAnsi="宋体" w:cs="宋体"/>
          <w:b w:val="0"/>
          <w:bCs/>
          <w:sz w:val="28"/>
          <w:szCs w:val="28"/>
        </w:rPr>
        <w:t>#</w:t>
      </w:r>
      <w:r>
        <w:rPr>
          <w:rFonts w:hint="eastAsia" w:ascii="宋体" w:hAnsi="宋体" w:cs="宋体"/>
          <w:b w:val="0"/>
          <w:bCs/>
          <w:sz w:val="28"/>
          <w:szCs w:val="28"/>
        </w:rPr>
        <w:t>、5</w:t>
      </w:r>
      <w:r>
        <w:rPr>
          <w:rFonts w:ascii="宋体" w:hAnsi="宋体" w:cs="宋体"/>
          <w:b w:val="0"/>
          <w:bCs/>
          <w:sz w:val="28"/>
          <w:szCs w:val="28"/>
        </w:rPr>
        <w:t>#</w:t>
      </w:r>
      <w:r>
        <w:rPr>
          <w:rFonts w:hint="eastAsia" w:ascii="宋体" w:hAnsi="宋体" w:cs="宋体"/>
          <w:b w:val="0"/>
          <w:bCs/>
          <w:sz w:val="28"/>
          <w:szCs w:val="28"/>
        </w:rPr>
        <w:t>、6</w:t>
      </w:r>
      <w:r>
        <w:rPr>
          <w:rFonts w:ascii="宋体" w:hAnsi="宋体" w:cs="宋体"/>
          <w:b w:val="0"/>
          <w:bCs/>
          <w:sz w:val="28"/>
          <w:szCs w:val="28"/>
        </w:rPr>
        <w:t>#</w:t>
      </w:r>
      <w:r>
        <w:rPr>
          <w:rFonts w:hint="eastAsia" w:ascii="宋体" w:hAnsi="宋体" w:cs="宋体"/>
          <w:b w:val="0"/>
          <w:bCs/>
          <w:sz w:val="28"/>
          <w:szCs w:val="28"/>
        </w:rPr>
        <w:t>、7</w:t>
      </w:r>
      <w:r>
        <w:rPr>
          <w:rFonts w:ascii="宋体" w:hAnsi="宋体" w:cs="宋体"/>
          <w:b w:val="0"/>
          <w:bCs/>
          <w:sz w:val="28"/>
          <w:szCs w:val="28"/>
        </w:rPr>
        <w:t>#</w:t>
      </w:r>
      <w:r>
        <w:rPr>
          <w:rFonts w:hint="eastAsia" w:ascii="宋体" w:hAnsi="宋体" w:cs="宋体"/>
          <w:b w:val="0"/>
          <w:bCs/>
          <w:sz w:val="28"/>
          <w:szCs w:val="28"/>
        </w:rPr>
        <w:t>、8</w:t>
      </w:r>
      <w:r>
        <w:rPr>
          <w:rFonts w:ascii="宋体" w:hAnsi="宋体" w:cs="宋体"/>
          <w:b w:val="0"/>
          <w:bCs/>
          <w:sz w:val="28"/>
          <w:szCs w:val="28"/>
        </w:rPr>
        <w:t>#</w:t>
      </w:r>
      <w:r>
        <w:rPr>
          <w:rFonts w:hint="eastAsia" w:ascii="宋体" w:hAnsi="宋体" w:cs="宋体"/>
          <w:b w:val="0"/>
          <w:bCs/>
          <w:sz w:val="28"/>
          <w:szCs w:val="28"/>
        </w:rPr>
        <w:t>、9</w:t>
      </w:r>
      <w:r>
        <w:rPr>
          <w:rFonts w:ascii="宋体" w:hAnsi="宋体" w:cs="宋体"/>
          <w:b w:val="0"/>
          <w:bCs/>
          <w:sz w:val="28"/>
          <w:szCs w:val="28"/>
        </w:rPr>
        <w:t>#1.3</w:t>
      </w:r>
      <w:r>
        <w:rPr>
          <w:rFonts w:hint="eastAsia" w:ascii="宋体" w:hAnsi="宋体" w:cs="宋体"/>
          <w:b w:val="0"/>
          <w:bCs/>
          <w:sz w:val="28"/>
          <w:szCs w:val="28"/>
        </w:rPr>
        <w:t>级库房</w:t>
      </w:r>
      <w:r>
        <w:rPr>
          <w:rFonts w:hint="eastAsia" w:ascii="宋体" w:hAnsi="宋体" w:cs="宋体"/>
          <w:b w:val="0"/>
          <w:sz w:val="28"/>
          <w:szCs w:val="28"/>
        </w:rPr>
        <w:t>应按二类防雷要求设置，宜在屋面设置接闪带，并应组成网格。金属屋面板不应作为接闪装置。独立防雷接地电阻应小于10Ω；若与电气系统共用接地装置，则按最小值要求小于4Ω。本项目变电所引至库房的低压供电系统采用TN-C-S接地系统，但从建筑物内总配电箱开始引出的配电线路和分支线路采用TN-S系统。</w:t>
      </w:r>
    </w:p>
    <w:p w14:paraId="3E5AAD72">
      <w:pPr>
        <w:spacing w:line="360" w:lineRule="auto"/>
        <w:ind w:firstLine="560" w:firstLineChars="200"/>
        <w:rPr>
          <w:rFonts w:ascii="宋体" w:hAnsi="宋体" w:cs="宋体"/>
          <w:b w:val="0"/>
          <w:sz w:val="28"/>
          <w:szCs w:val="28"/>
        </w:rPr>
      </w:pPr>
      <w:r>
        <w:rPr>
          <w:rFonts w:hint="eastAsia" w:ascii="宋体" w:hAnsi="宋体" w:cs="宋体"/>
          <w:b w:val="0"/>
          <w:sz w:val="28"/>
          <w:szCs w:val="28"/>
        </w:rPr>
        <w:t>危险场所中可导电的金属设备、金属管道、金属支架及金属导体均应进行防静电直接接地。危险场所入口处外墙外侧应设置人体综合电阻监测仪和人体静电释放仪。</w:t>
      </w:r>
    </w:p>
    <w:p w14:paraId="390619AE">
      <w:pPr>
        <w:spacing w:line="360" w:lineRule="auto"/>
        <w:ind w:firstLine="560" w:firstLineChars="200"/>
        <w:rPr>
          <w:rFonts w:ascii="宋体" w:hAnsi="宋体"/>
          <w:b w:val="0"/>
          <w:sz w:val="28"/>
          <w:szCs w:val="28"/>
          <w:lang w:val="ru-RU"/>
        </w:rPr>
      </w:pPr>
      <w:r>
        <w:rPr>
          <w:rFonts w:hint="eastAsia" w:ascii="宋体" w:hAnsi="宋体"/>
          <w:b w:val="0"/>
          <w:sz w:val="28"/>
          <w:szCs w:val="28"/>
        </w:rPr>
        <w:t>烟花爆竹仓库的防雷接地应与防雷电感应、防静电接地分开设置。防雷接地应</w:t>
      </w:r>
      <w:r>
        <w:rPr>
          <w:rFonts w:hint="eastAsia" w:ascii="宋体" w:hAnsi="宋体"/>
          <w:b w:val="0"/>
          <w:sz w:val="28"/>
          <w:szCs w:val="28"/>
          <w:lang w:val="ru-RU"/>
        </w:rPr>
        <w:t>采用水池钢筋网和人工接地系统。</w:t>
      </w:r>
      <w:r>
        <w:rPr>
          <w:rFonts w:hint="eastAsia" w:ascii="宋体" w:hAnsi="宋体"/>
          <w:b w:val="0"/>
          <w:sz w:val="28"/>
          <w:szCs w:val="28"/>
        </w:rPr>
        <w:t>防雷电感应</w:t>
      </w:r>
      <w:r>
        <w:rPr>
          <w:rFonts w:hint="eastAsia" w:ascii="宋体" w:hAnsi="宋体"/>
          <w:b w:val="0"/>
          <w:sz w:val="28"/>
          <w:szCs w:val="28"/>
          <w:lang w:val="ru-RU"/>
        </w:rPr>
        <w:t>采用建筑物基础钢筋网作为自然接地系统。</w:t>
      </w:r>
    </w:p>
    <w:p w14:paraId="5ABD2DC5">
      <w:pPr>
        <w:spacing w:line="360" w:lineRule="auto"/>
        <w:ind w:firstLine="560" w:firstLineChars="200"/>
        <w:rPr>
          <w:rFonts w:ascii="宋体" w:hAnsi="宋体"/>
          <w:b w:val="0"/>
          <w:sz w:val="28"/>
          <w:szCs w:val="28"/>
        </w:rPr>
      </w:pPr>
      <w:r>
        <w:rPr>
          <w:rFonts w:hint="eastAsia" w:ascii="宋体" w:hAnsi="宋体"/>
          <w:b w:val="0"/>
          <w:sz w:val="28"/>
          <w:szCs w:val="28"/>
          <w:lang w:val="ru-RU"/>
        </w:rPr>
        <w:t>在</w:t>
      </w:r>
      <w:r>
        <w:rPr>
          <w:rFonts w:hint="eastAsia" w:ascii="宋体" w:hAnsi="宋体"/>
          <w:b w:val="0"/>
          <w:sz w:val="28"/>
          <w:szCs w:val="28"/>
        </w:rPr>
        <w:t>库区</w:t>
      </w:r>
      <w:r>
        <w:rPr>
          <w:rFonts w:hint="eastAsia" w:ascii="宋体" w:hAnsi="宋体"/>
          <w:b w:val="0"/>
          <w:sz w:val="28"/>
          <w:szCs w:val="28"/>
          <w:lang w:val="ru-RU"/>
        </w:rPr>
        <w:t>入口处设立人体静电释放仪，仓库</w:t>
      </w:r>
      <w:r>
        <w:rPr>
          <w:rFonts w:hint="eastAsia" w:ascii="宋体" w:hAnsi="宋体"/>
          <w:b w:val="0"/>
          <w:sz w:val="28"/>
          <w:szCs w:val="28"/>
        </w:rPr>
        <w:t>应采用不发生火花地面且做防静电处理，</w:t>
      </w:r>
      <w:r>
        <w:rPr>
          <w:rFonts w:hint="eastAsia" w:ascii="宋体" w:hAnsi="宋体"/>
          <w:b w:val="0"/>
          <w:sz w:val="28"/>
          <w:szCs w:val="28"/>
          <w:lang w:val="ru-RU"/>
        </w:rPr>
        <w:t>在</w:t>
      </w:r>
      <w:r>
        <w:rPr>
          <w:rFonts w:hint="eastAsia" w:ascii="宋体" w:hAnsi="宋体"/>
          <w:b w:val="0"/>
          <w:sz w:val="28"/>
          <w:szCs w:val="28"/>
        </w:rPr>
        <w:t>库房</w:t>
      </w:r>
      <w:r>
        <w:rPr>
          <w:rFonts w:hint="eastAsia" w:ascii="宋体" w:hAnsi="宋体"/>
          <w:b w:val="0"/>
          <w:sz w:val="28"/>
          <w:szCs w:val="28"/>
          <w:lang w:val="ru-RU"/>
        </w:rPr>
        <w:t>出入口设置人体静电释放仪，其接地电阻小于100</w:t>
      </w:r>
      <w:r>
        <w:rPr>
          <w:rFonts w:hint="eastAsia" w:ascii="宋体" w:hAnsi="宋体"/>
          <w:b w:val="0"/>
          <w:sz w:val="28"/>
          <w:szCs w:val="28"/>
          <w:lang w:val="ru-RU" w:eastAsia="en-US"/>
        </w:rPr>
        <w:t>Ω</w:t>
      </w:r>
      <w:r>
        <w:rPr>
          <w:rFonts w:hint="eastAsia" w:ascii="宋体" w:hAnsi="宋体"/>
          <w:b w:val="0"/>
          <w:sz w:val="28"/>
          <w:szCs w:val="28"/>
          <w:lang w:val="ru-RU"/>
        </w:rPr>
        <w:t>，操作人员穿防静电衣帽鞋袜。</w:t>
      </w:r>
    </w:p>
    <w:p w14:paraId="0ED5196A">
      <w:pPr>
        <w:keepNext/>
        <w:snapToGrid w:val="0"/>
        <w:spacing w:before="120" w:beforeLines="50" w:line="360" w:lineRule="auto"/>
        <w:outlineLvl w:val="1"/>
        <w:rPr>
          <w:rFonts w:ascii="黑体" w:hAnsi="黑体" w:eastAsia="黑体" w:cs="楷体"/>
          <w:b w:val="0"/>
          <w:sz w:val="30"/>
          <w:szCs w:val="30"/>
        </w:rPr>
      </w:pPr>
      <w:bookmarkStart w:id="137" w:name="_Toc20016"/>
      <w:bookmarkStart w:id="138" w:name="_Toc65855302"/>
      <w:bookmarkStart w:id="139" w:name="_Toc205979630"/>
      <w:bookmarkStart w:id="140" w:name="_Toc21279"/>
      <w:bookmarkStart w:id="141" w:name="_Toc124539513"/>
      <w:r>
        <w:rPr>
          <w:rFonts w:hint="eastAsia" w:ascii="黑体" w:hAnsi="黑体" w:eastAsia="黑体" w:cs="楷体"/>
          <w:b w:val="0"/>
          <w:sz w:val="30"/>
          <w:szCs w:val="30"/>
        </w:rPr>
        <w:t>2.11通信</w:t>
      </w:r>
      <w:bookmarkEnd w:id="137"/>
      <w:bookmarkEnd w:id="138"/>
      <w:bookmarkEnd w:id="139"/>
      <w:bookmarkEnd w:id="140"/>
      <w:bookmarkEnd w:id="141"/>
    </w:p>
    <w:p w14:paraId="5F69094F">
      <w:pPr>
        <w:spacing w:line="360" w:lineRule="auto"/>
        <w:rPr>
          <w:rFonts w:ascii="黑体" w:hAnsi="黑体" w:eastAsia="黑体"/>
          <w:b w:val="0"/>
          <w:bCs/>
          <w:sz w:val="28"/>
          <w:szCs w:val="28"/>
        </w:rPr>
      </w:pPr>
      <w:bookmarkStart w:id="142" w:name="_Toc65855303"/>
      <w:bookmarkStart w:id="143" w:name="_Toc205979631"/>
      <w:bookmarkStart w:id="144" w:name="_Toc17789"/>
      <w:bookmarkStart w:id="145" w:name="_Toc25994"/>
      <w:bookmarkStart w:id="146" w:name="_Toc124539514"/>
      <w:r>
        <w:rPr>
          <w:rFonts w:hint="eastAsia" w:ascii="黑体" w:hAnsi="黑体" w:eastAsia="黑体"/>
          <w:b w:val="0"/>
          <w:bCs/>
          <w:sz w:val="28"/>
          <w:szCs w:val="28"/>
        </w:rPr>
        <w:t>2.1</w:t>
      </w:r>
      <w:r>
        <w:rPr>
          <w:rFonts w:ascii="黑体" w:hAnsi="黑体" w:eastAsia="黑体"/>
          <w:b w:val="0"/>
          <w:bCs/>
          <w:sz w:val="28"/>
          <w:szCs w:val="28"/>
        </w:rPr>
        <w:t>1</w:t>
      </w:r>
      <w:r>
        <w:rPr>
          <w:rFonts w:hint="eastAsia" w:ascii="黑体" w:hAnsi="黑体" w:eastAsia="黑体"/>
          <w:b w:val="0"/>
          <w:bCs/>
          <w:sz w:val="28"/>
          <w:szCs w:val="28"/>
        </w:rPr>
        <w:t>.1有线通信</w:t>
      </w:r>
    </w:p>
    <w:p w14:paraId="13FCB3A2">
      <w:pPr>
        <w:spacing w:line="360" w:lineRule="auto"/>
        <w:ind w:firstLine="560" w:firstLineChars="200"/>
        <w:rPr>
          <w:rFonts w:ascii="宋体" w:hAnsi="宋体" w:cs="宋体"/>
          <w:b w:val="0"/>
          <w:sz w:val="28"/>
          <w:szCs w:val="28"/>
        </w:rPr>
      </w:pPr>
      <w:r>
        <w:rPr>
          <w:rFonts w:hint="eastAsia" w:ascii="宋体" w:hAnsi="宋体" w:cs="宋体"/>
          <w:b w:val="0"/>
          <w:sz w:val="28"/>
          <w:szCs w:val="28"/>
        </w:rPr>
        <w:t>由临近区电信局敷设市话电缆至值班室内。在值班室内安装电话通信线路。</w:t>
      </w:r>
    </w:p>
    <w:p w14:paraId="6C6A8605">
      <w:pPr>
        <w:spacing w:line="360" w:lineRule="auto"/>
        <w:rPr>
          <w:rFonts w:ascii="黑体" w:hAnsi="黑体" w:eastAsia="黑体"/>
          <w:b w:val="0"/>
          <w:bCs/>
          <w:sz w:val="28"/>
          <w:szCs w:val="28"/>
        </w:rPr>
      </w:pPr>
      <w:r>
        <w:rPr>
          <w:rFonts w:hint="eastAsia" w:ascii="黑体" w:hAnsi="黑体" w:eastAsia="黑体"/>
          <w:b w:val="0"/>
          <w:bCs/>
          <w:sz w:val="28"/>
          <w:szCs w:val="28"/>
        </w:rPr>
        <w:t>2.1</w:t>
      </w:r>
      <w:r>
        <w:rPr>
          <w:rFonts w:ascii="黑体" w:hAnsi="黑体" w:eastAsia="黑体"/>
          <w:b w:val="0"/>
          <w:bCs/>
          <w:sz w:val="28"/>
          <w:szCs w:val="28"/>
        </w:rPr>
        <w:t>1</w:t>
      </w:r>
      <w:r>
        <w:rPr>
          <w:rFonts w:hint="eastAsia" w:ascii="黑体" w:hAnsi="黑体" w:eastAsia="黑体"/>
          <w:b w:val="0"/>
          <w:bCs/>
          <w:sz w:val="28"/>
          <w:szCs w:val="28"/>
        </w:rPr>
        <w:t>.2线路敷设</w:t>
      </w:r>
    </w:p>
    <w:p w14:paraId="050FD80F">
      <w:pPr>
        <w:spacing w:line="360" w:lineRule="auto"/>
        <w:ind w:firstLine="560" w:firstLineChars="200"/>
        <w:rPr>
          <w:rFonts w:ascii="宋体" w:hAnsi="宋体" w:cs="宋体"/>
          <w:b w:val="0"/>
          <w:sz w:val="28"/>
          <w:szCs w:val="28"/>
        </w:rPr>
      </w:pPr>
      <w:r>
        <w:rPr>
          <w:rFonts w:hint="eastAsia" w:ascii="宋体" w:hAnsi="宋体" w:cs="宋体"/>
          <w:b w:val="0"/>
          <w:sz w:val="28"/>
          <w:szCs w:val="28"/>
        </w:rPr>
        <w:t>本项目内电话通信系统采用HYA全塑市话电缆，采用钢管埋地敷设。</w:t>
      </w:r>
    </w:p>
    <w:p w14:paraId="20A446FC">
      <w:pPr>
        <w:keepNext/>
        <w:snapToGrid w:val="0"/>
        <w:spacing w:before="120" w:beforeLines="50" w:after="120" w:afterLines="50" w:line="360" w:lineRule="auto"/>
        <w:outlineLvl w:val="1"/>
        <w:rPr>
          <w:rFonts w:ascii="黑体" w:hAnsi="黑体" w:eastAsia="黑体" w:cs="楷体"/>
          <w:b w:val="0"/>
          <w:sz w:val="30"/>
          <w:szCs w:val="30"/>
        </w:rPr>
      </w:pPr>
      <w:r>
        <w:rPr>
          <w:rFonts w:hint="eastAsia" w:ascii="黑体" w:hAnsi="黑体" w:eastAsia="黑体" w:cs="楷体"/>
          <w:b w:val="0"/>
          <w:sz w:val="30"/>
          <w:szCs w:val="30"/>
        </w:rPr>
        <w:t>2.12监控</w:t>
      </w:r>
      <w:bookmarkEnd w:id="142"/>
      <w:bookmarkEnd w:id="143"/>
      <w:bookmarkEnd w:id="144"/>
      <w:bookmarkEnd w:id="145"/>
      <w:bookmarkEnd w:id="146"/>
    </w:p>
    <w:p w14:paraId="260ECA23">
      <w:pPr>
        <w:spacing w:line="360" w:lineRule="auto"/>
        <w:ind w:firstLine="560" w:firstLineChars="200"/>
        <w:rPr>
          <w:rFonts w:ascii="宋体" w:hAnsi="宋体" w:cs="宋体"/>
          <w:b w:val="0"/>
          <w:sz w:val="28"/>
          <w:szCs w:val="28"/>
        </w:rPr>
      </w:pPr>
      <w:r>
        <w:rPr>
          <w:rFonts w:hint="eastAsia" w:ascii="宋体" w:hAnsi="宋体" w:cs="宋体"/>
          <w:b w:val="0"/>
          <w:sz w:val="28"/>
          <w:szCs w:val="28"/>
        </w:rPr>
        <w:t>本项目监控系统为生产监控和安保设施能够联动的集成系统，生产监控主要监视本项目内等区域的生产运转情况，同时应在本项目的围墙处安装主动式红外报警安保设施，配合监控摄像机工作，在值守室内的监控配置操作台和屏幕显示，在值守室内设置监控点。</w:t>
      </w:r>
    </w:p>
    <w:p w14:paraId="4422B029">
      <w:pPr>
        <w:spacing w:line="360" w:lineRule="auto"/>
        <w:ind w:firstLine="560" w:firstLineChars="200"/>
        <w:rPr>
          <w:rFonts w:ascii="宋体" w:hAnsi="宋体" w:cs="宋体"/>
          <w:b w:val="0"/>
          <w:sz w:val="28"/>
          <w:szCs w:val="28"/>
        </w:rPr>
      </w:pPr>
      <w:r>
        <w:rPr>
          <w:rFonts w:hint="eastAsia" w:ascii="宋体" w:hAnsi="宋体" w:cs="宋体"/>
          <w:b w:val="0"/>
          <w:sz w:val="28"/>
          <w:szCs w:val="28"/>
        </w:rPr>
        <w:t>本项目应在库房内及库房周边安装监控摄像机。系统采用微机矩阵进行控制，并对摄像机图像进行硬盘录像。报警设施与监控设施联动，监控摄像应满足覆盖要求，储存卡容量应满足不低于30天信息储存要求，报警应在现场和值守室内同时报警，监控和报警系统应配置UPS电源。</w:t>
      </w:r>
    </w:p>
    <w:p w14:paraId="1C821BCC">
      <w:pPr>
        <w:spacing w:line="360" w:lineRule="auto"/>
        <w:ind w:firstLine="560" w:firstLineChars="200"/>
        <w:rPr>
          <w:rFonts w:ascii="宋体" w:hAnsi="宋体" w:cs="宋体"/>
          <w:b w:val="0"/>
          <w:sz w:val="28"/>
          <w:szCs w:val="28"/>
        </w:rPr>
      </w:pPr>
      <w:bookmarkStart w:id="147" w:name="_Toc205979632"/>
      <w:r>
        <w:rPr>
          <w:rFonts w:hint="eastAsia" w:ascii="宋体" w:hAnsi="宋体" w:cs="宋体"/>
          <w:b w:val="0"/>
          <w:sz w:val="28"/>
          <w:szCs w:val="28"/>
        </w:rPr>
        <w:t>仓库区可设置火灾自动报警系统。当仓库区不设置火灾自动报警系统时，可采用畅通的电话系统兼作火灾报警装置。</w:t>
      </w:r>
    </w:p>
    <w:p w14:paraId="7EBDAEEE">
      <w:pPr>
        <w:keepNext/>
        <w:snapToGrid w:val="0"/>
        <w:spacing w:before="120" w:beforeLines="50" w:after="120" w:afterLines="50" w:line="360" w:lineRule="auto"/>
        <w:outlineLvl w:val="1"/>
        <w:rPr>
          <w:rFonts w:ascii="黑体" w:hAnsi="黑体" w:eastAsia="黑体" w:cs="楷体"/>
          <w:b w:val="0"/>
          <w:sz w:val="30"/>
          <w:szCs w:val="30"/>
        </w:rPr>
      </w:pPr>
      <w:r>
        <w:rPr>
          <w:rFonts w:hint="eastAsia" w:ascii="黑体" w:hAnsi="黑体" w:eastAsia="黑体" w:cs="楷体"/>
          <w:b w:val="0"/>
          <w:sz w:val="30"/>
          <w:szCs w:val="30"/>
        </w:rPr>
        <w:t>2.13安全标志</w:t>
      </w:r>
      <w:bookmarkEnd w:id="147"/>
    </w:p>
    <w:p w14:paraId="1EF8A63B">
      <w:pPr>
        <w:spacing w:line="360" w:lineRule="auto"/>
        <w:ind w:firstLine="560" w:firstLineChars="200"/>
        <w:rPr>
          <w:rFonts w:ascii="宋体" w:hAnsi="宋体" w:cs="宋体"/>
          <w:b w:val="0"/>
          <w:sz w:val="28"/>
          <w:szCs w:val="28"/>
        </w:rPr>
      </w:pPr>
      <w:r>
        <w:rPr>
          <w:rFonts w:hint="eastAsia" w:ascii="宋体" w:hAnsi="宋体" w:cs="宋体"/>
          <w:b w:val="0"/>
          <w:sz w:val="28"/>
          <w:szCs w:val="28"/>
        </w:rPr>
        <w:t>1）库区出入口处，按要求设立“禁止吸烟”、“禁止烟火”、“禁止带火种”、“禁止开启无线通讯设备”、“限速</w:t>
      </w:r>
      <w:r>
        <w:rPr>
          <w:rFonts w:ascii="宋体" w:hAnsi="宋体" w:cs="宋体"/>
          <w:b w:val="0"/>
          <w:sz w:val="28"/>
          <w:szCs w:val="28"/>
        </w:rPr>
        <w:t>5</w:t>
      </w:r>
      <w:r>
        <w:rPr>
          <w:rFonts w:hint="eastAsia" w:ascii="宋体" w:hAnsi="宋体" w:cs="宋体"/>
          <w:b w:val="0"/>
          <w:sz w:val="28"/>
          <w:szCs w:val="28"/>
        </w:rPr>
        <w:t>km”等标志。</w:t>
      </w:r>
    </w:p>
    <w:p w14:paraId="3069CC69">
      <w:pPr>
        <w:spacing w:line="360" w:lineRule="auto"/>
        <w:ind w:firstLine="560" w:firstLineChars="200"/>
        <w:rPr>
          <w:rFonts w:ascii="宋体" w:hAnsi="宋体" w:cs="宋体"/>
          <w:b w:val="0"/>
          <w:sz w:val="28"/>
          <w:szCs w:val="28"/>
        </w:rPr>
      </w:pPr>
      <w:r>
        <w:rPr>
          <w:rFonts w:hint="eastAsia" w:ascii="宋体" w:hAnsi="宋体" w:cs="宋体"/>
          <w:b w:val="0"/>
          <w:sz w:val="28"/>
          <w:szCs w:val="28"/>
        </w:rPr>
        <w:t>2）静电触摸仪器旁，按要求设置“必须接地”标志，并已书写“空手触摸，释放静电”警示语。</w:t>
      </w:r>
    </w:p>
    <w:p w14:paraId="5182D3C4">
      <w:pPr>
        <w:spacing w:line="360" w:lineRule="auto"/>
        <w:ind w:firstLine="560" w:firstLineChars="200"/>
        <w:rPr>
          <w:rFonts w:ascii="宋体" w:hAnsi="宋体" w:cs="宋体"/>
          <w:b w:val="0"/>
          <w:sz w:val="28"/>
          <w:szCs w:val="28"/>
        </w:rPr>
      </w:pPr>
      <w:r>
        <w:rPr>
          <w:rFonts w:hint="eastAsia" w:ascii="宋体" w:hAnsi="宋体" w:cs="宋体"/>
          <w:b w:val="0"/>
          <w:sz w:val="28"/>
          <w:szCs w:val="28"/>
        </w:rPr>
        <w:t>3）按要求设置疏散路线标志，以及安全警示语。</w:t>
      </w:r>
    </w:p>
    <w:p w14:paraId="36873FED">
      <w:pPr>
        <w:pStyle w:val="2"/>
        <w:ind w:firstLine="560"/>
        <w:rPr>
          <w:rFonts w:ascii="宋体" w:hAnsi="宋体" w:eastAsia="宋体"/>
          <w:b w:val="0"/>
          <w:bCs/>
        </w:rPr>
      </w:pPr>
      <w:r>
        <w:rPr>
          <w:rFonts w:hint="eastAsia" w:ascii="宋体" w:hAnsi="宋体" w:eastAsia="宋体"/>
          <w:b w:val="0"/>
          <w:bCs/>
        </w:rPr>
        <w:t>4）库房入口处应设置安全标识牌。</w:t>
      </w:r>
    </w:p>
    <w:p w14:paraId="5BD25F0E">
      <w:pPr>
        <w:spacing w:line="360" w:lineRule="auto"/>
        <w:ind w:left="560" w:leftChars="200" w:hanging="140" w:hangingChars="50"/>
        <w:rPr>
          <w:rFonts w:asciiTheme="minorEastAsia" w:hAnsiTheme="minorEastAsia" w:eastAsiaTheme="minorEastAsia"/>
          <w:b w:val="0"/>
          <w:bCs/>
          <w:kern w:val="0"/>
          <w:sz w:val="24"/>
          <w:szCs w:val="28"/>
        </w:rPr>
      </w:pPr>
      <w:r>
        <w:rPr>
          <w:rFonts w:hint="eastAsia" w:ascii="宋体" w:hAnsi="宋体"/>
          <w:b w:val="0"/>
          <w:bCs/>
          <w:kern w:val="0"/>
          <w:sz w:val="28"/>
          <w:szCs w:val="20"/>
        </w:rPr>
        <w:t>安全标志牌样式按AQ4114-2011第5条图1规定制作（见下图）。</w:t>
      </w:r>
      <w:bookmarkStart w:id="148" w:name="_Toc280949549"/>
      <w:bookmarkStart w:id="149" w:name="_Toc266952677"/>
      <w:r>
        <w:rPr>
          <w:rFonts w:hint="eastAsia" w:asciiTheme="minorEastAsia" w:hAnsiTheme="minorEastAsia" w:eastAsiaTheme="minorEastAsia"/>
          <w:b w:val="0"/>
          <w:bCs/>
          <w:kern w:val="0"/>
          <w:sz w:val="24"/>
          <w:szCs w:val="28"/>
        </w:rPr>
        <w:t>建（构）筑物标志的基本内容和形状要求，如图1所示。</w:t>
      </w:r>
      <w:bookmarkEnd w:id="148"/>
      <w:bookmarkEnd w:id="149"/>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240"/>
        <w:gridCol w:w="2454"/>
        <w:gridCol w:w="1559"/>
      </w:tblGrid>
      <w:tr w14:paraId="0DDD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8" w:type="dxa"/>
            <w:vAlign w:val="center"/>
          </w:tcPr>
          <w:p w14:paraId="65C018C9">
            <w:pPr>
              <w:pStyle w:val="103"/>
              <w:ind w:firstLine="360"/>
              <w:rPr>
                <w:rFonts w:asciiTheme="minorEastAsia" w:hAnsiTheme="minorEastAsia" w:eastAsiaTheme="minorEastAsia"/>
                <w:bCs/>
                <w:sz w:val="18"/>
              </w:rPr>
            </w:pPr>
            <w:r>
              <w:rPr>
                <w:rFonts w:hint="eastAsia" w:asciiTheme="minorEastAsia" w:hAnsiTheme="minorEastAsia" w:eastAsiaTheme="minorEastAsia"/>
                <w:bCs/>
                <w:sz w:val="18"/>
              </w:rPr>
              <w:t>编      号</w:t>
            </w:r>
          </w:p>
        </w:tc>
        <w:tc>
          <w:tcPr>
            <w:tcW w:w="1240" w:type="dxa"/>
            <w:vAlign w:val="center"/>
          </w:tcPr>
          <w:p w14:paraId="094B7F30">
            <w:pPr>
              <w:pStyle w:val="103"/>
              <w:ind w:firstLine="360"/>
              <w:rPr>
                <w:rFonts w:asciiTheme="minorEastAsia" w:hAnsiTheme="minorEastAsia" w:eastAsiaTheme="minorEastAsia"/>
                <w:bCs/>
                <w:sz w:val="18"/>
              </w:rPr>
            </w:pPr>
          </w:p>
        </w:tc>
        <w:tc>
          <w:tcPr>
            <w:tcW w:w="2454" w:type="dxa"/>
            <w:vAlign w:val="center"/>
          </w:tcPr>
          <w:p w14:paraId="3B64E082">
            <w:pPr>
              <w:pStyle w:val="103"/>
              <w:ind w:firstLine="360"/>
              <w:rPr>
                <w:rFonts w:asciiTheme="minorEastAsia" w:hAnsiTheme="minorEastAsia" w:eastAsiaTheme="minorEastAsia"/>
                <w:bCs/>
                <w:sz w:val="18"/>
              </w:rPr>
            </w:pPr>
            <w:r>
              <w:rPr>
                <w:rFonts w:hint="eastAsia" w:asciiTheme="minorEastAsia" w:hAnsiTheme="minorEastAsia" w:eastAsiaTheme="minorEastAsia"/>
                <w:bCs/>
                <w:sz w:val="18"/>
              </w:rPr>
              <w:t>建（构）筑物用途名称</w:t>
            </w:r>
          </w:p>
        </w:tc>
        <w:tc>
          <w:tcPr>
            <w:tcW w:w="1559" w:type="dxa"/>
            <w:vAlign w:val="center"/>
          </w:tcPr>
          <w:p w14:paraId="6B88E7B1">
            <w:pPr>
              <w:pStyle w:val="103"/>
              <w:ind w:firstLine="360"/>
              <w:rPr>
                <w:rFonts w:asciiTheme="minorEastAsia" w:hAnsiTheme="minorEastAsia" w:eastAsiaTheme="minorEastAsia"/>
                <w:bCs/>
                <w:sz w:val="18"/>
              </w:rPr>
            </w:pPr>
          </w:p>
        </w:tc>
      </w:tr>
      <w:tr w14:paraId="60E4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8" w:type="dxa"/>
            <w:vAlign w:val="center"/>
          </w:tcPr>
          <w:p w14:paraId="44905ED6">
            <w:pPr>
              <w:pStyle w:val="103"/>
              <w:ind w:firstLine="360"/>
              <w:rPr>
                <w:rFonts w:asciiTheme="minorEastAsia" w:hAnsiTheme="minorEastAsia" w:eastAsiaTheme="minorEastAsia"/>
                <w:bCs/>
                <w:sz w:val="18"/>
              </w:rPr>
            </w:pPr>
            <w:r>
              <w:rPr>
                <w:rFonts w:hint="eastAsia" w:asciiTheme="minorEastAsia" w:hAnsiTheme="minorEastAsia" w:eastAsiaTheme="minorEastAsia"/>
                <w:bCs/>
                <w:sz w:val="18"/>
              </w:rPr>
              <w:t>面      积</w:t>
            </w:r>
          </w:p>
        </w:tc>
        <w:tc>
          <w:tcPr>
            <w:tcW w:w="1240" w:type="dxa"/>
            <w:vAlign w:val="center"/>
          </w:tcPr>
          <w:p w14:paraId="1351BFF4">
            <w:pPr>
              <w:pStyle w:val="103"/>
              <w:ind w:firstLine="360"/>
              <w:rPr>
                <w:rFonts w:asciiTheme="minorEastAsia" w:hAnsiTheme="minorEastAsia" w:eastAsiaTheme="minorEastAsia"/>
                <w:bCs/>
                <w:sz w:val="18"/>
              </w:rPr>
            </w:pPr>
          </w:p>
        </w:tc>
        <w:tc>
          <w:tcPr>
            <w:tcW w:w="2454" w:type="dxa"/>
            <w:vAlign w:val="center"/>
          </w:tcPr>
          <w:p w14:paraId="331C83DD">
            <w:pPr>
              <w:pStyle w:val="103"/>
              <w:ind w:firstLine="360"/>
              <w:rPr>
                <w:rFonts w:asciiTheme="minorEastAsia" w:hAnsiTheme="minorEastAsia" w:eastAsiaTheme="minorEastAsia"/>
                <w:bCs/>
                <w:sz w:val="18"/>
              </w:rPr>
            </w:pPr>
            <w:r>
              <w:rPr>
                <w:rFonts w:hint="eastAsia" w:asciiTheme="minorEastAsia" w:hAnsiTheme="minorEastAsia" w:eastAsiaTheme="minorEastAsia"/>
                <w:bCs/>
                <w:sz w:val="18"/>
              </w:rPr>
              <w:t>危险等级</w:t>
            </w:r>
          </w:p>
        </w:tc>
        <w:tc>
          <w:tcPr>
            <w:tcW w:w="1559" w:type="dxa"/>
            <w:vAlign w:val="center"/>
          </w:tcPr>
          <w:p w14:paraId="3804E2BD">
            <w:pPr>
              <w:pStyle w:val="103"/>
              <w:ind w:firstLine="360"/>
              <w:rPr>
                <w:rFonts w:asciiTheme="minorEastAsia" w:hAnsiTheme="minorEastAsia" w:eastAsiaTheme="minorEastAsia"/>
                <w:bCs/>
                <w:sz w:val="18"/>
              </w:rPr>
            </w:pPr>
          </w:p>
        </w:tc>
      </w:tr>
      <w:tr w14:paraId="14F5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8" w:type="dxa"/>
            <w:vAlign w:val="center"/>
          </w:tcPr>
          <w:p w14:paraId="3FCC7BDB">
            <w:pPr>
              <w:pStyle w:val="103"/>
              <w:ind w:firstLine="360"/>
              <w:rPr>
                <w:rFonts w:asciiTheme="minorEastAsia" w:hAnsiTheme="minorEastAsia" w:eastAsiaTheme="minorEastAsia"/>
                <w:bCs/>
                <w:sz w:val="18"/>
              </w:rPr>
            </w:pPr>
            <w:r>
              <w:rPr>
                <w:rFonts w:hint="eastAsia" w:asciiTheme="minorEastAsia" w:hAnsiTheme="minorEastAsia" w:eastAsiaTheme="minorEastAsia"/>
                <w:bCs/>
                <w:sz w:val="18"/>
              </w:rPr>
              <w:t>定（限）员</w:t>
            </w:r>
          </w:p>
        </w:tc>
        <w:tc>
          <w:tcPr>
            <w:tcW w:w="1240" w:type="dxa"/>
            <w:vAlign w:val="center"/>
          </w:tcPr>
          <w:p w14:paraId="37E463B7">
            <w:pPr>
              <w:pStyle w:val="103"/>
              <w:ind w:firstLine="360"/>
              <w:rPr>
                <w:rFonts w:asciiTheme="minorEastAsia" w:hAnsiTheme="minorEastAsia" w:eastAsiaTheme="minorEastAsia"/>
                <w:bCs/>
                <w:sz w:val="18"/>
              </w:rPr>
            </w:pPr>
          </w:p>
        </w:tc>
        <w:tc>
          <w:tcPr>
            <w:tcW w:w="2454" w:type="dxa"/>
            <w:vAlign w:val="center"/>
          </w:tcPr>
          <w:p w14:paraId="2DC1C0BD">
            <w:pPr>
              <w:pStyle w:val="103"/>
              <w:ind w:firstLine="360"/>
              <w:rPr>
                <w:rFonts w:asciiTheme="minorEastAsia" w:hAnsiTheme="minorEastAsia" w:eastAsiaTheme="minorEastAsia"/>
                <w:bCs/>
                <w:sz w:val="18"/>
              </w:rPr>
            </w:pPr>
            <w:r>
              <w:rPr>
                <w:rFonts w:hint="eastAsia" w:asciiTheme="minorEastAsia" w:hAnsiTheme="minorEastAsia" w:eastAsiaTheme="minorEastAsia"/>
                <w:bCs/>
                <w:sz w:val="18"/>
              </w:rPr>
              <w:t>定    量</w:t>
            </w:r>
          </w:p>
        </w:tc>
        <w:tc>
          <w:tcPr>
            <w:tcW w:w="1559" w:type="dxa"/>
            <w:vAlign w:val="center"/>
          </w:tcPr>
          <w:p w14:paraId="3FBEE02A">
            <w:pPr>
              <w:pStyle w:val="103"/>
              <w:ind w:firstLine="777" w:firstLineChars="432"/>
              <w:rPr>
                <w:rFonts w:asciiTheme="minorEastAsia" w:hAnsiTheme="minorEastAsia" w:eastAsiaTheme="minorEastAsia"/>
                <w:bCs/>
                <w:sz w:val="18"/>
              </w:rPr>
            </w:pPr>
            <w:r>
              <w:rPr>
                <w:rFonts w:hint="eastAsia" w:asciiTheme="minorEastAsia" w:hAnsiTheme="minorEastAsia" w:eastAsiaTheme="minorEastAsia"/>
                <w:bCs/>
                <w:sz w:val="18"/>
              </w:rPr>
              <w:t>kg</w:t>
            </w:r>
          </w:p>
        </w:tc>
      </w:tr>
      <w:tr w14:paraId="6561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8" w:type="dxa"/>
            <w:vAlign w:val="center"/>
          </w:tcPr>
          <w:p w14:paraId="1AFC38B7">
            <w:pPr>
              <w:pStyle w:val="103"/>
              <w:ind w:firstLine="360"/>
              <w:rPr>
                <w:rFonts w:asciiTheme="minorEastAsia" w:hAnsiTheme="minorEastAsia" w:eastAsiaTheme="minorEastAsia"/>
                <w:bCs/>
                <w:sz w:val="18"/>
              </w:rPr>
            </w:pPr>
            <w:r>
              <w:rPr>
                <w:rFonts w:hint="eastAsia" w:asciiTheme="minorEastAsia" w:hAnsiTheme="minorEastAsia" w:eastAsiaTheme="minorEastAsia"/>
                <w:bCs/>
                <w:sz w:val="18"/>
              </w:rPr>
              <w:t>安全责任人</w:t>
            </w:r>
          </w:p>
        </w:tc>
        <w:tc>
          <w:tcPr>
            <w:tcW w:w="5253" w:type="dxa"/>
            <w:gridSpan w:val="3"/>
            <w:vAlign w:val="center"/>
          </w:tcPr>
          <w:p w14:paraId="454E8D8F">
            <w:pPr>
              <w:pStyle w:val="103"/>
              <w:ind w:firstLine="360"/>
              <w:rPr>
                <w:rFonts w:asciiTheme="minorEastAsia" w:hAnsiTheme="minorEastAsia" w:eastAsiaTheme="minorEastAsia"/>
                <w:bCs/>
                <w:sz w:val="18"/>
              </w:rPr>
            </w:pPr>
          </w:p>
        </w:tc>
      </w:tr>
      <w:tr w14:paraId="083D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1" w:type="dxa"/>
            <w:gridSpan w:val="4"/>
            <w:vAlign w:val="center"/>
          </w:tcPr>
          <w:p w14:paraId="24F02BDB">
            <w:pPr>
              <w:pStyle w:val="476"/>
              <w:ind w:left="602" w:hanging="180"/>
              <w:rPr>
                <w:rFonts w:asciiTheme="minorEastAsia" w:hAnsiTheme="minorEastAsia" w:eastAsiaTheme="minorEastAsia"/>
                <w:bCs/>
              </w:rPr>
            </w:pPr>
            <w:r>
              <w:rPr>
                <w:rFonts w:hint="eastAsia" w:asciiTheme="minorEastAsia" w:hAnsiTheme="minorEastAsia" w:eastAsiaTheme="minorEastAsia"/>
                <w:bCs/>
              </w:rPr>
              <w:t>注：危险等级指1.1</w:t>
            </w:r>
            <w:r>
              <w:rPr>
                <w:rFonts w:hint="eastAsia" w:asciiTheme="minorEastAsia" w:hAnsiTheme="minorEastAsia" w:eastAsiaTheme="minorEastAsia"/>
                <w:bCs/>
                <w:vertAlign w:val="superscript"/>
              </w:rPr>
              <w:t>-1</w:t>
            </w:r>
            <w:r>
              <w:rPr>
                <w:rFonts w:hint="eastAsia" w:asciiTheme="minorEastAsia" w:hAnsiTheme="minorEastAsia" w:eastAsiaTheme="minorEastAsia"/>
                <w:bCs/>
              </w:rPr>
              <w:t>级、1.1</w:t>
            </w:r>
            <w:r>
              <w:rPr>
                <w:rFonts w:hint="eastAsia" w:asciiTheme="minorEastAsia" w:hAnsiTheme="minorEastAsia" w:eastAsiaTheme="minorEastAsia"/>
                <w:bCs/>
                <w:vertAlign w:val="superscript"/>
              </w:rPr>
              <w:t>-2</w:t>
            </w:r>
            <w:r>
              <w:rPr>
                <w:rFonts w:hint="eastAsia" w:asciiTheme="minorEastAsia" w:hAnsiTheme="minorEastAsia" w:eastAsiaTheme="minorEastAsia"/>
                <w:bCs/>
              </w:rPr>
              <w:t>级、1.3级、非危险。</w:t>
            </w:r>
          </w:p>
        </w:tc>
      </w:tr>
    </w:tbl>
    <w:p w14:paraId="1A7E7534">
      <w:pPr>
        <w:pStyle w:val="349"/>
        <w:spacing w:before="120" w:after="120" w:line="360" w:lineRule="auto"/>
        <w:ind w:left="0" w:firstLine="0"/>
        <w:rPr>
          <w:rFonts w:asciiTheme="minorEastAsia" w:hAnsiTheme="minorEastAsia" w:eastAsiaTheme="minorEastAsia"/>
          <w:bCs/>
        </w:rPr>
      </w:pPr>
      <w:r>
        <w:rPr>
          <w:rFonts w:hint="eastAsia" w:asciiTheme="minorEastAsia" w:hAnsiTheme="minorEastAsia" w:eastAsiaTheme="minorEastAsia"/>
          <w:bCs/>
        </w:rPr>
        <w:t>图1  建（构）筑物标志的基本内容</w:t>
      </w:r>
    </w:p>
    <w:p w14:paraId="05FE444E">
      <w:pPr>
        <w:pStyle w:val="475"/>
        <w:spacing w:line="360" w:lineRule="auto"/>
        <w:outlineLvl w:val="9"/>
        <w:rPr>
          <w:rFonts w:asciiTheme="minorEastAsia" w:hAnsiTheme="minorEastAsia" w:eastAsiaTheme="minorEastAsia"/>
          <w:bCs/>
        </w:rPr>
      </w:pPr>
      <w:bookmarkStart w:id="150" w:name="_Toc266952678"/>
      <w:bookmarkStart w:id="151" w:name="_Toc280949550"/>
      <w:r>
        <w:rPr>
          <w:rFonts w:hint="eastAsia" w:asciiTheme="minorEastAsia" w:hAnsiTheme="minorEastAsia" w:eastAsiaTheme="minorEastAsia"/>
          <w:bCs/>
        </w:rPr>
        <w:t>附：安全标志牌制作说明。</w:t>
      </w:r>
    </w:p>
    <w:p w14:paraId="39BBAED0">
      <w:pPr>
        <w:pStyle w:val="475"/>
        <w:spacing w:line="360" w:lineRule="auto"/>
        <w:outlineLvl w:val="9"/>
        <w:rPr>
          <w:rFonts w:asciiTheme="minorEastAsia" w:hAnsiTheme="minorEastAsia" w:eastAsiaTheme="minorEastAsia"/>
          <w:bCs/>
        </w:rPr>
      </w:pPr>
      <w:r>
        <w:rPr>
          <w:rFonts w:hint="eastAsia" w:asciiTheme="minorEastAsia" w:hAnsiTheme="minorEastAsia" w:eastAsiaTheme="minorEastAsia"/>
          <w:bCs/>
        </w:rPr>
        <w:t>建（构）筑物标志的颜色为白底、红框、黑字、85磅～100磅字体。</w:t>
      </w:r>
      <w:bookmarkEnd w:id="150"/>
      <w:bookmarkEnd w:id="151"/>
    </w:p>
    <w:p w14:paraId="77152CE9">
      <w:pPr>
        <w:pStyle w:val="475"/>
        <w:spacing w:line="360" w:lineRule="auto"/>
        <w:outlineLvl w:val="9"/>
        <w:rPr>
          <w:rFonts w:asciiTheme="minorEastAsia" w:hAnsiTheme="minorEastAsia" w:eastAsiaTheme="minorEastAsia"/>
          <w:bCs/>
        </w:rPr>
      </w:pPr>
      <w:bookmarkStart w:id="152" w:name="_Toc266952679"/>
      <w:bookmarkStart w:id="153" w:name="_Toc280949551"/>
      <w:r>
        <w:rPr>
          <w:rFonts w:hint="eastAsia" w:asciiTheme="minorEastAsia" w:hAnsiTheme="minorEastAsia" w:eastAsiaTheme="minorEastAsia"/>
          <w:bCs/>
        </w:rPr>
        <w:t>建（构）筑物标志的基本尺寸。长度：70</w:t>
      </w:r>
      <w:r>
        <w:rPr>
          <w:rFonts w:hint="eastAsia" w:ascii="MS Mincho" w:hAnsi="MS Mincho" w:eastAsia="MS Mincho" w:cs="MS Mincho"/>
          <w:bCs/>
        </w:rPr>
        <w:t> </w:t>
      </w:r>
      <w:r>
        <w:rPr>
          <w:rFonts w:hint="eastAsia" w:asciiTheme="minorEastAsia" w:hAnsiTheme="minorEastAsia" w:eastAsiaTheme="minorEastAsia"/>
          <w:bCs/>
        </w:rPr>
        <w:t>cm；宽度：50</w:t>
      </w:r>
      <w:r>
        <w:rPr>
          <w:rFonts w:hint="eastAsia" w:ascii="MS Mincho" w:hAnsi="MS Mincho" w:eastAsia="MS Mincho" w:cs="MS Mincho"/>
          <w:bCs/>
        </w:rPr>
        <w:t> </w:t>
      </w:r>
      <w:r>
        <w:rPr>
          <w:rFonts w:hint="eastAsia" w:asciiTheme="minorEastAsia" w:hAnsiTheme="minorEastAsia" w:eastAsiaTheme="minorEastAsia"/>
          <w:bCs/>
        </w:rPr>
        <w:t>cm；边宽宽度：2.5</w:t>
      </w:r>
      <w:r>
        <w:rPr>
          <w:rFonts w:hint="eastAsia" w:ascii="MS Mincho" w:hAnsi="MS Mincho" w:eastAsia="MS Mincho" w:cs="MS Mincho"/>
          <w:bCs/>
        </w:rPr>
        <w:t> </w:t>
      </w:r>
      <w:r>
        <w:rPr>
          <w:rFonts w:hint="eastAsia" w:asciiTheme="minorEastAsia" w:hAnsiTheme="minorEastAsia" w:eastAsiaTheme="minorEastAsia"/>
          <w:bCs/>
        </w:rPr>
        <w:t>cm。</w:t>
      </w:r>
      <w:bookmarkEnd w:id="152"/>
      <w:bookmarkEnd w:id="153"/>
    </w:p>
    <w:p w14:paraId="332F4F84">
      <w:pPr>
        <w:spacing w:line="360" w:lineRule="auto"/>
        <w:rPr>
          <w:rFonts w:asciiTheme="minorEastAsia" w:hAnsiTheme="minorEastAsia" w:eastAsiaTheme="minorEastAsia"/>
          <w:b w:val="0"/>
          <w:bCs/>
          <w:sz w:val="28"/>
        </w:rPr>
      </w:pPr>
      <w:bookmarkStart w:id="154" w:name="_Toc280949552"/>
      <w:bookmarkStart w:id="155" w:name="_Toc266952680"/>
      <w:r>
        <w:rPr>
          <w:rFonts w:hint="eastAsia" w:asciiTheme="minorEastAsia" w:hAnsiTheme="minorEastAsia" w:eastAsiaTheme="minorEastAsia"/>
          <w:b w:val="0"/>
          <w:bCs/>
        </w:rPr>
        <w:t>建（构）筑物标志设置位置：面向正通道，不低于1.5</w:t>
      </w:r>
      <w:r>
        <w:rPr>
          <w:rFonts w:hint="eastAsia" w:ascii="MS Mincho" w:hAnsi="MS Mincho" w:eastAsia="MS Mincho" w:cs="MS Mincho"/>
          <w:b w:val="0"/>
          <w:bCs/>
        </w:rPr>
        <w:t> </w:t>
      </w:r>
      <w:r>
        <w:rPr>
          <w:rFonts w:hint="eastAsia" w:asciiTheme="minorEastAsia" w:hAnsiTheme="minorEastAsia" w:eastAsiaTheme="minorEastAsia"/>
          <w:b w:val="0"/>
          <w:bCs/>
        </w:rPr>
        <w:t>m，不高于3</w:t>
      </w:r>
      <w:r>
        <w:rPr>
          <w:rFonts w:hint="eastAsia" w:ascii="MS Mincho" w:hAnsi="MS Mincho" w:eastAsia="MS Mincho" w:cs="MS Mincho"/>
          <w:b w:val="0"/>
          <w:bCs/>
        </w:rPr>
        <w:t> </w:t>
      </w:r>
      <w:r>
        <w:rPr>
          <w:rFonts w:hint="eastAsia" w:asciiTheme="minorEastAsia" w:hAnsiTheme="minorEastAsia" w:eastAsiaTheme="minorEastAsia"/>
          <w:b w:val="0"/>
          <w:bCs/>
        </w:rPr>
        <w:t>m，并要醒目。</w:t>
      </w:r>
      <w:bookmarkEnd w:id="154"/>
      <w:bookmarkEnd w:id="155"/>
    </w:p>
    <w:p w14:paraId="29205CD7">
      <w:pPr>
        <w:keepNext/>
        <w:snapToGrid w:val="0"/>
        <w:spacing w:before="120" w:beforeLines="50" w:after="120" w:afterLines="50" w:line="360" w:lineRule="auto"/>
        <w:outlineLvl w:val="1"/>
        <w:rPr>
          <w:rFonts w:ascii="黑体" w:hAnsi="黑体" w:eastAsia="黑体" w:cs="楷体"/>
          <w:b w:val="0"/>
          <w:sz w:val="30"/>
          <w:szCs w:val="30"/>
        </w:rPr>
      </w:pPr>
      <w:bookmarkStart w:id="156" w:name="_Toc205979633"/>
      <w:r>
        <w:rPr>
          <w:rFonts w:hint="eastAsia" w:ascii="黑体" w:hAnsi="黑体" w:eastAsia="黑体" w:cs="楷体"/>
          <w:b w:val="0"/>
          <w:sz w:val="30"/>
          <w:szCs w:val="30"/>
        </w:rPr>
        <w:t>2.14安全责任险</w:t>
      </w:r>
      <w:bookmarkEnd w:id="156"/>
    </w:p>
    <w:p w14:paraId="56A3B28F">
      <w:pPr>
        <w:spacing w:line="360" w:lineRule="auto"/>
        <w:ind w:firstLine="560" w:firstLineChars="200"/>
        <w:jc w:val="left"/>
        <w:rPr>
          <w:rFonts w:ascii="宋体" w:hAnsi="宋体" w:cs="宋体"/>
          <w:b w:val="0"/>
          <w:sz w:val="28"/>
          <w:szCs w:val="28"/>
        </w:rPr>
      </w:pPr>
      <w:r>
        <w:rPr>
          <w:rFonts w:hint="eastAsia" w:ascii="宋体" w:hAnsi="宋体" w:cs="宋体"/>
          <w:b w:val="0"/>
          <w:sz w:val="28"/>
          <w:szCs w:val="28"/>
        </w:rPr>
        <w:t>本项目应为全体员工购买工伤保险。</w:t>
      </w:r>
    </w:p>
    <w:bookmarkEnd w:id="122"/>
    <w:bookmarkEnd w:id="123"/>
    <w:bookmarkEnd w:id="124"/>
    <w:bookmarkEnd w:id="125"/>
    <w:p w14:paraId="0495BF4D">
      <w:pPr>
        <w:keepNext/>
        <w:snapToGrid w:val="0"/>
        <w:spacing w:before="120" w:beforeLines="50" w:after="120" w:afterLines="50" w:line="360" w:lineRule="auto"/>
        <w:outlineLvl w:val="1"/>
        <w:rPr>
          <w:rFonts w:ascii="黑体" w:hAnsi="黑体" w:eastAsia="黑体" w:cs="楷体"/>
          <w:b w:val="0"/>
          <w:sz w:val="30"/>
          <w:szCs w:val="30"/>
        </w:rPr>
      </w:pPr>
      <w:bookmarkStart w:id="157" w:name="_Toc205979634"/>
      <w:bookmarkStart w:id="158" w:name="_Toc300329585"/>
      <w:bookmarkStart w:id="159" w:name="_Toc300256210"/>
      <w:bookmarkStart w:id="160" w:name="_Toc300344407"/>
      <w:bookmarkStart w:id="161" w:name="_Toc278054199"/>
      <w:r>
        <w:rPr>
          <w:rFonts w:hint="eastAsia" w:ascii="黑体" w:hAnsi="黑体" w:eastAsia="黑体" w:cs="楷体"/>
          <w:b w:val="0"/>
          <w:sz w:val="30"/>
          <w:szCs w:val="30"/>
        </w:rPr>
        <w:t>2.15道路</w:t>
      </w:r>
      <w:bookmarkEnd w:id="157"/>
      <w:bookmarkEnd w:id="158"/>
      <w:bookmarkEnd w:id="159"/>
      <w:bookmarkEnd w:id="160"/>
      <w:bookmarkEnd w:id="161"/>
    </w:p>
    <w:p w14:paraId="74A4193D">
      <w:pPr>
        <w:autoSpaceDE w:val="0"/>
        <w:autoSpaceDN w:val="0"/>
        <w:adjustRightInd w:val="0"/>
        <w:snapToGrid w:val="0"/>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库区内的运输设备主要为烟花爆竹专用汽车，出入库房内为手推车。专用汽车由公司自行调配。库区内车行道应采用现浇混凝土道路，道路宽不小于</w:t>
      </w:r>
      <w:r>
        <w:rPr>
          <w:rFonts w:hint="eastAsia" w:ascii="宋体" w:hAnsi="宋体" w:cs="宋体"/>
          <w:b w:val="0"/>
          <w:sz w:val="28"/>
          <w:szCs w:val="28"/>
        </w:rPr>
        <w:t>4m</w:t>
      </w:r>
      <w:r>
        <w:rPr>
          <w:rFonts w:hint="eastAsia" w:ascii="宋体" w:hAnsi="宋体" w:cs="宋体"/>
          <w:b w:val="0"/>
          <w:sz w:val="28"/>
          <w:szCs w:val="28"/>
          <w:lang w:val="zh-CN"/>
        </w:rPr>
        <w:t>。手推车主要运输烟花爆竹整箱成品上下车用，手推车道（装卸平台）室外宽</w:t>
      </w:r>
      <w:r>
        <w:rPr>
          <w:rFonts w:hint="eastAsia" w:ascii="宋体" w:hAnsi="宋体" w:cs="宋体"/>
          <w:b w:val="0"/>
          <w:sz w:val="28"/>
          <w:szCs w:val="28"/>
        </w:rPr>
        <w:t>2.5m，高于周围地表面0.80m，应满足运输车辆装卸货物要求，便于装卸。</w:t>
      </w:r>
      <w:r>
        <w:rPr>
          <w:rFonts w:hint="eastAsia" w:ascii="宋体" w:hAnsi="宋体" w:cs="宋体"/>
          <w:b w:val="0"/>
          <w:sz w:val="28"/>
          <w:szCs w:val="28"/>
          <w:lang w:val="zh-CN"/>
        </w:rPr>
        <w:t>运输危险品的车行道路纵坡小于</w:t>
      </w:r>
      <w:r>
        <w:rPr>
          <w:rFonts w:hint="eastAsia" w:ascii="宋体" w:hAnsi="宋体" w:cs="宋体"/>
          <w:b w:val="0"/>
          <w:sz w:val="28"/>
          <w:szCs w:val="28"/>
        </w:rPr>
        <w:t>6%</w:t>
      </w:r>
      <w:r>
        <w:rPr>
          <w:rFonts w:hint="eastAsia" w:ascii="宋体" w:hAnsi="宋体" w:cs="宋体"/>
          <w:b w:val="0"/>
          <w:sz w:val="28"/>
          <w:szCs w:val="28"/>
          <w:lang w:val="zh-CN"/>
        </w:rPr>
        <w:t>。</w:t>
      </w:r>
    </w:p>
    <w:p w14:paraId="6B5DB787">
      <w:pPr>
        <w:keepNext/>
        <w:snapToGrid w:val="0"/>
        <w:spacing w:before="120" w:beforeLines="50" w:after="120" w:afterLines="50" w:line="360" w:lineRule="auto"/>
        <w:outlineLvl w:val="1"/>
        <w:rPr>
          <w:rFonts w:ascii="黑体" w:hAnsi="黑体" w:eastAsia="黑体" w:cs="楷体"/>
          <w:b w:val="0"/>
          <w:sz w:val="30"/>
          <w:szCs w:val="30"/>
        </w:rPr>
      </w:pPr>
      <w:bookmarkStart w:id="162" w:name="_Toc278054200"/>
      <w:bookmarkStart w:id="163" w:name="_Toc205979635"/>
      <w:bookmarkStart w:id="164" w:name="_Toc300329586"/>
      <w:bookmarkStart w:id="165" w:name="_Toc300344408"/>
      <w:bookmarkStart w:id="166" w:name="_Toc300256211"/>
      <w:r>
        <w:rPr>
          <w:rFonts w:hint="eastAsia" w:ascii="黑体" w:hAnsi="黑体" w:eastAsia="黑体" w:cs="楷体"/>
          <w:b w:val="0"/>
          <w:sz w:val="30"/>
          <w:szCs w:val="30"/>
        </w:rPr>
        <w:t>2.16通风、防潮设施</w:t>
      </w:r>
      <w:bookmarkEnd w:id="162"/>
      <w:bookmarkEnd w:id="163"/>
      <w:bookmarkEnd w:id="164"/>
      <w:bookmarkEnd w:id="165"/>
      <w:bookmarkEnd w:id="166"/>
    </w:p>
    <w:p w14:paraId="138FFF27">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szCs w:val="28"/>
        </w:rPr>
        <w:t>拟</w:t>
      </w:r>
      <w:r>
        <w:rPr>
          <w:rFonts w:hint="eastAsia" w:ascii="宋体" w:hAnsi="宋体" w:cs="宋体"/>
          <w:b w:val="0"/>
          <w:sz w:val="28"/>
        </w:rPr>
        <w:t>新建的烟花爆竹仓库基础抬高地面进行防潮处理，仓库地面为水泥地面；仓库上部均设置配金属网的通风窗，勒脚处设铁栅栏的通风口，防止小动物进入。</w:t>
      </w:r>
    </w:p>
    <w:p w14:paraId="3BB2C4A9">
      <w:pPr>
        <w:keepNext/>
        <w:snapToGrid w:val="0"/>
        <w:spacing w:before="120" w:beforeLines="50" w:after="120" w:afterLines="50" w:line="360" w:lineRule="auto"/>
        <w:outlineLvl w:val="1"/>
        <w:rPr>
          <w:rFonts w:ascii="黑体" w:hAnsi="黑体" w:eastAsia="黑体" w:cs="楷体"/>
          <w:b w:val="0"/>
          <w:sz w:val="30"/>
          <w:szCs w:val="30"/>
        </w:rPr>
      </w:pPr>
      <w:bookmarkStart w:id="167" w:name="_Toc278054201"/>
      <w:bookmarkStart w:id="168" w:name="_Toc205979636"/>
      <w:bookmarkStart w:id="169" w:name="_Toc300256212"/>
      <w:bookmarkStart w:id="170" w:name="_Toc300344409"/>
      <w:bookmarkStart w:id="171" w:name="_Toc300329587"/>
      <w:r>
        <w:rPr>
          <w:rFonts w:hint="eastAsia" w:ascii="黑体" w:hAnsi="黑体" w:eastAsia="黑体" w:cs="楷体"/>
          <w:b w:val="0"/>
          <w:sz w:val="30"/>
          <w:szCs w:val="30"/>
        </w:rPr>
        <w:t>2.17通信设施</w:t>
      </w:r>
      <w:bookmarkEnd w:id="167"/>
      <w:bookmarkEnd w:id="168"/>
      <w:bookmarkEnd w:id="169"/>
      <w:bookmarkEnd w:id="170"/>
      <w:bookmarkEnd w:id="171"/>
    </w:p>
    <w:p w14:paraId="7805FB12">
      <w:pPr>
        <w:adjustRightInd w:val="0"/>
        <w:snapToGrid w:val="0"/>
        <w:spacing w:line="360" w:lineRule="auto"/>
        <w:ind w:firstLine="560" w:firstLineChars="200"/>
        <w:rPr>
          <w:rFonts w:ascii="Arial" w:hAnsi="宋体" w:cs="Arial"/>
          <w:b w:val="0"/>
          <w:sz w:val="28"/>
        </w:rPr>
      </w:pPr>
      <w:bookmarkStart w:id="172" w:name="_Toc205979637"/>
      <w:r>
        <w:rPr>
          <w:rFonts w:hint="eastAsia" w:ascii="Arial" w:hAnsi="宋体" w:cs="Arial"/>
          <w:b w:val="0"/>
          <w:sz w:val="28"/>
        </w:rPr>
        <w:t>库区报警值班室内应设置有固定电话，值班人员通过固定电话以及手机进行通讯联系。</w:t>
      </w:r>
    </w:p>
    <w:p w14:paraId="291E815F">
      <w:pPr>
        <w:keepNext/>
        <w:snapToGrid w:val="0"/>
        <w:spacing w:before="120" w:beforeLines="50" w:after="120" w:afterLines="50" w:line="360" w:lineRule="auto"/>
        <w:outlineLvl w:val="1"/>
        <w:rPr>
          <w:rFonts w:ascii="黑体" w:hAnsi="黑体" w:eastAsia="黑体" w:cs="楷体"/>
          <w:b w:val="0"/>
          <w:sz w:val="30"/>
          <w:szCs w:val="30"/>
        </w:rPr>
      </w:pPr>
      <w:r>
        <w:rPr>
          <w:rFonts w:hint="eastAsia" w:ascii="黑体" w:hAnsi="黑体" w:eastAsia="黑体" w:cs="楷体"/>
          <w:b w:val="0"/>
          <w:sz w:val="30"/>
          <w:szCs w:val="30"/>
        </w:rPr>
        <w:t>2.18环保措施</w:t>
      </w:r>
      <w:bookmarkEnd w:id="172"/>
    </w:p>
    <w:p w14:paraId="543C7456">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施工期主要污染物及污染源</w:t>
      </w:r>
    </w:p>
    <w:p w14:paraId="6FA96BA4">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本项目施工期间的主要活动为库房和其他设施的建造、建筑材料的运输、设备安装和调试等，对环境的影响主要为粉尘、噪声以及废水和固废等污染物。</w:t>
      </w:r>
    </w:p>
    <w:p w14:paraId="15A70E28">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1）噪声环境影响分析</w:t>
      </w:r>
    </w:p>
    <w:p w14:paraId="406ECC53">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施工期间噪声源主要来自挖掘机、搅拌机、电机及运土卡车等机械设施。对声环境的影响一般在施工现场100m距离以内，施工结束，影响停止，建设单位应严格控制施工时间在6:00～22:00，其余时间不得进行施工。</w:t>
      </w:r>
    </w:p>
    <w:p w14:paraId="38AF48E2">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2）粉尘环境影响分析</w:t>
      </w:r>
    </w:p>
    <w:p w14:paraId="71BAD9B7">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施工期间产生的粉尘主要为：物料装卸和运输、场地土石方开挖和运输、搅拌等过程中产生的粉尘；物料运输引起的道路扬尘；物料堆放期间因空气流动的二次扬尘。</w:t>
      </w:r>
    </w:p>
    <w:p w14:paraId="6596E363">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3）废水</w:t>
      </w:r>
    </w:p>
    <w:p w14:paraId="4E8F45B1">
      <w:pPr>
        <w:widowControl/>
        <w:overflowPunct w:val="0"/>
        <w:autoSpaceDE w:val="0"/>
        <w:autoSpaceDN w:val="0"/>
        <w:adjustRightInd w:val="0"/>
        <w:spacing w:line="360" w:lineRule="auto"/>
        <w:ind w:firstLine="560" w:firstLineChars="200"/>
        <w:textAlignment w:val="baseline"/>
        <w:rPr>
          <w:rFonts w:ascii="宋体" w:hAnsi="宋体" w:cs="宋体"/>
          <w:b w:val="0"/>
          <w:kern w:val="0"/>
          <w:sz w:val="28"/>
          <w:szCs w:val="28"/>
          <w:lang w:val="en-GB"/>
        </w:rPr>
      </w:pPr>
      <w:r>
        <w:rPr>
          <w:rFonts w:hint="eastAsia" w:ascii="宋体" w:hAnsi="宋体" w:cs="宋体"/>
          <w:b w:val="0"/>
          <w:kern w:val="0"/>
          <w:sz w:val="28"/>
          <w:szCs w:val="28"/>
          <w:lang w:val="en-GB"/>
        </w:rPr>
        <w:t>施工期间产生用水主要是混凝土搅拌及路面、土方喷洒等，废水量很小；施工机械跑、冒、滴、漏产生的油污及露天机械被雨水冲刷后产生少量的含油污水；施工人员居住区产生的生活污水。</w:t>
      </w:r>
    </w:p>
    <w:p w14:paraId="62805C8E">
      <w:pPr>
        <w:widowControl/>
        <w:tabs>
          <w:tab w:val="left" w:pos="900"/>
          <w:tab w:val="left" w:pos="1820"/>
        </w:tabs>
        <w:overflowPunct w:val="0"/>
        <w:autoSpaceDE w:val="0"/>
        <w:autoSpaceDN w:val="0"/>
        <w:adjustRightInd w:val="0"/>
        <w:spacing w:line="360" w:lineRule="auto"/>
        <w:ind w:firstLine="560" w:firstLineChars="200"/>
        <w:textAlignment w:val="baseline"/>
        <w:rPr>
          <w:rFonts w:ascii="宋体" w:hAnsi="宋体" w:cs="宋体"/>
          <w:b w:val="0"/>
          <w:kern w:val="0"/>
          <w:sz w:val="28"/>
          <w:szCs w:val="28"/>
          <w:lang w:val="en-GB"/>
        </w:rPr>
      </w:pPr>
      <w:r>
        <w:rPr>
          <w:rFonts w:hint="eastAsia" w:ascii="宋体" w:hAnsi="宋体" w:cs="宋体"/>
          <w:b w:val="0"/>
          <w:kern w:val="0"/>
          <w:sz w:val="28"/>
          <w:szCs w:val="28"/>
          <w:lang w:val="en-GB"/>
        </w:rPr>
        <w:t>4）固体废物</w:t>
      </w:r>
    </w:p>
    <w:p w14:paraId="19EE487F">
      <w:pPr>
        <w:widowControl/>
        <w:overflowPunct w:val="0"/>
        <w:autoSpaceDE w:val="0"/>
        <w:autoSpaceDN w:val="0"/>
        <w:adjustRightInd w:val="0"/>
        <w:spacing w:line="360" w:lineRule="auto"/>
        <w:ind w:firstLine="560" w:firstLineChars="200"/>
        <w:textAlignment w:val="baseline"/>
        <w:rPr>
          <w:rFonts w:ascii="宋体" w:hAnsi="宋体" w:cs="宋体"/>
          <w:b w:val="0"/>
          <w:kern w:val="0"/>
          <w:sz w:val="28"/>
          <w:szCs w:val="28"/>
          <w:lang w:val="en-GB"/>
        </w:rPr>
      </w:pPr>
      <w:r>
        <w:rPr>
          <w:rFonts w:hint="eastAsia" w:ascii="宋体" w:hAnsi="宋体" w:cs="宋体"/>
          <w:b w:val="0"/>
          <w:kern w:val="0"/>
          <w:sz w:val="28"/>
          <w:szCs w:val="28"/>
          <w:lang w:val="en-GB"/>
        </w:rPr>
        <w:t>施工期产生的固体废物主要为生产垃圾以及少量的生活垃圾。生产垃圾及主要是建筑施工垃圾、安装工程的金属废料；生活垃圾主要是施工人员的日常生活废物。</w:t>
      </w:r>
    </w:p>
    <w:p w14:paraId="09ABC7EF">
      <w:pPr>
        <w:keepNext/>
        <w:snapToGrid w:val="0"/>
        <w:spacing w:before="120" w:beforeLines="50" w:after="120" w:afterLines="50" w:line="360" w:lineRule="auto"/>
        <w:outlineLvl w:val="1"/>
        <w:rPr>
          <w:rFonts w:ascii="黑体" w:hAnsi="黑体" w:eastAsia="黑体" w:cs="楷体"/>
          <w:b w:val="0"/>
          <w:sz w:val="30"/>
          <w:szCs w:val="30"/>
        </w:rPr>
      </w:pPr>
      <w:bookmarkStart w:id="173" w:name="_Toc440906211"/>
      <w:bookmarkStart w:id="174" w:name="_Toc165038798"/>
      <w:r>
        <w:rPr>
          <w:rFonts w:hint="eastAsia" w:ascii="黑体" w:hAnsi="黑体" w:eastAsia="黑体" w:cs="楷体"/>
          <w:b w:val="0"/>
          <w:sz w:val="30"/>
          <w:szCs w:val="30"/>
        </w:rPr>
        <w:t>2.19安全专项投入估算</w:t>
      </w:r>
      <w:bookmarkEnd w:id="173"/>
      <w:r>
        <w:rPr>
          <w:rFonts w:hint="eastAsia" w:ascii="黑体" w:hAnsi="黑体" w:eastAsia="黑体" w:cs="楷体"/>
          <w:b w:val="0"/>
          <w:sz w:val="30"/>
          <w:szCs w:val="30"/>
        </w:rPr>
        <w:t>和安全生产费用提取</w:t>
      </w:r>
      <w:bookmarkEnd w:id="174"/>
    </w:p>
    <w:p w14:paraId="3156260A">
      <w:pPr>
        <w:spacing w:line="360" w:lineRule="auto"/>
        <w:ind w:firstLine="560" w:firstLineChars="200"/>
        <w:rPr>
          <w:rFonts w:ascii="Arial" w:hAnsi="Times New Roman" w:cs="Arial"/>
          <w:b w:val="0"/>
          <w:sz w:val="28"/>
          <w:szCs w:val="28"/>
          <w:lang w:val="zh-CN"/>
        </w:rPr>
      </w:pPr>
      <w:r>
        <w:rPr>
          <w:rFonts w:hint="eastAsia" w:ascii="宋体" w:hAnsi="宋体" w:cs="宋体"/>
          <w:b w:val="0"/>
          <w:sz w:val="28"/>
          <w:szCs w:val="28"/>
          <w:lang w:val="zh-CN"/>
        </w:rPr>
        <w:t>建设项目确定的投资概算为</w:t>
      </w:r>
      <w:r>
        <w:rPr>
          <w:rFonts w:ascii="宋体" w:hAnsi="宋体" w:cs="宋体"/>
          <w:b w:val="0"/>
          <w:sz w:val="28"/>
          <w:szCs w:val="28"/>
        </w:rPr>
        <w:t>2000</w:t>
      </w:r>
      <w:r>
        <w:rPr>
          <w:rFonts w:hint="eastAsia" w:ascii="宋体" w:hAnsi="宋体" w:cs="宋体"/>
          <w:b w:val="0"/>
          <w:sz w:val="28"/>
          <w:szCs w:val="28"/>
          <w:lang w:val="zh-CN"/>
        </w:rPr>
        <w:t>万元，其安全设施投资概算费用构成见下表</w:t>
      </w:r>
      <w:r>
        <w:rPr>
          <w:rFonts w:ascii="Arial" w:hAnsi="Times New Roman" w:cs="Arial"/>
          <w:b w:val="0"/>
          <w:sz w:val="28"/>
          <w:szCs w:val="28"/>
          <w:lang w:val="zh-CN"/>
        </w:rPr>
        <w:t>：</w:t>
      </w:r>
    </w:p>
    <w:p w14:paraId="5C7185C9">
      <w:pPr>
        <w:jc w:val="center"/>
        <w:rPr>
          <w:rFonts w:ascii="黑体" w:hAnsi="黑体" w:eastAsia="黑体" w:cs="Arial"/>
          <w:b w:val="0"/>
          <w:sz w:val="24"/>
        </w:rPr>
      </w:pPr>
      <w:r>
        <w:rPr>
          <w:rFonts w:hint="eastAsia" w:ascii="黑体" w:hAnsi="黑体" w:eastAsia="黑体" w:cs="Arial"/>
          <w:b w:val="0"/>
          <w:sz w:val="24"/>
        </w:rPr>
        <w:t>表2.19-1  项目安全设施投资概算一览表</w:t>
      </w:r>
    </w:p>
    <w:tbl>
      <w:tblPr>
        <w:tblStyle w:val="49"/>
        <w:tblW w:w="88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255"/>
        <w:gridCol w:w="2552"/>
        <w:gridCol w:w="2835"/>
        <w:gridCol w:w="1559"/>
      </w:tblGrid>
      <w:tr w14:paraId="38BF2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696" w:type="dxa"/>
            <w:vAlign w:val="center"/>
          </w:tcPr>
          <w:p w14:paraId="106F0E4B">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序号</w:t>
            </w:r>
          </w:p>
        </w:tc>
        <w:tc>
          <w:tcPr>
            <w:tcW w:w="1255" w:type="dxa"/>
            <w:vAlign w:val="center"/>
          </w:tcPr>
          <w:p w14:paraId="6396171C">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安全设施分类</w:t>
            </w:r>
          </w:p>
        </w:tc>
        <w:tc>
          <w:tcPr>
            <w:tcW w:w="2552" w:type="dxa"/>
            <w:vAlign w:val="center"/>
          </w:tcPr>
          <w:p w14:paraId="20212AE3">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安全设施和措施</w:t>
            </w:r>
          </w:p>
        </w:tc>
        <w:tc>
          <w:tcPr>
            <w:tcW w:w="2835" w:type="dxa"/>
            <w:vAlign w:val="center"/>
          </w:tcPr>
          <w:p w14:paraId="36463B0E">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名称</w:t>
            </w:r>
          </w:p>
        </w:tc>
        <w:tc>
          <w:tcPr>
            <w:tcW w:w="1559" w:type="dxa"/>
            <w:vAlign w:val="center"/>
          </w:tcPr>
          <w:p w14:paraId="5F8FAD14">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费用（万元）</w:t>
            </w:r>
          </w:p>
        </w:tc>
      </w:tr>
      <w:tr w14:paraId="368BB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restart"/>
            <w:vAlign w:val="center"/>
          </w:tcPr>
          <w:p w14:paraId="2DBF3215">
            <w:pPr>
              <w:jc w:val="center"/>
              <w:rPr>
                <w:rFonts w:ascii="宋体" w:hAnsi="宋体"/>
                <w:b w:val="0"/>
                <w:szCs w:val="21"/>
              </w:rPr>
            </w:pPr>
            <w:r>
              <w:rPr>
                <w:rFonts w:hint="eastAsia" w:ascii="宋体" w:hAnsi="宋体"/>
                <w:b w:val="0"/>
                <w:szCs w:val="21"/>
              </w:rPr>
              <w:t>1</w:t>
            </w:r>
          </w:p>
        </w:tc>
        <w:tc>
          <w:tcPr>
            <w:tcW w:w="1255" w:type="dxa"/>
            <w:vMerge w:val="restart"/>
            <w:vAlign w:val="center"/>
          </w:tcPr>
          <w:p w14:paraId="788492DD">
            <w:pPr>
              <w:jc w:val="center"/>
              <w:rPr>
                <w:rFonts w:ascii="宋体" w:hAnsi="宋体"/>
                <w:b w:val="0"/>
                <w:szCs w:val="21"/>
              </w:rPr>
            </w:pPr>
            <w:r>
              <w:rPr>
                <w:rFonts w:hint="eastAsia" w:ascii="宋体" w:hAnsi="宋体"/>
                <w:b w:val="0"/>
                <w:szCs w:val="21"/>
              </w:rPr>
              <w:t>预防事故设施</w:t>
            </w:r>
          </w:p>
        </w:tc>
        <w:tc>
          <w:tcPr>
            <w:tcW w:w="2552" w:type="dxa"/>
            <w:vAlign w:val="center"/>
          </w:tcPr>
          <w:p w14:paraId="2CC40122">
            <w:pPr>
              <w:jc w:val="center"/>
              <w:rPr>
                <w:rFonts w:ascii="宋体" w:hAnsi="宋体"/>
                <w:b w:val="0"/>
                <w:szCs w:val="21"/>
              </w:rPr>
            </w:pPr>
            <w:r>
              <w:rPr>
                <w:rFonts w:hint="eastAsia" w:ascii="宋体" w:hAnsi="宋体"/>
                <w:b w:val="0"/>
                <w:szCs w:val="21"/>
              </w:rPr>
              <w:t>检测、报警设施</w:t>
            </w:r>
          </w:p>
        </w:tc>
        <w:tc>
          <w:tcPr>
            <w:tcW w:w="2835" w:type="dxa"/>
            <w:vAlign w:val="center"/>
          </w:tcPr>
          <w:p w14:paraId="5748BCEA">
            <w:pPr>
              <w:jc w:val="center"/>
              <w:rPr>
                <w:rFonts w:ascii="宋体" w:hAnsi="宋体"/>
                <w:b w:val="0"/>
                <w:szCs w:val="21"/>
              </w:rPr>
            </w:pPr>
            <w:r>
              <w:rPr>
                <w:rFonts w:hint="eastAsia" w:ascii="宋体" w:hAnsi="宋体"/>
                <w:b w:val="0"/>
                <w:szCs w:val="21"/>
              </w:rPr>
              <w:t>监控系统、</w:t>
            </w:r>
          </w:p>
          <w:p w14:paraId="0015B513">
            <w:pPr>
              <w:jc w:val="center"/>
              <w:rPr>
                <w:rFonts w:ascii="宋体" w:hAnsi="宋体"/>
                <w:b w:val="0"/>
                <w:szCs w:val="21"/>
              </w:rPr>
            </w:pPr>
            <w:r>
              <w:rPr>
                <w:rFonts w:hint="eastAsia" w:ascii="宋体" w:hAnsi="宋体"/>
                <w:b w:val="0"/>
                <w:szCs w:val="21"/>
              </w:rPr>
              <w:t>防入侵报警系统</w:t>
            </w:r>
          </w:p>
        </w:tc>
        <w:tc>
          <w:tcPr>
            <w:tcW w:w="1559" w:type="dxa"/>
            <w:vAlign w:val="center"/>
          </w:tcPr>
          <w:p w14:paraId="22D746C6">
            <w:pPr>
              <w:jc w:val="center"/>
              <w:rPr>
                <w:rFonts w:ascii="宋体" w:hAnsi="宋体"/>
                <w:b w:val="0"/>
                <w:szCs w:val="21"/>
              </w:rPr>
            </w:pPr>
            <w:r>
              <w:rPr>
                <w:rFonts w:ascii="宋体" w:hAnsi="宋体"/>
                <w:b w:val="0"/>
                <w:szCs w:val="21"/>
              </w:rPr>
              <w:t>9</w:t>
            </w:r>
          </w:p>
        </w:tc>
      </w:tr>
      <w:tr w14:paraId="7C992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continue"/>
            <w:vAlign w:val="center"/>
          </w:tcPr>
          <w:p w14:paraId="43832DF2">
            <w:pPr>
              <w:jc w:val="center"/>
              <w:rPr>
                <w:rFonts w:ascii="宋体" w:hAnsi="宋体"/>
                <w:b w:val="0"/>
                <w:szCs w:val="21"/>
              </w:rPr>
            </w:pPr>
          </w:p>
        </w:tc>
        <w:tc>
          <w:tcPr>
            <w:tcW w:w="1255" w:type="dxa"/>
            <w:vMerge w:val="continue"/>
            <w:vAlign w:val="center"/>
          </w:tcPr>
          <w:p w14:paraId="5CFBB183">
            <w:pPr>
              <w:jc w:val="center"/>
              <w:rPr>
                <w:rFonts w:ascii="宋体" w:hAnsi="宋体"/>
                <w:b w:val="0"/>
                <w:szCs w:val="21"/>
              </w:rPr>
            </w:pPr>
          </w:p>
        </w:tc>
        <w:tc>
          <w:tcPr>
            <w:tcW w:w="2552" w:type="dxa"/>
            <w:vAlign w:val="center"/>
          </w:tcPr>
          <w:p w14:paraId="54D5AFD9">
            <w:pPr>
              <w:jc w:val="center"/>
              <w:rPr>
                <w:rFonts w:ascii="宋体" w:hAnsi="宋体"/>
                <w:b w:val="0"/>
                <w:szCs w:val="21"/>
              </w:rPr>
            </w:pPr>
            <w:r>
              <w:rPr>
                <w:rFonts w:hint="eastAsia" w:ascii="宋体" w:hAnsi="宋体"/>
                <w:b w:val="0"/>
                <w:szCs w:val="21"/>
              </w:rPr>
              <w:t>设备安全防护设施</w:t>
            </w:r>
          </w:p>
        </w:tc>
        <w:tc>
          <w:tcPr>
            <w:tcW w:w="2835" w:type="dxa"/>
            <w:vAlign w:val="center"/>
          </w:tcPr>
          <w:p w14:paraId="53EC629B">
            <w:pPr>
              <w:jc w:val="center"/>
              <w:rPr>
                <w:rFonts w:ascii="宋体" w:hAnsi="宋体"/>
                <w:b w:val="0"/>
                <w:szCs w:val="21"/>
              </w:rPr>
            </w:pPr>
            <w:r>
              <w:rPr>
                <w:rFonts w:hint="eastAsia" w:ascii="宋体" w:hAnsi="宋体"/>
                <w:b w:val="0"/>
                <w:szCs w:val="21"/>
              </w:rPr>
              <w:t>电气设备、避雷设备</w:t>
            </w:r>
          </w:p>
        </w:tc>
        <w:tc>
          <w:tcPr>
            <w:tcW w:w="1559" w:type="dxa"/>
            <w:vAlign w:val="center"/>
          </w:tcPr>
          <w:p w14:paraId="41FEEE55">
            <w:pPr>
              <w:jc w:val="center"/>
              <w:rPr>
                <w:rFonts w:ascii="宋体" w:hAnsi="宋体"/>
                <w:b w:val="0"/>
                <w:szCs w:val="21"/>
              </w:rPr>
            </w:pPr>
            <w:r>
              <w:rPr>
                <w:rFonts w:ascii="宋体" w:hAnsi="宋体"/>
                <w:b w:val="0"/>
                <w:szCs w:val="21"/>
              </w:rPr>
              <w:t>18</w:t>
            </w:r>
          </w:p>
        </w:tc>
      </w:tr>
      <w:tr w14:paraId="59753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continue"/>
            <w:vAlign w:val="center"/>
          </w:tcPr>
          <w:p w14:paraId="625A7C1C">
            <w:pPr>
              <w:jc w:val="center"/>
              <w:rPr>
                <w:rFonts w:ascii="宋体" w:hAnsi="宋体"/>
                <w:b w:val="0"/>
                <w:szCs w:val="21"/>
              </w:rPr>
            </w:pPr>
          </w:p>
        </w:tc>
        <w:tc>
          <w:tcPr>
            <w:tcW w:w="1255" w:type="dxa"/>
            <w:vMerge w:val="continue"/>
            <w:vAlign w:val="center"/>
          </w:tcPr>
          <w:p w14:paraId="4F746736">
            <w:pPr>
              <w:jc w:val="center"/>
              <w:rPr>
                <w:rFonts w:ascii="宋体" w:hAnsi="宋体"/>
                <w:b w:val="0"/>
                <w:szCs w:val="21"/>
              </w:rPr>
            </w:pPr>
          </w:p>
        </w:tc>
        <w:tc>
          <w:tcPr>
            <w:tcW w:w="2552" w:type="dxa"/>
            <w:vMerge w:val="restart"/>
            <w:vAlign w:val="center"/>
          </w:tcPr>
          <w:p w14:paraId="08A0CF0B">
            <w:pPr>
              <w:jc w:val="center"/>
              <w:rPr>
                <w:rFonts w:ascii="宋体" w:hAnsi="宋体"/>
                <w:b w:val="0"/>
                <w:szCs w:val="21"/>
              </w:rPr>
            </w:pPr>
            <w:r>
              <w:rPr>
                <w:rFonts w:hint="eastAsia" w:ascii="宋体" w:hAnsi="宋体"/>
                <w:b w:val="0"/>
                <w:szCs w:val="21"/>
              </w:rPr>
              <w:t>防爆设施</w:t>
            </w:r>
          </w:p>
        </w:tc>
        <w:tc>
          <w:tcPr>
            <w:tcW w:w="2835" w:type="dxa"/>
            <w:vAlign w:val="center"/>
          </w:tcPr>
          <w:p w14:paraId="731207BA">
            <w:pPr>
              <w:jc w:val="center"/>
              <w:rPr>
                <w:rFonts w:ascii="宋体" w:hAnsi="宋体"/>
                <w:b w:val="0"/>
                <w:szCs w:val="21"/>
              </w:rPr>
            </w:pPr>
            <w:r>
              <w:rPr>
                <w:rFonts w:hint="eastAsia" w:ascii="宋体" w:hAnsi="宋体"/>
                <w:b w:val="0"/>
                <w:szCs w:val="21"/>
              </w:rPr>
              <w:t>防爆灯</w:t>
            </w:r>
          </w:p>
        </w:tc>
        <w:tc>
          <w:tcPr>
            <w:tcW w:w="1559" w:type="dxa"/>
            <w:vMerge w:val="restart"/>
            <w:vAlign w:val="center"/>
          </w:tcPr>
          <w:p w14:paraId="594889CD">
            <w:pPr>
              <w:jc w:val="center"/>
              <w:rPr>
                <w:rFonts w:ascii="宋体" w:hAnsi="宋体"/>
                <w:b w:val="0"/>
                <w:szCs w:val="21"/>
              </w:rPr>
            </w:pPr>
            <w:r>
              <w:rPr>
                <w:rFonts w:ascii="宋体" w:hAnsi="宋体"/>
                <w:b w:val="0"/>
                <w:szCs w:val="21"/>
              </w:rPr>
              <w:t>3</w:t>
            </w:r>
          </w:p>
        </w:tc>
      </w:tr>
      <w:tr w14:paraId="6EB5C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continue"/>
            <w:vAlign w:val="center"/>
          </w:tcPr>
          <w:p w14:paraId="41B99329">
            <w:pPr>
              <w:jc w:val="center"/>
              <w:rPr>
                <w:rFonts w:ascii="宋体" w:hAnsi="宋体"/>
                <w:b w:val="0"/>
                <w:szCs w:val="21"/>
              </w:rPr>
            </w:pPr>
          </w:p>
        </w:tc>
        <w:tc>
          <w:tcPr>
            <w:tcW w:w="1255" w:type="dxa"/>
            <w:vMerge w:val="continue"/>
            <w:vAlign w:val="center"/>
          </w:tcPr>
          <w:p w14:paraId="0C160626">
            <w:pPr>
              <w:jc w:val="center"/>
              <w:rPr>
                <w:rFonts w:ascii="宋体" w:hAnsi="宋体"/>
                <w:b w:val="0"/>
                <w:szCs w:val="21"/>
              </w:rPr>
            </w:pPr>
          </w:p>
        </w:tc>
        <w:tc>
          <w:tcPr>
            <w:tcW w:w="2552" w:type="dxa"/>
            <w:vMerge w:val="continue"/>
            <w:vAlign w:val="center"/>
          </w:tcPr>
          <w:p w14:paraId="087A64CE">
            <w:pPr>
              <w:jc w:val="center"/>
              <w:rPr>
                <w:rFonts w:ascii="宋体" w:hAnsi="宋体"/>
                <w:b w:val="0"/>
                <w:szCs w:val="21"/>
              </w:rPr>
            </w:pPr>
          </w:p>
        </w:tc>
        <w:tc>
          <w:tcPr>
            <w:tcW w:w="2835" w:type="dxa"/>
            <w:vAlign w:val="center"/>
          </w:tcPr>
          <w:p w14:paraId="7F75554F">
            <w:pPr>
              <w:jc w:val="center"/>
              <w:rPr>
                <w:rFonts w:ascii="宋体" w:hAnsi="宋体"/>
                <w:b w:val="0"/>
                <w:szCs w:val="21"/>
              </w:rPr>
            </w:pPr>
            <w:r>
              <w:rPr>
                <w:rFonts w:hint="eastAsia" w:ascii="宋体" w:hAnsi="宋体"/>
                <w:b w:val="0"/>
                <w:szCs w:val="21"/>
              </w:rPr>
              <w:t>防爆开关</w:t>
            </w:r>
          </w:p>
        </w:tc>
        <w:tc>
          <w:tcPr>
            <w:tcW w:w="1559" w:type="dxa"/>
            <w:vMerge w:val="continue"/>
            <w:vAlign w:val="center"/>
          </w:tcPr>
          <w:p w14:paraId="3F4DCBA1">
            <w:pPr>
              <w:jc w:val="center"/>
              <w:rPr>
                <w:rFonts w:ascii="宋体" w:hAnsi="宋体"/>
                <w:b w:val="0"/>
                <w:szCs w:val="21"/>
              </w:rPr>
            </w:pPr>
          </w:p>
        </w:tc>
      </w:tr>
      <w:tr w14:paraId="7E3F2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continue"/>
            <w:vAlign w:val="center"/>
          </w:tcPr>
          <w:p w14:paraId="2F7DB6AB">
            <w:pPr>
              <w:jc w:val="center"/>
              <w:rPr>
                <w:rFonts w:ascii="宋体" w:hAnsi="宋体"/>
                <w:b w:val="0"/>
                <w:szCs w:val="21"/>
              </w:rPr>
            </w:pPr>
          </w:p>
        </w:tc>
        <w:tc>
          <w:tcPr>
            <w:tcW w:w="1255" w:type="dxa"/>
            <w:vMerge w:val="continue"/>
            <w:vAlign w:val="center"/>
          </w:tcPr>
          <w:p w14:paraId="1AE4C054">
            <w:pPr>
              <w:jc w:val="center"/>
              <w:rPr>
                <w:rFonts w:ascii="宋体" w:hAnsi="宋体"/>
                <w:b w:val="0"/>
                <w:szCs w:val="21"/>
              </w:rPr>
            </w:pPr>
          </w:p>
        </w:tc>
        <w:tc>
          <w:tcPr>
            <w:tcW w:w="2552" w:type="dxa"/>
            <w:vAlign w:val="center"/>
          </w:tcPr>
          <w:p w14:paraId="62D4A343">
            <w:pPr>
              <w:jc w:val="center"/>
              <w:rPr>
                <w:rFonts w:ascii="宋体" w:hAnsi="宋体"/>
                <w:b w:val="0"/>
                <w:szCs w:val="21"/>
              </w:rPr>
            </w:pPr>
            <w:r>
              <w:rPr>
                <w:rFonts w:hint="eastAsia" w:ascii="宋体" w:hAnsi="宋体"/>
                <w:b w:val="0"/>
                <w:szCs w:val="21"/>
              </w:rPr>
              <w:t>作业场所防护设施</w:t>
            </w:r>
          </w:p>
        </w:tc>
        <w:tc>
          <w:tcPr>
            <w:tcW w:w="2835" w:type="dxa"/>
            <w:vAlign w:val="center"/>
          </w:tcPr>
          <w:p w14:paraId="34C9C5F7">
            <w:pPr>
              <w:jc w:val="center"/>
              <w:rPr>
                <w:rFonts w:ascii="宋体" w:hAnsi="宋体"/>
                <w:b w:val="0"/>
                <w:szCs w:val="21"/>
              </w:rPr>
            </w:pPr>
            <w:r>
              <w:rPr>
                <w:rFonts w:hint="eastAsia" w:ascii="宋体" w:hAnsi="宋体"/>
                <w:b w:val="0"/>
                <w:szCs w:val="21"/>
              </w:rPr>
              <w:t>静电释放仪</w:t>
            </w:r>
          </w:p>
        </w:tc>
        <w:tc>
          <w:tcPr>
            <w:tcW w:w="1559" w:type="dxa"/>
            <w:vAlign w:val="center"/>
          </w:tcPr>
          <w:p w14:paraId="17F9877B">
            <w:pPr>
              <w:jc w:val="center"/>
              <w:rPr>
                <w:rFonts w:ascii="宋体" w:hAnsi="宋体"/>
                <w:b w:val="0"/>
                <w:szCs w:val="21"/>
              </w:rPr>
            </w:pPr>
            <w:r>
              <w:rPr>
                <w:rFonts w:ascii="宋体" w:hAnsi="宋体"/>
                <w:b w:val="0"/>
                <w:szCs w:val="21"/>
              </w:rPr>
              <w:t>3</w:t>
            </w:r>
          </w:p>
        </w:tc>
      </w:tr>
      <w:tr w14:paraId="1157B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continue"/>
            <w:vAlign w:val="center"/>
          </w:tcPr>
          <w:p w14:paraId="433BF224">
            <w:pPr>
              <w:jc w:val="center"/>
              <w:rPr>
                <w:rFonts w:ascii="宋体" w:hAnsi="宋体"/>
                <w:b w:val="0"/>
                <w:szCs w:val="21"/>
              </w:rPr>
            </w:pPr>
          </w:p>
        </w:tc>
        <w:tc>
          <w:tcPr>
            <w:tcW w:w="1255" w:type="dxa"/>
            <w:vMerge w:val="continue"/>
            <w:vAlign w:val="center"/>
          </w:tcPr>
          <w:p w14:paraId="61E912F1">
            <w:pPr>
              <w:jc w:val="center"/>
              <w:rPr>
                <w:rFonts w:ascii="宋体" w:hAnsi="宋体"/>
                <w:b w:val="0"/>
                <w:szCs w:val="21"/>
              </w:rPr>
            </w:pPr>
          </w:p>
        </w:tc>
        <w:tc>
          <w:tcPr>
            <w:tcW w:w="2552" w:type="dxa"/>
            <w:vAlign w:val="center"/>
          </w:tcPr>
          <w:p w14:paraId="142C3205">
            <w:pPr>
              <w:jc w:val="center"/>
              <w:rPr>
                <w:rFonts w:ascii="宋体" w:hAnsi="宋体"/>
                <w:b w:val="0"/>
                <w:szCs w:val="21"/>
              </w:rPr>
            </w:pPr>
            <w:r>
              <w:rPr>
                <w:rFonts w:hint="eastAsia" w:ascii="宋体" w:hAnsi="宋体"/>
                <w:b w:val="0"/>
                <w:szCs w:val="21"/>
              </w:rPr>
              <w:t>安全警示标志</w:t>
            </w:r>
          </w:p>
        </w:tc>
        <w:tc>
          <w:tcPr>
            <w:tcW w:w="2835" w:type="dxa"/>
            <w:vAlign w:val="center"/>
          </w:tcPr>
          <w:p w14:paraId="0C291248">
            <w:pPr>
              <w:jc w:val="center"/>
              <w:rPr>
                <w:rFonts w:ascii="宋体" w:hAnsi="宋体"/>
                <w:b w:val="0"/>
                <w:szCs w:val="21"/>
              </w:rPr>
            </w:pPr>
            <w:r>
              <w:rPr>
                <w:rFonts w:hint="eastAsia" w:ascii="宋体" w:hAnsi="宋体"/>
                <w:b w:val="0"/>
                <w:szCs w:val="21"/>
              </w:rPr>
              <w:t>警示语标牌</w:t>
            </w:r>
          </w:p>
        </w:tc>
        <w:tc>
          <w:tcPr>
            <w:tcW w:w="1559" w:type="dxa"/>
            <w:vAlign w:val="center"/>
          </w:tcPr>
          <w:p w14:paraId="0609E256">
            <w:pPr>
              <w:jc w:val="center"/>
              <w:rPr>
                <w:rFonts w:ascii="宋体" w:hAnsi="宋体"/>
                <w:b w:val="0"/>
                <w:szCs w:val="21"/>
              </w:rPr>
            </w:pPr>
            <w:r>
              <w:rPr>
                <w:rFonts w:ascii="宋体" w:hAnsi="宋体"/>
                <w:b w:val="0"/>
                <w:szCs w:val="21"/>
              </w:rPr>
              <w:t>3</w:t>
            </w:r>
          </w:p>
        </w:tc>
      </w:tr>
      <w:tr w14:paraId="416144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Align w:val="center"/>
          </w:tcPr>
          <w:p w14:paraId="733428E7">
            <w:pPr>
              <w:jc w:val="center"/>
              <w:rPr>
                <w:rFonts w:ascii="宋体" w:hAnsi="宋体"/>
                <w:b w:val="0"/>
                <w:szCs w:val="21"/>
              </w:rPr>
            </w:pPr>
            <w:r>
              <w:rPr>
                <w:rFonts w:hint="eastAsia" w:ascii="宋体" w:hAnsi="宋体"/>
                <w:b w:val="0"/>
                <w:szCs w:val="21"/>
              </w:rPr>
              <w:t>2</w:t>
            </w:r>
          </w:p>
        </w:tc>
        <w:tc>
          <w:tcPr>
            <w:tcW w:w="1255" w:type="dxa"/>
            <w:vAlign w:val="center"/>
          </w:tcPr>
          <w:p w14:paraId="7DBD29C0">
            <w:pPr>
              <w:jc w:val="center"/>
              <w:rPr>
                <w:rFonts w:ascii="宋体" w:hAnsi="宋体"/>
                <w:b w:val="0"/>
                <w:szCs w:val="21"/>
              </w:rPr>
            </w:pPr>
            <w:r>
              <w:rPr>
                <w:rFonts w:hint="eastAsia" w:ascii="宋体" w:hAnsi="宋体"/>
                <w:b w:val="0"/>
                <w:szCs w:val="21"/>
              </w:rPr>
              <w:t>控制事故设施</w:t>
            </w:r>
          </w:p>
        </w:tc>
        <w:tc>
          <w:tcPr>
            <w:tcW w:w="2552" w:type="dxa"/>
            <w:vAlign w:val="center"/>
          </w:tcPr>
          <w:p w14:paraId="5504C807">
            <w:pPr>
              <w:jc w:val="center"/>
              <w:rPr>
                <w:rFonts w:ascii="宋体" w:hAnsi="宋体"/>
                <w:b w:val="0"/>
                <w:szCs w:val="21"/>
              </w:rPr>
            </w:pPr>
            <w:r>
              <w:rPr>
                <w:rFonts w:hint="eastAsia" w:ascii="宋体" w:hAnsi="宋体"/>
                <w:b w:val="0"/>
                <w:szCs w:val="21"/>
              </w:rPr>
              <w:t>紧急处理设施</w:t>
            </w:r>
          </w:p>
        </w:tc>
        <w:tc>
          <w:tcPr>
            <w:tcW w:w="2835" w:type="dxa"/>
            <w:vAlign w:val="center"/>
          </w:tcPr>
          <w:p w14:paraId="081A8CB2">
            <w:pPr>
              <w:jc w:val="center"/>
              <w:rPr>
                <w:rFonts w:ascii="宋体" w:hAnsi="宋体"/>
                <w:b w:val="0"/>
                <w:szCs w:val="21"/>
              </w:rPr>
            </w:pPr>
            <w:r>
              <w:rPr>
                <w:rFonts w:hint="eastAsia" w:ascii="宋体" w:hAnsi="宋体"/>
                <w:b w:val="0"/>
                <w:szCs w:val="21"/>
              </w:rPr>
              <w:t>应急照明灯</w:t>
            </w:r>
          </w:p>
        </w:tc>
        <w:tc>
          <w:tcPr>
            <w:tcW w:w="1559" w:type="dxa"/>
            <w:vAlign w:val="center"/>
          </w:tcPr>
          <w:p w14:paraId="4D423EA6">
            <w:pPr>
              <w:jc w:val="center"/>
              <w:rPr>
                <w:rFonts w:ascii="宋体" w:hAnsi="宋体"/>
                <w:b w:val="0"/>
                <w:szCs w:val="21"/>
              </w:rPr>
            </w:pPr>
            <w:r>
              <w:rPr>
                <w:rFonts w:ascii="宋体" w:hAnsi="宋体"/>
                <w:b w:val="0"/>
                <w:szCs w:val="21"/>
              </w:rPr>
              <w:t>2</w:t>
            </w:r>
          </w:p>
        </w:tc>
      </w:tr>
      <w:tr w14:paraId="1FBBF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restart"/>
            <w:vAlign w:val="center"/>
          </w:tcPr>
          <w:p w14:paraId="6B8B7A22">
            <w:pPr>
              <w:jc w:val="center"/>
              <w:rPr>
                <w:rFonts w:ascii="宋体" w:hAnsi="宋体"/>
                <w:b w:val="0"/>
                <w:szCs w:val="21"/>
              </w:rPr>
            </w:pPr>
            <w:r>
              <w:rPr>
                <w:rFonts w:hint="eastAsia" w:ascii="宋体" w:hAnsi="宋体"/>
                <w:b w:val="0"/>
                <w:szCs w:val="21"/>
              </w:rPr>
              <w:t>3</w:t>
            </w:r>
          </w:p>
        </w:tc>
        <w:tc>
          <w:tcPr>
            <w:tcW w:w="1255" w:type="dxa"/>
            <w:vMerge w:val="restart"/>
            <w:vAlign w:val="center"/>
          </w:tcPr>
          <w:p w14:paraId="316B9575">
            <w:pPr>
              <w:jc w:val="center"/>
              <w:rPr>
                <w:rFonts w:ascii="宋体" w:hAnsi="宋体"/>
                <w:b w:val="0"/>
                <w:szCs w:val="21"/>
              </w:rPr>
            </w:pPr>
            <w:r>
              <w:rPr>
                <w:rFonts w:hint="eastAsia" w:ascii="宋体" w:hAnsi="宋体"/>
                <w:b w:val="0"/>
                <w:szCs w:val="21"/>
              </w:rPr>
              <w:t>减少与消除事故影响设施</w:t>
            </w:r>
          </w:p>
        </w:tc>
        <w:tc>
          <w:tcPr>
            <w:tcW w:w="2552" w:type="dxa"/>
            <w:vAlign w:val="center"/>
          </w:tcPr>
          <w:p w14:paraId="39EDC321">
            <w:pPr>
              <w:jc w:val="center"/>
              <w:rPr>
                <w:rFonts w:ascii="宋体" w:hAnsi="宋体"/>
                <w:b w:val="0"/>
                <w:szCs w:val="21"/>
              </w:rPr>
            </w:pPr>
            <w:r>
              <w:rPr>
                <w:rFonts w:hint="eastAsia" w:ascii="宋体" w:hAnsi="宋体"/>
                <w:b w:val="0"/>
                <w:szCs w:val="21"/>
              </w:rPr>
              <w:t>防止火灾、爆炸蔓延设施</w:t>
            </w:r>
          </w:p>
        </w:tc>
        <w:tc>
          <w:tcPr>
            <w:tcW w:w="2835" w:type="dxa"/>
            <w:vAlign w:val="center"/>
          </w:tcPr>
          <w:p w14:paraId="12C534C8">
            <w:pPr>
              <w:jc w:val="left"/>
              <w:rPr>
                <w:rFonts w:ascii="宋体" w:hAnsi="宋体"/>
                <w:b w:val="0"/>
                <w:szCs w:val="21"/>
              </w:rPr>
            </w:pPr>
            <w:r>
              <w:rPr>
                <w:rFonts w:hint="eastAsia" w:ascii="宋体" w:hAnsi="宋体"/>
                <w:b w:val="0"/>
                <w:szCs w:val="21"/>
              </w:rPr>
              <w:t>防火隔离带、防护屏障</w:t>
            </w:r>
          </w:p>
        </w:tc>
        <w:tc>
          <w:tcPr>
            <w:tcW w:w="1559" w:type="dxa"/>
            <w:vAlign w:val="center"/>
          </w:tcPr>
          <w:p w14:paraId="2FCB5CB3">
            <w:pPr>
              <w:jc w:val="center"/>
              <w:rPr>
                <w:rFonts w:ascii="宋体" w:hAnsi="宋体"/>
                <w:b w:val="0"/>
                <w:szCs w:val="21"/>
              </w:rPr>
            </w:pPr>
            <w:r>
              <w:rPr>
                <w:rFonts w:ascii="宋体" w:hAnsi="宋体"/>
                <w:b w:val="0"/>
                <w:szCs w:val="21"/>
              </w:rPr>
              <w:t>12</w:t>
            </w:r>
          </w:p>
        </w:tc>
      </w:tr>
      <w:tr w14:paraId="1426E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continue"/>
            <w:vAlign w:val="center"/>
          </w:tcPr>
          <w:p w14:paraId="302FB56E">
            <w:pPr>
              <w:jc w:val="center"/>
              <w:rPr>
                <w:rFonts w:ascii="宋体" w:hAnsi="宋体"/>
                <w:b w:val="0"/>
                <w:szCs w:val="21"/>
              </w:rPr>
            </w:pPr>
          </w:p>
        </w:tc>
        <w:tc>
          <w:tcPr>
            <w:tcW w:w="1255" w:type="dxa"/>
            <w:vMerge w:val="continue"/>
            <w:vAlign w:val="center"/>
          </w:tcPr>
          <w:p w14:paraId="045C30FB">
            <w:pPr>
              <w:jc w:val="center"/>
              <w:rPr>
                <w:rFonts w:ascii="宋体" w:hAnsi="宋体"/>
                <w:b w:val="0"/>
                <w:szCs w:val="21"/>
              </w:rPr>
            </w:pPr>
          </w:p>
        </w:tc>
        <w:tc>
          <w:tcPr>
            <w:tcW w:w="2552" w:type="dxa"/>
            <w:vAlign w:val="center"/>
          </w:tcPr>
          <w:p w14:paraId="5FB0E715">
            <w:pPr>
              <w:jc w:val="center"/>
              <w:rPr>
                <w:rFonts w:ascii="宋体" w:hAnsi="宋体"/>
                <w:b w:val="0"/>
                <w:szCs w:val="21"/>
              </w:rPr>
            </w:pPr>
            <w:r>
              <w:rPr>
                <w:rFonts w:hint="eastAsia" w:ascii="宋体" w:hAnsi="宋体"/>
                <w:b w:val="0"/>
                <w:szCs w:val="21"/>
              </w:rPr>
              <w:t>灭火设施</w:t>
            </w:r>
          </w:p>
        </w:tc>
        <w:tc>
          <w:tcPr>
            <w:tcW w:w="2835" w:type="dxa"/>
            <w:vAlign w:val="center"/>
          </w:tcPr>
          <w:p w14:paraId="15ACB13D">
            <w:pPr>
              <w:jc w:val="center"/>
              <w:rPr>
                <w:rFonts w:ascii="宋体" w:hAnsi="宋体"/>
                <w:b w:val="0"/>
                <w:szCs w:val="21"/>
              </w:rPr>
            </w:pPr>
            <w:r>
              <w:rPr>
                <w:rFonts w:hint="eastAsia" w:ascii="宋体" w:hAnsi="宋体"/>
                <w:b w:val="0"/>
                <w:szCs w:val="21"/>
              </w:rPr>
              <w:t>消防水池、灭火器</w:t>
            </w:r>
          </w:p>
        </w:tc>
        <w:tc>
          <w:tcPr>
            <w:tcW w:w="1559" w:type="dxa"/>
            <w:vAlign w:val="center"/>
          </w:tcPr>
          <w:p w14:paraId="4C42C011">
            <w:pPr>
              <w:jc w:val="center"/>
              <w:rPr>
                <w:rFonts w:ascii="宋体" w:hAnsi="宋体"/>
                <w:b w:val="0"/>
                <w:szCs w:val="21"/>
              </w:rPr>
            </w:pPr>
            <w:r>
              <w:rPr>
                <w:rFonts w:ascii="宋体" w:hAnsi="宋体"/>
                <w:b w:val="0"/>
                <w:szCs w:val="21"/>
              </w:rPr>
              <w:t>7.5</w:t>
            </w:r>
          </w:p>
        </w:tc>
      </w:tr>
      <w:tr w14:paraId="5A16B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continue"/>
            <w:vAlign w:val="center"/>
          </w:tcPr>
          <w:p w14:paraId="065EBD2A">
            <w:pPr>
              <w:jc w:val="center"/>
              <w:rPr>
                <w:rFonts w:ascii="宋体" w:hAnsi="宋体"/>
                <w:b w:val="0"/>
                <w:szCs w:val="21"/>
              </w:rPr>
            </w:pPr>
          </w:p>
        </w:tc>
        <w:tc>
          <w:tcPr>
            <w:tcW w:w="1255" w:type="dxa"/>
            <w:vMerge w:val="continue"/>
            <w:vAlign w:val="center"/>
          </w:tcPr>
          <w:p w14:paraId="736BDC5F">
            <w:pPr>
              <w:jc w:val="center"/>
              <w:rPr>
                <w:rFonts w:ascii="宋体" w:hAnsi="宋体"/>
                <w:b w:val="0"/>
                <w:szCs w:val="21"/>
              </w:rPr>
            </w:pPr>
          </w:p>
        </w:tc>
        <w:tc>
          <w:tcPr>
            <w:tcW w:w="2552" w:type="dxa"/>
            <w:vAlign w:val="center"/>
          </w:tcPr>
          <w:p w14:paraId="666C7F5A">
            <w:pPr>
              <w:jc w:val="center"/>
              <w:rPr>
                <w:rFonts w:ascii="宋体" w:hAnsi="宋体"/>
                <w:b w:val="0"/>
                <w:szCs w:val="21"/>
              </w:rPr>
            </w:pPr>
            <w:r>
              <w:rPr>
                <w:rFonts w:hint="eastAsia" w:ascii="宋体" w:hAnsi="宋体"/>
                <w:b w:val="0"/>
                <w:szCs w:val="21"/>
              </w:rPr>
              <w:t>紧急个体处置设施</w:t>
            </w:r>
          </w:p>
        </w:tc>
        <w:tc>
          <w:tcPr>
            <w:tcW w:w="2835" w:type="dxa"/>
            <w:vAlign w:val="center"/>
          </w:tcPr>
          <w:p w14:paraId="5A5065FF">
            <w:pPr>
              <w:jc w:val="center"/>
              <w:rPr>
                <w:rFonts w:ascii="宋体" w:hAnsi="宋体"/>
                <w:b w:val="0"/>
                <w:szCs w:val="21"/>
              </w:rPr>
            </w:pPr>
            <w:r>
              <w:rPr>
                <w:rFonts w:hint="eastAsia" w:ascii="宋体" w:hAnsi="宋体"/>
                <w:b w:val="0"/>
                <w:szCs w:val="21"/>
              </w:rPr>
              <w:t>急救箱</w:t>
            </w:r>
          </w:p>
        </w:tc>
        <w:tc>
          <w:tcPr>
            <w:tcW w:w="1559" w:type="dxa"/>
            <w:vAlign w:val="center"/>
          </w:tcPr>
          <w:p w14:paraId="44129617">
            <w:pPr>
              <w:jc w:val="center"/>
              <w:rPr>
                <w:rFonts w:ascii="宋体" w:hAnsi="宋体"/>
                <w:b w:val="0"/>
                <w:szCs w:val="21"/>
              </w:rPr>
            </w:pPr>
            <w:r>
              <w:rPr>
                <w:rFonts w:ascii="宋体" w:hAnsi="宋体"/>
                <w:b w:val="0"/>
                <w:szCs w:val="21"/>
              </w:rPr>
              <w:t>4.5</w:t>
            </w:r>
          </w:p>
        </w:tc>
      </w:tr>
      <w:tr w14:paraId="41AED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continue"/>
            <w:vAlign w:val="center"/>
          </w:tcPr>
          <w:p w14:paraId="26F96F28">
            <w:pPr>
              <w:jc w:val="center"/>
              <w:rPr>
                <w:rFonts w:ascii="宋体" w:hAnsi="宋体"/>
                <w:b w:val="0"/>
                <w:szCs w:val="21"/>
              </w:rPr>
            </w:pPr>
          </w:p>
        </w:tc>
        <w:tc>
          <w:tcPr>
            <w:tcW w:w="1255" w:type="dxa"/>
            <w:vMerge w:val="continue"/>
            <w:vAlign w:val="center"/>
          </w:tcPr>
          <w:p w14:paraId="36264ECD">
            <w:pPr>
              <w:jc w:val="center"/>
              <w:rPr>
                <w:rFonts w:ascii="宋体" w:hAnsi="宋体"/>
                <w:b w:val="0"/>
                <w:szCs w:val="21"/>
              </w:rPr>
            </w:pPr>
          </w:p>
        </w:tc>
        <w:tc>
          <w:tcPr>
            <w:tcW w:w="2552" w:type="dxa"/>
            <w:vAlign w:val="center"/>
          </w:tcPr>
          <w:p w14:paraId="255175AB">
            <w:pPr>
              <w:jc w:val="center"/>
              <w:rPr>
                <w:rFonts w:ascii="宋体" w:hAnsi="宋体"/>
                <w:b w:val="0"/>
                <w:szCs w:val="21"/>
              </w:rPr>
            </w:pPr>
            <w:r>
              <w:rPr>
                <w:rFonts w:hint="eastAsia" w:ascii="宋体" w:hAnsi="宋体"/>
                <w:b w:val="0"/>
                <w:szCs w:val="21"/>
              </w:rPr>
              <w:t>应急救援设施</w:t>
            </w:r>
          </w:p>
        </w:tc>
        <w:tc>
          <w:tcPr>
            <w:tcW w:w="2835" w:type="dxa"/>
            <w:vAlign w:val="center"/>
          </w:tcPr>
          <w:p w14:paraId="498736ED">
            <w:pPr>
              <w:jc w:val="center"/>
              <w:rPr>
                <w:rFonts w:ascii="宋体" w:hAnsi="宋体"/>
                <w:b w:val="0"/>
                <w:szCs w:val="21"/>
              </w:rPr>
            </w:pPr>
            <w:r>
              <w:rPr>
                <w:rFonts w:hint="eastAsia" w:ascii="宋体" w:hAnsi="宋体"/>
                <w:b w:val="0"/>
                <w:szCs w:val="21"/>
              </w:rPr>
              <w:t>急救、抢救器材</w:t>
            </w:r>
          </w:p>
        </w:tc>
        <w:tc>
          <w:tcPr>
            <w:tcW w:w="1559" w:type="dxa"/>
            <w:vAlign w:val="center"/>
          </w:tcPr>
          <w:p w14:paraId="683AB5F1">
            <w:pPr>
              <w:jc w:val="center"/>
              <w:rPr>
                <w:rFonts w:ascii="宋体" w:hAnsi="宋体"/>
                <w:b w:val="0"/>
                <w:szCs w:val="21"/>
              </w:rPr>
            </w:pPr>
            <w:r>
              <w:rPr>
                <w:rFonts w:ascii="宋体" w:hAnsi="宋体"/>
                <w:b w:val="0"/>
                <w:szCs w:val="21"/>
              </w:rPr>
              <w:t>4.5</w:t>
            </w:r>
          </w:p>
        </w:tc>
      </w:tr>
      <w:tr w14:paraId="7B1F4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continue"/>
            <w:vAlign w:val="center"/>
          </w:tcPr>
          <w:p w14:paraId="34A7AA5E">
            <w:pPr>
              <w:jc w:val="center"/>
              <w:rPr>
                <w:rFonts w:ascii="宋体" w:hAnsi="宋体"/>
                <w:b w:val="0"/>
                <w:szCs w:val="21"/>
              </w:rPr>
            </w:pPr>
          </w:p>
        </w:tc>
        <w:tc>
          <w:tcPr>
            <w:tcW w:w="1255" w:type="dxa"/>
            <w:vMerge w:val="continue"/>
            <w:vAlign w:val="center"/>
          </w:tcPr>
          <w:p w14:paraId="746C1D3F">
            <w:pPr>
              <w:jc w:val="center"/>
              <w:rPr>
                <w:rFonts w:ascii="宋体" w:hAnsi="宋体"/>
                <w:b w:val="0"/>
                <w:szCs w:val="21"/>
              </w:rPr>
            </w:pPr>
          </w:p>
        </w:tc>
        <w:tc>
          <w:tcPr>
            <w:tcW w:w="2552" w:type="dxa"/>
            <w:vAlign w:val="center"/>
          </w:tcPr>
          <w:p w14:paraId="7735A3CA">
            <w:pPr>
              <w:jc w:val="center"/>
              <w:rPr>
                <w:rFonts w:ascii="宋体" w:hAnsi="宋体"/>
                <w:b w:val="0"/>
                <w:szCs w:val="21"/>
              </w:rPr>
            </w:pPr>
            <w:r>
              <w:rPr>
                <w:rFonts w:hint="eastAsia" w:ascii="宋体" w:hAnsi="宋体"/>
                <w:b w:val="0"/>
                <w:szCs w:val="21"/>
              </w:rPr>
              <w:t>逃生避难设施</w:t>
            </w:r>
          </w:p>
        </w:tc>
        <w:tc>
          <w:tcPr>
            <w:tcW w:w="2835" w:type="dxa"/>
            <w:vAlign w:val="center"/>
          </w:tcPr>
          <w:p w14:paraId="374D9DE5">
            <w:pPr>
              <w:jc w:val="center"/>
              <w:rPr>
                <w:rFonts w:ascii="宋体" w:hAnsi="宋体"/>
                <w:b w:val="0"/>
                <w:szCs w:val="21"/>
              </w:rPr>
            </w:pPr>
            <w:r>
              <w:rPr>
                <w:rFonts w:hint="eastAsia" w:ascii="宋体" w:hAnsi="宋体"/>
                <w:b w:val="0"/>
                <w:szCs w:val="21"/>
              </w:rPr>
              <w:t>安全通道、避难所</w:t>
            </w:r>
          </w:p>
        </w:tc>
        <w:tc>
          <w:tcPr>
            <w:tcW w:w="1559" w:type="dxa"/>
            <w:vAlign w:val="center"/>
          </w:tcPr>
          <w:p w14:paraId="7C7783E1">
            <w:pPr>
              <w:jc w:val="center"/>
              <w:rPr>
                <w:rFonts w:ascii="宋体" w:hAnsi="宋体"/>
                <w:b w:val="0"/>
                <w:szCs w:val="21"/>
              </w:rPr>
            </w:pPr>
            <w:r>
              <w:rPr>
                <w:rFonts w:ascii="宋体" w:hAnsi="宋体"/>
                <w:b w:val="0"/>
                <w:szCs w:val="21"/>
              </w:rPr>
              <w:t>6</w:t>
            </w:r>
          </w:p>
        </w:tc>
      </w:tr>
      <w:tr w14:paraId="6CE04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6" w:type="dxa"/>
            <w:vMerge w:val="continue"/>
            <w:vAlign w:val="center"/>
          </w:tcPr>
          <w:p w14:paraId="42ECEB2F">
            <w:pPr>
              <w:jc w:val="center"/>
              <w:rPr>
                <w:rFonts w:ascii="宋体" w:hAnsi="宋体"/>
                <w:b w:val="0"/>
                <w:szCs w:val="21"/>
              </w:rPr>
            </w:pPr>
          </w:p>
        </w:tc>
        <w:tc>
          <w:tcPr>
            <w:tcW w:w="1255" w:type="dxa"/>
            <w:vMerge w:val="continue"/>
            <w:vAlign w:val="center"/>
          </w:tcPr>
          <w:p w14:paraId="7A947380">
            <w:pPr>
              <w:jc w:val="center"/>
              <w:rPr>
                <w:rFonts w:ascii="宋体" w:hAnsi="宋体"/>
                <w:b w:val="0"/>
                <w:szCs w:val="21"/>
              </w:rPr>
            </w:pPr>
          </w:p>
        </w:tc>
        <w:tc>
          <w:tcPr>
            <w:tcW w:w="2552" w:type="dxa"/>
            <w:vAlign w:val="center"/>
          </w:tcPr>
          <w:p w14:paraId="40FBF6E4">
            <w:pPr>
              <w:jc w:val="center"/>
              <w:rPr>
                <w:rFonts w:ascii="宋体" w:hAnsi="宋体"/>
                <w:b w:val="0"/>
                <w:szCs w:val="21"/>
              </w:rPr>
            </w:pPr>
            <w:r>
              <w:rPr>
                <w:rFonts w:hint="eastAsia" w:ascii="宋体" w:hAnsi="宋体"/>
                <w:b w:val="0"/>
                <w:szCs w:val="21"/>
              </w:rPr>
              <w:t>劳动防护用品和装备</w:t>
            </w:r>
          </w:p>
        </w:tc>
        <w:tc>
          <w:tcPr>
            <w:tcW w:w="2835" w:type="dxa"/>
            <w:vAlign w:val="center"/>
          </w:tcPr>
          <w:p w14:paraId="0416DDF5">
            <w:pPr>
              <w:jc w:val="center"/>
              <w:rPr>
                <w:rFonts w:ascii="宋体" w:hAnsi="宋体"/>
                <w:b w:val="0"/>
                <w:szCs w:val="21"/>
              </w:rPr>
            </w:pPr>
            <w:r>
              <w:rPr>
                <w:rFonts w:hint="eastAsia" w:ascii="宋体" w:hAnsi="宋体"/>
                <w:b w:val="0"/>
                <w:szCs w:val="21"/>
              </w:rPr>
              <w:t>个体防护设备</w:t>
            </w:r>
          </w:p>
        </w:tc>
        <w:tc>
          <w:tcPr>
            <w:tcW w:w="1559" w:type="dxa"/>
            <w:vAlign w:val="center"/>
          </w:tcPr>
          <w:p w14:paraId="018D58FD">
            <w:pPr>
              <w:jc w:val="center"/>
              <w:rPr>
                <w:rFonts w:ascii="宋体" w:hAnsi="宋体"/>
                <w:b w:val="0"/>
                <w:szCs w:val="21"/>
              </w:rPr>
            </w:pPr>
            <w:r>
              <w:rPr>
                <w:rFonts w:ascii="宋体" w:hAnsi="宋体"/>
                <w:b w:val="0"/>
                <w:szCs w:val="21"/>
              </w:rPr>
              <w:t>7.5</w:t>
            </w:r>
          </w:p>
        </w:tc>
      </w:tr>
      <w:tr w14:paraId="13D7A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38" w:type="dxa"/>
            <w:gridSpan w:val="4"/>
            <w:vAlign w:val="center"/>
          </w:tcPr>
          <w:p w14:paraId="1DD8D87A">
            <w:pPr>
              <w:jc w:val="center"/>
              <w:rPr>
                <w:rFonts w:ascii="宋体" w:hAnsi="宋体"/>
                <w:b w:val="0"/>
                <w:szCs w:val="21"/>
              </w:rPr>
            </w:pPr>
            <w:r>
              <w:rPr>
                <w:rFonts w:hint="eastAsia" w:ascii="宋体" w:hAnsi="宋体"/>
                <w:b w:val="0"/>
                <w:szCs w:val="21"/>
              </w:rPr>
              <w:t>合计</w:t>
            </w:r>
          </w:p>
        </w:tc>
        <w:tc>
          <w:tcPr>
            <w:tcW w:w="1559" w:type="dxa"/>
            <w:vAlign w:val="center"/>
          </w:tcPr>
          <w:p w14:paraId="6194153F">
            <w:pPr>
              <w:jc w:val="center"/>
              <w:rPr>
                <w:rFonts w:ascii="宋体" w:hAnsi="宋体"/>
                <w:b w:val="0"/>
                <w:szCs w:val="21"/>
              </w:rPr>
            </w:pPr>
            <w:r>
              <w:rPr>
                <w:rFonts w:hint="eastAsia" w:ascii="宋体" w:hAnsi="宋体"/>
                <w:b w:val="0"/>
                <w:szCs w:val="21"/>
              </w:rPr>
              <w:t>8</w:t>
            </w:r>
            <w:r>
              <w:rPr>
                <w:rFonts w:ascii="宋体" w:hAnsi="宋体"/>
                <w:b w:val="0"/>
                <w:szCs w:val="21"/>
              </w:rPr>
              <w:t>0</w:t>
            </w:r>
          </w:p>
        </w:tc>
      </w:tr>
    </w:tbl>
    <w:p w14:paraId="44CEEBB5">
      <w:pPr>
        <w:spacing w:before="120" w:beforeLines="50" w:line="360" w:lineRule="auto"/>
        <w:ind w:firstLine="560" w:firstLineChars="200"/>
        <w:rPr>
          <w:rFonts w:ascii="宋体" w:hAnsi="宋体" w:cs="宋体"/>
          <w:b w:val="0"/>
          <w:sz w:val="28"/>
          <w:szCs w:val="28"/>
        </w:rPr>
      </w:pPr>
      <w:r>
        <w:rPr>
          <w:rFonts w:hint="eastAsia" w:ascii="宋体" w:hAnsi="宋体" w:cs="宋体"/>
          <w:b w:val="0"/>
          <w:sz w:val="28"/>
          <w:szCs w:val="28"/>
        </w:rPr>
        <w:t>按照《关于印发《企业安全生产费用提取和使用管理办法》的通知》（财资〔2022〕136号）第三十三条规定，本项目安全生产费用提取金额应按</w:t>
      </w:r>
      <w:r>
        <w:rPr>
          <w:rFonts w:ascii="宋体" w:hAnsi="宋体" w:cs="宋体"/>
          <w:b w:val="0"/>
          <w:sz w:val="28"/>
          <w:szCs w:val="28"/>
        </w:rPr>
        <w:t>如下</w:t>
      </w:r>
      <w:r>
        <w:rPr>
          <w:rFonts w:hint="eastAsia" w:ascii="宋体" w:hAnsi="宋体" w:cs="宋体"/>
          <w:b w:val="0"/>
          <w:sz w:val="28"/>
          <w:szCs w:val="28"/>
        </w:rPr>
        <w:t>提取</w:t>
      </w:r>
      <w:r>
        <w:rPr>
          <w:rFonts w:ascii="宋体" w:hAnsi="宋体" w:cs="宋体"/>
          <w:b w:val="0"/>
          <w:sz w:val="28"/>
          <w:szCs w:val="28"/>
        </w:rPr>
        <w:t>：</w:t>
      </w:r>
    </w:p>
    <w:p w14:paraId="108FD626">
      <w:pPr>
        <w:spacing w:line="360" w:lineRule="auto"/>
        <w:ind w:firstLine="560" w:firstLineChars="200"/>
        <w:rPr>
          <w:rFonts w:ascii="宋体" w:hAnsi="宋体" w:cs="宋体"/>
          <w:b w:val="0"/>
          <w:sz w:val="28"/>
          <w:szCs w:val="28"/>
        </w:rPr>
      </w:pPr>
      <w:r>
        <w:rPr>
          <w:rFonts w:ascii="宋体" w:hAnsi="宋体" w:cs="宋体"/>
          <w:b w:val="0"/>
          <w:sz w:val="28"/>
          <w:szCs w:val="28"/>
        </w:rPr>
        <w:t>（一）上一年度营业收入不超过1000万元的，按照4%提取；</w:t>
      </w:r>
    </w:p>
    <w:p w14:paraId="2C5DC7D5">
      <w:pPr>
        <w:spacing w:line="360" w:lineRule="auto"/>
        <w:ind w:firstLine="560" w:firstLineChars="200"/>
        <w:rPr>
          <w:rFonts w:ascii="宋体" w:hAnsi="宋体" w:cs="宋体"/>
          <w:b w:val="0"/>
          <w:sz w:val="28"/>
          <w:szCs w:val="28"/>
        </w:rPr>
      </w:pPr>
      <w:r>
        <w:rPr>
          <w:rFonts w:ascii="宋体" w:hAnsi="宋体" w:cs="宋体"/>
          <w:b w:val="0"/>
          <w:sz w:val="28"/>
          <w:szCs w:val="28"/>
        </w:rPr>
        <w:t>（二）上一年度营业收入超过1000万元至2000万元的部分，按照3%提取；</w:t>
      </w:r>
    </w:p>
    <w:p w14:paraId="7F7D3D93">
      <w:pPr>
        <w:spacing w:line="360" w:lineRule="auto"/>
        <w:ind w:firstLine="560" w:firstLineChars="200"/>
      </w:pPr>
      <w:r>
        <w:rPr>
          <w:rFonts w:ascii="宋体" w:hAnsi="宋体" w:cs="宋体"/>
          <w:b w:val="0"/>
          <w:sz w:val="28"/>
          <w:szCs w:val="28"/>
        </w:rPr>
        <w:t>（三）上一年度营业收入超过2000万元的部分，按照2.5%提取。</w:t>
      </w:r>
    </w:p>
    <w:p w14:paraId="0B80CA19">
      <w:pPr>
        <w:keepNext/>
        <w:pageBreakBefore/>
        <w:widowControl/>
        <w:spacing w:before="120" w:beforeLines="50" w:line="360" w:lineRule="auto"/>
        <w:jc w:val="center"/>
        <w:outlineLvl w:val="0"/>
        <w:rPr>
          <w:rFonts w:ascii="黑体" w:hAnsi="宋体" w:eastAsia="黑体"/>
          <w:b w:val="0"/>
          <w:sz w:val="32"/>
          <w:szCs w:val="32"/>
        </w:rPr>
      </w:pPr>
      <w:bookmarkStart w:id="175" w:name="_Toc205979638"/>
      <w:bookmarkStart w:id="176" w:name="_Toc484637211"/>
      <w:bookmarkStart w:id="177" w:name="_Toc110569895"/>
      <w:r>
        <w:rPr>
          <w:rFonts w:hint="eastAsia" w:ascii="黑体" w:hAnsi="宋体" w:eastAsia="黑体"/>
          <w:b w:val="0"/>
          <w:sz w:val="32"/>
          <w:szCs w:val="32"/>
        </w:rPr>
        <w:t>第三章 主要危险、</w:t>
      </w:r>
      <w:r>
        <w:rPr>
          <w:rFonts w:ascii="黑体" w:hAnsi="宋体" w:eastAsia="黑体"/>
          <w:b w:val="0"/>
          <w:sz w:val="32"/>
          <w:szCs w:val="32"/>
        </w:rPr>
        <w:t>有害因素</w:t>
      </w:r>
      <w:r>
        <w:rPr>
          <w:rFonts w:hint="eastAsia" w:ascii="黑体" w:hAnsi="宋体" w:eastAsia="黑体"/>
          <w:b w:val="0"/>
          <w:sz w:val="32"/>
          <w:szCs w:val="32"/>
        </w:rPr>
        <w:t>辩识与分析</w:t>
      </w:r>
      <w:bookmarkEnd w:id="175"/>
      <w:bookmarkEnd w:id="176"/>
    </w:p>
    <w:p w14:paraId="5DDC09ED">
      <w:pPr>
        <w:keepNext/>
        <w:snapToGrid w:val="0"/>
        <w:spacing w:line="360" w:lineRule="auto"/>
        <w:outlineLvl w:val="1"/>
        <w:rPr>
          <w:rFonts w:ascii="黑体" w:hAnsi="黑体" w:eastAsia="黑体" w:cs="楷体"/>
          <w:b w:val="0"/>
          <w:sz w:val="30"/>
          <w:szCs w:val="30"/>
        </w:rPr>
      </w:pPr>
      <w:bookmarkStart w:id="178" w:name="_Toc24180"/>
      <w:bookmarkStart w:id="179" w:name="_Toc124539517"/>
      <w:bookmarkStart w:id="180" w:name="_Toc65855306"/>
      <w:bookmarkStart w:id="181" w:name="_Toc205979639"/>
      <w:bookmarkStart w:id="182" w:name="_Toc8285"/>
      <w:bookmarkStart w:id="183" w:name="_Toc156035574"/>
      <w:r>
        <w:rPr>
          <w:rFonts w:hint="eastAsia" w:ascii="黑体" w:hAnsi="黑体" w:eastAsia="黑体" w:cs="楷体"/>
          <w:b w:val="0"/>
          <w:sz w:val="30"/>
          <w:szCs w:val="30"/>
        </w:rPr>
        <w:t>3.1物质的危险性</w:t>
      </w:r>
      <w:bookmarkEnd w:id="178"/>
      <w:bookmarkEnd w:id="179"/>
      <w:bookmarkEnd w:id="180"/>
      <w:bookmarkEnd w:id="181"/>
      <w:bookmarkEnd w:id="182"/>
      <w:bookmarkEnd w:id="183"/>
    </w:p>
    <w:p w14:paraId="20D7D4C1">
      <w:pPr>
        <w:spacing w:line="360" w:lineRule="auto"/>
        <w:ind w:firstLine="562" w:firstLineChars="200"/>
        <w:jc w:val="left"/>
        <w:rPr>
          <w:rFonts w:ascii="宋体" w:hAnsi="宋体" w:cs="宋体"/>
          <w:sz w:val="28"/>
          <w:szCs w:val="28"/>
        </w:rPr>
      </w:pPr>
      <w:bookmarkStart w:id="184" w:name="_Toc65855307"/>
      <w:bookmarkStart w:id="185" w:name="_Toc156035575"/>
      <w:r>
        <w:rPr>
          <w:rFonts w:hint="eastAsia" w:ascii="宋体" w:hAnsi="宋体" w:cs="宋体"/>
          <w:sz w:val="28"/>
          <w:szCs w:val="28"/>
        </w:rPr>
        <w:t>1、危险特性</w:t>
      </w:r>
    </w:p>
    <w:p w14:paraId="30D3B133">
      <w:pPr>
        <w:spacing w:line="360" w:lineRule="auto"/>
        <w:ind w:firstLine="560" w:firstLineChars="200"/>
        <w:rPr>
          <w:rFonts w:ascii="宋体" w:hAnsi="宋体" w:cs="宋体"/>
          <w:b w:val="0"/>
          <w:sz w:val="28"/>
          <w:szCs w:val="28"/>
        </w:rPr>
      </w:pPr>
      <w:r>
        <w:rPr>
          <w:rFonts w:hint="eastAsia" w:ascii="宋体" w:hAnsi="宋体" w:cs="宋体"/>
          <w:b w:val="0"/>
          <w:sz w:val="28"/>
          <w:szCs w:val="28"/>
        </w:rPr>
        <w:t>烟花爆竹是以由氧化剂与还原剂等组成的烟火药为原料，经过工艺制作而成的娱乐产品。</w:t>
      </w:r>
    </w:p>
    <w:p w14:paraId="3BF0BD4C">
      <w:pPr>
        <w:spacing w:line="360" w:lineRule="auto"/>
        <w:ind w:firstLine="560" w:firstLineChars="200"/>
        <w:rPr>
          <w:rFonts w:ascii="宋体" w:hAnsi="宋体" w:cs="宋体"/>
          <w:b w:val="0"/>
          <w:sz w:val="28"/>
          <w:szCs w:val="28"/>
        </w:rPr>
      </w:pPr>
      <w:r>
        <w:rPr>
          <w:rFonts w:hint="eastAsia" w:ascii="宋体" w:hAnsi="宋体" w:cs="宋体"/>
          <w:b w:val="0"/>
          <w:sz w:val="28"/>
          <w:szCs w:val="28"/>
          <w:lang w:val="en-GB"/>
        </w:rPr>
        <w:t>该企业异地新建烟花爆竹库区项目库房拟储存</w:t>
      </w:r>
      <w:r>
        <w:rPr>
          <w:rFonts w:hint="eastAsia" w:ascii="宋体" w:hAnsi="宋体" w:cs="Arial"/>
          <w:b w:val="0"/>
          <w:sz w:val="28"/>
        </w:rPr>
        <w:t>爆竹类（C级）、喷花类（C级、D级）、旋转类（C级、D级）、升空类（C级）、吐珠类（C级）、玩具类（C级、D级）、架子烟花类（B级、C级）、组合烟花类（B级、C级、D级）</w:t>
      </w:r>
      <w:r>
        <w:rPr>
          <w:rFonts w:hint="eastAsia" w:ascii="宋体" w:hAnsi="宋体" w:cs="宋体"/>
          <w:b w:val="0"/>
          <w:sz w:val="28"/>
          <w:szCs w:val="28"/>
          <w:lang w:val="en-GB"/>
        </w:rPr>
        <w:t>，</w:t>
      </w:r>
      <w:r>
        <w:rPr>
          <w:rFonts w:hint="eastAsia" w:ascii="宋体" w:hAnsi="宋体" w:cs="宋体"/>
          <w:b w:val="0"/>
          <w:sz w:val="28"/>
          <w:szCs w:val="28"/>
        </w:rPr>
        <w:t>其特性为：</w:t>
      </w:r>
    </w:p>
    <w:p w14:paraId="11208E36">
      <w:pPr>
        <w:spacing w:line="360" w:lineRule="auto"/>
        <w:ind w:firstLine="560" w:firstLineChars="200"/>
        <w:rPr>
          <w:rFonts w:ascii="宋体" w:hAnsi="宋体" w:cs="宋体"/>
          <w:b w:val="0"/>
          <w:sz w:val="28"/>
          <w:szCs w:val="28"/>
        </w:rPr>
      </w:pPr>
      <w:r>
        <w:rPr>
          <w:rFonts w:hint="eastAsia" w:ascii="宋体" w:hAnsi="宋体" w:cs="宋体"/>
          <w:b w:val="0"/>
          <w:sz w:val="28"/>
          <w:szCs w:val="28"/>
        </w:rPr>
        <w:t>1）遇热危险性：遇热作用时容易发生燃烧或爆炸。</w:t>
      </w:r>
    </w:p>
    <w:p w14:paraId="7A59376E">
      <w:pPr>
        <w:spacing w:line="360" w:lineRule="auto"/>
        <w:ind w:firstLine="560" w:firstLineChars="200"/>
        <w:rPr>
          <w:rFonts w:ascii="宋体" w:hAnsi="宋体" w:cs="宋体"/>
          <w:b w:val="0"/>
          <w:sz w:val="28"/>
          <w:szCs w:val="28"/>
        </w:rPr>
      </w:pPr>
      <w:r>
        <w:rPr>
          <w:rFonts w:hint="eastAsia" w:ascii="宋体" w:hAnsi="宋体" w:cs="宋体"/>
          <w:b w:val="0"/>
          <w:sz w:val="28"/>
          <w:szCs w:val="28"/>
        </w:rPr>
        <w:t>2）机械作用危险性：受到撞击、震动、摩擦等机械作用时容易发生燃烧或爆炸。</w:t>
      </w:r>
    </w:p>
    <w:p w14:paraId="6EC2886F">
      <w:pPr>
        <w:spacing w:line="360" w:lineRule="auto"/>
        <w:ind w:firstLine="560" w:firstLineChars="200"/>
        <w:rPr>
          <w:rFonts w:ascii="宋体" w:hAnsi="宋体" w:cs="宋体"/>
          <w:b w:val="0"/>
          <w:sz w:val="28"/>
          <w:szCs w:val="28"/>
        </w:rPr>
      </w:pPr>
      <w:r>
        <w:rPr>
          <w:rFonts w:hint="eastAsia" w:ascii="宋体" w:hAnsi="宋体" w:cs="宋体"/>
          <w:b w:val="0"/>
          <w:sz w:val="28"/>
          <w:szCs w:val="28"/>
        </w:rPr>
        <w:t>3）电能危险性：受电作用时容易发生燃烧或爆炸。在储存、运输过程中如果有容易产生静电的工具、器材，一旦发生静电放电就可能引发事故。</w:t>
      </w:r>
    </w:p>
    <w:p w14:paraId="06DBEA93">
      <w:pPr>
        <w:spacing w:line="360" w:lineRule="auto"/>
        <w:ind w:firstLine="560" w:firstLineChars="200"/>
        <w:rPr>
          <w:rFonts w:ascii="宋体" w:hAnsi="宋体" w:cs="宋体"/>
          <w:b w:val="0"/>
          <w:sz w:val="28"/>
          <w:szCs w:val="28"/>
        </w:rPr>
      </w:pPr>
      <w:r>
        <w:rPr>
          <w:rFonts w:hint="eastAsia" w:ascii="宋体" w:hAnsi="宋体" w:cs="宋体"/>
          <w:b w:val="0"/>
          <w:sz w:val="28"/>
          <w:szCs w:val="28"/>
        </w:rPr>
        <w:t>4）毒害性：制作半成品、成品所用的氧化剂和还原剂大都有毒害作用和腐蚀作用，接触时容易引起人体中毒。</w:t>
      </w:r>
    </w:p>
    <w:p w14:paraId="74EA47A6">
      <w:pPr>
        <w:spacing w:line="360" w:lineRule="auto"/>
        <w:ind w:firstLine="560" w:firstLineChars="200"/>
        <w:rPr>
          <w:rFonts w:ascii="宋体" w:hAnsi="宋体"/>
          <w:b w:val="0"/>
          <w:sz w:val="28"/>
          <w:szCs w:val="28"/>
        </w:rPr>
      </w:pPr>
      <w:r>
        <w:rPr>
          <w:rFonts w:hint="eastAsia" w:ascii="宋体" w:hAnsi="宋体" w:cs="宋体"/>
          <w:b w:val="0"/>
          <w:sz w:val="28"/>
          <w:szCs w:val="28"/>
          <w:lang w:val="en-GB"/>
        </w:rPr>
        <w:t>（1）</w:t>
      </w:r>
      <w:r>
        <w:rPr>
          <w:rFonts w:hint="eastAsia" w:ascii="宋体" w:hAnsi="宋体"/>
          <w:b w:val="0"/>
          <w:sz w:val="28"/>
          <w:szCs w:val="28"/>
        </w:rPr>
        <w:t>爆竹类：燃放时主体爆炸（主体筒体破碎或者爆裂）但不升空，产生爆炸声音、闪光等效果，以听觉效果为主的产品。</w:t>
      </w:r>
    </w:p>
    <w:p w14:paraId="752B493A">
      <w:pPr>
        <w:spacing w:line="360" w:lineRule="auto"/>
        <w:ind w:firstLine="560" w:firstLineChars="200"/>
        <w:rPr>
          <w:rFonts w:ascii="宋体" w:hAnsi="宋体"/>
          <w:b w:val="0"/>
          <w:sz w:val="28"/>
          <w:szCs w:val="28"/>
        </w:rPr>
      </w:pPr>
      <w:r>
        <w:rPr>
          <w:rFonts w:hint="eastAsia" w:ascii="宋体" w:hAnsi="宋体"/>
          <w:b w:val="0"/>
          <w:sz w:val="28"/>
          <w:szCs w:val="28"/>
        </w:rPr>
        <w:t>主要危险：因产品结构与设计不相符，使用违禁药物，装药量超过最大值规定，引火线破损，漏药，爆燃等引起的火灾与爆炸。</w:t>
      </w:r>
    </w:p>
    <w:p w14:paraId="1803E7C3">
      <w:pPr>
        <w:spacing w:line="360" w:lineRule="auto"/>
        <w:ind w:firstLine="560" w:firstLineChars="200"/>
        <w:rPr>
          <w:rFonts w:ascii="宋体" w:hAnsi="宋体"/>
          <w:b w:val="0"/>
          <w:sz w:val="28"/>
          <w:szCs w:val="28"/>
        </w:rPr>
      </w:pPr>
      <w:r>
        <w:rPr>
          <w:rFonts w:hint="eastAsia" w:ascii="宋体" w:hAnsi="宋体"/>
          <w:b w:val="0"/>
          <w:sz w:val="28"/>
          <w:szCs w:val="28"/>
        </w:rPr>
        <w:t>主要危害：烧伤，炸伤。</w:t>
      </w:r>
    </w:p>
    <w:p w14:paraId="759E2362">
      <w:pPr>
        <w:spacing w:line="360" w:lineRule="auto"/>
        <w:ind w:firstLine="560" w:firstLineChars="200"/>
        <w:rPr>
          <w:rFonts w:ascii="宋体" w:hAnsi="宋体"/>
          <w:b w:val="0"/>
          <w:sz w:val="28"/>
          <w:szCs w:val="28"/>
        </w:rPr>
      </w:pPr>
      <w:r>
        <w:rPr>
          <w:rFonts w:hint="eastAsia" w:ascii="宋体" w:hAnsi="宋体"/>
          <w:b w:val="0"/>
          <w:sz w:val="28"/>
          <w:szCs w:val="28"/>
        </w:rPr>
        <w:t>储存措施：储存于阴凉、通风、干燥的仓库内，隔绝热源和明火。</w:t>
      </w:r>
    </w:p>
    <w:p w14:paraId="4557588B">
      <w:pPr>
        <w:spacing w:line="360" w:lineRule="auto"/>
        <w:ind w:firstLine="560" w:firstLineChars="200"/>
        <w:rPr>
          <w:rFonts w:ascii="宋体" w:hAnsi="宋体"/>
          <w:b w:val="0"/>
          <w:sz w:val="28"/>
          <w:szCs w:val="28"/>
          <w:lang w:val="en-GB"/>
        </w:rPr>
      </w:pPr>
      <w:r>
        <w:rPr>
          <w:rFonts w:hint="eastAsia" w:ascii="宋体" w:hAnsi="宋体"/>
          <w:b w:val="0"/>
          <w:bCs/>
          <w:sz w:val="28"/>
          <w:szCs w:val="28"/>
          <w:lang w:val="en-GB"/>
        </w:rPr>
        <w:t>（</w:t>
      </w:r>
      <w:r>
        <w:rPr>
          <w:rFonts w:ascii="宋体" w:hAnsi="宋体"/>
          <w:b w:val="0"/>
          <w:bCs/>
          <w:sz w:val="28"/>
          <w:szCs w:val="28"/>
          <w:lang w:val="en-GB"/>
        </w:rPr>
        <w:t>2</w:t>
      </w:r>
      <w:r>
        <w:rPr>
          <w:rFonts w:hint="eastAsia" w:ascii="宋体" w:hAnsi="宋体"/>
          <w:b w:val="0"/>
          <w:bCs/>
          <w:sz w:val="28"/>
          <w:szCs w:val="28"/>
          <w:lang w:val="en-GB"/>
        </w:rPr>
        <w:t>）喷花类：</w:t>
      </w:r>
      <w:r>
        <w:rPr>
          <w:rFonts w:hint="eastAsia" w:ascii="宋体" w:hAnsi="宋体"/>
          <w:b w:val="0"/>
          <w:sz w:val="28"/>
          <w:szCs w:val="28"/>
          <w:lang w:val="en-GB"/>
        </w:rPr>
        <w:t>燃放时以直向喷射火苗、火花、响声（响珠）为主的产品。</w:t>
      </w:r>
    </w:p>
    <w:p w14:paraId="6C42451E">
      <w:pPr>
        <w:spacing w:line="360" w:lineRule="auto"/>
        <w:ind w:firstLine="560" w:firstLineChars="200"/>
        <w:rPr>
          <w:rFonts w:ascii="宋体" w:hAnsi="宋体"/>
          <w:b w:val="0"/>
          <w:sz w:val="28"/>
          <w:szCs w:val="28"/>
        </w:rPr>
      </w:pPr>
      <w:r>
        <w:rPr>
          <w:rFonts w:hint="eastAsia" w:ascii="宋体" w:hAnsi="宋体"/>
          <w:b w:val="0"/>
          <w:sz w:val="28"/>
          <w:szCs w:val="28"/>
        </w:rPr>
        <w:t>主要危险：因产品结构与设计不相符，使用违禁药物，装药量超过最大值规定，部件安装稳定性、牢固性不符合要求，底塞不牢固，引火线破损、引燃主体时间和旁燃时间不符要求，漏药，炸筒、散筒，速燃、爆燃，冲底、产品倒筒及行走，燃放中断、冲筒、熄引等引起的火灾与爆炸。</w:t>
      </w:r>
    </w:p>
    <w:p w14:paraId="369BFFA7">
      <w:pPr>
        <w:spacing w:line="360" w:lineRule="auto"/>
        <w:ind w:firstLine="560" w:firstLineChars="200"/>
        <w:rPr>
          <w:rFonts w:ascii="宋体" w:hAnsi="宋体"/>
          <w:b w:val="0"/>
          <w:sz w:val="28"/>
          <w:szCs w:val="28"/>
        </w:rPr>
      </w:pPr>
      <w:r>
        <w:rPr>
          <w:rFonts w:hint="eastAsia" w:ascii="宋体" w:hAnsi="宋体"/>
          <w:b w:val="0"/>
          <w:sz w:val="28"/>
          <w:szCs w:val="28"/>
        </w:rPr>
        <w:t>主要危害：</w:t>
      </w:r>
      <w:r>
        <w:rPr>
          <w:rFonts w:hint="eastAsia" w:ascii="宋体" w:hAnsi="宋体" w:cs="宋体"/>
          <w:b w:val="0"/>
          <w:bCs/>
          <w:sz w:val="28"/>
          <w:szCs w:val="28"/>
        </w:rPr>
        <w:t>烧伤，炸伤</w:t>
      </w:r>
      <w:r>
        <w:rPr>
          <w:rFonts w:hint="eastAsia" w:ascii="宋体" w:hAnsi="宋体" w:cs="宋体"/>
          <w:b w:val="0"/>
          <w:sz w:val="28"/>
          <w:szCs w:val="28"/>
        </w:rPr>
        <w:t>。</w:t>
      </w:r>
    </w:p>
    <w:p w14:paraId="6AC4792F">
      <w:pPr>
        <w:spacing w:line="360" w:lineRule="auto"/>
        <w:ind w:firstLine="560" w:firstLineChars="200"/>
        <w:rPr>
          <w:rFonts w:ascii="宋体" w:hAnsi="宋体"/>
          <w:b w:val="0"/>
          <w:sz w:val="28"/>
          <w:szCs w:val="28"/>
        </w:rPr>
      </w:pPr>
      <w:r>
        <w:rPr>
          <w:rFonts w:hint="eastAsia" w:ascii="宋体" w:hAnsi="宋体"/>
          <w:b w:val="0"/>
          <w:sz w:val="28"/>
          <w:szCs w:val="28"/>
        </w:rPr>
        <w:t>储存措施：储存于阴凉、通风、干燥的仓库内，隔绝热源和明火。</w:t>
      </w:r>
    </w:p>
    <w:p w14:paraId="6E8C69DA">
      <w:pPr>
        <w:spacing w:line="360" w:lineRule="auto"/>
        <w:ind w:firstLine="560" w:firstLineChars="200"/>
        <w:rPr>
          <w:rFonts w:ascii="宋体" w:hAnsi="宋体"/>
          <w:b w:val="0"/>
          <w:sz w:val="28"/>
          <w:szCs w:val="28"/>
        </w:rPr>
      </w:pPr>
      <w:r>
        <w:rPr>
          <w:rFonts w:hint="eastAsia" w:ascii="宋体" w:hAnsi="宋体"/>
          <w:b w:val="0"/>
          <w:sz w:val="28"/>
          <w:szCs w:val="28"/>
        </w:rPr>
        <w:t>（</w:t>
      </w:r>
      <w:r>
        <w:rPr>
          <w:rFonts w:ascii="宋体" w:hAnsi="宋体"/>
          <w:b w:val="0"/>
          <w:sz w:val="28"/>
          <w:szCs w:val="28"/>
        </w:rPr>
        <w:t>3</w:t>
      </w:r>
      <w:r>
        <w:rPr>
          <w:rFonts w:hint="eastAsia" w:ascii="宋体" w:hAnsi="宋体"/>
          <w:b w:val="0"/>
          <w:sz w:val="28"/>
          <w:szCs w:val="28"/>
        </w:rPr>
        <w:t>）旋转类：燃放时主体自身旋转但不升空的产品。</w:t>
      </w:r>
    </w:p>
    <w:p w14:paraId="0D4A3EC6">
      <w:pPr>
        <w:spacing w:line="360" w:lineRule="auto"/>
        <w:ind w:firstLine="560" w:firstLineChars="200"/>
        <w:rPr>
          <w:rFonts w:ascii="宋体" w:hAnsi="宋体"/>
          <w:b w:val="0"/>
          <w:sz w:val="28"/>
          <w:szCs w:val="28"/>
        </w:rPr>
      </w:pPr>
      <w:r>
        <w:rPr>
          <w:rFonts w:hint="eastAsia" w:ascii="宋体" w:hAnsi="宋体"/>
          <w:b w:val="0"/>
          <w:sz w:val="28"/>
          <w:szCs w:val="28"/>
        </w:rPr>
        <w:t>主要危险：因产品结构与设计不相符，使用违禁药物，装药量超过最大值规定，引火线破损、引燃主体时间和旁燃时间不符要求，漏药，旋转范围、飞离地面高度大于规定要求，旋转断线，冲底、冲头，喷射高度大于规定，燃放中断、冲筒、熄引等引起的火灾与爆炸。</w:t>
      </w:r>
    </w:p>
    <w:p w14:paraId="6653B975">
      <w:pPr>
        <w:spacing w:line="360" w:lineRule="auto"/>
        <w:ind w:firstLine="560" w:firstLineChars="200"/>
        <w:rPr>
          <w:rFonts w:ascii="宋体" w:hAnsi="宋体"/>
          <w:b w:val="0"/>
          <w:sz w:val="28"/>
          <w:szCs w:val="28"/>
        </w:rPr>
      </w:pPr>
      <w:r>
        <w:rPr>
          <w:rFonts w:hint="eastAsia" w:ascii="宋体" w:hAnsi="宋体"/>
          <w:b w:val="0"/>
          <w:sz w:val="28"/>
          <w:szCs w:val="28"/>
        </w:rPr>
        <w:t>主要危害：</w:t>
      </w:r>
      <w:r>
        <w:rPr>
          <w:rFonts w:hint="eastAsia" w:ascii="宋体" w:hAnsi="宋体"/>
          <w:b w:val="0"/>
          <w:bCs/>
          <w:sz w:val="28"/>
          <w:szCs w:val="28"/>
        </w:rPr>
        <w:t>烧伤，炸伤</w:t>
      </w:r>
      <w:r>
        <w:rPr>
          <w:rFonts w:hint="eastAsia" w:ascii="宋体" w:hAnsi="宋体"/>
          <w:b w:val="0"/>
          <w:sz w:val="28"/>
          <w:szCs w:val="28"/>
        </w:rPr>
        <w:t>。</w:t>
      </w:r>
    </w:p>
    <w:p w14:paraId="411642B6">
      <w:pPr>
        <w:spacing w:line="360" w:lineRule="auto"/>
        <w:ind w:firstLine="560" w:firstLineChars="200"/>
        <w:rPr>
          <w:rFonts w:ascii="宋体" w:hAnsi="宋体"/>
          <w:b w:val="0"/>
          <w:sz w:val="28"/>
          <w:szCs w:val="28"/>
        </w:rPr>
      </w:pPr>
      <w:r>
        <w:rPr>
          <w:rFonts w:hint="eastAsia" w:ascii="宋体" w:hAnsi="宋体"/>
          <w:b w:val="0"/>
          <w:sz w:val="28"/>
          <w:szCs w:val="28"/>
        </w:rPr>
        <w:t>储存措施：储存于阴凉、通风、干燥的仓库内，隔绝热源和明火。</w:t>
      </w:r>
    </w:p>
    <w:p w14:paraId="170FFFEB">
      <w:pPr>
        <w:spacing w:line="360" w:lineRule="auto"/>
        <w:ind w:firstLine="560" w:firstLineChars="200"/>
        <w:rPr>
          <w:rFonts w:ascii="宋体" w:hAnsi="宋体"/>
          <w:b w:val="0"/>
          <w:sz w:val="28"/>
          <w:szCs w:val="28"/>
          <w:lang w:val="en-GB"/>
        </w:rPr>
      </w:pPr>
      <w:r>
        <w:rPr>
          <w:rFonts w:hint="eastAsia" w:ascii="宋体" w:hAnsi="宋体"/>
          <w:b w:val="0"/>
          <w:bCs/>
          <w:sz w:val="28"/>
          <w:szCs w:val="28"/>
          <w:lang w:val="en-GB"/>
        </w:rPr>
        <w:t>（</w:t>
      </w:r>
      <w:r>
        <w:rPr>
          <w:rFonts w:ascii="宋体" w:hAnsi="宋体"/>
          <w:b w:val="0"/>
          <w:bCs/>
          <w:sz w:val="28"/>
          <w:szCs w:val="28"/>
          <w:lang w:val="en-GB"/>
        </w:rPr>
        <w:t>4</w:t>
      </w:r>
      <w:r>
        <w:rPr>
          <w:rFonts w:hint="eastAsia" w:ascii="宋体" w:hAnsi="宋体"/>
          <w:b w:val="0"/>
          <w:bCs/>
          <w:sz w:val="28"/>
          <w:szCs w:val="28"/>
          <w:lang w:val="en-GB"/>
        </w:rPr>
        <w:t>）升空类：</w:t>
      </w:r>
      <w:r>
        <w:rPr>
          <w:rFonts w:hint="eastAsia" w:ascii="宋体" w:hAnsi="宋体"/>
          <w:b w:val="0"/>
          <w:sz w:val="28"/>
          <w:szCs w:val="28"/>
          <w:lang w:val="en-GB"/>
        </w:rPr>
        <w:t>燃放时主体定向或旋转升空的产品。</w:t>
      </w:r>
    </w:p>
    <w:p w14:paraId="269F6AAF">
      <w:pPr>
        <w:spacing w:line="360" w:lineRule="auto"/>
        <w:ind w:firstLine="560" w:firstLineChars="200"/>
        <w:rPr>
          <w:rFonts w:ascii="宋体" w:hAnsi="宋体"/>
          <w:b w:val="0"/>
          <w:sz w:val="28"/>
          <w:szCs w:val="28"/>
        </w:rPr>
      </w:pPr>
      <w:r>
        <w:rPr>
          <w:rFonts w:hint="eastAsia" w:ascii="宋体" w:hAnsi="宋体"/>
          <w:b w:val="0"/>
          <w:sz w:val="28"/>
          <w:szCs w:val="28"/>
        </w:rPr>
        <w:t>主要危险：因产品结构与设计不相符，使用违禁药物，装药量超过最大值规定，部件安装稳定性、牢固性不符合要求，不能承受喷火或升空的冲击力，引火线破损、引燃主体时间不符要求，漏药，炸筒、速燃、爆燃，平飞、低炸，发射极限角大于规定要求，升空高度小于规定要求，燃放中断、冲筒、熄引等引起的火灾与爆炸。</w:t>
      </w:r>
    </w:p>
    <w:p w14:paraId="52CDAF34">
      <w:pPr>
        <w:spacing w:line="360" w:lineRule="auto"/>
        <w:ind w:firstLine="560" w:firstLineChars="200"/>
        <w:rPr>
          <w:rFonts w:ascii="宋体" w:hAnsi="宋体"/>
          <w:b w:val="0"/>
          <w:sz w:val="28"/>
          <w:szCs w:val="28"/>
        </w:rPr>
      </w:pPr>
      <w:r>
        <w:rPr>
          <w:rFonts w:hint="eastAsia" w:ascii="宋体" w:hAnsi="宋体"/>
          <w:b w:val="0"/>
          <w:sz w:val="28"/>
          <w:szCs w:val="28"/>
        </w:rPr>
        <w:t>主要危害：</w:t>
      </w:r>
      <w:r>
        <w:rPr>
          <w:rFonts w:hint="eastAsia" w:ascii="宋体" w:hAnsi="宋体" w:cs="宋体"/>
          <w:b w:val="0"/>
          <w:bCs/>
          <w:sz w:val="28"/>
          <w:szCs w:val="28"/>
        </w:rPr>
        <w:t>烧伤，炸伤</w:t>
      </w:r>
      <w:r>
        <w:rPr>
          <w:rFonts w:hint="eastAsia" w:ascii="宋体" w:hAnsi="宋体" w:cs="宋体"/>
          <w:b w:val="0"/>
          <w:sz w:val="28"/>
          <w:szCs w:val="28"/>
        </w:rPr>
        <w:t>。</w:t>
      </w:r>
    </w:p>
    <w:p w14:paraId="05EA824A">
      <w:pPr>
        <w:spacing w:line="360" w:lineRule="auto"/>
        <w:ind w:firstLine="560" w:firstLineChars="200"/>
        <w:rPr>
          <w:rFonts w:ascii="宋体" w:hAnsi="宋体"/>
          <w:bCs/>
          <w:sz w:val="28"/>
          <w:szCs w:val="28"/>
          <w:lang w:val="en-GB"/>
        </w:rPr>
      </w:pPr>
      <w:r>
        <w:rPr>
          <w:rFonts w:hint="eastAsia" w:ascii="宋体" w:hAnsi="宋体"/>
          <w:b w:val="0"/>
          <w:sz w:val="28"/>
          <w:szCs w:val="28"/>
        </w:rPr>
        <w:t>储存措施：储存于阴凉、通风、干燥的仓库内，隔绝热源和明火。</w:t>
      </w:r>
    </w:p>
    <w:p w14:paraId="096D63EE">
      <w:pPr>
        <w:spacing w:line="360" w:lineRule="auto"/>
        <w:ind w:firstLine="560" w:firstLineChars="200"/>
        <w:rPr>
          <w:rFonts w:ascii="宋体" w:hAnsi="宋体"/>
          <w:b w:val="0"/>
          <w:sz w:val="28"/>
          <w:szCs w:val="28"/>
        </w:rPr>
      </w:pPr>
      <w:r>
        <w:rPr>
          <w:rFonts w:hint="eastAsia" w:ascii="宋体" w:hAnsi="宋体"/>
          <w:b w:val="0"/>
          <w:sz w:val="28"/>
          <w:szCs w:val="28"/>
        </w:rPr>
        <w:t>（</w:t>
      </w:r>
      <w:r>
        <w:rPr>
          <w:rFonts w:ascii="宋体" w:hAnsi="宋体"/>
          <w:b w:val="0"/>
          <w:sz w:val="28"/>
          <w:szCs w:val="28"/>
        </w:rPr>
        <w:t>5</w:t>
      </w:r>
      <w:r>
        <w:rPr>
          <w:rFonts w:hint="eastAsia" w:ascii="宋体" w:hAnsi="宋体"/>
          <w:b w:val="0"/>
          <w:sz w:val="28"/>
          <w:szCs w:val="28"/>
        </w:rPr>
        <w:t>）吐珠类：燃放时从同一筒体内有规律地发射出（药粒或药柱）彩珠、彩花、声响等效果的产品。</w:t>
      </w:r>
    </w:p>
    <w:p w14:paraId="392FE790">
      <w:pPr>
        <w:spacing w:line="360" w:lineRule="auto"/>
        <w:ind w:firstLine="560" w:firstLineChars="200"/>
        <w:rPr>
          <w:rFonts w:ascii="宋体" w:hAnsi="宋体"/>
          <w:b w:val="0"/>
          <w:sz w:val="28"/>
          <w:szCs w:val="28"/>
        </w:rPr>
      </w:pPr>
      <w:r>
        <w:rPr>
          <w:rFonts w:hint="eastAsia" w:ascii="宋体" w:hAnsi="宋体"/>
          <w:b w:val="0"/>
          <w:sz w:val="28"/>
          <w:szCs w:val="28"/>
        </w:rPr>
        <w:t>主要危险：因产品结构与设计不相符，使用违禁药物，装药量超过最大值规定，手持部分低于最短长度规定，部件安装稳定性、牢固性不符合要求，筒体和底塞耐压值不符合要求，不能承受喷射的冲击力，引火线破损、引燃主体时间和旁燃时间不符要求，漏药，炸筒、手持产品速燃、爆燃，冲底、地面（插地）产品倒筒，亮珠发射距离与高度不符合要求，燃放中断、冲筒、熄引等引起的火灾与爆炸。</w:t>
      </w:r>
    </w:p>
    <w:p w14:paraId="603BA413">
      <w:pPr>
        <w:spacing w:line="360" w:lineRule="auto"/>
        <w:ind w:firstLine="560" w:firstLineChars="200"/>
        <w:rPr>
          <w:rFonts w:ascii="宋体" w:hAnsi="宋体"/>
          <w:b w:val="0"/>
          <w:sz w:val="28"/>
          <w:szCs w:val="28"/>
        </w:rPr>
      </w:pPr>
      <w:r>
        <w:rPr>
          <w:rFonts w:hint="eastAsia" w:ascii="宋体" w:hAnsi="宋体"/>
          <w:b w:val="0"/>
          <w:sz w:val="28"/>
          <w:szCs w:val="28"/>
        </w:rPr>
        <w:t>主要危害：</w:t>
      </w:r>
      <w:r>
        <w:rPr>
          <w:rFonts w:hint="eastAsia" w:ascii="宋体" w:hAnsi="宋体"/>
          <w:b w:val="0"/>
          <w:bCs/>
          <w:sz w:val="28"/>
          <w:szCs w:val="28"/>
        </w:rPr>
        <w:t>烧伤，炸伤</w:t>
      </w:r>
      <w:r>
        <w:rPr>
          <w:rFonts w:hint="eastAsia" w:ascii="宋体" w:hAnsi="宋体"/>
          <w:b w:val="0"/>
          <w:sz w:val="28"/>
          <w:szCs w:val="28"/>
        </w:rPr>
        <w:t>。</w:t>
      </w:r>
    </w:p>
    <w:p w14:paraId="4C16882D">
      <w:pPr>
        <w:spacing w:line="360" w:lineRule="auto"/>
        <w:ind w:firstLine="560" w:firstLineChars="200"/>
        <w:rPr>
          <w:rFonts w:ascii="宋体" w:hAnsi="宋体"/>
          <w:b w:val="0"/>
          <w:sz w:val="28"/>
          <w:szCs w:val="28"/>
        </w:rPr>
      </w:pPr>
      <w:r>
        <w:rPr>
          <w:rFonts w:hint="eastAsia" w:ascii="宋体" w:hAnsi="宋体"/>
          <w:b w:val="0"/>
          <w:sz w:val="28"/>
          <w:szCs w:val="28"/>
        </w:rPr>
        <w:t>储存措施：储存于阴凉、通风、干燥的仓库内，隔绝热源和明火。</w:t>
      </w:r>
    </w:p>
    <w:p w14:paraId="4A3CCA4A">
      <w:pPr>
        <w:spacing w:line="360" w:lineRule="auto"/>
        <w:ind w:firstLine="560" w:firstLineChars="200"/>
        <w:rPr>
          <w:rFonts w:ascii="宋体" w:hAnsi="宋体"/>
          <w:b w:val="0"/>
          <w:sz w:val="28"/>
          <w:szCs w:val="28"/>
        </w:rPr>
      </w:pPr>
      <w:r>
        <w:rPr>
          <w:rFonts w:hint="eastAsia" w:ascii="宋体" w:hAnsi="宋体"/>
          <w:b w:val="0"/>
          <w:sz w:val="28"/>
          <w:szCs w:val="28"/>
        </w:rPr>
        <w:t>（6）玩具类：形式多样、运运范围相对较小的低空产品，燃放时产生火花、烟雾、爆响等效果，有玩具造型、线香型、摩擦型、烟雾型产品等。</w:t>
      </w:r>
    </w:p>
    <w:p w14:paraId="1766F5C6">
      <w:pPr>
        <w:spacing w:line="360" w:lineRule="auto"/>
        <w:ind w:firstLine="560" w:firstLineChars="200"/>
        <w:rPr>
          <w:rFonts w:ascii="宋体" w:hAnsi="宋体"/>
          <w:b w:val="0"/>
          <w:sz w:val="28"/>
          <w:szCs w:val="28"/>
        </w:rPr>
      </w:pPr>
      <w:r>
        <w:rPr>
          <w:rFonts w:hint="eastAsia" w:ascii="宋体" w:hAnsi="宋体"/>
          <w:b w:val="0"/>
          <w:sz w:val="28"/>
          <w:szCs w:val="28"/>
        </w:rPr>
        <w:t>主要危险：因产品结构与设计不相符，使用违禁药物，装药量超过最大值规定，手持部分低于最短长度规定，燃放中断、冲筒、熄引等引起的火灾与爆炸。</w:t>
      </w:r>
    </w:p>
    <w:p w14:paraId="7DEB85A3">
      <w:pPr>
        <w:spacing w:line="360" w:lineRule="auto"/>
        <w:ind w:firstLine="560" w:firstLineChars="200"/>
        <w:rPr>
          <w:rFonts w:ascii="宋体" w:hAnsi="宋体"/>
          <w:b w:val="0"/>
          <w:sz w:val="28"/>
          <w:szCs w:val="28"/>
        </w:rPr>
      </w:pPr>
      <w:r>
        <w:rPr>
          <w:rFonts w:hint="eastAsia" w:ascii="宋体" w:hAnsi="宋体"/>
          <w:b w:val="0"/>
          <w:sz w:val="28"/>
          <w:szCs w:val="28"/>
        </w:rPr>
        <w:t>主要危害：</w:t>
      </w:r>
      <w:r>
        <w:rPr>
          <w:rFonts w:hint="eastAsia" w:ascii="宋体" w:hAnsi="宋体"/>
          <w:b w:val="0"/>
          <w:bCs/>
          <w:sz w:val="28"/>
          <w:szCs w:val="28"/>
        </w:rPr>
        <w:t>烧伤，炸伤</w:t>
      </w:r>
      <w:r>
        <w:rPr>
          <w:rFonts w:hint="eastAsia" w:ascii="宋体" w:hAnsi="宋体"/>
          <w:b w:val="0"/>
          <w:sz w:val="28"/>
          <w:szCs w:val="28"/>
        </w:rPr>
        <w:t>。</w:t>
      </w:r>
    </w:p>
    <w:p w14:paraId="51424F96">
      <w:pPr>
        <w:spacing w:line="360" w:lineRule="auto"/>
        <w:ind w:firstLine="560" w:firstLineChars="200"/>
        <w:rPr>
          <w:rFonts w:ascii="宋体" w:hAnsi="宋体"/>
          <w:b w:val="0"/>
          <w:sz w:val="28"/>
          <w:szCs w:val="28"/>
        </w:rPr>
      </w:pPr>
      <w:r>
        <w:rPr>
          <w:rFonts w:hint="eastAsia" w:ascii="宋体" w:hAnsi="宋体"/>
          <w:b w:val="0"/>
          <w:sz w:val="28"/>
          <w:szCs w:val="28"/>
        </w:rPr>
        <w:t>储存措施：储存于阴凉、通风、干燥的仓库内，隔绝热源和明火。</w:t>
      </w:r>
    </w:p>
    <w:p w14:paraId="3AB53E9E">
      <w:pPr>
        <w:spacing w:line="360" w:lineRule="auto"/>
        <w:ind w:firstLine="560" w:firstLineChars="200"/>
        <w:rPr>
          <w:rFonts w:ascii="宋体" w:hAnsi="宋体"/>
          <w:b w:val="0"/>
          <w:sz w:val="28"/>
          <w:szCs w:val="28"/>
        </w:rPr>
      </w:pPr>
      <w:r>
        <w:rPr>
          <w:rFonts w:hint="eastAsia" w:ascii="宋体" w:hAnsi="宋体"/>
          <w:b w:val="0"/>
          <w:sz w:val="28"/>
          <w:szCs w:val="28"/>
        </w:rPr>
        <w:t>（</w:t>
      </w:r>
      <w:r>
        <w:rPr>
          <w:rFonts w:ascii="宋体" w:hAnsi="宋体"/>
          <w:b w:val="0"/>
          <w:sz w:val="28"/>
          <w:szCs w:val="28"/>
        </w:rPr>
        <w:t>7</w:t>
      </w:r>
      <w:r>
        <w:rPr>
          <w:rFonts w:hint="eastAsia" w:ascii="宋体" w:hAnsi="宋体"/>
          <w:b w:val="0"/>
          <w:sz w:val="28"/>
          <w:szCs w:val="28"/>
        </w:rPr>
        <w:t>）架子烟花类：以悬挂形式固定在架子装置上燃放的产品，燃放时、以喷射火苗、火花、形成字幕图案、瀑布、人物、山水等画面。分为瀑布、字幕、图案等。</w:t>
      </w:r>
    </w:p>
    <w:p w14:paraId="76B2EB72">
      <w:pPr>
        <w:spacing w:line="360" w:lineRule="auto"/>
        <w:ind w:firstLine="560" w:firstLineChars="200"/>
        <w:rPr>
          <w:rFonts w:ascii="宋体" w:hAnsi="宋体"/>
          <w:b w:val="0"/>
          <w:sz w:val="28"/>
          <w:szCs w:val="28"/>
        </w:rPr>
      </w:pPr>
      <w:r>
        <w:rPr>
          <w:rFonts w:hint="eastAsia" w:ascii="宋体" w:hAnsi="宋体"/>
          <w:b w:val="0"/>
          <w:sz w:val="28"/>
          <w:szCs w:val="28"/>
        </w:rPr>
        <w:t>主要危险：因产品结构与设计不相符，使用违禁药物，装药量超过最大值规定，燃放中断、冲筒、熄火等引起的火灾与爆炸。</w:t>
      </w:r>
    </w:p>
    <w:p w14:paraId="3BF61C0B">
      <w:pPr>
        <w:spacing w:line="360" w:lineRule="auto"/>
        <w:ind w:firstLine="560" w:firstLineChars="200"/>
        <w:rPr>
          <w:rFonts w:ascii="宋体" w:hAnsi="宋体"/>
          <w:b w:val="0"/>
          <w:sz w:val="28"/>
          <w:szCs w:val="28"/>
        </w:rPr>
      </w:pPr>
      <w:r>
        <w:rPr>
          <w:rFonts w:hint="eastAsia" w:ascii="宋体" w:hAnsi="宋体"/>
          <w:b w:val="0"/>
          <w:sz w:val="28"/>
          <w:szCs w:val="28"/>
        </w:rPr>
        <w:t>主要危害：烧伤，炸伤。</w:t>
      </w:r>
    </w:p>
    <w:p w14:paraId="1343129B">
      <w:pPr>
        <w:spacing w:line="360" w:lineRule="auto"/>
        <w:ind w:firstLine="560" w:firstLineChars="200"/>
        <w:rPr>
          <w:rFonts w:ascii="宋体" w:hAnsi="宋体"/>
          <w:b w:val="0"/>
          <w:sz w:val="28"/>
          <w:szCs w:val="28"/>
        </w:rPr>
      </w:pPr>
      <w:r>
        <w:rPr>
          <w:rFonts w:hint="eastAsia" w:ascii="宋体" w:hAnsi="宋体"/>
          <w:b w:val="0"/>
          <w:sz w:val="28"/>
          <w:szCs w:val="28"/>
        </w:rPr>
        <w:t>储存措施：储存于阴凉、通风、干燥的仓间内，隔绝热源和明火。</w:t>
      </w:r>
    </w:p>
    <w:p w14:paraId="590F68CB">
      <w:pPr>
        <w:spacing w:line="360" w:lineRule="auto"/>
        <w:ind w:firstLine="560" w:firstLineChars="200"/>
        <w:rPr>
          <w:rFonts w:ascii="宋体" w:hAnsi="宋体" w:cs="宋体"/>
          <w:b w:val="0"/>
          <w:sz w:val="28"/>
          <w:szCs w:val="28"/>
          <w:lang w:val="en-GB"/>
        </w:rPr>
      </w:pPr>
      <w:r>
        <w:rPr>
          <w:rFonts w:hint="eastAsia" w:ascii="宋体" w:hAnsi="宋体"/>
          <w:b w:val="0"/>
          <w:sz w:val="28"/>
          <w:szCs w:val="28"/>
        </w:rPr>
        <w:t>（</w:t>
      </w:r>
      <w:r>
        <w:rPr>
          <w:rFonts w:ascii="宋体" w:hAnsi="宋体"/>
          <w:b w:val="0"/>
          <w:sz w:val="28"/>
          <w:szCs w:val="28"/>
        </w:rPr>
        <w:t>8</w:t>
      </w:r>
      <w:r>
        <w:rPr>
          <w:rFonts w:hint="eastAsia" w:ascii="宋体" w:hAnsi="宋体"/>
          <w:b w:val="0"/>
          <w:sz w:val="28"/>
          <w:szCs w:val="28"/>
        </w:rPr>
        <w:t>）</w:t>
      </w:r>
      <w:r>
        <w:rPr>
          <w:rFonts w:hint="eastAsia" w:ascii="宋体" w:hAnsi="宋体" w:cs="宋体"/>
          <w:b w:val="0"/>
          <w:sz w:val="28"/>
          <w:szCs w:val="28"/>
          <w:lang w:val="en-GB"/>
        </w:rPr>
        <w:t>组合烟花类：由两个或两个以上喷花、吐珠同类或不同类烟花组合而成的产品。</w:t>
      </w:r>
    </w:p>
    <w:p w14:paraId="72ED7134">
      <w:pPr>
        <w:spacing w:line="360" w:lineRule="auto"/>
        <w:ind w:firstLine="560" w:firstLineChars="200"/>
        <w:rPr>
          <w:rFonts w:ascii="宋体" w:hAnsi="宋体" w:cs="宋体"/>
          <w:b w:val="0"/>
          <w:sz w:val="28"/>
          <w:szCs w:val="28"/>
        </w:rPr>
      </w:pPr>
      <w:r>
        <w:rPr>
          <w:rFonts w:hint="eastAsia" w:ascii="宋体" w:hAnsi="宋体" w:cs="宋体"/>
          <w:b w:val="0"/>
          <w:sz w:val="28"/>
          <w:szCs w:val="28"/>
        </w:rPr>
        <w:t>主要危险：因产品结构与设计不相符，使用违禁药物，装药量超过最大值规定，部件安装稳定性、牢固性不符合要求，底塞不牢固，不能承受喷火或升空的冲击力，引火线破损、引燃主体时间和旁燃时间不符要求，漏药，炸筒、散筒，速燃、爆燃，冲底、倒筒及行走，发射极限角大于规定要求，燃放中断、冲筒、熄引等引起的火灾与爆炸。</w:t>
      </w:r>
    </w:p>
    <w:p w14:paraId="2F9BFEBF">
      <w:pPr>
        <w:spacing w:line="360" w:lineRule="auto"/>
        <w:ind w:firstLine="560" w:firstLineChars="200"/>
        <w:rPr>
          <w:rFonts w:ascii="宋体" w:hAnsi="宋体"/>
          <w:b w:val="0"/>
          <w:sz w:val="28"/>
          <w:szCs w:val="28"/>
        </w:rPr>
      </w:pPr>
      <w:r>
        <w:rPr>
          <w:rFonts w:hint="eastAsia" w:ascii="宋体" w:hAnsi="宋体"/>
          <w:b w:val="0"/>
          <w:sz w:val="28"/>
          <w:szCs w:val="28"/>
        </w:rPr>
        <w:t>主要危害：</w:t>
      </w:r>
      <w:r>
        <w:rPr>
          <w:rFonts w:hint="eastAsia" w:ascii="宋体" w:hAnsi="宋体" w:cs="宋体"/>
          <w:b w:val="0"/>
          <w:sz w:val="28"/>
          <w:szCs w:val="28"/>
        </w:rPr>
        <w:t>烧伤，炸伤。</w:t>
      </w:r>
    </w:p>
    <w:p w14:paraId="7562C33F">
      <w:pPr>
        <w:spacing w:line="360" w:lineRule="auto"/>
        <w:ind w:firstLine="560" w:firstLineChars="200"/>
        <w:rPr>
          <w:rFonts w:ascii="宋体" w:hAnsi="宋体"/>
          <w:b w:val="0"/>
          <w:sz w:val="28"/>
          <w:szCs w:val="28"/>
        </w:rPr>
      </w:pPr>
      <w:r>
        <w:rPr>
          <w:rFonts w:hint="eastAsia" w:ascii="宋体" w:hAnsi="宋体"/>
          <w:b w:val="0"/>
          <w:sz w:val="28"/>
          <w:szCs w:val="28"/>
        </w:rPr>
        <w:t>储存措施：储存于阴凉、通风、干燥的仓库内，隔绝热源和明火。</w:t>
      </w:r>
    </w:p>
    <w:p w14:paraId="6E962B7A">
      <w:pPr>
        <w:spacing w:line="360" w:lineRule="auto"/>
        <w:ind w:firstLine="562" w:firstLineChars="200"/>
        <w:jc w:val="left"/>
        <w:rPr>
          <w:rFonts w:ascii="宋体" w:hAnsi="宋体" w:cs="宋体"/>
          <w:sz w:val="28"/>
          <w:szCs w:val="28"/>
        </w:rPr>
      </w:pPr>
      <w:r>
        <w:rPr>
          <w:rFonts w:hint="eastAsia" w:ascii="宋体" w:hAnsi="宋体" w:cs="宋体"/>
          <w:sz w:val="28"/>
          <w:szCs w:val="28"/>
        </w:rPr>
        <w:t>2、烟花爆竹成品储存过程中的危险有害因素分析</w:t>
      </w:r>
    </w:p>
    <w:p w14:paraId="44B3704A">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lang w:val="en-GB"/>
        </w:rPr>
        <w:t>烟花爆竹成品储存过程中的主要危险有害因素是所存放的物质的燃烧爆炸危险性。容易造成燃烧爆炸事故的主要原因有：</w:t>
      </w:r>
    </w:p>
    <w:p w14:paraId="1844B3BF">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lang w:val="en-GB"/>
        </w:rPr>
        <w:t>1）烟花爆竹成品从高处跌落</w:t>
      </w:r>
    </w:p>
    <w:p w14:paraId="1140E4B4">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lang w:val="en-GB"/>
        </w:rPr>
        <w:t>烟花爆竹成品的堆码高度应满足表3.1-1要求。</w:t>
      </w:r>
    </w:p>
    <w:p w14:paraId="63330285">
      <w:pPr>
        <w:jc w:val="center"/>
        <w:rPr>
          <w:rFonts w:ascii="黑体" w:hAnsi="黑体" w:eastAsia="黑体"/>
          <w:b w:val="0"/>
          <w:bCs/>
          <w:sz w:val="24"/>
        </w:rPr>
      </w:pPr>
      <w:r>
        <w:rPr>
          <w:rFonts w:hint="eastAsia" w:ascii="黑体" w:hAnsi="黑体" w:eastAsia="黑体"/>
          <w:b w:val="0"/>
          <w:bCs/>
          <w:sz w:val="24"/>
        </w:rPr>
        <w:t>表</w:t>
      </w:r>
      <w:r>
        <w:rPr>
          <w:rFonts w:ascii="黑体" w:hAnsi="黑体" w:eastAsia="黑体"/>
          <w:b w:val="0"/>
          <w:bCs/>
          <w:sz w:val="24"/>
        </w:rPr>
        <w:t>3</w:t>
      </w:r>
      <w:r>
        <w:rPr>
          <w:rFonts w:hint="eastAsia" w:ascii="黑体" w:hAnsi="黑体" w:eastAsia="黑体"/>
          <w:b w:val="0"/>
          <w:bCs/>
          <w:sz w:val="24"/>
        </w:rPr>
        <w:t>.1</w:t>
      </w:r>
      <w:r>
        <w:rPr>
          <w:rFonts w:ascii="黑体" w:hAnsi="黑体" w:eastAsia="黑体"/>
          <w:b w:val="0"/>
          <w:bCs/>
          <w:sz w:val="24"/>
        </w:rPr>
        <w:t>-</w:t>
      </w:r>
      <w:r>
        <w:rPr>
          <w:rFonts w:hint="eastAsia" w:ascii="黑体" w:hAnsi="黑体" w:eastAsia="黑体"/>
          <w:b w:val="0"/>
          <w:bCs/>
          <w:sz w:val="24"/>
        </w:rPr>
        <w:t>1</w:t>
      </w:r>
      <w:r>
        <w:rPr>
          <w:rFonts w:ascii="黑体" w:hAnsi="黑体" w:eastAsia="黑体"/>
          <w:b w:val="0"/>
          <w:bCs/>
          <w:sz w:val="24"/>
        </w:rPr>
        <w:t xml:space="preserve"> </w:t>
      </w:r>
      <w:r>
        <w:rPr>
          <w:rFonts w:hint="eastAsia" w:ascii="黑体" w:hAnsi="黑体" w:eastAsia="黑体"/>
          <w:b w:val="0"/>
          <w:bCs/>
          <w:sz w:val="24"/>
        </w:rPr>
        <w:t>仓库堆码要求（单位：</w:t>
      </w:r>
      <w:r>
        <w:rPr>
          <w:rFonts w:ascii="黑体" w:hAnsi="黑体" w:eastAsia="黑体"/>
          <w:b w:val="0"/>
          <w:bCs/>
          <w:sz w:val="24"/>
        </w:rPr>
        <w:t>m</w:t>
      </w:r>
      <w:r>
        <w:rPr>
          <w:rFonts w:hint="eastAsia" w:ascii="黑体" w:hAnsi="黑体" w:eastAsia="黑体"/>
          <w:b w:val="0"/>
          <w:bCs/>
          <w:sz w:val="24"/>
        </w:rPr>
        <w:t>）</w:t>
      </w:r>
    </w:p>
    <w:tbl>
      <w:tblPr>
        <w:tblStyle w:val="4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2125"/>
        <w:gridCol w:w="4868"/>
      </w:tblGrid>
      <w:tr w14:paraId="43E2C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96" w:type="pct"/>
            <w:tcBorders>
              <w:tl2br w:val="nil"/>
              <w:tr2bl w:val="nil"/>
            </w:tcBorders>
            <w:vAlign w:val="center"/>
          </w:tcPr>
          <w:p w14:paraId="5BA8AA5B">
            <w:pPr>
              <w:jc w:val="center"/>
              <w:rPr>
                <w:rFonts w:ascii="宋体" w:hAnsi="宋体"/>
                <w:bCs/>
                <w:szCs w:val="21"/>
              </w:rPr>
            </w:pPr>
            <w:r>
              <w:rPr>
                <w:rFonts w:hint="eastAsia" w:ascii="宋体" w:hAnsi="宋体"/>
                <w:bCs/>
                <w:szCs w:val="21"/>
              </w:rPr>
              <w:t>名称</w:t>
            </w:r>
          </w:p>
        </w:tc>
        <w:tc>
          <w:tcPr>
            <w:tcW w:w="1247" w:type="pct"/>
            <w:tcBorders>
              <w:tl2br w:val="nil"/>
              <w:tr2bl w:val="nil"/>
            </w:tcBorders>
            <w:vAlign w:val="center"/>
          </w:tcPr>
          <w:p w14:paraId="3B13C355">
            <w:pPr>
              <w:jc w:val="center"/>
              <w:rPr>
                <w:rFonts w:ascii="宋体" w:hAnsi="宋体"/>
                <w:bCs/>
                <w:szCs w:val="21"/>
              </w:rPr>
            </w:pPr>
            <w:r>
              <w:rPr>
                <w:rFonts w:hint="eastAsia" w:ascii="宋体" w:hAnsi="宋体"/>
                <w:bCs/>
                <w:szCs w:val="21"/>
              </w:rPr>
              <w:t>成箱成品</w:t>
            </w:r>
          </w:p>
        </w:tc>
        <w:tc>
          <w:tcPr>
            <w:tcW w:w="2857" w:type="pct"/>
            <w:tcBorders>
              <w:tl2br w:val="nil"/>
              <w:tr2bl w:val="nil"/>
            </w:tcBorders>
            <w:vAlign w:val="center"/>
          </w:tcPr>
          <w:p w14:paraId="4E0D5CFA">
            <w:pPr>
              <w:jc w:val="center"/>
              <w:rPr>
                <w:rFonts w:ascii="宋体" w:hAnsi="宋体"/>
                <w:bCs/>
                <w:szCs w:val="21"/>
              </w:rPr>
            </w:pPr>
            <w:r>
              <w:rPr>
                <w:rFonts w:hint="eastAsia" w:ascii="宋体" w:hAnsi="宋体"/>
                <w:bCs/>
                <w:szCs w:val="21"/>
              </w:rPr>
              <w:t>备注</w:t>
            </w:r>
          </w:p>
        </w:tc>
      </w:tr>
      <w:tr w14:paraId="2208A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96" w:type="pct"/>
            <w:tcBorders>
              <w:tl2br w:val="nil"/>
              <w:tr2bl w:val="nil"/>
            </w:tcBorders>
            <w:vAlign w:val="center"/>
          </w:tcPr>
          <w:p w14:paraId="087498DC">
            <w:pPr>
              <w:jc w:val="center"/>
              <w:rPr>
                <w:rFonts w:ascii="宋体" w:hAnsi="宋体"/>
                <w:b w:val="0"/>
                <w:szCs w:val="21"/>
              </w:rPr>
            </w:pPr>
            <w:r>
              <w:rPr>
                <w:rFonts w:hint="eastAsia" w:ascii="宋体" w:hAnsi="宋体"/>
                <w:b w:val="0"/>
                <w:szCs w:val="21"/>
              </w:rPr>
              <w:t>高度</w:t>
            </w:r>
          </w:p>
        </w:tc>
        <w:tc>
          <w:tcPr>
            <w:tcW w:w="1247" w:type="pct"/>
            <w:tcBorders>
              <w:tl2br w:val="nil"/>
              <w:tr2bl w:val="nil"/>
            </w:tcBorders>
            <w:vAlign w:val="center"/>
          </w:tcPr>
          <w:p w14:paraId="6250EB9B">
            <w:pPr>
              <w:jc w:val="center"/>
              <w:rPr>
                <w:rFonts w:ascii="宋体" w:hAnsi="宋体"/>
                <w:b w:val="0"/>
                <w:szCs w:val="21"/>
              </w:rPr>
            </w:pPr>
            <w:r>
              <w:rPr>
                <w:rFonts w:hint="eastAsia" w:ascii="宋体" w:hAnsi="宋体"/>
                <w:b w:val="0"/>
                <w:szCs w:val="21"/>
              </w:rPr>
              <w:t>≤</w:t>
            </w:r>
            <w:r>
              <w:rPr>
                <w:rFonts w:ascii="宋体" w:hAnsi="宋体"/>
                <w:b w:val="0"/>
                <w:szCs w:val="21"/>
              </w:rPr>
              <w:t>2.5</w:t>
            </w:r>
          </w:p>
        </w:tc>
        <w:tc>
          <w:tcPr>
            <w:tcW w:w="2857" w:type="pct"/>
            <w:tcBorders>
              <w:tl2br w:val="nil"/>
              <w:tr2bl w:val="nil"/>
            </w:tcBorders>
            <w:vAlign w:val="center"/>
          </w:tcPr>
          <w:p w14:paraId="126465E4">
            <w:pPr>
              <w:rPr>
                <w:rFonts w:ascii="宋体" w:hAnsi="宋体"/>
                <w:b w:val="0"/>
                <w:szCs w:val="21"/>
              </w:rPr>
            </w:pPr>
            <w:r>
              <w:rPr>
                <w:rFonts w:hint="eastAsia" w:asciiTheme="minorEastAsia" w:hAnsiTheme="minorEastAsia" w:eastAsiaTheme="minorEastAsia"/>
                <w:b w:val="0"/>
                <w:bCs/>
                <w:szCs w:val="20"/>
              </w:rPr>
              <w:t>仓库内应保持卫生整洁，通道畅通，物品摆放整齐、平码堆放；堆垛与库墙之间宜留有大于或等于0</w:t>
            </w:r>
            <w:r>
              <w:rPr>
                <w:rFonts w:asciiTheme="minorEastAsia" w:hAnsiTheme="minorEastAsia" w:eastAsiaTheme="minorEastAsia"/>
                <w:b w:val="0"/>
                <w:bCs/>
                <w:szCs w:val="20"/>
              </w:rPr>
              <w:t>.45m</w:t>
            </w:r>
            <w:r>
              <w:rPr>
                <w:rFonts w:hint="eastAsia" w:asciiTheme="minorEastAsia" w:hAnsiTheme="minorEastAsia" w:eastAsiaTheme="minorEastAsia"/>
                <w:b w:val="0"/>
                <w:bCs/>
                <w:szCs w:val="20"/>
              </w:rPr>
              <w:t>的通风巷，堆垛与堆垛之间应留有大于或等于0</w:t>
            </w:r>
            <w:r>
              <w:rPr>
                <w:rFonts w:asciiTheme="minorEastAsia" w:hAnsiTheme="minorEastAsia" w:eastAsiaTheme="minorEastAsia"/>
                <w:b w:val="0"/>
                <w:bCs/>
                <w:szCs w:val="20"/>
              </w:rPr>
              <w:t>.7m</w:t>
            </w:r>
            <w:r>
              <w:rPr>
                <w:rFonts w:hint="eastAsia" w:asciiTheme="minorEastAsia" w:hAnsiTheme="minorEastAsia" w:eastAsiaTheme="minorEastAsia"/>
                <w:b w:val="0"/>
                <w:bCs/>
                <w:szCs w:val="20"/>
              </w:rPr>
              <w:t>的检查通道，通往安全出口的主通道宽度应大于或等于1</w:t>
            </w:r>
            <w:r>
              <w:rPr>
                <w:rFonts w:asciiTheme="minorEastAsia" w:hAnsiTheme="minorEastAsia" w:eastAsiaTheme="minorEastAsia"/>
                <w:b w:val="0"/>
                <w:bCs/>
                <w:szCs w:val="20"/>
              </w:rPr>
              <w:t>.5m</w:t>
            </w:r>
            <w:r>
              <w:rPr>
                <w:rFonts w:hint="eastAsia" w:asciiTheme="minorEastAsia" w:hAnsiTheme="minorEastAsia" w:eastAsiaTheme="minorEastAsia"/>
                <w:b w:val="0"/>
                <w:bCs/>
                <w:szCs w:val="20"/>
              </w:rPr>
              <w:t>，每个堆垛的边长应小于或等于1</w:t>
            </w:r>
            <w:r>
              <w:rPr>
                <w:rFonts w:asciiTheme="minorEastAsia" w:hAnsiTheme="minorEastAsia" w:eastAsiaTheme="minorEastAsia"/>
                <w:b w:val="0"/>
                <w:bCs/>
                <w:szCs w:val="20"/>
              </w:rPr>
              <w:t>0m</w:t>
            </w:r>
          </w:p>
        </w:tc>
      </w:tr>
    </w:tbl>
    <w:p w14:paraId="46FC3162">
      <w:pPr>
        <w:spacing w:before="120" w:beforeLines="50"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烟花爆竹成品存储中，由于堆放不规范或堆垛超高，容易发生物品从高处跌落，撞击地面，发生意外或爆炸。在装卸时也容易发生跌落，撞击产生燃烧、爆炸。为了防止跌落事故的发生，必须按要求堆放，不同品种、不同规格包装应分别堆垛，堆垛要牢固；装卸作业时，作业人员要集中精力，单件搬运，小心操作，防止跌落和摩擦。</w:t>
      </w:r>
    </w:p>
    <w:p w14:paraId="6CAE517D">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2）明火引燃、引爆烟花爆竹成品</w:t>
      </w:r>
    </w:p>
    <w:p w14:paraId="2D444CBA">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烟花爆竹及其烟火药剂的敏感度较高，遇明火很容易发生燃烧爆炸，成品的外包装箱也是可燃物，极易燃烧。在库房中要严格控制明火，严禁将火种带入库区，并注意监控，防止库区外部火患影响库区安全。</w:t>
      </w:r>
    </w:p>
    <w:p w14:paraId="5B342444">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lang w:val="en-GB"/>
        </w:rPr>
        <w:t>3）静电引起爆炸</w:t>
      </w:r>
    </w:p>
    <w:p w14:paraId="2E2A404E">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lang w:val="en-GB"/>
        </w:rPr>
        <w:t>在烟花爆竹成品装卸作业中，如果作业人员不按规定穿戴抗静电服装，会在作业人员身上积聚大量的静电电荷，产生静电火花或达到引燃、引爆药剂的临界量时，就容易引起烟花爆竹成品的燃烧或爆炸，造成人员伤亡和财产损失。因此，作业人员进行作业时，必须按要求穿戴防静电服装，严格按操作规程操作。</w:t>
      </w:r>
    </w:p>
    <w:p w14:paraId="07348CF6">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lang w:val="en-GB"/>
        </w:rPr>
        <w:t>4）雷电引发事故</w:t>
      </w:r>
    </w:p>
    <w:p w14:paraId="3C2F40FB">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雷电是自然界的一种静电现象，雷击对地面造成的危险主要是对物体和人身伤害两方面。因此为了防止雷电危害，烟花爆竹仓库房应安装防雷设施。</w:t>
      </w:r>
    </w:p>
    <w:p w14:paraId="72711C49">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lang w:val="en-GB"/>
        </w:rPr>
        <w:t>5）撞击或摩擦引发的事故</w:t>
      </w:r>
    </w:p>
    <w:p w14:paraId="59BCBA8E">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要预防撞击事故，在库区内运输的机动车车速应控制在5km/h以内，货物堆高应符合要求；不宜采用三轮车运输，严禁采用畜力车、翻斗车和各种挂车等不易控制的车辆运输；库房内堆垛高度应符合标准要求；库内上方应无杂物，防止掉落。</w:t>
      </w:r>
    </w:p>
    <w:p w14:paraId="25B0BB39">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摩擦能使烟花爆竹成品能使烟火药发生分解，产生大量的热，引起燃烧、爆炸。因此搬运装卸时要严禁拖拉，防止摩擦产生火灾、爆炸事故。</w:t>
      </w:r>
    </w:p>
    <w:p w14:paraId="08ADDD20">
      <w:pPr>
        <w:spacing w:line="560" w:lineRule="exact"/>
        <w:ind w:firstLine="560" w:firstLineChars="200"/>
        <w:rPr>
          <w:rFonts w:ascii="宋体" w:hAnsi="宋体" w:cs="宋体"/>
          <w:b w:val="0"/>
          <w:sz w:val="28"/>
          <w:szCs w:val="28"/>
          <w:lang w:val="en-GB"/>
        </w:rPr>
      </w:pPr>
      <w:r>
        <w:rPr>
          <w:rFonts w:hint="eastAsia" w:ascii="宋体" w:hAnsi="宋体" w:cs="宋体"/>
          <w:b w:val="0"/>
          <w:sz w:val="28"/>
          <w:szCs w:val="28"/>
          <w:lang w:val="en-GB"/>
        </w:rPr>
        <w:t>6）温度、湿度引起的事故</w:t>
      </w:r>
    </w:p>
    <w:p w14:paraId="6B99228E">
      <w:pPr>
        <w:spacing w:line="560" w:lineRule="exact"/>
        <w:ind w:firstLine="560" w:firstLineChars="200"/>
        <w:rPr>
          <w:rFonts w:ascii="宋体" w:hAnsi="宋体" w:cs="宋体"/>
          <w:b w:val="0"/>
          <w:sz w:val="28"/>
          <w:szCs w:val="28"/>
          <w:lang w:val="en-GB"/>
        </w:rPr>
      </w:pPr>
      <w:r>
        <w:rPr>
          <w:rFonts w:hint="eastAsia" w:ascii="宋体" w:hAnsi="宋体" w:cs="宋体"/>
          <w:b w:val="0"/>
          <w:sz w:val="28"/>
          <w:szCs w:val="28"/>
          <w:lang w:val="en-GB"/>
        </w:rPr>
        <w:t>烟火药对温度的敏感度较高，库房内的温度如果超过一定温度，容易引起烟火药的分解，产生火灾、爆炸事故；烟火药的吸湿性较高，库房内湿度如果较大，容易引起烟火药的受潮分解、变质，影响产品的质量，进而引发事故。因此，库房要有温、湿度计，加强通风和除湿，防止温度和湿度超过标准要求。</w:t>
      </w:r>
    </w:p>
    <w:p w14:paraId="7E8056F3">
      <w:pPr>
        <w:keepNext/>
        <w:snapToGrid w:val="0"/>
        <w:spacing w:line="360" w:lineRule="auto"/>
        <w:outlineLvl w:val="1"/>
        <w:rPr>
          <w:rFonts w:ascii="黑体" w:hAnsi="黑体" w:eastAsia="黑体" w:cs="楷体"/>
          <w:b w:val="0"/>
          <w:sz w:val="30"/>
          <w:szCs w:val="30"/>
        </w:rPr>
      </w:pPr>
      <w:bookmarkStart w:id="186" w:name="_Toc14415"/>
      <w:bookmarkStart w:id="187" w:name="_Toc19051"/>
      <w:bookmarkStart w:id="188" w:name="_Toc124539518"/>
      <w:bookmarkStart w:id="189" w:name="_Toc205979640"/>
      <w:r>
        <w:rPr>
          <w:rFonts w:hint="eastAsia" w:ascii="黑体" w:hAnsi="黑体" w:eastAsia="黑体" w:cs="楷体"/>
          <w:b w:val="0"/>
          <w:sz w:val="30"/>
          <w:szCs w:val="30"/>
        </w:rPr>
        <w:t>3.2固有危险性分析</w:t>
      </w:r>
      <w:bookmarkEnd w:id="184"/>
      <w:bookmarkEnd w:id="185"/>
      <w:bookmarkEnd w:id="186"/>
      <w:bookmarkEnd w:id="187"/>
      <w:bookmarkEnd w:id="188"/>
      <w:bookmarkEnd w:id="189"/>
    </w:p>
    <w:p w14:paraId="2F8F099C">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lang w:val="en-GB"/>
        </w:rPr>
        <w:t>参照《企业职工伤亡事故分类》（CB6441-1986）标准，</w:t>
      </w:r>
      <w:r>
        <w:rPr>
          <w:rFonts w:hint="eastAsia" w:ascii="宋体" w:hAnsi="宋体" w:cs="宋体"/>
          <w:b w:val="0"/>
          <w:sz w:val="28"/>
          <w:szCs w:val="28"/>
        </w:rPr>
        <w:t>黑龙江泰运烟花有限公司</w:t>
      </w:r>
      <w:r>
        <w:rPr>
          <w:rFonts w:hint="eastAsia" w:ascii="宋体" w:hAnsi="宋体" w:cs="宋体"/>
          <w:b w:val="0"/>
          <w:sz w:val="28"/>
          <w:szCs w:val="28"/>
          <w:lang w:val="en-GB"/>
        </w:rPr>
        <w:t>烟花爆竹仓储库区（烟花爆竹）的固有危险性有火灾爆炸、物体打击、高处坠落，各项事故分析如下：</w:t>
      </w:r>
    </w:p>
    <w:p w14:paraId="518C117F">
      <w:pPr>
        <w:pStyle w:val="6"/>
        <w:rPr>
          <w:rFonts w:ascii="黑体" w:hAnsi="黑体" w:eastAsia="黑体"/>
          <w:b w:val="0"/>
          <w:szCs w:val="28"/>
        </w:rPr>
      </w:pPr>
      <w:r>
        <w:rPr>
          <w:rFonts w:hint="eastAsia" w:ascii="黑体" w:hAnsi="黑体" w:eastAsia="黑体"/>
          <w:b w:val="0"/>
          <w:szCs w:val="28"/>
        </w:rPr>
        <w:t>3.2.1火灾爆炸危险</w:t>
      </w:r>
    </w:p>
    <w:p w14:paraId="6C9C7BAD">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导致烟花爆竹发生火灾爆炸的原因较多，发生后造成的后果最严重，不仅造成库区损毁、财产损失，而且容易造成人员伤亡，烟花爆竹在储存过程中发生火灾爆炸的原因分别如下：</w:t>
      </w:r>
    </w:p>
    <w:p w14:paraId="4711424E">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1、明火</w:t>
      </w:r>
    </w:p>
    <w:p w14:paraId="74324AD2">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由于外来人员、搬运人员或其他进入库区的人员携带火种，违章吸烟，围墙外燃放烟花爆竹造成明火等。</w:t>
      </w:r>
    </w:p>
    <w:p w14:paraId="0792BDB8">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2、雷电危害</w:t>
      </w:r>
    </w:p>
    <w:p w14:paraId="295C1ED8">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雷电入侵的主要形式是直击雷和雷电感应。雷电的危害巨大，可以导致设备损坏、人员伤亡、建筑物损坏或电气系统故障，严重者还可导致火灾和爆炸。若烟花爆竹库区缺少防雷设施或防雷设施接地电阻超标，可遭受雷击事故，由于烟花爆竹易燃易爆，因此对整个库区均应设置防雷设施，库区及建筑物防雷可使用避雷针，接地电阻应≤</w:t>
      </w:r>
      <w:r>
        <w:rPr>
          <w:rFonts w:ascii="宋体" w:hAnsi="宋体" w:cs="宋体"/>
          <w:b w:val="0"/>
          <w:sz w:val="28"/>
          <w:szCs w:val="28"/>
          <w:lang w:val="en-GB"/>
        </w:rPr>
        <w:t>4</w:t>
      </w:r>
      <w:r>
        <w:rPr>
          <w:rFonts w:hint="eastAsia" w:ascii="宋体" w:hAnsi="宋体" w:cs="宋体"/>
          <w:b w:val="0"/>
          <w:sz w:val="28"/>
          <w:szCs w:val="28"/>
          <w:lang w:val="en-GB"/>
        </w:rPr>
        <w:t>Ω，定期检查测试，防止雷电危害。</w:t>
      </w:r>
    </w:p>
    <w:p w14:paraId="34DB1E3B">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3、摩擦、静电</w:t>
      </w:r>
    </w:p>
    <w:p w14:paraId="6571A189">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烟花爆竹仓库内堆码过高、堆垛过大，容易因摩擦产生火花而引起燃烧爆炸事故。当烟花爆竹产品质量不合格或使用高感度的氯酸盐等氧化剂，在受热、摩擦、撞击时可引起燃烧爆炸事故。在烟花爆竹长期的储存过程中，可能发生包装破损，黑火药、烟火药裸露或散落在地面，遇静电、撞击、摩擦均可导致火灾事故。进出库区的人员均应穿戴防静电服装和导静电鞋，或在门口配置人体静电释放仪。严禁携带任何易燃物品。</w:t>
      </w:r>
    </w:p>
    <w:p w14:paraId="69E94A4C">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4、受潮分解爆炸</w:t>
      </w:r>
    </w:p>
    <w:p w14:paraId="3AAE5B0B">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由于某些品种的烟花爆竹中使用铝粉、镁粉等金属粉末，空气中含铝粉40mg/L时，遇明火就会爆炸。铝粉、镁粉遇潮湿、水蒸气能分解产生易燃易爆的氢气，积热后自燃。粉尘愈细愈易燃烧。因此若库房箱漏雨、地面潮湿导致烟花爆竹受潮，可产生分解爆炸。</w:t>
      </w:r>
    </w:p>
    <w:p w14:paraId="0CCCA671">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lang w:val="en-GB"/>
        </w:rPr>
        <w:t>烟花爆竹仓库引爆的原因分析见图3.2-1。</w:t>
      </w:r>
    </w:p>
    <w:p w14:paraId="085ECF58">
      <w:pPr>
        <w:jc w:val="left"/>
        <w:rPr>
          <w:rFonts w:ascii="Times New Roman" w:hAnsi="宋体"/>
          <w:b w:val="0"/>
          <w:sz w:val="24"/>
        </w:rPr>
      </w:pPr>
      <w:r>
        <w:rPr>
          <w:rFonts w:ascii="Times New Roman" w:hAnsi="宋体"/>
          <w:b w:val="0"/>
          <w:sz w:val="24"/>
        </w:rPr>
        <w:drawing>
          <wp:inline distT="0" distB="0" distL="0" distR="0">
            <wp:extent cx="5764530" cy="2216785"/>
            <wp:effectExtent l="0" t="0" r="7620" b="0"/>
            <wp:docPr id="235" name="图片 235"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0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64530" cy="2216785"/>
                    </a:xfrm>
                    <a:prstGeom prst="rect">
                      <a:avLst/>
                    </a:prstGeom>
                    <a:noFill/>
                    <a:ln>
                      <a:noFill/>
                    </a:ln>
                  </pic:spPr>
                </pic:pic>
              </a:graphicData>
            </a:graphic>
          </wp:inline>
        </w:drawing>
      </w:r>
    </w:p>
    <w:p w14:paraId="43F096FD">
      <w:pPr>
        <w:jc w:val="center"/>
        <w:rPr>
          <w:rFonts w:ascii="宋体" w:hAnsi="宋体"/>
          <w:b w:val="0"/>
          <w:sz w:val="22"/>
        </w:rPr>
      </w:pPr>
      <w:r>
        <w:rPr>
          <w:rFonts w:hint="eastAsia" w:ascii="宋体" w:hAnsi="宋体"/>
          <w:sz w:val="24"/>
          <w:szCs w:val="28"/>
        </w:rPr>
        <w:t>图3.2</w:t>
      </w:r>
      <w:r>
        <w:rPr>
          <w:rFonts w:ascii="宋体" w:hAnsi="宋体"/>
          <w:sz w:val="24"/>
          <w:szCs w:val="28"/>
        </w:rPr>
        <w:t>-1</w:t>
      </w:r>
      <w:r>
        <w:rPr>
          <w:rFonts w:hint="eastAsia" w:ascii="宋体" w:hAnsi="宋体"/>
          <w:sz w:val="24"/>
          <w:szCs w:val="28"/>
        </w:rPr>
        <w:t>烟花爆竹引爆的因果分析图</w:t>
      </w:r>
    </w:p>
    <w:p w14:paraId="4F2F74D3">
      <w:pPr>
        <w:spacing w:line="360" w:lineRule="auto"/>
        <w:ind w:firstLine="560" w:firstLineChars="200"/>
        <w:rPr>
          <w:rFonts w:ascii="宋体" w:hAnsi="宋体"/>
          <w:b w:val="0"/>
          <w:bCs/>
          <w:sz w:val="28"/>
          <w:szCs w:val="28"/>
        </w:rPr>
      </w:pPr>
      <w:r>
        <w:rPr>
          <w:rFonts w:hint="eastAsia" w:ascii="宋体" w:hAnsi="宋体"/>
          <w:b w:val="0"/>
          <w:bCs/>
          <w:sz w:val="28"/>
          <w:szCs w:val="28"/>
        </w:rPr>
        <w:t>5、爆炸危害</w:t>
      </w:r>
    </w:p>
    <w:p w14:paraId="672F8997">
      <w:pPr>
        <w:spacing w:line="360" w:lineRule="auto"/>
        <w:ind w:firstLine="560" w:firstLineChars="200"/>
        <w:rPr>
          <w:rFonts w:ascii="宋体" w:hAnsi="宋体"/>
          <w:b w:val="0"/>
          <w:bCs/>
          <w:sz w:val="28"/>
          <w:szCs w:val="28"/>
        </w:rPr>
      </w:pPr>
      <w:r>
        <w:rPr>
          <w:rFonts w:hint="eastAsia" w:ascii="宋体" w:hAnsi="宋体"/>
          <w:b w:val="0"/>
          <w:bCs/>
          <w:sz w:val="28"/>
          <w:szCs w:val="28"/>
        </w:rPr>
        <w:t>烟花爆竹爆炸通常伴随发热、发光、压力上升等现象，具有很强的破坏作用，主要破坏形式有：</w:t>
      </w:r>
    </w:p>
    <w:p w14:paraId="4A8A87F1">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(1)直接的破坏作用。集装箱、设备等爆炸后产生许多碎片,飞出后会在相当大的范围内造成危害。</w:t>
      </w:r>
    </w:p>
    <w:p w14:paraId="56FC680D">
      <w:pPr>
        <w:spacing w:line="360" w:lineRule="auto"/>
        <w:ind w:firstLine="560" w:firstLineChars="200"/>
        <w:rPr>
          <w:rFonts w:ascii="宋体" w:hAnsi="宋体" w:cs="宋体"/>
          <w:b w:val="0"/>
          <w:sz w:val="28"/>
          <w:szCs w:val="28"/>
          <w:lang w:val="en-GB"/>
        </w:rPr>
      </w:pPr>
      <w:r>
        <w:rPr>
          <w:rFonts w:hint="eastAsia" w:ascii="宋体" w:hAnsi="宋体" w:cs="宋体"/>
          <w:b w:val="0"/>
          <w:sz w:val="28"/>
          <w:szCs w:val="28"/>
          <w:lang w:val="en-GB"/>
        </w:rPr>
        <w:t>(2)冲击波的破坏作用。物质爆炸时,产生的高温高压气体以极高的速度膨胀,像活塞一样挤压周围空气，把爆炸反应释放出的部分能量传递给压缩的空气层,空气受冲击而发生动扰,使其压力、密度等产生突变，这种扰动在空气中传播就形成冲击波。冲击波的传播速度极快,在传播过程中,可以对周围环境中的机械设备建筑物产生破坏作用和人员伤亡。冲击波还可以在它的作用区域内产生震荡作用,使物体因震荡而松散,甚至破坏。冲击波的破坏作用主要是由其波阵面上的超压引起的。在爆炸中心附近,空气冲击波波阵面上的超压可达几个甚至十几个大气压,在如此高的压力作用下，建筑物被摧毁，机械设备、管道等也会受到严重破坏。当冲击波大面积作用于建筑物时，波阵面超压在20～30kPa内，就足以使大部分砖木结构建物受到严重破坏。超压在100kPa以上时,除坚固的钢筋混凝土建筑外，其余部分将全部破坏。</w:t>
      </w:r>
    </w:p>
    <w:p w14:paraId="15656B8F">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lang w:val="en-GB"/>
        </w:rPr>
        <w:t>(3)造成火灾。爆炸发生后,产生的高温、高压,建筑物内遗留大量的热或残余火苗,不仅会对库区本身造成危害，还会把库区周围的杂草引燃,导致火灾。</w:t>
      </w:r>
    </w:p>
    <w:p w14:paraId="5D259A4A">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lang w:val="en-GB"/>
        </w:rPr>
        <w:t>(4)造成中毒和环境污染。在烟花爆竹大量的爆炸过程中，产生的硫化物、氮氧化物烟雾对环境会造成污染。</w:t>
      </w:r>
    </w:p>
    <w:p w14:paraId="29BB669D">
      <w:pPr>
        <w:pStyle w:val="6"/>
        <w:rPr>
          <w:rFonts w:ascii="黑体" w:hAnsi="黑体" w:eastAsia="黑体" w:cs="宋体"/>
          <w:b w:val="0"/>
          <w:bCs w:val="0"/>
          <w:szCs w:val="28"/>
        </w:rPr>
      </w:pPr>
      <w:r>
        <w:rPr>
          <w:rFonts w:hint="eastAsia" w:ascii="黑体" w:hAnsi="黑体" w:eastAsia="黑体" w:cs="宋体"/>
          <w:b w:val="0"/>
          <w:szCs w:val="28"/>
        </w:rPr>
        <w:t>3.2.2物体打击</w:t>
      </w:r>
    </w:p>
    <w:p w14:paraId="3270ECA0">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lang w:val="en-GB"/>
        </w:rPr>
        <w:t>烟花爆竹成品的堆垛具有一定的高度，堆垛、堆码的方式和方法不符合标准，易发生堆垛倾倒，导致物体打击事故。</w:t>
      </w:r>
    </w:p>
    <w:p w14:paraId="197EABDA">
      <w:pPr>
        <w:keepNext/>
        <w:snapToGrid w:val="0"/>
        <w:spacing w:before="240" w:beforeLines="100" w:line="360" w:lineRule="auto"/>
        <w:outlineLvl w:val="1"/>
        <w:rPr>
          <w:rFonts w:ascii="黑体" w:hAnsi="黑体" w:eastAsia="黑体" w:cs="楷体"/>
          <w:b w:val="0"/>
          <w:sz w:val="30"/>
          <w:szCs w:val="30"/>
        </w:rPr>
      </w:pPr>
      <w:bookmarkStart w:id="190" w:name="_Toc32511"/>
      <w:bookmarkStart w:id="191" w:name="_Toc124539519"/>
      <w:bookmarkStart w:id="192" w:name="_Toc15433"/>
      <w:bookmarkStart w:id="193" w:name="_Toc65855308"/>
      <w:bookmarkStart w:id="194" w:name="_Toc205979641"/>
      <w:r>
        <w:rPr>
          <w:rFonts w:hint="eastAsia" w:ascii="黑体" w:hAnsi="黑体" w:eastAsia="黑体" w:cs="楷体"/>
          <w:b w:val="0"/>
          <w:sz w:val="30"/>
          <w:szCs w:val="30"/>
        </w:rPr>
        <w:t>3.3</w:t>
      </w:r>
      <w:bookmarkEnd w:id="190"/>
      <w:bookmarkEnd w:id="191"/>
      <w:bookmarkEnd w:id="192"/>
      <w:bookmarkEnd w:id="193"/>
      <w:r>
        <w:rPr>
          <w:rFonts w:hint="eastAsia" w:ascii="黑体" w:hAnsi="黑体" w:eastAsia="黑体" w:cs="楷体"/>
          <w:b w:val="0"/>
          <w:sz w:val="30"/>
          <w:szCs w:val="30"/>
        </w:rPr>
        <w:t>烟花爆竹重大危险源辨识</w:t>
      </w:r>
      <w:bookmarkEnd w:id="194"/>
    </w:p>
    <w:p w14:paraId="5655D7ED">
      <w:pPr>
        <w:spacing w:line="360" w:lineRule="auto"/>
        <w:ind w:firstLine="560" w:firstLineChars="200"/>
        <w:jc w:val="left"/>
        <w:rPr>
          <w:rFonts w:ascii="宋体" w:hAnsi="宋体" w:cs="宋体"/>
          <w:b w:val="0"/>
          <w:sz w:val="28"/>
          <w:szCs w:val="28"/>
          <w:lang w:val="en-GB"/>
        </w:rPr>
      </w:pPr>
      <w:r>
        <w:rPr>
          <w:rFonts w:hint="eastAsia" w:ascii="宋体" w:hAnsi="宋体" w:cs="宋体"/>
          <w:b w:val="0"/>
          <w:sz w:val="28"/>
          <w:szCs w:val="28"/>
        </w:rPr>
        <w:t>以《烟花爆竹重大危险源辨识》（AQ4131-2023）为依据对该项目烟花爆竹储存仓库进行烟花爆竹重大危险源辨识。</w:t>
      </w:r>
    </w:p>
    <w:p w14:paraId="17ECD38E">
      <w:pPr>
        <w:pStyle w:val="6"/>
        <w:rPr>
          <w:rFonts w:ascii="黑体" w:hAnsi="黑体" w:eastAsia="黑体" w:cs="宋体"/>
          <w:b w:val="0"/>
          <w:szCs w:val="28"/>
        </w:rPr>
      </w:pPr>
      <w:r>
        <w:rPr>
          <w:rFonts w:hint="eastAsia" w:ascii="黑体" w:hAnsi="黑体" w:eastAsia="黑体" w:cs="宋体"/>
          <w:b w:val="0"/>
          <w:szCs w:val="28"/>
        </w:rPr>
        <w:t>3.3.1</w:t>
      </w:r>
      <w:r>
        <w:rPr>
          <w:rFonts w:hint="eastAsia" w:ascii="黑体" w:hAnsi="黑体" w:eastAsia="黑体" w:cs="宋体"/>
          <w:b w:val="0"/>
          <w:bCs w:val="0"/>
          <w:szCs w:val="28"/>
        </w:rPr>
        <w:t>烟花爆竹重大危险源定义</w:t>
      </w:r>
    </w:p>
    <w:p w14:paraId="7AB9A1EC">
      <w:pPr>
        <w:spacing w:line="360" w:lineRule="auto"/>
        <w:ind w:firstLine="548" w:firstLineChars="196"/>
        <w:rPr>
          <w:rFonts w:ascii="宋体" w:hAnsi="宋体" w:cs="宋体"/>
          <w:b w:val="0"/>
          <w:sz w:val="28"/>
          <w:szCs w:val="28"/>
        </w:rPr>
      </w:pPr>
      <w:r>
        <w:rPr>
          <w:rFonts w:hint="eastAsia" w:ascii="宋体" w:hAnsi="宋体" w:cs="宋体"/>
          <w:b w:val="0"/>
          <w:sz w:val="28"/>
          <w:szCs w:val="28"/>
        </w:rPr>
        <w:t>长期地或临时地生产、使用、储存烟花爆竹成品、半成品及生产烟花爆竹用化工原材料、烟火药（含黑火药、单基火药）、引火线等危险品，且危险品数量等于或超过临界量的单元。其中的单元是涉及危险品生产、储存的装置、设施或场所，分为生产单元和储存单元。</w:t>
      </w:r>
    </w:p>
    <w:p w14:paraId="5291F317">
      <w:pPr>
        <w:spacing w:line="360" w:lineRule="auto"/>
        <w:ind w:firstLine="548" w:firstLineChars="196"/>
        <w:rPr>
          <w:rFonts w:ascii="宋体" w:hAnsi="宋体" w:cs="宋体"/>
          <w:b w:val="0"/>
          <w:sz w:val="28"/>
          <w:szCs w:val="28"/>
        </w:rPr>
      </w:pPr>
      <w:r>
        <w:rPr>
          <w:rFonts w:hint="eastAsia" w:ascii="宋体" w:hAnsi="宋体" w:cs="宋体"/>
          <w:b w:val="0"/>
          <w:sz w:val="28"/>
          <w:szCs w:val="28"/>
        </w:rPr>
        <w:t>生产单元是指危险品生产区，每栋工房、中转库或每个晾晒场划分为一个生产单元；当工房、中转库或晾晒场之间通过管道、传送带、转动装置等相连时，相连的所有工房、中转库或晾晒场划分为一个生产单元。</w:t>
      </w:r>
    </w:p>
    <w:p w14:paraId="691F59B4">
      <w:pPr>
        <w:spacing w:line="360" w:lineRule="auto"/>
        <w:ind w:firstLine="548" w:firstLineChars="196"/>
        <w:rPr>
          <w:rFonts w:ascii="宋体" w:hAnsi="宋体" w:cs="宋体"/>
          <w:b w:val="0"/>
          <w:sz w:val="28"/>
          <w:szCs w:val="28"/>
        </w:rPr>
      </w:pPr>
      <w:r>
        <w:rPr>
          <w:rFonts w:hint="eastAsia" w:ascii="宋体" w:hAnsi="宋体" w:cs="宋体"/>
          <w:b w:val="0"/>
          <w:sz w:val="28"/>
          <w:szCs w:val="28"/>
        </w:rPr>
        <w:t>储存单元是指危险品仓库区，每个库区内所有的烟火药(含黑火药,单基火药)、引火线、硝化纤维素仓库划分为一个储存单元；每栋独立的烟花爆竹成品和半成品仓库划分为一个储存单元。</w:t>
      </w:r>
    </w:p>
    <w:p w14:paraId="27DEF884">
      <w:pPr>
        <w:spacing w:line="360" w:lineRule="auto"/>
        <w:ind w:firstLine="548" w:firstLineChars="196"/>
        <w:rPr>
          <w:rFonts w:ascii="宋体" w:hAnsi="宋体" w:cs="宋体"/>
          <w:b w:val="0"/>
          <w:sz w:val="28"/>
          <w:szCs w:val="28"/>
        </w:rPr>
      </w:pPr>
      <w:r>
        <w:rPr>
          <w:rFonts w:hint="eastAsia" w:ascii="宋体" w:hAnsi="宋体" w:cs="宋体"/>
          <w:b w:val="0"/>
          <w:sz w:val="28"/>
          <w:szCs w:val="28"/>
        </w:rPr>
        <w:t>按式（1）计算单元的重大危险源辨识指标</w:t>
      </w:r>
    </w:p>
    <w:p w14:paraId="5D62274E">
      <w:pPr>
        <w:spacing w:line="360" w:lineRule="auto"/>
        <w:ind w:firstLine="548" w:firstLineChars="196"/>
        <w:rPr>
          <w:rFonts w:ascii="宋体" w:hAnsi="宋体" w:cs="宋体"/>
          <w:b w:val="0"/>
          <w:sz w:val="28"/>
          <w:szCs w:val="28"/>
        </w:rPr>
      </w:pPr>
      <w:r>
        <w:rPr>
          <w:rFonts w:hint="eastAsia" w:ascii="宋体" w:hAnsi="宋体" w:cs="宋体"/>
          <w:b w:val="0"/>
          <w:sz w:val="28"/>
          <w:szCs w:val="28"/>
        </w:rPr>
        <w:t>S=q1/Q1＋q2/Q2…＋qn/Qn ……………………………（1）</w:t>
      </w:r>
    </w:p>
    <w:p w14:paraId="42CBB402">
      <w:pPr>
        <w:spacing w:line="360" w:lineRule="auto"/>
        <w:ind w:firstLine="548" w:firstLineChars="196"/>
        <w:rPr>
          <w:rFonts w:ascii="宋体" w:hAnsi="宋体" w:cs="宋体"/>
          <w:b w:val="0"/>
          <w:sz w:val="28"/>
          <w:szCs w:val="28"/>
        </w:rPr>
      </w:pPr>
      <w:r>
        <w:rPr>
          <w:rFonts w:hint="eastAsia" w:ascii="宋体" w:hAnsi="宋体" w:cs="宋体"/>
          <w:b w:val="0"/>
          <w:sz w:val="28"/>
          <w:szCs w:val="28"/>
        </w:rPr>
        <w:t>式中：</w:t>
      </w:r>
    </w:p>
    <w:p w14:paraId="59A05F73">
      <w:pPr>
        <w:spacing w:line="360" w:lineRule="auto"/>
        <w:ind w:firstLine="548" w:firstLineChars="196"/>
        <w:rPr>
          <w:rFonts w:ascii="宋体" w:hAnsi="宋体" w:cs="宋体"/>
          <w:b w:val="0"/>
          <w:sz w:val="28"/>
          <w:szCs w:val="28"/>
        </w:rPr>
      </w:pPr>
      <w:r>
        <w:rPr>
          <w:rFonts w:hint="eastAsia" w:ascii="宋体" w:hAnsi="宋体" w:cs="宋体"/>
          <w:b w:val="0"/>
          <w:sz w:val="28"/>
          <w:szCs w:val="28"/>
        </w:rPr>
        <w:t>S——重大危险源辨识指标；</w:t>
      </w:r>
    </w:p>
    <w:p w14:paraId="7C3870CC">
      <w:pPr>
        <w:spacing w:line="360" w:lineRule="auto"/>
        <w:ind w:firstLine="548" w:firstLineChars="196"/>
        <w:rPr>
          <w:rFonts w:ascii="宋体" w:hAnsi="宋体" w:cs="宋体"/>
          <w:b w:val="0"/>
          <w:sz w:val="28"/>
          <w:szCs w:val="28"/>
        </w:rPr>
      </w:pPr>
      <w:r>
        <w:rPr>
          <w:rFonts w:hint="eastAsia" w:ascii="宋体" w:hAnsi="宋体" w:cs="宋体"/>
          <w:b w:val="0"/>
          <w:sz w:val="28"/>
          <w:szCs w:val="28"/>
        </w:rPr>
        <w:t>q1，q2，…，qn——各种危险品的设计存放量，单位为吨（t）；</w:t>
      </w:r>
    </w:p>
    <w:p w14:paraId="3293537D">
      <w:pPr>
        <w:spacing w:line="360" w:lineRule="auto"/>
        <w:ind w:firstLine="548" w:firstLineChars="196"/>
        <w:rPr>
          <w:rFonts w:ascii="宋体" w:hAnsi="宋体" w:cs="宋体"/>
          <w:b w:val="0"/>
          <w:sz w:val="28"/>
          <w:szCs w:val="28"/>
        </w:rPr>
      </w:pPr>
      <w:r>
        <w:rPr>
          <w:rFonts w:hint="eastAsia" w:ascii="宋体" w:hAnsi="宋体" w:cs="宋体"/>
          <w:b w:val="0"/>
          <w:sz w:val="28"/>
          <w:szCs w:val="28"/>
        </w:rPr>
        <w:t>Q1，Q2，…，Qn——各种危险品对应的临界量，单位为吨（t）。</w:t>
      </w:r>
    </w:p>
    <w:p w14:paraId="4DF01D6C">
      <w:pPr>
        <w:spacing w:line="360" w:lineRule="auto"/>
        <w:ind w:firstLine="560" w:firstLineChars="200"/>
        <w:rPr>
          <w:rFonts w:ascii="宋体" w:hAnsi="宋体" w:cs="宋体"/>
          <w:b w:val="0"/>
          <w:bCs/>
          <w:sz w:val="28"/>
          <w:szCs w:val="28"/>
        </w:rPr>
      </w:pPr>
      <w:r>
        <w:rPr>
          <w:rFonts w:hint="eastAsia" w:ascii="宋体" w:hAnsi="宋体" w:cs="宋体"/>
          <w:b w:val="0"/>
          <w:sz w:val="28"/>
          <w:szCs w:val="28"/>
        </w:rPr>
        <w:t>当单元的S≥1时，则该单元判定为重大危险源</w:t>
      </w:r>
      <w:r>
        <w:rPr>
          <w:rFonts w:hint="eastAsia" w:ascii="宋体" w:hAnsi="宋体" w:cs="宋体"/>
          <w:b w:val="0"/>
          <w:bCs/>
          <w:sz w:val="28"/>
          <w:szCs w:val="28"/>
        </w:rPr>
        <w:t>。</w:t>
      </w:r>
    </w:p>
    <w:p w14:paraId="197AE8D7">
      <w:pPr>
        <w:pStyle w:val="6"/>
        <w:rPr>
          <w:rFonts w:ascii="黑体" w:hAnsi="黑体" w:eastAsia="黑体" w:cs="宋体"/>
          <w:b w:val="0"/>
          <w:szCs w:val="28"/>
        </w:rPr>
      </w:pPr>
      <w:r>
        <w:rPr>
          <w:rFonts w:hint="eastAsia" w:ascii="黑体" w:hAnsi="黑体" w:eastAsia="黑体" w:cs="宋体"/>
          <w:b w:val="0"/>
          <w:szCs w:val="28"/>
        </w:rPr>
        <w:t>3.3.2</w:t>
      </w:r>
      <w:r>
        <w:rPr>
          <w:rFonts w:hint="eastAsia" w:ascii="黑体" w:hAnsi="黑体" w:eastAsia="黑体" w:cs="宋体"/>
          <w:b w:val="0"/>
          <w:bCs w:val="0"/>
          <w:szCs w:val="28"/>
        </w:rPr>
        <w:t>烟花爆竹重大危险源临界量</w:t>
      </w:r>
    </w:p>
    <w:p w14:paraId="44BF1D89">
      <w:pPr>
        <w:spacing w:line="360" w:lineRule="auto"/>
        <w:ind w:firstLine="560" w:firstLineChars="200"/>
        <w:rPr>
          <w:rFonts w:ascii="宋体" w:hAnsi="宋体" w:cs="宋体"/>
          <w:b w:val="0"/>
          <w:sz w:val="28"/>
          <w:szCs w:val="28"/>
        </w:rPr>
      </w:pPr>
      <w:r>
        <w:rPr>
          <w:rFonts w:hint="eastAsia" w:ascii="宋体" w:hAnsi="宋体" w:cs="宋体"/>
          <w:b w:val="0"/>
          <w:sz w:val="28"/>
          <w:szCs w:val="28"/>
        </w:rPr>
        <w:t>根据《烟花爆竹重大危险源辨识》AQ4131-2023，烟花爆竹</w:t>
      </w:r>
      <w:r>
        <w:rPr>
          <w:rFonts w:ascii="宋体" w:hAnsi="宋体" w:cs="宋体"/>
          <w:b w:val="0"/>
          <w:sz w:val="28"/>
          <w:szCs w:val="28"/>
        </w:rPr>
        <w:t>成品</w:t>
      </w:r>
      <w:r>
        <w:rPr>
          <w:rFonts w:hint="eastAsia" w:ascii="宋体" w:hAnsi="宋体" w:cs="宋体"/>
          <w:b w:val="0"/>
          <w:sz w:val="28"/>
          <w:szCs w:val="28"/>
        </w:rPr>
        <w:t>重大危险源临界量如下表3.3-1所示。</w:t>
      </w:r>
    </w:p>
    <w:p w14:paraId="0EE4DC82">
      <w:pPr>
        <w:tabs>
          <w:tab w:val="left" w:pos="900"/>
          <w:tab w:val="left" w:pos="1080"/>
        </w:tabs>
        <w:jc w:val="center"/>
        <w:rPr>
          <w:rFonts w:ascii="黑体" w:hAnsi="黑体" w:eastAsia="黑体"/>
          <w:b w:val="0"/>
          <w:sz w:val="24"/>
        </w:rPr>
      </w:pPr>
      <w:r>
        <w:rPr>
          <w:rFonts w:hint="eastAsia" w:ascii="黑体" w:hAnsi="黑体" w:eastAsia="黑体"/>
          <w:b w:val="0"/>
          <w:sz w:val="24"/>
        </w:rPr>
        <w:t>表3.3-1  烟花爆竹成品临界量</w:t>
      </w:r>
    </w:p>
    <w:tbl>
      <w:tblPr>
        <w:tblStyle w:val="49"/>
        <w:tblW w:w="87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320"/>
        <w:gridCol w:w="1450"/>
      </w:tblGrid>
      <w:tr w14:paraId="14CEA7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320" w:type="dxa"/>
            <w:vAlign w:val="center"/>
          </w:tcPr>
          <w:p w14:paraId="3C9A1633">
            <w:pPr>
              <w:ind w:right="-65" w:rightChars="-31"/>
              <w:jc w:val="center"/>
              <w:rPr>
                <w:rFonts w:ascii="宋体" w:hAnsi="宋体"/>
                <w:szCs w:val="20"/>
              </w:rPr>
            </w:pPr>
            <w:r>
              <w:rPr>
                <w:rFonts w:ascii="宋体" w:hAnsi="宋体"/>
                <w:szCs w:val="20"/>
              </w:rPr>
              <w:t>种类</w:t>
            </w:r>
          </w:p>
        </w:tc>
        <w:tc>
          <w:tcPr>
            <w:tcW w:w="1450" w:type="dxa"/>
            <w:vAlign w:val="center"/>
          </w:tcPr>
          <w:p w14:paraId="32420BF7">
            <w:pPr>
              <w:ind w:right="-65" w:rightChars="-31"/>
              <w:jc w:val="center"/>
              <w:rPr>
                <w:rFonts w:ascii="宋体" w:hAnsi="宋体"/>
                <w:szCs w:val="20"/>
              </w:rPr>
            </w:pPr>
            <w:r>
              <w:rPr>
                <w:rFonts w:ascii="宋体" w:hAnsi="宋体"/>
                <w:szCs w:val="20"/>
              </w:rPr>
              <w:t>临界量</w:t>
            </w:r>
            <w:r>
              <w:rPr>
                <w:rFonts w:hint="eastAsia" w:ascii="宋体" w:hAnsi="宋体"/>
                <w:szCs w:val="20"/>
              </w:rPr>
              <w:t>（吨）</w:t>
            </w:r>
          </w:p>
        </w:tc>
      </w:tr>
      <w:tr w14:paraId="42262C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320" w:type="dxa"/>
          </w:tcPr>
          <w:p w14:paraId="7ADABB1F">
            <w:pPr>
              <w:ind w:right="-65" w:rightChars="-31"/>
              <w:jc w:val="center"/>
              <w:rPr>
                <w:rFonts w:ascii="宋体" w:hAnsi="宋体"/>
                <w:b w:val="0"/>
                <w:szCs w:val="20"/>
              </w:rPr>
            </w:pPr>
            <w:r>
              <w:rPr>
                <w:rFonts w:ascii="宋体" w:hAnsi="宋体"/>
                <w:b w:val="0"/>
                <w:szCs w:val="20"/>
              </w:rPr>
              <w:t>含雷弹的礼花弹成品</w:t>
            </w:r>
          </w:p>
          <w:p w14:paraId="7828CA08">
            <w:pPr>
              <w:ind w:right="-65" w:rightChars="-31"/>
              <w:jc w:val="center"/>
              <w:rPr>
                <w:rFonts w:ascii="宋体" w:hAnsi="宋体"/>
                <w:b w:val="0"/>
                <w:szCs w:val="20"/>
              </w:rPr>
            </w:pPr>
            <w:r>
              <w:rPr>
                <w:rFonts w:ascii="宋体" w:hAnsi="宋体"/>
                <w:b w:val="0"/>
                <w:szCs w:val="20"/>
              </w:rPr>
              <w:t>7号及以上礼花弹成品</w:t>
            </w:r>
          </w:p>
          <w:p w14:paraId="5B77D1F4">
            <w:pPr>
              <w:ind w:right="-65" w:rightChars="-31"/>
              <w:jc w:val="center"/>
              <w:rPr>
                <w:rFonts w:ascii="宋体" w:hAnsi="宋体"/>
                <w:b w:val="0"/>
                <w:szCs w:val="20"/>
              </w:rPr>
            </w:pPr>
            <w:r>
              <w:rPr>
                <w:rFonts w:ascii="宋体" w:hAnsi="宋体"/>
                <w:b w:val="0"/>
                <w:szCs w:val="20"/>
              </w:rPr>
              <w:t>白药开包药大于7g的小礼花类、组合烟花类成品</w:t>
            </w:r>
          </w:p>
        </w:tc>
        <w:tc>
          <w:tcPr>
            <w:tcW w:w="1450" w:type="dxa"/>
            <w:vAlign w:val="center"/>
          </w:tcPr>
          <w:p w14:paraId="0053D992">
            <w:pPr>
              <w:ind w:right="-65" w:rightChars="-31"/>
              <w:jc w:val="center"/>
              <w:rPr>
                <w:rFonts w:ascii="宋体" w:hAnsi="宋体"/>
                <w:b w:val="0"/>
                <w:szCs w:val="20"/>
              </w:rPr>
            </w:pPr>
            <w:r>
              <w:rPr>
                <w:rFonts w:ascii="宋体" w:hAnsi="宋体"/>
                <w:b w:val="0"/>
                <w:szCs w:val="20"/>
              </w:rPr>
              <w:t>1</w:t>
            </w:r>
          </w:p>
        </w:tc>
      </w:tr>
      <w:tr w14:paraId="3713B0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320" w:type="dxa"/>
          </w:tcPr>
          <w:p w14:paraId="527500E7">
            <w:pPr>
              <w:ind w:right="-65" w:rightChars="-31"/>
              <w:jc w:val="center"/>
              <w:rPr>
                <w:rFonts w:ascii="宋体" w:hAnsi="宋体"/>
                <w:b w:val="0"/>
                <w:szCs w:val="21"/>
              </w:rPr>
            </w:pPr>
            <w:r>
              <w:rPr>
                <w:rFonts w:ascii="宋体" w:hAnsi="宋体"/>
                <w:b w:val="0"/>
                <w:szCs w:val="20"/>
              </w:rPr>
              <w:t>6号及以下礼花弹成品</w:t>
            </w:r>
            <w:r>
              <w:rPr>
                <w:rFonts w:hint="eastAsia" w:ascii="宋体" w:hAnsi="宋体"/>
                <w:b w:val="0"/>
                <w:szCs w:val="21"/>
              </w:rPr>
              <w:t xml:space="preserve">  </w:t>
            </w:r>
          </w:p>
          <w:p w14:paraId="4EF6CE5E">
            <w:pPr>
              <w:adjustRightInd w:val="0"/>
              <w:snapToGrid w:val="0"/>
              <w:ind w:left="-8" w:leftChars="-4"/>
              <w:jc w:val="center"/>
              <w:rPr>
                <w:rFonts w:ascii="宋体" w:hAnsi="宋体"/>
                <w:b w:val="0"/>
                <w:szCs w:val="21"/>
              </w:rPr>
            </w:pPr>
            <w:r>
              <w:rPr>
                <w:rFonts w:ascii="宋体" w:hAnsi="宋体"/>
                <w:b w:val="0"/>
                <w:szCs w:val="21"/>
              </w:rPr>
              <w:t>白药开包药小于等于7g且大于个人燃放类中组合烟花类、小礼花类最大白药开包药药量的小礼花类、组合烟花类成品</w:t>
            </w:r>
          </w:p>
          <w:p w14:paraId="53F3FDE3">
            <w:pPr>
              <w:adjustRightInd w:val="0"/>
              <w:snapToGrid w:val="0"/>
              <w:ind w:left="-8" w:leftChars="-4"/>
              <w:jc w:val="center"/>
              <w:rPr>
                <w:rFonts w:ascii="宋体" w:hAnsi="宋体"/>
                <w:b w:val="0"/>
                <w:szCs w:val="20"/>
              </w:rPr>
            </w:pPr>
            <w:r>
              <w:rPr>
                <w:rFonts w:hint="eastAsia" w:ascii="宋体" w:hAnsi="宋体"/>
                <w:b w:val="0"/>
                <w:szCs w:val="21"/>
              </w:rPr>
              <w:t>双响成品</w:t>
            </w:r>
          </w:p>
        </w:tc>
        <w:tc>
          <w:tcPr>
            <w:tcW w:w="1450" w:type="dxa"/>
            <w:vAlign w:val="center"/>
          </w:tcPr>
          <w:p w14:paraId="07AC22C9">
            <w:pPr>
              <w:ind w:right="-65" w:rightChars="-31"/>
              <w:jc w:val="center"/>
              <w:rPr>
                <w:rFonts w:ascii="宋体" w:hAnsi="宋体"/>
                <w:b w:val="0"/>
                <w:szCs w:val="20"/>
              </w:rPr>
            </w:pPr>
            <w:r>
              <w:rPr>
                <w:rFonts w:ascii="宋体" w:hAnsi="宋体"/>
                <w:b w:val="0"/>
                <w:szCs w:val="20"/>
              </w:rPr>
              <w:t>5</w:t>
            </w:r>
          </w:p>
        </w:tc>
      </w:tr>
      <w:tr w14:paraId="7EB124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320" w:type="dxa"/>
          </w:tcPr>
          <w:p w14:paraId="6A186D3F">
            <w:pPr>
              <w:ind w:right="-65" w:rightChars="-31"/>
              <w:jc w:val="center"/>
              <w:rPr>
                <w:rFonts w:ascii="宋体" w:hAnsi="宋体"/>
                <w:b w:val="0"/>
                <w:szCs w:val="20"/>
              </w:rPr>
            </w:pPr>
            <w:r>
              <w:rPr>
                <w:rFonts w:ascii="宋体" w:hAnsi="宋体"/>
                <w:b w:val="0"/>
                <w:szCs w:val="20"/>
              </w:rPr>
              <w:t>单个爆竹白药药量超过0.14g的结鞭爆竹成品；</w:t>
            </w:r>
          </w:p>
          <w:p w14:paraId="0D073643">
            <w:pPr>
              <w:ind w:right="-65" w:rightChars="-31"/>
              <w:jc w:val="center"/>
              <w:rPr>
                <w:rFonts w:ascii="宋体" w:hAnsi="宋体"/>
                <w:b w:val="0"/>
                <w:szCs w:val="20"/>
              </w:rPr>
            </w:pPr>
            <w:r>
              <w:rPr>
                <w:rFonts w:ascii="宋体" w:hAnsi="宋体"/>
                <w:b w:val="0"/>
                <w:szCs w:val="20"/>
              </w:rPr>
              <w:t>单个爆竹黑药药量超过1g的结鞭爆竹成品</w:t>
            </w:r>
          </w:p>
        </w:tc>
        <w:tc>
          <w:tcPr>
            <w:tcW w:w="1450" w:type="dxa"/>
            <w:vAlign w:val="center"/>
          </w:tcPr>
          <w:p w14:paraId="0EF295FE">
            <w:pPr>
              <w:ind w:right="-65" w:rightChars="-31"/>
              <w:jc w:val="center"/>
              <w:rPr>
                <w:rFonts w:ascii="宋体" w:hAnsi="宋体"/>
                <w:b w:val="0"/>
                <w:szCs w:val="20"/>
              </w:rPr>
            </w:pPr>
            <w:r>
              <w:rPr>
                <w:rFonts w:ascii="宋体" w:hAnsi="宋体"/>
                <w:b w:val="0"/>
                <w:szCs w:val="20"/>
              </w:rPr>
              <w:t>10</w:t>
            </w:r>
          </w:p>
        </w:tc>
      </w:tr>
      <w:tr w14:paraId="2E8D52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320" w:type="dxa"/>
          </w:tcPr>
          <w:p w14:paraId="562CCEC9">
            <w:pPr>
              <w:ind w:right="-65" w:rightChars="-31"/>
              <w:jc w:val="center"/>
              <w:rPr>
                <w:rFonts w:ascii="宋体" w:hAnsi="宋体"/>
                <w:b w:val="0"/>
                <w:szCs w:val="20"/>
              </w:rPr>
            </w:pPr>
            <w:r>
              <w:rPr>
                <w:rFonts w:ascii="宋体" w:hAnsi="宋体"/>
                <w:b w:val="0"/>
                <w:szCs w:val="20"/>
              </w:rPr>
              <w:t>个人燃放类组合烟花；</w:t>
            </w:r>
          </w:p>
          <w:p w14:paraId="6D7CBEA9">
            <w:pPr>
              <w:ind w:right="-65" w:rightChars="-31"/>
              <w:jc w:val="center"/>
              <w:rPr>
                <w:rFonts w:ascii="宋体" w:hAnsi="宋体"/>
                <w:b w:val="0"/>
                <w:szCs w:val="20"/>
              </w:rPr>
            </w:pPr>
            <w:r>
              <w:rPr>
                <w:rFonts w:ascii="宋体" w:hAnsi="宋体"/>
                <w:b w:val="0"/>
                <w:szCs w:val="20"/>
              </w:rPr>
              <w:t>单个爆竹白药药量小于等于0.14g的结鞭爆竹，</w:t>
            </w:r>
          </w:p>
          <w:p w14:paraId="615E7D2B">
            <w:pPr>
              <w:ind w:right="-65" w:rightChars="-31"/>
              <w:jc w:val="center"/>
              <w:rPr>
                <w:rFonts w:ascii="宋体" w:hAnsi="宋体"/>
                <w:b w:val="0"/>
                <w:szCs w:val="20"/>
              </w:rPr>
            </w:pPr>
            <w:r>
              <w:rPr>
                <w:rFonts w:ascii="宋体" w:hAnsi="宋体"/>
                <w:b w:val="0"/>
                <w:szCs w:val="20"/>
              </w:rPr>
              <w:t>单个爆竹黑药药量小于等于 1g的结鞭爆竹</w:t>
            </w:r>
          </w:p>
        </w:tc>
        <w:tc>
          <w:tcPr>
            <w:tcW w:w="1450" w:type="dxa"/>
            <w:vAlign w:val="center"/>
          </w:tcPr>
          <w:p w14:paraId="381344C2">
            <w:pPr>
              <w:ind w:right="-65" w:rightChars="-31"/>
              <w:jc w:val="center"/>
              <w:rPr>
                <w:rFonts w:ascii="宋体" w:hAnsi="宋体"/>
                <w:b w:val="0"/>
                <w:szCs w:val="20"/>
              </w:rPr>
            </w:pPr>
            <w:r>
              <w:rPr>
                <w:rFonts w:ascii="宋体" w:hAnsi="宋体"/>
                <w:b w:val="0"/>
                <w:szCs w:val="20"/>
              </w:rPr>
              <w:t>50</w:t>
            </w:r>
          </w:p>
        </w:tc>
      </w:tr>
    </w:tbl>
    <w:p w14:paraId="2418A618">
      <w:pPr>
        <w:spacing w:line="360" w:lineRule="auto"/>
        <w:ind w:firstLine="420" w:firstLineChars="200"/>
        <w:jc w:val="left"/>
        <w:rPr>
          <w:rFonts w:ascii="Times New Roman" w:hAnsi="Times New Roman"/>
          <w:b w:val="0"/>
          <w:bCs/>
          <w:sz w:val="28"/>
          <w:szCs w:val="28"/>
        </w:rPr>
      </w:pPr>
      <w:r>
        <w:rPr>
          <w:rFonts w:hint="eastAsia" w:ascii="宋体" w:hAnsi="宋体" w:cs="宋体"/>
          <w:b w:val="0"/>
          <w:szCs w:val="21"/>
        </w:rPr>
        <w:t>注：</w:t>
      </w:r>
      <w:r>
        <w:rPr>
          <w:rFonts w:ascii="宋体" w:hAnsi="宋体" w:cs="宋体"/>
          <w:b w:val="0"/>
          <w:szCs w:val="21"/>
        </w:rPr>
        <w:t>表3</w:t>
      </w:r>
      <w:r>
        <w:rPr>
          <w:rFonts w:hint="eastAsia" w:ascii="宋体" w:hAnsi="宋体" w:cs="宋体"/>
          <w:b w:val="0"/>
          <w:szCs w:val="21"/>
        </w:rPr>
        <w:t>.3-1</w:t>
      </w:r>
      <w:r>
        <w:rPr>
          <w:rFonts w:ascii="宋体" w:hAnsi="宋体" w:cs="宋体"/>
          <w:b w:val="0"/>
          <w:szCs w:val="21"/>
        </w:rPr>
        <w:t>中未规定临界量的，A 级烟花爆竹成品的临界量为</w:t>
      </w:r>
      <w:r>
        <w:rPr>
          <w:rFonts w:hint="eastAsia" w:ascii="宋体" w:hAnsi="宋体" w:cs="宋体"/>
          <w:b w:val="0"/>
          <w:szCs w:val="21"/>
        </w:rPr>
        <w:t>5</w:t>
      </w:r>
      <w:r>
        <w:rPr>
          <w:rFonts w:ascii="宋体" w:hAnsi="宋体" w:cs="宋体"/>
          <w:b w:val="0"/>
          <w:szCs w:val="21"/>
        </w:rPr>
        <w:t>t,B级烟花爆竹成品的临界量为10t,C级和D级烟花爆竹成品的临界量为50t。</w:t>
      </w:r>
    </w:p>
    <w:p w14:paraId="05DEDF7E">
      <w:pPr>
        <w:spacing w:line="360" w:lineRule="auto"/>
        <w:rPr>
          <w:rFonts w:ascii="黑体" w:hAnsi="黑体" w:eastAsia="黑体" w:cs="宋体"/>
          <w:b w:val="0"/>
          <w:sz w:val="28"/>
          <w:szCs w:val="28"/>
        </w:rPr>
      </w:pPr>
      <w:r>
        <w:rPr>
          <w:rFonts w:hint="eastAsia" w:ascii="黑体" w:hAnsi="黑体" w:eastAsia="黑体" w:cs="宋体"/>
          <w:b w:val="0"/>
          <w:sz w:val="28"/>
          <w:szCs w:val="28"/>
        </w:rPr>
        <w:t>3.3.3</w:t>
      </w:r>
      <w:r>
        <w:rPr>
          <w:rFonts w:hint="eastAsia" w:ascii="黑体" w:hAnsi="黑体" w:eastAsia="黑体" w:cs="宋体"/>
          <w:b w:val="0"/>
          <w:bCs/>
          <w:sz w:val="28"/>
          <w:szCs w:val="28"/>
        </w:rPr>
        <w:t>烟花爆竹重大危险源辨识</w:t>
      </w:r>
    </w:p>
    <w:p w14:paraId="5E8D8A50">
      <w:pPr>
        <w:spacing w:line="360" w:lineRule="auto"/>
        <w:ind w:firstLine="560" w:firstLineChars="200"/>
        <w:rPr>
          <w:rFonts w:ascii="宋体" w:hAnsi="宋体" w:cs="宋体"/>
          <w:b w:val="0"/>
          <w:sz w:val="28"/>
          <w:szCs w:val="28"/>
        </w:rPr>
      </w:pPr>
      <w:r>
        <w:rPr>
          <w:rFonts w:hint="eastAsia" w:ascii="宋体" w:hAnsi="宋体" w:cs="宋体"/>
          <w:b w:val="0"/>
          <w:sz w:val="28"/>
          <w:szCs w:val="28"/>
        </w:rPr>
        <w:t>本项目烟花爆竹仓库储存B、C、D级烟花爆竹成品，根据表</w:t>
      </w:r>
      <w:r>
        <w:rPr>
          <w:rFonts w:ascii="宋体" w:hAnsi="宋体" w:cs="宋体"/>
          <w:b w:val="0"/>
          <w:sz w:val="28"/>
          <w:szCs w:val="28"/>
        </w:rPr>
        <w:t>3</w:t>
      </w:r>
      <w:r>
        <w:rPr>
          <w:rFonts w:hint="eastAsia" w:ascii="宋体" w:hAnsi="宋体" w:cs="宋体"/>
          <w:b w:val="0"/>
          <w:sz w:val="28"/>
          <w:szCs w:val="28"/>
        </w:rPr>
        <w:t>.3-1</w:t>
      </w:r>
      <w:r>
        <w:rPr>
          <w:rFonts w:ascii="宋体" w:hAnsi="宋体" w:cs="宋体"/>
          <w:b w:val="0"/>
          <w:sz w:val="28"/>
          <w:szCs w:val="28"/>
        </w:rPr>
        <w:t xml:space="preserve"> </w:t>
      </w:r>
      <w:r>
        <w:rPr>
          <w:rFonts w:hint="eastAsia" w:ascii="宋体" w:hAnsi="宋体" w:cs="宋体"/>
          <w:b w:val="0"/>
          <w:sz w:val="28"/>
          <w:szCs w:val="28"/>
        </w:rPr>
        <w:t>所述，</w:t>
      </w:r>
      <w:r>
        <w:rPr>
          <w:rFonts w:ascii="宋体" w:hAnsi="宋体" w:cs="宋体"/>
          <w:b w:val="0"/>
          <w:sz w:val="28"/>
          <w:szCs w:val="28"/>
        </w:rPr>
        <w:t>B级烟花爆竹成品的临界量为10t,C级和D级烟花爆竹成品的临界量为50t</w:t>
      </w:r>
      <w:r>
        <w:rPr>
          <w:rFonts w:hint="eastAsia" w:ascii="宋体" w:hAnsi="宋体" w:cs="宋体"/>
          <w:b w:val="0"/>
          <w:sz w:val="28"/>
          <w:szCs w:val="28"/>
        </w:rPr>
        <w:t>，双响成品的临界量为5</w:t>
      </w:r>
      <w:r>
        <w:rPr>
          <w:rFonts w:ascii="宋体" w:hAnsi="宋体" w:cs="宋体"/>
          <w:b w:val="0"/>
          <w:sz w:val="28"/>
          <w:szCs w:val="28"/>
        </w:rPr>
        <w:t>t。</w:t>
      </w:r>
      <w:r>
        <w:rPr>
          <w:rFonts w:hint="eastAsia" w:ascii="宋体" w:hAnsi="宋体" w:cs="宋体"/>
          <w:b w:val="0"/>
          <w:sz w:val="28"/>
          <w:szCs w:val="28"/>
        </w:rPr>
        <w:t>本项目按设计核定最大的储存量进行烟花爆竹重大危险源辨识，相关数据列于下表3.3-2中。</w:t>
      </w:r>
    </w:p>
    <w:p w14:paraId="6C542259">
      <w:pPr>
        <w:jc w:val="center"/>
        <w:rPr>
          <w:rFonts w:ascii="黑体" w:hAnsi="黑体" w:eastAsia="黑体"/>
          <w:b w:val="0"/>
          <w:bCs/>
          <w:sz w:val="24"/>
        </w:rPr>
      </w:pPr>
      <w:r>
        <w:rPr>
          <w:rFonts w:hint="eastAsia" w:ascii="黑体" w:hAnsi="黑体" w:eastAsia="黑体"/>
          <w:b w:val="0"/>
          <w:bCs/>
          <w:sz w:val="24"/>
        </w:rPr>
        <w:t>表3.3-2 烟花爆竹重大危险源辨识</w:t>
      </w:r>
    </w:p>
    <w:tbl>
      <w:tblPr>
        <w:tblStyle w:val="49"/>
        <w:tblW w:w="96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992"/>
        <w:gridCol w:w="3047"/>
        <w:gridCol w:w="1214"/>
        <w:gridCol w:w="1243"/>
        <w:gridCol w:w="2343"/>
      </w:tblGrid>
      <w:tr w14:paraId="3D170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770" w:type="dxa"/>
            <w:vAlign w:val="center"/>
          </w:tcPr>
          <w:p w14:paraId="313E2946">
            <w:pPr>
              <w:adjustRightInd w:val="0"/>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辨识单元</w:t>
            </w:r>
          </w:p>
        </w:tc>
        <w:tc>
          <w:tcPr>
            <w:tcW w:w="992" w:type="dxa"/>
            <w:vAlign w:val="center"/>
          </w:tcPr>
          <w:p w14:paraId="645EAD18">
            <w:pPr>
              <w:adjustRightInd w:val="0"/>
              <w:snapToGrid w:val="0"/>
              <w:ind w:left="-107" w:leftChars="-51"/>
              <w:jc w:val="center"/>
              <w:rPr>
                <w:rFonts w:asciiTheme="minorEastAsia" w:hAnsiTheme="minorEastAsia" w:eastAsiaTheme="minorEastAsia"/>
                <w:bCs/>
                <w:szCs w:val="21"/>
              </w:rPr>
            </w:pPr>
            <w:r>
              <w:rPr>
                <w:rFonts w:hint="eastAsia" w:asciiTheme="minorEastAsia" w:hAnsiTheme="minorEastAsia" w:eastAsiaTheme="minorEastAsia"/>
                <w:bCs/>
                <w:szCs w:val="21"/>
              </w:rPr>
              <w:t>单元</w:t>
            </w:r>
          </w:p>
          <w:p w14:paraId="7E748610">
            <w:pPr>
              <w:adjustRightInd w:val="0"/>
              <w:snapToGrid w:val="0"/>
              <w:ind w:left="-107" w:leftChars="-51"/>
              <w:jc w:val="center"/>
              <w:rPr>
                <w:rFonts w:asciiTheme="minorEastAsia" w:hAnsiTheme="minorEastAsia" w:eastAsiaTheme="minorEastAsia"/>
                <w:bCs/>
                <w:szCs w:val="21"/>
              </w:rPr>
            </w:pPr>
            <w:r>
              <w:rPr>
                <w:rFonts w:hint="eastAsia" w:asciiTheme="minorEastAsia" w:hAnsiTheme="minorEastAsia" w:eastAsiaTheme="minorEastAsia"/>
                <w:bCs/>
                <w:szCs w:val="21"/>
              </w:rPr>
              <w:t>名称</w:t>
            </w:r>
          </w:p>
        </w:tc>
        <w:tc>
          <w:tcPr>
            <w:tcW w:w="3047" w:type="dxa"/>
            <w:vAlign w:val="center"/>
          </w:tcPr>
          <w:p w14:paraId="670FBF12">
            <w:pPr>
              <w:adjustRightInd w:val="0"/>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产品类别</w:t>
            </w:r>
          </w:p>
        </w:tc>
        <w:tc>
          <w:tcPr>
            <w:tcW w:w="1214" w:type="dxa"/>
            <w:vAlign w:val="center"/>
          </w:tcPr>
          <w:p w14:paraId="1960295E">
            <w:pPr>
              <w:adjustRightInd w:val="0"/>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拟定</w:t>
            </w:r>
            <w:r>
              <w:rPr>
                <w:rFonts w:asciiTheme="minorEastAsia" w:hAnsiTheme="minorEastAsia" w:eastAsiaTheme="minorEastAsia"/>
                <w:bCs/>
                <w:szCs w:val="21"/>
              </w:rPr>
              <w:t>最大储存量</w:t>
            </w:r>
            <w:r>
              <w:rPr>
                <w:rFonts w:hint="eastAsia" w:asciiTheme="minorEastAsia" w:hAnsiTheme="minorEastAsia" w:eastAsiaTheme="minorEastAsia"/>
                <w:bCs/>
                <w:szCs w:val="21"/>
              </w:rPr>
              <w:t>(t)</w:t>
            </w:r>
          </w:p>
        </w:tc>
        <w:tc>
          <w:tcPr>
            <w:tcW w:w="1243" w:type="dxa"/>
            <w:vAlign w:val="center"/>
          </w:tcPr>
          <w:p w14:paraId="2D680D75">
            <w:pPr>
              <w:adjustRightInd w:val="0"/>
              <w:snapToGrid w:val="0"/>
              <w:jc w:val="center"/>
              <w:rPr>
                <w:rFonts w:asciiTheme="minorEastAsia" w:hAnsiTheme="minorEastAsia" w:eastAsiaTheme="minorEastAsia"/>
                <w:bCs/>
                <w:szCs w:val="21"/>
              </w:rPr>
            </w:pPr>
            <w:r>
              <w:rPr>
                <w:rFonts w:asciiTheme="minorEastAsia" w:hAnsiTheme="minorEastAsia" w:eastAsiaTheme="minorEastAsia"/>
                <w:bCs/>
                <w:szCs w:val="21"/>
              </w:rPr>
              <w:t>标准规定</w:t>
            </w:r>
          </w:p>
          <w:p w14:paraId="4714ED3D">
            <w:pPr>
              <w:adjustRightInd w:val="0"/>
              <w:snapToGrid w:val="0"/>
              <w:jc w:val="center"/>
              <w:rPr>
                <w:rFonts w:asciiTheme="minorEastAsia" w:hAnsiTheme="minorEastAsia" w:eastAsiaTheme="minorEastAsia"/>
                <w:bCs/>
                <w:szCs w:val="21"/>
              </w:rPr>
            </w:pPr>
            <w:r>
              <w:rPr>
                <w:rFonts w:asciiTheme="minorEastAsia" w:hAnsiTheme="minorEastAsia" w:eastAsiaTheme="minorEastAsia"/>
                <w:bCs/>
                <w:szCs w:val="21"/>
              </w:rPr>
              <w:t>临界量</w:t>
            </w:r>
            <w:r>
              <w:rPr>
                <w:rFonts w:hint="eastAsia" w:asciiTheme="minorEastAsia" w:hAnsiTheme="minorEastAsia" w:eastAsiaTheme="minorEastAsia"/>
                <w:bCs/>
                <w:szCs w:val="21"/>
              </w:rPr>
              <w:t>(t)</w:t>
            </w:r>
          </w:p>
        </w:tc>
        <w:tc>
          <w:tcPr>
            <w:tcW w:w="2343" w:type="dxa"/>
            <w:vAlign w:val="center"/>
          </w:tcPr>
          <w:p w14:paraId="7CF82049">
            <w:pPr>
              <w:adjustRightInd w:val="0"/>
              <w:snapToGrid w:val="0"/>
              <w:jc w:val="center"/>
              <w:rPr>
                <w:rFonts w:asciiTheme="minorEastAsia" w:hAnsiTheme="minorEastAsia" w:eastAsiaTheme="minorEastAsia"/>
                <w:bCs/>
                <w:szCs w:val="21"/>
              </w:rPr>
            </w:pPr>
            <w:r>
              <w:rPr>
                <w:rFonts w:asciiTheme="minorEastAsia" w:hAnsiTheme="minorEastAsia" w:eastAsiaTheme="minorEastAsia"/>
                <w:bCs/>
                <w:szCs w:val="21"/>
              </w:rPr>
              <w:t>S=q1/Q</w:t>
            </w:r>
            <w:r>
              <w:rPr>
                <w:rFonts w:hint="eastAsia" w:asciiTheme="minorEastAsia" w:hAnsiTheme="minorEastAsia" w:eastAsiaTheme="minorEastAsia"/>
                <w:bCs/>
                <w:szCs w:val="21"/>
              </w:rPr>
              <w:t>1</w:t>
            </w:r>
          </w:p>
        </w:tc>
      </w:tr>
      <w:tr w14:paraId="62B01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restart"/>
            <w:vAlign w:val="center"/>
          </w:tcPr>
          <w:p w14:paraId="41BE0B3D">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储存</w:t>
            </w:r>
            <w:r>
              <w:rPr>
                <w:rFonts w:asciiTheme="minorEastAsia" w:hAnsiTheme="minorEastAsia" w:eastAsiaTheme="minorEastAsia"/>
                <w:b w:val="0"/>
                <w:szCs w:val="21"/>
              </w:rPr>
              <w:t>单元</w:t>
            </w:r>
          </w:p>
        </w:tc>
        <w:tc>
          <w:tcPr>
            <w:tcW w:w="992" w:type="dxa"/>
            <w:vMerge w:val="restart"/>
            <w:vAlign w:val="center"/>
          </w:tcPr>
          <w:p w14:paraId="5D0C6C9D">
            <w:pPr>
              <w:jc w:val="center"/>
              <w:rPr>
                <w:rFonts w:asciiTheme="minorEastAsia" w:hAnsiTheme="minorEastAsia" w:eastAsiaTheme="minorEastAsia"/>
                <w:b w:val="0"/>
                <w:szCs w:val="21"/>
              </w:rPr>
            </w:pPr>
            <w:r>
              <w:rPr>
                <w:rFonts w:asciiTheme="minorEastAsia" w:hAnsiTheme="minorEastAsia" w:eastAsiaTheme="minorEastAsia"/>
                <w:b w:val="0"/>
                <w:szCs w:val="21"/>
              </w:rPr>
              <w:t>1</w:t>
            </w:r>
            <w:r>
              <w:rPr>
                <w:rFonts w:hint="eastAsia" w:asciiTheme="minorEastAsia" w:hAnsiTheme="minorEastAsia" w:eastAsiaTheme="minorEastAsia"/>
                <w:b w:val="0"/>
                <w:szCs w:val="21"/>
              </w:rPr>
              <w:t>#1.3级库房</w:t>
            </w:r>
          </w:p>
        </w:tc>
        <w:tc>
          <w:tcPr>
            <w:tcW w:w="3047" w:type="dxa"/>
            <w:vAlign w:val="center"/>
          </w:tcPr>
          <w:p w14:paraId="3481B4F2">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除双响成品外的烟花爆竹成品</w:t>
            </w:r>
          </w:p>
        </w:tc>
        <w:tc>
          <w:tcPr>
            <w:tcW w:w="1214" w:type="dxa"/>
            <w:vAlign w:val="center"/>
          </w:tcPr>
          <w:p w14:paraId="7EA6B32C">
            <w:pPr>
              <w:jc w:val="center"/>
              <w:rPr>
                <w:rFonts w:asciiTheme="minorEastAsia" w:hAnsiTheme="minorEastAsia" w:eastAsiaTheme="minorEastAsia"/>
                <w:b w:val="0"/>
                <w:szCs w:val="21"/>
              </w:rPr>
            </w:pPr>
            <w:r>
              <w:rPr>
                <w:rFonts w:asciiTheme="minorEastAsia" w:hAnsiTheme="minorEastAsia" w:eastAsiaTheme="minorEastAsia"/>
                <w:b w:val="0"/>
                <w:szCs w:val="21"/>
              </w:rPr>
              <w:t>7</w:t>
            </w:r>
          </w:p>
        </w:tc>
        <w:tc>
          <w:tcPr>
            <w:tcW w:w="1243" w:type="dxa"/>
            <w:vAlign w:val="center"/>
          </w:tcPr>
          <w:p w14:paraId="436833DB">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r>
              <w:rPr>
                <w:rFonts w:asciiTheme="minorEastAsia" w:hAnsiTheme="minorEastAsia" w:eastAsiaTheme="minorEastAsia"/>
                <w:b w:val="0"/>
                <w:szCs w:val="21"/>
              </w:rPr>
              <w:t>0</w:t>
            </w:r>
          </w:p>
        </w:tc>
        <w:tc>
          <w:tcPr>
            <w:tcW w:w="2343" w:type="dxa"/>
            <w:vMerge w:val="restart"/>
            <w:vAlign w:val="center"/>
          </w:tcPr>
          <w:p w14:paraId="4AA9F5C4">
            <w:pPr>
              <w:adjustRightInd w:val="0"/>
              <w:snapToGrid w:val="0"/>
              <w:jc w:val="center"/>
              <w:rPr>
                <w:rFonts w:asciiTheme="minorEastAsia" w:hAnsiTheme="minorEastAsia" w:eastAsiaTheme="minorEastAsia"/>
                <w:b w:val="0"/>
                <w:bCs/>
                <w:szCs w:val="21"/>
              </w:rPr>
            </w:pPr>
            <w:r>
              <w:rPr>
                <w:rFonts w:hint="eastAsia" w:asciiTheme="minorEastAsia" w:hAnsiTheme="minorEastAsia" w:eastAsiaTheme="minorEastAsia"/>
                <w:b w:val="0"/>
                <w:bCs/>
                <w:szCs w:val="21"/>
              </w:rPr>
              <w:t>(</w:t>
            </w:r>
            <w:r>
              <w:rPr>
                <w:rFonts w:asciiTheme="minorEastAsia" w:hAnsiTheme="minorEastAsia" w:eastAsiaTheme="minorEastAsia"/>
                <w:b w:val="0"/>
                <w:bCs/>
                <w:szCs w:val="21"/>
              </w:rPr>
              <w:t>7/50)+(4.16/5)</w:t>
            </w:r>
          </w:p>
          <w:p w14:paraId="024ECCD3">
            <w:pPr>
              <w:adjustRightInd w:val="0"/>
              <w:snapToGrid w:val="0"/>
              <w:jc w:val="center"/>
              <w:rPr>
                <w:rFonts w:asciiTheme="minorEastAsia" w:hAnsiTheme="minorEastAsia" w:eastAsiaTheme="minorEastAsia"/>
                <w:b w:val="0"/>
                <w:bCs/>
                <w:szCs w:val="21"/>
              </w:rPr>
            </w:pPr>
            <w:r>
              <w:rPr>
                <w:rFonts w:asciiTheme="minorEastAsia" w:hAnsiTheme="minorEastAsia" w:eastAsiaTheme="minorEastAsia"/>
                <w:b w:val="0"/>
                <w:bCs/>
                <w:szCs w:val="21"/>
              </w:rPr>
              <w:t>=0.14+0.832=0.972</w:t>
            </w:r>
            <w:r>
              <w:rPr>
                <w:rFonts w:hint="eastAsia" w:asciiTheme="minorEastAsia" w:hAnsiTheme="minorEastAsia" w:eastAsiaTheme="minorEastAsia"/>
                <w:b w:val="0"/>
                <w:bCs/>
                <w:szCs w:val="21"/>
              </w:rPr>
              <w:t>＜1</w:t>
            </w:r>
          </w:p>
        </w:tc>
      </w:tr>
      <w:tr w14:paraId="5340A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0E6BA729">
            <w:pPr>
              <w:adjustRightInd w:val="0"/>
              <w:snapToGrid w:val="0"/>
              <w:jc w:val="center"/>
              <w:rPr>
                <w:rFonts w:asciiTheme="minorEastAsia" w:hAnsiTheme="minorEastAsia" w:eastAsiaTheme="minorEastAsia"/>
                <w:b w:val="0"/>
                <w:szCs w:val="21"/>
              </w:rPr>
            </w:pPr>
          </w:p>
        </w:tc>
        <w:tc>
          <w:tcPr>
            <w:tcW w:w="992" w:type="dxa"/>
            <w:vMerge w:val="continue"/>
            <w:vAlign w:val="center"/>
          </w:tcPr>
          <w:p w14:paraId="5B372267">
            <w:pPr>
              <w:jc w:val="center"/>
              <w:rPr>
                <w:rFonts w:asciiTheme="minorEastAsia" w:hAnsiTheme="minorEastAsia" w:eastAsiaTheme="minorEastAsia"/>
                <w:b w:val="0"/>
                <w:szCs w:val="21"/>
              </w:rPr>
            </w:pPr>
          </w:p>
        </w:tc>
        <w:tc>
          <w:tcPr>
            <w:tcW w:w="3047" w:type="dxa"/>
            <w:vAlign w:val="center"/>
          </w:tcPr>
          <w:p w14:paraId="10AFE626">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双响成品</w:t>
            </w:r>
          </w:p>
        </w:tc>
        <w:tc>
          <w:tcPr>
            <w:tcW w:w="1214" w:type="dxa"/>
            <w:vAlign w:val="center"/>
          </w:tcPr>
          <w:p w14:paraId="22335AC0">
            <w:pPr>
              <w:jc w:val="center"/>
              <w:rPr>
                <w:rFonts w:asciiTheme="minorEastAsia" w:hAnsiTheme="minorEastAsia" w:eastAsiaTheme="minorEastAsia"/>
                <w:b w:val="0"/>
                <w:szCs w:val="21"/>
              </w:rPr>
            </w:pPr>
            <w:r>
              <w:rPr>
                <w:rFonts w:asciiTheme="minorEastAsia" w:hAnsiTheme="minorEastAsia" w:eastAsiaTheme="minorEastAsia"/>
                <w:b w:val="0"/>
                <w:szCs w:val="21"/>
              </w:rPr>
              <w:t>4.16</w:t>
            </w:r>
          </w:p>
        </w:tc>
        <w:tc>
          <w:tcPr>
            <w:tcW w:w="1243" w:type="dxa"/>
            <w:vAlign w:val="center"/>
          </w:tcPr>
          <w:p w14:paraId="78D9F671">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p>
        </w:tc>
        <w:tc>
          <w:tcPr>
            <w:tcW w:w="2343" w:type="dxa"/>
            <w:vMerge w:val="continue"/>
            <w:vAlign w:val="center"/>
          </w:tcPr>
          <w:p w14:paraId="252516C5">
            <w:pPr>
              <w:adjustRightInd w:val="0"/>
              <w:snapToGrid w:val="0"/>
              <w:jc w:val="center"/>
              <w:rPr>
                <w:rFonts w:asciiTheme="minorEastAsia" w:hAnsiTheme="minorEastAsia" w:eastAsiaTheme="minorEastAsia"/>
                <w:b w:val="0"/>
                <w:bCs/>
                <w:szCs w:val="21"/>
              </w:rPr>
            </w:pPr>
          </w:p>
        </w:tc>
      </w:tr>
      <w:tr w14:paraId="5F3CA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5FD15FDC">
            <w:pPr>
              <w:adjustRightInd w:val="0"/>
              <w:snapToGrid w:val="0"/>
              <w:jc w:val="center"/>
              <w:rPr>
                <w:rFonts w:asciiTheme="minorEastAsia" w:hAnsiTheme="minorEastAsia" w:eastAsiaTheme="minorEastAsia"/>
                <w:b w:val="0"/>
                <w:szCs w:val="21"/>
              </w:rPr>
            </w:pPr>
          </w:p>
        </w:tc>
        <w:tc>
          <w:tcPr>
            <w:tcW w:w="992" w:type="dxa"/>
            <w:vMerge w:val="restart"/>
            <w:vAlign w:val="center"/>
          </w:tcPr>
          <w:p w14:paraId="1C6E80E3">
            <w:pPr>
              <w:jc w:val="center"/>
              <w:rPr>
                <w:rFonts w:asciiTheme="minorEastAsia" w:hAnsiTheme="minorEastAsia" w:eastAsiaTheme="minorEastAsia"/>
                <w:b w:val="0"/>
                <w:szCs w:val="21"/>
              </w:rPr>
            </w:pPr>
            <w:r>
              <w:rPr>
                <w:rFonts w:asciiTheme="minorEastAsia" w:hAnsiTheme="minorEastAsia" w:eastAsiaTheme="minorEastAsia"/>
                <w:b w:val="0"/>
                <w:szCs w:val="21"/>
              </w:rPr>
              <w:t>2</w:t>
            </w:r>
            <w:r>
              <w:rPr>
                <w:rFonts w:hint="eastAsia" w:asciiTheme="minorEastAsia" w:hAnsiTheme="minorEastAsia" w:eastAsiaTheme="minorEastAsia"/>
                <w:b w:val="0"/>
                <w:szCs w:val="21"/>
              </w:rPr>
              <w:t>#1.3级库房</w:t>
            </w:r>
          </w:p>
        </w:tc>
        <w:tc>
          <w:tcPr>
            <w:tcW w:w="3047" w:type="dxa"/>
            <w:vAlign w:val="center"/>
          </w:tcPr>
          <w:p w14:paraId="324386B5">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除双响成品外的烟花爆竹成品</w:t>
            </w:r>
          </w:p>
        </w:tc>
        <w:tc>
          <w:tcPr>
            <w:tcW w:w="1214" w:type="dxa"/>
            <w:vAlign w:val="center"/>
          </w:tcPr>
          <w:p w14:paraId="27919849">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6.6</w:t>
            </w:r>
          </w:p>
        </w:tc>
        <w:tc>
          <w:tcPr>
            <w:tcW w:w="1243" w:type="dxa"/>
            <w:vAlign w:val="center"/>
          </w:tcPr>
          <w:p w14:paraId="3E31147E">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r>
              <w:rPr>
                <w:rFonts w:asciiTheme="minorEastAsia" w:hAnsiTheme="minorEastAsia" w:eastAsiaTheme="minorEastAsia"/>
                <w:b w:val="0"/>
                <w:szCs w:val="21"/>
              </w:rPr>
              <w:t>0</w:t>
            </w:r>
          </w:p>
        </w:tc>
        <w:tc>
          <w:tcPr>
            <w:tcW w:w="2343" w:type="dxa"/>
            <w:vMerge w:val="restart"/>
            <w:vAlign w:val="center"/>
          </w:tcPr>
          <w:p w14:paraId="6F9E0086">
            <w:pPr>
              <w:adjustRightInd w:val="0"/>
              <w:snapToGrid w:val="0"/>
              <w:jc w:val="center"/>
              <w:rPr>
                <w:rFonts w:asciiTheme="minorEastAsia" w:hAnsiTheme="minorEastAsia" w:eastAsiaTheme="minorEastAsia"/>
                <w:b w:val="0"/>
                <w:bCs/>
                <w:szCs w:val="21"/>
              </w:rPr>
            </w:pPr>
            <w:r>
              <w:rPr>
                <w:rFonts w:hint="eastAsia" w:asciiTheme="minorEastAsia" w:hAnsiTheme="minorEastAsia" w:eastAsiaTheme="minorEastAsia"/>
                <w:b w:val="0"/>
                <w:bCs/>
                <w:szCs w:val="21"/>
              </w:rPr>
              <w:t>（1</w:t>
            </w:r>
            <w:r>
              <w:rPr>
                <w:rFonts w:asciiTheme="minorEastAsia" w:hAnsiTheme="minorEastAsia" w:eastAsiaTheme="minorEastAsia"/>
                <w:b w:val="0"/>
                <w:bCs/>
                <w:szCs w:val="21"/>
              </w:rPr>
              <w:t>6.6</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50</w:t>
            </w:r>
            <w:r>
              <w:rPr>
                <w:rFonts w:hint="eastAsia" w:asciiTheme="minorEastAsia" w:hAnsiTheme="minorEastAsia" w:eastAsiaTheme="minorEastAsia"/>
                <w:b w:val="0"/>
                <w:bCs/>
                <w:szCs w:val="21"/>
              </w:rPr>
              <w:t>）+（3</w:t>
            </w:r>
            <w:r>
              <w:rPr>
                <w:rFonts w:asciiTheme="minorEastAsia" w:hAnsiTheme="minorEastAsia" w:eastAsiaTheme="minorEastAsia"/>
                <w:b w:val="0"/>
                <w:bCs/>
                <w:szCs w:val="21"/>
              </w:rPr>
              <w:t>.2/5</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0.332+0.64=0.972</w:t>
            </w:r>
            <w:r>
              <w:rPr>
                <w:rFonts w:hint="eastAsia" w:asciiTheme="minorEastAsia" w:hAnsiTheme="minorEastAsia" w:eastAsiaTheme="minorEastAsia"/>
                <w:b w:val="0"/>
                <w:bCs/>
                <w:szCs w:val="21"/>
              </w:rPr>
              <w:t>＜1</w:t>
            </w:r>
          </w:p>
        </w:tc>
      </w:tr>
      <w:tr w14:paraId="5AD08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0BEEC356">
            <w:pPr>
              <w:adjustRightInd w:val="0"/>
              <w:snapToGrid w:val="0"/>
              <w:jc w:val="center"/>
              <w:rPr>
                <w:rFonts w:asciiTheme="minorEastAsia" w:hAnsiTheme="minorEastAsia" w:eastAsiaTheme="minorEastAsia"/>
                <w:b w:val="0"/>
                <w:szCs w:val="21"/>
              </w:rPr>
            </w:pPr>
          </w:p>
        </w:tc>
        <w:tc>
          <w:tcPr>
            <w:tcW w:w="992" w:type="dxa"/>
            <w:vMerge w:val="continue"/>
            <w:vAlign w:val="center"/>
          </w:tcPr>
          <w:p w14:paraId="627C140A">
            <w:pPr>
              <w:jc w:val="center"/>
              <w:rPr>
                <w:rFonts w:asciiTheme="minorEastAsia" w:hAnsiTheme="minorEastAsia" w:eastAsiaTheme="minorEastAsia"/>
                <w:b w:val="0"/>
                <w:szCs w:val="21"/>
              </w:rPr>
            </w:pPr>
          </w:p>
        </w:tc>
        <w:tc>
          <w:tcPr>
            <w:tcW w:w="3047" w:type="dxa"/>
            <w:vAlign w:val="center"/>
          </w:tcPr>
          <w:p w14:paraId="4AA5C4C7">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双响成品</w:t>
            </w:r>
          </w:p>
        </w:tc>
        <w:tc>
          <w:tcPr>
            <w:tcW w:w="1214" w:type="dxa"/>
            <w:vAlign w:val="center"/>
          </w:tcPr>
          <w:p w14:paraId="79CD8D6F">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3</w:t>
            </w:r>
            <w:r>
              <w:rPr>
                <w:rFonts w:asciiTheme="minorEastAsia" w:hAnsiTheme="minorEastAsia" w:eastAsiaTheme="minorEastAsia"/>
                <w:b w:val="0"/>
                <w:szCs w:val="21"/>
              </w:rPr>
              <w:t>.2</w:t>
            </w:r>
          </w:p>
        </w:tc>
        <w:tc>
          <w:tcPr>
            <w:tcW w:w="1243" w:type="dxa"/>
            <w:vAlign w:val="center"/>
          </w:tcPr>
          <w:p w14:paraId="5CC40D92">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p>
        </w:tc>
        <w:tc>
          <w:tcPr>
            <w:tcW w:w="2343" w:type="dxa"/>
            <w:vMerge w:val="continue"/>
            <w:vAlign w:val="center"/>
          </w:tcPr>
          <w:p w14:paraId="75FBCFA9">
            <w:pPr>
              <w:adjustRightInd w:val="0"/>
              <w:snapToGrid w:val="0"/>
              <w:jc w:val="center"/>
              <w:rPr>
                <w:rFonts w:asciiTheme="minorEastAsia" w:hAnsiTheme="minorEastAsia" w:eastAsiaTheme="minorEastAsia"/>
                <w:b w:val="0"/>
                <w:bCs/>
                <w:szCs w:val="21"/>
              </w:rPr>
            </w:pPr>
          </w:p>
        </w:tc>
      </w:tr>
      <w:tr w14:paraId="59BCE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1328747C">
            <w:pPr>
              <w:adjustRightInd w:val="0"/>
              <w:snapToGrid w:val="0"/>
              <w:jc w:val="center"/>
              <w:rPr>
                <w:rFonts w:asciiTheme="minorEastAsia" w:hAnsiTheme="minorEastAsia" w:eastAsiaTheme="minorEastAsia"/>
                <w:b w:val="0"/>
                <w:szCs w:val="21"/>
              </w:rPr>
            </w:pPr>
          </w:p>
        </w:tc>
        <w:tc>
          <w:tcPr>
            <w:tcW w:w="992" w:type="dxa"/>
            <w:vMerge w:val="restart"/>
            <w:vAlign w:val="center"/>
          </w:tcPr>
          <w:p w14:paraId="5E128102">
            <w:pPr>
              <w:jc w:val="center"/>
              <w:rPr>
                <w:rFonts w:asciiTheme="minorEastAsia" w:hAnsiTheme="minorEastAsia" w:eastAsiaTheme="minorEastAsia"/>
                <w:b w:val="0"/>
                <w:szCs w:val="21"/>
              </w:rPr>
            </w:pPr>
            <w:r>
              <w:rPr>
                <w:rFonts w:asciiTheme="minorEastAsia" w:hAnsiTheme="minorEastAsia" w:eastAsiaTheme="minorEastAsia"/>
                <w:b w:val="0"/>
                <w:szCs w:val="21"/>
              </w:rPr>
              <w:t>3#1.3</w:t>
            </w:r>
            <w:r>
              <w:rPr>
                <w:rFonts w:hint="eastAsia" w:asciiTheme="minorEastAsia" w:hAnsiTheme="minorEastAsia" w:eastAsiaTheme="minorEastAsia"/>
                <w:b w:val="0"/>
                <w:szCs w:val="21"/>
              </w:rPr>
              <w:t>级库房</w:t>
            </w:r>
          </w:p>
        </w:tc>
        <w:tc>
          <w:tcPr>
            <w:tcW w:w="3047" w:type="dxa"/>
            <w:vAlign w:val="center"/>
          </w:tcPr>
          <w:p w14:paraId="351F587A">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除双响成品外的烟花爆竹成品</w:t>
            </w:r>
          </w:p>
        </w:tc>
        <w:tc>
          <w:tcPr>
            <w:tcW w:w="1214" w:type="dxa"/>
            <w:vAlign w:val="center"/>
          </w:tcPr>
          <w:p w14:paraId="0ED6C9BE">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6.6</w:t>
            </w:r>
          </w:p>
        </w:tc>
        <w:tc>
          <w:tcPr>
            <w:tcW w:w="1243" w:type="dxa"/>
            <w:vAlign w:val="center"/>
          </w:tcPr>
          <w:p w14:paraId="15B0AA98">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r>
              <w:rPr>
                <w:rFonts w:asciiTheme="minorEastAsia" w:hAnsiTheme="minorEastAsia" w:eastAsiaTheme="minorEastAsia"/>
                <w:b w:val="0"/>
                <w:szCs w:val="21"/>
              </w:rPr>
              <w:t>0</w:t>
            </w:r>
          </w:p>
        </w:tc>
        <w:tc>
          <w:tcPr>
            <w:tcW w:w="2343" w:type="dxa"/>
            <w:vMerge w:val="restart"/>
            <w:vAlign w:val="center"/>
          </w:tcPr>
          <w:p w14:paraId="08F00B6A">
            <w:pPr>
              <w:adjustRightInd w:val="0"/>
              <w:snapToGrid w:val="0"/>
              <w:jc w:val="center"/>
              <w:rPr>
                <w:rFonts w:asciiTheme="minorEastAsia" w:hAnsiTheme="minorEastAsia"/>
                <w:b w:val="0"/>
                <w:bCs/>
                <w:szCs w:val="21"/>
              </w:rPr>
            </w:pPr>
            <w:r>
              <w:rPr>
                <w:rFonts w:hint="eastAsia" w:asciiTheme="minorEastAsia" w:hAnsiTheme="minorEastAsia" w:eastAsiaTheme="minorEastAsia"/>
                <w:b w:val="0"/>
                <w:bCs/>
                <w:szCs w:val="21"/>
              </w:rPr>
              <w:t>（1</w:t>
            </w:r>
            <w:r>
              <w:rPr>
                <w:rFonts w:asciiTheme="minorEastAsia" w:hAnsiTheme="minorEastAsia" w:eastAsiaTheme="minorEastAsia"/>
                <w:b w:val="0"/>
                <w:bCs/>
                <w:szCs w:val="21"/>
              </w:rPr>
              <w:t>6.6</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50</w:t>
            </w:r>
            <w:r>
              <w:rPr>
                <w:rFonts w:hint="eastAsia" w:asciiTheme="minorEastAsia" w:hAnsiTheme="minorEastAsia" w:eastAsiaTheme="minorEastAsia"/>
                <w:b w:val="0"/>
                <w:bCs/>
                <w:szCs w:val="21"/>
              </w:rPr>
              <w:t>）+（3</w:t>
            </w:r>
            <w:r>
              <w:rPr>
                <w:rFonts w:asciiTheme="minorEastAsia" w:hAnsiTheme="minorEastAsia" w:eastAsiaTheme="minorEastAsia"/>
                <w:b w:val="0"/>
                <w:bCs/>
                <w:szCs w:val="21"/>
              </w:rPr>
              <w:t>.2/5</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0.332+0.64=0.972</w:t>
            </w:r>
            <w:r>
              <w:rPr>
                <w:rFonts w:hint="eastAsia" w:asciiTheme="minorEastAsia" w:hAnsiTheme="minorEastAsia" w:eastAsiaTheme="minorEastAsia"/>
                <w:b w:val="0"/>
                <w:bCs/>
                <w:szCs w:val="21"/>
              </w:rPr>
              <w:t>＜1</w:t>
            </w:r>
          </w:p>
        </w:tc>
      </w:tr>
      <w:tr w14:paraId="0D58D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60BCCAAF">
            <w:pPr>
              <w:adjustRightInd w:val="0"/>
              <w:snapToGrid w:val="0"/>
              <w:jc w:val="center"/>
              <w:rPr>
                <w:rFonts w:asciiTheme="minorEastAsia" w:hAnsiTheme="minorEastAsia" w:eastAsiaTheme="minorEastAsia"/>
                <w:b w:val="0"/>
                <w:szCs w:val="21"/>
              </w:rPr>
            </w:pPr>
          </w:p>
        </w:tc>
        <w:tc>
          <w:tcPr>
            <w:tcW w:w="992" w:type="dxa"/>
            <w:vMerge w:val="continue"/>
            <w:vAlign w:val="center"/>
          </w:tcPr>
          <w:p w14:paraId="375ED41D">
            <w:pPr>
              <w:jc w:val="center"/>
              <w:rPr>
                <w:rFonts w:asciiTheme="minorEastAsia" w:hAnsiTheme="minorEastAsia" w:eastAsiaTheme="minorEastAsia"/>
                <w:b w:val="0"/>
                <w:szCs w:val="21"/>
              </w:rPr>
            </w:pPr>
          </w:p>
        </w:tc>
        <w:tc>
          <w:tcPr>
            <w:tcW w:w="3047" w:type="dxa"/>
            <w:vAlign w:val="center"/>
          </w:tcPr>
          <w:p w14:paraId="29692F09">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双响成品</w:t>
            </w:r>
          </w:p>
        </w:tc>
        <w:tc>
          <w:tcPr>
            <w:tcW w:w="1214" w:type="dxa"/>
            <w:vAlign w:val="center"/>
          </w:tcPr>
          <w:p w14:paraId="15C9C1AB">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3</w:t>
            </w:r>
            <w:r>
              <w:rPr>
                <w:rFonts w:asciiTheme="minorEastAsia" w:hAnsiTheme="minorEastAsia" w:eastAsiaTheme="minorEastAsia"/>
                <w:b w:val="0"/>
                <w:szCs w:val="21"/>
              </w:rPr>
              <w:t>.2</w:t>
            </w:r>
          </w:p>
        </w:tc>
        <w:tc>
          <w:tcPr>
            <w:tcW w:w="1243" w:type="dxa"/>
            <w:vAlign w:val="center"/>
          </w:tcPr>
          <w:p w14:paraId="7E251602">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p>
        </w:tc>
        <w:tc>
          <w:tcPr>
            <w:tcW w:w="2343" w:type="dxa"/>
            <w:vMerge w:val="continue"/>
            <w:vAlign w:val="center"/>
          </w:tcPr>
          <w:p w14:paraId="16B20C03">
            <w:pPr>
              <w:adjustRightInd w:val="0"/>
              <w:snapToGrid w:val="0"/>
              <w:jc w:val="center"/>
              <w:rPr>
                <w:rFonts w:asciiTheme="minorEastAsia" w:hAnsiTheme="minorEastAsia" w:eastAsiaTheme="minorEastAsia"/>
                <w:b w:val="0"/>
                <w:bCs/>
                <w:szCs w:val="21"/>
              </w:rPr>
            </w:pPr>
          </w:p>
        </w:tc>
      </w:tr>
      <w:tr w14:paraId="03C9F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78FD0E09">
            <w:pPr>
              <w:adjustRightInd w:val="0"/>
              <w:snapToGrid w:val="0"/>
              <w:jc w:val="center"/>
              <w:rPr>
                <w:rFonts w:asciiTheme="minorEastAsia" w:hAnsiTheme="minorEastAsia" w:eastAsiaTheme="minorEastAsia"/>
                <w:b w:val="0"/>
                <w:szCs w:val="21"/>
              </w:rPr>
            </w:pPr>
          </w:p>
        </w:tc>
        <w:tc>
          <w:tcPr>
            <w:tcW w:w="992" w:type="dxa"/>
            <w:vMerge w:val="restart"/>
            <w:vAlign w:val="center"/>
          </w:tcPr>
          <w:p w14:paraId="3C9BBDEE">
            <w:pPr>
              <w:jc w:val="center"/>
              <w:rPr>
                <w:rFonts w:asciiTheme="minorEastAsia" w:hAnsiTheme="minorEastAsia" w:eastAsiaTheme="minorEastAsia"/>
                <w:b w:val="0"/>
                <w:szCs w:val="21"/>
              </w:rPr>
            </w:pPr>
            <w:r>
              <w:rPr>
                <w:rFonts w:asciiTheme="minorEastAsia" w:hAnsiTheme="minorEastAsia" w:eastAsiaTheme="minorEastAsia"/>
                <w:b w:val="0"/>
                <w:szCs w:val="21"/>
              </w:rPr>
              <w:t>4#1.3</w:t>
            </w:r>
            <w:r>
              <w:rPr>
                <w:rFonts w:hint="eastAsia" w:asciiTheme="minorEastAsia" w:hAnsiTheme="minorEastAsia" w:eastAsiaTheme="minorEastAsia"/>
                <w:b w:val="0"/>
                <w:szCs w:val="21"/>
              </w:rPr>
              <w:t>级库房</w:t>
            </w:r>
          </w:p>
        </w:tc>
        <w:tc>
          <w:tcPr>
            <w:tcW w:w="3047" w:type="dxa"/>
            <w:vAlign w:val="center"/>
          </w:tcPr>
          <w:p w14:paraId="7C1D855F">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除双响成品外的烟花爆竹成品</w:t>
            </w:r>
          </w:p>
        </w:tc>
        <w:tc>
          <w:tcPr>
            <w:tcW w:w="1214" w:type="dxa"/>
            <w:vAlign w:val="center"/>
          </w:tcPr>
          <w:p w14:paraId="6D52E7E4">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6.6</w:t>
            </w:r>
          </w:p>
        </w:tc>
        <w:tc>
          <w:tcPr>
            <w:tcW w:w="1243" w:type="dxa"/>
            <w:vAlign w:val="center"/>
          </w:tcPr>
          <w:p w14:paraId="45763E6F">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r>
              <w:rPr>
                <w:rFonts w:asciiTheme="minorEastAsia" w:hAnsiTheme="minorEastAsia" w:eastAsiaTheme="minorEastAsia"/>
                <w:b w:val="0"/>
                <w:szCs w:val="21"/>
              </w:rPr>
              <w:t>0</w:t>
            </w:r>
          </w:p>
        </w:tc>
        <w:tc>
          <w:tcPr>
            <w:tcW w:w="2343" w:type="dxa"/>
            <w:vMerge w:val="restart"/>
            <w:vAlign w:val="center"/>
          </w:tcPr>
          <w:p w14:paraId="1E0FC1ED">
            <w:pPr>
              <w:adjustRightInd w:val="0"/>
              <w:snapToGrid w:val="0"/>
              <w:jc w:val="center"/>
              <w:rPr>
                <w:rFonts w:asciiTheme="minorEastAsia" w:hAnsiTheme="minorEastAsia"/>
                <w:b w:val="0"/>
                <w:bCs/>
                <w:szCs w:val="21"/>
              </w:rPr>
            </w:pPr>
            <w:r>
              <w:rPr>
                <w:rFonts w:hint="eastAsia" w:asciiTheme="minorEastAsia" w:hAnsiTheme="minorEastAsia" w:eastAsiaTheme="minorEastAsia"/>
                <w:b w:val="0"/>
                <w:bCs/>
                <w:szCs w:val="21"/>
              </w:rPr>
              <w:t>（1</w:t>
            </w:r>
            <w:r>
              <w:rPr>
                <w:rFonts w:asciiTheme="minorEastAsia" w:hAnsiTheme="minorEastAsia" w:eastAsiaTheme="minorEastAsia"/>
                <w:b w:val="0"/>
                <w:bCs/>
                <w:szCs w:val="21"/>
              </w:rPr>
              <w:t>6.6</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50</w:t>
            </w:r>
            <w:r>
              <w:rPr>
                <w:rFonts w:hint="eastAsia" w:asciiTheme="minorEastAsia" w:hAnsiTheme="minorEastAsia" w:eastAsiaTheme="minorEastAsia"/>
                <w:b w:val="0"/>
                <w:bCs/>
                <w:szCs w:val="21"/>
              </w:rPr>
              <w:t>）+（3</w:t>
            </w:r>
            <w:r>
              <w:rPr>
                <w:rFonts w:asciiTheme="minorEastAsia" w:hAnsiTheme="minorEastAsia" w:eastAsiaTheme="minorEastAsia"/>
                <w:b w:val="0"/>
                <w:bCs/>
                <w:szCs w:val="21"/>
              </w:rPr>
              <w:t>.2/5</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0.332+0.64=0.972</w:t>
            </w:r>
            <w:r>
              <w:rPr>
                <w:rFonts w:hint="eastAsia" w:asciiTheme="minorEastAsia" w:hAnsiTheme="minorEastAsia" w:eastAsiaTheme="minorEastAsia"/>
                <w:b w:val="0"/>
                <w:bCs/>
                <w:szCs w:val="21"/>
              </w:rPr>
              <w:t>＜1</w:t>
            </w:r>
          </w:p>
        </w:tc>
      </w:tr>
      <w:tr w14:paraId="251AA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35C574C4">
            <w:pPr>
              <w:adjustRightInd w:val="0"/>
              <w:snapToGrid w:val="0"/>
              <w:jc w:val="center"/>
              <w:rPr>
                <w:rFonts w:asciiTheme="minorEastAsia" w:hAnsiTheme="minorEastAsia" w:eastAsiaTheme="minorEastAsia"/>
                <w:b w:val="0"/>
                <w:szCs w:val="21"/>
              </w:rPr>
            </w:pPr>
          </w:p>
        </w:tc>
        <w:tc>
          <w:tcPr>
            <w:tcW w:w="992" w:type="dxa"/>
            <w:vMerge w:val="continue"/>
            <w:vAlign w:val="center"/>
          </w:tcPr>
          <w:p w14:paraId="11097478">
            <w:pPr>
              <w:jc w:val="center"/>
              <w:rPr>
                <w:rFonts w:asciiTheme="minorEastAsia" w:hAnsiTheme="minorEastAsia" w:eastAsiaTheme="minorEastAsia"/>
                <w:b w:val="0"/>
                <w:szCs w:val="21"/>
              </w:rPr>
            </w:pPr>
          </w:p>
        </w:tc>
        <w:tc>
          <w:tcPr>
            <w:tcW w:w="3047" w:type="dxa"/>
            <w:vAlign w:val="center"/>
          </w:tcPr>
          <w:p w14:paraId="4E0B1EAD">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双响成品</w:t>
            </w:r>
          </w:p>
        </w:tc>
        <w:tc>
          <w:tcPr>
            <w:tcW w:w="1214" w:type="dxa"/>
            <w:vAlign w:val="center"/>
          </w:tcPr>
          <w:p w14:paraId="4A4A93C4">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3</w:t>
            </w:r>
            <w:r>
              <w:rPr>
                <w:rFonts w:asciiTheme="minorEastAsia" w:hAnsiTheme="minorEastAsia" w:eastAsiaTheme="minorEastAsia"/>
                <w:b w:val="0"/>
                <w:szCs w:val="21"/>
              </w:rPr>
              <w:t>.2</w:t>
            </w:r>
          </w:p>
        </w:tc>
        <w:tc>
          <w:tcPr>
            <w:tcW w:w="1243" w:type="dxa"/>
            <w:vAlign w:val="center"/>
          </w:tcPr>
          <w:p w14:paraId="7295E306">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p>
        </w:tc>
        <w:tc>
          <w:tcPr>
            <w:tcW w:w="2343" w:type="dxa"/>
            <w:vMerge w:val="continue"/>
            <w:vAlign w:val="center"/>
          </w:tcPr>
          <w:p w14:paraId="1FAB7969">
            <w:pPr>
              <w:adjustRightInd w:val="0"/>
              <w:snapToGrid w:val="0"/>
              <w:jc w:val="center"/>
              <w:rPr>
                <w:rFonts w:asciiTheme="minorEastAsia" w:hAnsiTheme="minorEastAsia" w:eastAsiaTheme="minorEastAsia"/>
                <w:b w:val="0"/>
                <w:bCs/>
                <w:szCs w:val="21"/>
              </w:rPr>
            </w:pPr>
          </w:p>
        </w:tc>
      </w:tr>
      <w:tr w14:paraId="1BE99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640A78D9">
            <w:pPr>
              <w:adjustRightInd w:val="0"/>
              <w:snapToGrid w:val="0"/>
              <w:jc w:val="center"/>
              <w:rPr>
                <w:rFonts w:asciiTheme="minorEastAsia" w:hAnsiTheme="minorEastAsia" w:eastAsiaTheme="minorEastAsia"/>
                <w:b w:val="0"/>
                <w:szCs w:val="21"/>
              </w:rPr>
            </w:pPr>
          </w:p>
        </w:tc>
        <w:tc>
          <w:tcPr>
            <w:tcW w:w="992" w:type="dxa"/>
            <w:vMerge w:val="restart"/>
            <w:vAlign w:val="center"/>
          </w:tcPr>
          <w:p w14:paraId="2F077ECE">
            <w:pPr>
              <w:jc w:val="center"/>
              <w:rPr>
                <w:rFonts w:asciiTheme="minorEastAsia" w:hAnsiTheme="minorEastAsia" w:eastAsiaTheme="minorEastAsia"/>
                <w:b w:val="0"/>
                <w:szCs w:val="21"/>
              </w:rPr>
            </w:pPr>
            <w:r>
              <w:rPr>
                <w:rFonts w:asciiTheme="minorEastAsia" w:hAnsiTheme="minorEastAsia" w:eastAsiaTheme="minorEastAsia"/>
                <w:b w:val="0"/>
                <w:szCs w:val="21"/>
              </w:rPr>
              <w:t>5#1.3</w:t>
            </w:r>
            <w:r>
              <w:rPr>
                <w:rFonts w:hint="eastAsia" w:asciiTheme="minorEastAsia" w:hAnsiTheme="minorEastAsia" w:eastAsiaTheme="minorEastAsia"/>
                <w:b w:val="0"/>
                <w:szCs w:val="21"/>
              </w:rPr>
              <w:t>级库房</w:t>
            </w:r>
          </w:p>
        </w:tc>
        <w:tc>
          <w:tcPr>
            <w:tcW w:w="3047" w:type="dxa"/>
            <w:vAlign w:val="center"/>
          </w:tcPr>
          <w:p w14:paraId="58AD6910">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除双响成品外的烟花爆竹成品</w:t>
            </w:r>
          </w:p>
        </w:tc>
        <w:tc>
          <w:tcPr>
            <w:tcW w:w="1214" w:type="dxa"/>
            <w:vAlign w:val="center"/>
          </w:tcPr>
          <w:p w14:paraId="6BC1052D">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6.6</w:t>
            </w:r>
          </w:p>
        </w:tc>
        <w:tc>
          <w:tcPr>
            <w:tcW w:w="1243" w:type="dxa"/>
            <w:vAlign w:val="center"/>
          </w:tcPr>
          <w:p w14:paraId="1C6E95D1">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r>
              <w:rPr>
                <w:rFonts w:asciiTheme="minorEastAsia" w:hAnsiTheme="minorEastAsia" w:eastAsiaTheme="minorEastAsia"/>
                <w:b w:val="0"/>
                <w:szCs w:val="21"/>
              </w:rPr>
              <w:t>0</w:t>
            </w:r>
          </w:p>
        </w:tc>
        <w:tc>
          <w:tcPr>
            <w:tcW w:w="2343" w:type="dxa"/>
            <w:vMerge w:val="restart"/>
            <w:vAlign w:val="center"/>
          </w:tcPr>
          <w:p w14:paraId="269AD270">
            <w:pPr>
              <w:adjustRightInd w:val="0"/>
              <w:snapToGrid w:val="0"/>
              <w:jc w:val="center"/>
              <w:rPr>
                <w:rFonts w:asciiTheme="minorEastAsia" w:hAnsiTheme="minorEastAsia"/>
                <w:b w:val="0"/>
                <w:bCs/>
                <w:szCs w:val="21"/>
              </w:rPr>
            </w:pPr>
            <w:r>
              <w:rPr>
                <w:rFonts w:hint="eastAsia" w:asciiTheme="minorEastAsia" w:hAnsiTheme="minorEastAsia" w:eastAsiaTheme="minorEastAsia"/>
                <w:b w:val="0"/>
                <w:bCs/>
                <w:szCs w:val="21"/>
              </w:rPr>
              <w:t>（1</w:t>
            </w:r>
            <w:r>
              <w:rPr>
                <w:rFonts w:asciiTheme="minorEastAsia" w:hAnsiTheme="minorEastAsia" w:eastAsiaTheme="minorEastAsia"/>
                <w:b w:val="0"/>
                <w:bCs/>
                <w:szCs w:val="21"/>
              </w:rPr>
              <w:t>6.6</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50</w:t>
            </w:r>
            <w:r>
              <w:rPr>
                <w:rFonts w:hint="eastAsia" w:asciiTheme="minorEastAsia" w:hAnsiTheme="minorEastAsia" w:eastAsiaTheme="minorEastAsia"/>
                <w:b w:val="0"/>
                <w:bCs/>
                <w:szCs w:val="21"/>
              </w:rPr>
              <w:t>）+（3</w:t>
            </w:r>
            <w:r>
              <w:rPr>
                <w:rFonts w:asciiTheme="minorEastAsia" w:hAnsiTheme="minorEastAsia" w:eastAsiaTheme="minorEastAsia"/>
                <w:b w:val="0"/>
                <w:bCs/>
                <w:szCs w:val="21"/>
              </w:rPr>
              <w:t>.2/5</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0.332+0.64=0.972</w:t>
            </w:r>
            <w:r>
              <w:rPr>
                <w:rFonts w:hint="eastAsia" w:asciiTheme="minorEastAsia" w:hAnsiTheme="minorEastAsia" w:eastAsiaTheme="minorEastAsia"/>
                <w:b w:val="0"/>
                <w:bCs/>
                <w:szCs w:val="21"/>
              </w:rPr>
              <w:t>＜1</w:t>
            </w:r>
          </w:p>
        </w:tc>
      </w:tr>
      <w:tr w14:paraId="41CCF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5256894B">
            <w:pPr>
              <w:adjustRightInd w:val="0"/>
              <w:snapToGrid w:val="0"/>
              <w:jc w:val="center"/>
              <w:rPr>
                <w:rFonts w:asciiTheme="minorEastAsia" w:hAnsiTheme="minorEastAsia" w:eastAsiaTheme="minorEastAsia"/>
                <w:b w:val="0"/>
                <w:szCs w:val="21"/>
              </w:rPr>
            </w:pPr>
          </w:p>
        </w:tc>
        <w:tc>
          <w:tcPr>
            <w:tcW w:w="992" w:type="dxa"/>
            <w:vMerge w:val="continue"/>
            <w:vAlign w:val="center"/>
          </w:tcPr>
          <w:p w14:paraId="0C56B6E1">
            <w:pPr>
              <w:jc w:val="center"/>
              <w:rPr>
                <w:rFonts w:asciiTheme="minorEastAsia" w:hAnsiTheme="minorEastAsia" w:eastAsiaTheme="minorEastAsia"/>
                <w:b w:val="0"/>
                <w:szCs w:val="21"/>
              </w:rPr>
            </w:pPr>
          </w:p>
        </w:tc>
        <w:tc>
          <w:tcPr>
            <w:tcW w:w="3047" w:type="dxa"/>
            <w:vAlign w:val="center"/>
          </w:tcPr>
          <w:p w14:paraId="0F54D547">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双响成品</w:t>
            </w:r>
          </w:p>
        </w:tc>
        <w:tc>
          <w:tcPr>
            <w:tcW w:w="1214" w:type="dxa"/>
            <w:vAlign w:val="center"/>
          </w:tcPr>
          <w:p w14:paraId="7CAD88DA">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3</w:t>
            </w:r>
            <w:r>
              <w:rPr>
                <w:rFonts w:asciiTheme="minorEastAsia" w:hAnsiTheme="minorEastAsia" w:eastAsiaTheme="minorEastAsia"/>
                <w:b w:val="0"/>
                <w:szCs w:val="21"/>
              </w:rPr>
              <w:t>.2</w:t>
            </w:r>
          </w:p>
        </w:tc>
        <w:tc>
          <w:tcPr>
            <w:tcW w:w="1243" w:type="dxa"/>
            <w:vAlign w:val="center"/>
          </w:tcPr>
          <w:p w14:paraId="047C8881">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p>
        </w:tc>
        <w:tc>
          <w:tcPr>
            <w:tcW w:w="2343" w:type="dxa"/>
            <w:vMerge w:val="continue"/>
            <w:vAlign w:val="center"/>
          </w:tcPr>
          <w:p w14:paraId="7B22AA60">
            <w:pPr>
              <w:adjustRightInd w:val="0"/>
              <w:snapToGrid w:val="0"/>
              <w:jc w:val="center"/>
              <w:rPr>
                <w:rFonts w:asciiTheme="minorEastAsia" w:hAnsiTheme="minorEastAsia" w:eastAsiaTheme="minorEastAsia"/>
                <w:szCs w:val="21"/>
              </w:rPr>
            </w:pPr>
          </w:p>
        </w:tc>
      </w:tr>
      <w:tr w14:paraId="61592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7087CD5D">
            <w:pPr>
              <w:adjustRightInd w:val="0"/>
              <w:snapToGrid w:val="0"/>
              <w:jc w:val="center"/>
              <w:rPr>
                <w:rFonts w:asciiTheme="minorEastAsia" w:hAnsiTheme="minorEastAsia" w:eastAsiaTheme="minorEastAsia"/>
                <w:b w:val="0"/>
                <w:szCs w:val="21"/>
              </w:rPr>
            </w:pPr>
          </w:p>
        </w:tc>
        <w:tc>
          <w:tcPr>
            <w:tcW w:w="992" w:type="dxa"/>
            <w:vMerge w:val="restart"/>
            <w:vAlign w:val="center"/>
          </w:tcPr>
          <w:p w14:paraId="1BF71864">
            <w:pPr>
              <w:jc w:val="center"/>
              <w:rPr>
                <w:rFonts w:asciiTheme="minorEastAsia" w:hAnsiTheme="minorEastAsia" w:eastAsiaTheme="minorEastAsia"/>
                <w:b w:val="0"/>
                <w:szCs w:val="21"/>
              </w:rPr>
            </w:pPr>
            <w:r>
              <w:rPr>
                <w:rFonts w:asciiTheme="minorEastAsia" w:hAnsiTheme="minorEastAsia" w:eastAsiaTheme="minorEastAsia"/>
                <w:b w:val="0"/>
                <w:szCs w:val="21"/>
              </w:rPr>
              <w:t>6#1.3</w:t>
            </w:r>
            <w:r>
              <w:rPr>
                <w:rFonts w:hint="eastAsia" w:asciiTheme="minorEastAsia" w:hAnsiTheme="minorEastAsia" w:eastAsiaTheme="minorEastAsia"/>
                <w:b w:val="0"/>
                <w:szCs w:val="21"/>
              </w:rPr>
              <w:t>级库房</w:t>
            </w:r>
          </w:p>
        </w:tc>
        <w:tc>
          <w:tcPr>
            <w:tcW w:w="3047" w:type="dxa"/>
            <w:vAlign w:val="center"/>
          </w:tcPr>
          <w:p w14:paraId="43CDAE21">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除双响成品外的烟花爆竹成品</w:t>
            </w:r>
          </w:p>
        </w:tc>
        <w:tc>
          <w:tcPr>
            <w:tcW w:w="1214" w:type="dxa"/>
            <w:vAlign w:val="center"/>
          </w:tcPr>
          <w:p w14:paraId="065501E4">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6.6</w:t>
            </w:r>
          </w:p>
        </w:tc>
        <w:tc>
          <w:tcPr>
            <w:tcW w:w="1243" w:type="dxa"/>
            <w:vAlign w:val="center"/>
          </w:tcPr>
          <w:p w14:paraId="377C94F3">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r>
              <w:rPr>
                <w:rFonts w:asciiTheme="minorEastAsia" w:hAnsiTheme="minorEastAsia" w:eastAsiaTheme="minorEastAsia"/>
                <w:b w:val="0"/>
                <w:szCs w:val="21"/>
              </w:rPr>
              <w:t>0</w:t>
            </w:r>
          </w:p>
        </w:tc>
        <w:tc>
          <w:tcPr>
            <w:tcW w:w="2343" w:type="dxa"/>
            <w:vMerge w:val="restart"/>
            <w:vAlign w:val="center"/>
          </w:tcPr>
          <w:p w14:paraId="0BF745D8">
            <w:pPr>
              <w:adjustRightInd w:val="0"/>
              <w:snapToGrid w:val="0"/>
              <w:jc w:val="center"/>
              <w:rPr>
                <w:rFonts w:asciiTheme="minorEastAsia" w:hAnsiTheme="minorEastAsia"/>
                <w:b w:val="0"/>
                <w:bCs/>
                <w:szCs w:val="21"/>
              </w:rPr>
            </w:pPr>
            <w:r>
              <w:rPr>
                <w:rFonts w:hint="eastAsia" w:asciiTheme="minorEastAsia" w:hAnsiTheme="minorEastAsia" w:eastAsiaTheme="minorEastAsia"/>
                <w:b w:val="0"/>
                <w:bCs/>
                <w:szCs w:val="21"/>
              </w:rPr>
              <w:t>（1</w:t>
            </w:r>
            <w:r>
              <w:rPr>
                <w:rFonts w:asciiTheme="minorEastAsia" w:hAnsiTheme="minorEastAsia" w:eastAsiaTheme="minorEastAsia"/>
                <w:b w:val="0"/>
                <w:bCs/>
                <w:szCs w:val="21"/>
              </w:rPr>
              <w:t>6.6</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50</w:t>
            </w:r>
            <w:r>
              <w:rPr>
                <w:rFonts w:hint="eastAsia" w:asciiTheme="minorEastAsia" w:hAnsiTheme="minorEastAsia" w:eastAsiaTheme="minorEastAsia"/>
                <w:b w:val="0"/>
                <w:bCs/>
                <w:szCs w:val="21"/>
              </w:rPr>
              <w:t>）+（3</w:t>
            </w:r>
            <w:r>
              <w:rPr>
                <w:rFonts w:asciiTheme="minorEastAsia" w:hAnsiTheme="minorEastAsia" w:eastAsiaTheme="minorEastAsia"/>
                <w:b w:val="0"/>
                <w:bCs/>
                <w:szCs w:val="21"/>
              </w:rPr>
              <w:t>.2/5</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0.332+0.64=0.972</w:t>
            </w:r>
            <w:r>
              <w:rPr>
                <w:rFonts w:hint="eastAsia" w:asciiTheme="minorEastAsia" w:hAnsiTheme="minorEastAsia" w:eastAsiaTheme="minorEastAsia"/>
                <w:b w:val="0"/>
                <w:bCs/>
                <w:szCs w:val="21"/>
              </w:rPr>
              <w:t>＜1</w:t>
            </w:r>
          </w:p>
        </w:tc>
      </w:tr>
      <w:tr w14:paraId="0CFA3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1EE0D5CC">
            <w:pPr>
              <w:adjustRightInd w:val="0"/>
              <w:snapToGrid w:val="0"/>
              <w:jc w:val="center"/>
              <w:rPr>
                <w:rFonts w:asciiTheme="minorEastAsia" w:hAnsiTheme="minorEastAsia" w:eastAsiaTheme="minorEastAsia"/>
                <w:b w:val="0"/>
                <w:szCs w:val="21"/>
              </w:rPr>
            </w:pPr>
          </w:p>
        </w:tc>
        <w:tc>
          <w:tcPr>
            <w:tcW w:w="992" w:type="dxa"/>
            <w:vMerge w:val="continue"/>
            <w:vAlign w:val="center"/>
          </w:tcPr>
          <w:p w14:paraId="3F1E759B">
            <w:pPr>
              <w:jc w:val="center"/>
              <w:rPr>
                <w:rFonts w:asciiTheme="minorEastAsia" w:hAnsiTheme="minorEastAsia" w:eastAsiaTheme="minorEastAsia"/>
                <w:b w:val="0"/>
                <w:szCs w:val="21"/>
              </w:rPr>
            </w:pPr>
          </w:p>
        </w:tc>
        <w:tc>
          <w:tcPr>
            <w:tcW w:w="3047" w:type="dxa"/>
            <w:vAlign w:val="center"/>
          </w:tcPr>
          <w:p w14:paraId="029A1F6E">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双响成品</w:t>
            </w:r>
          </w:p>
        </w:tc>
        <w:tc>
          <w:tcPr>
            <w:tcW w:w="1214" w:type="dxa"/>
            <w:vAlign w:val="center"/>
          </w:tcPr>
          <w:p w14:paraId="3B74ED8D">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3</w:t>
            </w:r>
            <w:r>
              <w:rPr>
                <w:rFonts w:asciiTheme="minorEastAsia" w:hAnsiTheme="minorEastAsia" w:eastAsiaTheme="minorEastAsia"/>
                <w:b w:val="0"/>
                <w:szCs w:val="21"/>
              </w:rPr>
              <w:t>.2</w:t>
            </w:r>
          </w:p>
        </w:tc>
        <w:tc>
          <w:tcPr>
            <w:tcW w:w="1243" w:type="dxa"/>
            <w:vAlign w:val="center"/>
          </w:tcPr>
          <w:p w14:paraId="4DC1D49C">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p>
        </w:tc>
        <w:tc>
          <w:tcPr>
            <w:tcW w:w="2343" w:type="dxa"/>
            <w:vMerge w:val="continue"/>
            <w:vAlign w:val="center"/>
          </w:tcPr>
          <w:p w14:paraId="287B45B3">
            <w:pPr>
              <w:adjustRightInd w:val="0"/>
              <w:snapToGrid w:val="0"/>
              <w:jc w:val="center"/>
              <w:rPr>
                <w:rFonts w:asciiTheme="minorEastAsia" w:hAnsiTheme="minorEastAsia" w:eastAsiaTheme="minorEastAsia"/>
                <w:szCs w:val="21"/>
              </w:rPr>
            </w:pPr>
          </w:p>
        </w:tc>
      </w:tr>
      <w:tr w14:paraId="60D34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01028020">
            <w:pPr>
              <w:adjustRightInd w:val="0"/>
              <w:snapToGrid w:val="0"/>
              <w:jc w:val="center"/>
              <w:rPr>
                <w:rFonts w:asciiTheme="minorEastAsia" w:hAnsiTheme="minorEastAsia" w:eastAsiaTheme="minorEastAsia"/>
                <w:b w:val="0"/>
                <w:szCs w:val="21"/>
              </w:rPr>
            </w:pPr>
          </w:p>
        </w:tc>
        <w:tc>
          <w:tcPr>
            <w:tcW w:w="992" w:type="dxa"/>
            <w:vMerge w:val="restart"/>
            <w:vAlign w:val="center"/>
          </w:tcPr>
          <w:p w14:paraId="0F00AD4F">
            <w:pPr>
              <w:jc w:val="center"/>
              <w:rPr>
                <w:rFonts w:asciiTheme="minorEastAsia" w:hAnsiTheme="minorEastAsia" w:eastAsiaTheme="minorEastAsia"/>
                <w:b w:val="0"/>
                <w:szCs w:val="21"/>
              </w:rPr>
            </w:pPr>
            <w:r>
              <w:rPr>
                <w:rFonts w:asciiTheme="minorEastAsia" w:hAnsiTheme="minorEastAsia" w:eastAsiaTheme="minorEastAsia"/>
                <w:b w:val="0"/>
                <w:szCs w:val="21"/>
              </w:rPr>
              <w:t>7#1.3</w:t>
            </w:r>
            <w:r>
              <w:rPr>
                <w:rFonts w:hint="eastAsia" w:asciiTheme="minorEastAsia" w:hAnsiTheme="minorEastAsia" w:eastAsiaTheme="minorEastAsia"/>
                <w:b w:val="0"/>
                <w:szCs w:val="21"/>
              </w:rPr>
              <w:t>级库房</w:t>
            </w:r>
          </w:p>
        </w:tc>
        <w:tc>
          <w:tcPr>
            <w:tcW w:w="3047" w:type="dxa"/>
            <w:vAlign w:val="center"/>
          </w:tcPr>
          <w:p w14:paraId="3E121715">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除双响成品外的烟花爆竹成品</w:t>
            </w:r>
          </w:p>
        </w:tc>
        <w:tc>
          <w:tcPr>
            <w:tcW w:w="1214" w:type="dxa"/>
            <w:vAlign w:val="center"/>
          </w:tcPr>
          <w:p w14:paraId="54BCD879">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6.6</w:t>
            </w:r>
          </w:p>
        </w:tc>
        <w:tc>
          <w:tcPr>
            <w:tcW w:w="1243" w:type="dxa"/>
            <w:vAlign w:val="center"/>
          </w:tcPr>
          <w:p w14:paraId="1419159A">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r>
              <w:rPr>
                <w:rFonts w:asciiTheme="minorEastAsia" w:hAnsiTheme="minorEastAsia" w:eastAsiaTheme="minorEastAsia"/>
                <w:b w:val="0"/>
                <w:szCs w:val="21"/>
              </w:rPr>
              <w:t>0</w:t>
            </w:r>
          </w:p>
        </w:tc>
        <w:tc>
          <w:tcPr>
            <w:tcW w:w="2343" w:type="dxa"/>
            <w:vMerge w:val="restart"/>
            <w:vAlign w:val="center"/>
          </w:tcPr>
          <w:p w14:paraId="60DAC3C1">
            <w:pPr>
              <w:adjustRightInd w:val="0"/>
              <w:snapToGrid w:val="0"/>
              <w:jc w:val="center"/>
              <w:rPr>
                <w:rFonts w:asciiTheme="minorEastAsia" w:hAnsiTheme="minorEastAsia"/>
                <w:b w:val="0"/>
                <w:bCs/>
                <w:szCs w:val="21"/>
              </w:rPr>
            </w:pPr>
            <w:r>
              <w:rPr>
                <w:rFonts w:hint="eastAsia" w:asciiTheme="minorEastAsia" w:hAnsiTheme="minorEastAsia" w:eastAsiaTheme="minorEastAsia"/>
                <w:b w:val="0"/>
                <w:bCs/>
                <w:szCs w:val="21"/>
              </w:rPr>
              <w:t>（1</w:t>
            </w:r>
            <w:r>
              <w:rPr>
                <w:rFonts w:asciiTheme="minorEastAsia" w:hAnsiTheme="minorEastAsia" w:eastAsiaTheme="minorEastAsia"/>
                <w:b w:val="0"/>
                <w:bCs/>
                <w:szCs w:val="21"/>
              </w:rPr>
              <w:t>6.6</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50</w:t>
            </w:r>
            <w:r>
              <w:rPr>
                <w:rFonts w:hint="eastAsia" w:asciiTheme="minorEastAsia" w:hAnsiTheme="minorEastAsia" w:eastAsiaTheme="minorEastAsia"/>
                <w:b w:val="0"/>
                <w:bCs/>
                <w:szCs w:val="21"/>
              </w:rPr>
              <w:t>）+（3</w:t>
            </w:r>
            <w:r>
              <w:rPr>
                <w:rFonts w:asciiTheme="minorEastAsia" w:hAnsiTheme="minorEastAsia" w:eastAsiaTheme="minorEastAsia"/>
                <w:b w:val="0"/>
                <w:bCs/>
                <w:szCs w:val="21"/>
              </w:rPr>
              <w:t>.2/5</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0.332+0.64=0.972</w:t>
            </w:r>
            <w:r>
              <w:rPr>
                <w:rFonts w:hint="eastAsia" w:asciiTheme="minorEastAsia" w:hAnsiTheme="minorEastAsia" w:eastAsiaTheme="minorEastAsia"/>
                <w:b w:val="0"/>
                <w:bCs/>
                <w:szCs w:val="21"/>
              </w:rPr>
              <w:t>＜1</w:t>
            </w:r>
          </w:p>
        </w:tc>
      </w:tr>
      <w:tr w14:paraId="3D8F2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1EA798C9">
            <w:pPr>
              <w:adjustRightInd w:val="0"/>
              <w:snapToGrid w:val="0"/>
              <w:jc w:val="center"/>
              <w:rPr>
                <w:rFonts w:asciiTheme="minorEastAsia" w:hAnsiTheme="minorEastAsia" w:eastAsiaTheme="minorEastAsia"/>
                <w:b w:val="0"/>
                <w:szCs w:val="21"/>
              </w:rPr>
            </w:pPr>
          </w:p>
        </w:tc>
        <w:tc>
          <w:tcPr>
            <w:tcW w:w="992" w:type="dxa"/>
            <w:vMerge w:val="continue"/>
            <w:vAlign w:val="center"/>
          </w:tcPr>
          <w:p w14:paraId="185CB48F">
            <w:pPr>
              <w:jc w:val="center"/>
              <w:rPr>
                <w:rFonts w:asciiTheme="minorEastAsia" w:hAnsiTheme="minorEastAsia" w:eastAsiaTheme="minorEastAsia"/>
                <w:b w:val="0"/>
                <w:szCs w:val="21"/>
              </w:rPr>
            </w:pPr>
          </w:p>
        </w:tc>
        <w:tc>
          <w:tcPr>
            <w:tcW w:w="3047" w:type="dxa"/>
            <w:vAlign w:val="center"/>
          </w:tcPr>
          <w:p w14:paraId="52CA646C">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双响成品</w:t>
            </w:r>
          </w:p>
        </w:tc>
        <w:tc>
          <w:tcPr>
            <w:tcW w:w="1214" w:type="dxa"/>
            <w:vAlign w:val="center"/>
          </w:tcPr>
          <w:p w14:paraId="50B76FDE">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3</w:t>
            </w:r>
            <w:r>
              <w:rPr>
                <w:rFonts w:asciiTheme="minorEastAsia" w:hAnsiTheme="minorEastAsia" w:eastAsiaTheme="minorEastAsia"/>
                <w:b w:val="0"/>
                <w:szCs w:val="21"/>
              </w:rPr>
              <w:t>.2</w:t>
            </w:r>
          </w:p>
        </w:tc>
        <w:tc>
          <w:tcPr>
            <w:tcW w:w="1243" w:type="dxa"/>
            <w:vAlign w:val="center"/>
          </w:tcPr>
          <w:p w14:paraId="43CD9479">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p>
        </w:tc>
        <w:tc>
          <w:tcPr>
            <w:tcW w:w="2343" w:type="dxa"/>
            <w:vMerge w:val="continue"/>
            <w:vAlign w:val="center"/>
          </w:tcPr>
          <w:p w14:paraId="48523327">
            <w:pPr>
              <w:adjustRightInd w:val="0"/>
              <w:snapToGrid w:val="0"/>
              <w:jc w:val="center"/>
              <w:rPr>
                <w:rFonts w:asciiTheme="minorEastAsia" w:hAnsiTheme="minorEastAsia" w:eastAsiaTheme="minorEastAsia"/>
                <w:szCs w:val="21"/>
              </w:rPr>
            </w:pPr>
          </w:p>
        </w:tc>
      </w:tr>
      <w:tr w14:paraId="4625A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7CA433A5">
            <w:pPr>
              <w:adjustRightInd w:val="0"/>
              <w:snapToGrid w:val="0"/>
              <w:jc w:val="center"/>
              <w:rPr>
                <w:rFonts w:asciiTheme="minorEastAsia" w:hAnsiTheme="minorEastAsia" w:eastAsiaTheme="minorEastAsia"/>
                <w:b w:val="0"/>
                <w:szCs w:val="21"/>
              </w:rPr>
            </w:pPr>
          </w:p>
        </w:tc>
        <w:tc>
          <w:tcPr>
            <w:tcW w:w="992" w:type="dxa"/>
            <w:vMerge w:val="restart"/>
            <w:vAlign w:val="center"/>
          </w:tcPr>
          <w:p w14:paraId="1877D8EA">
            <w:pPr>
              <w:jc w:val="center"/>
              <w:rPr>
                <w:rFonts w:asciiTheme="minorEastAsia" w:hAnsiTheme="minorEastAsia" w:eastAsiaTheme="minorEastAsia"/>
                <w:b w:val="0"/>
                <w:szCs w:val="21"/>
              </w:rPr>
            </w:pPr>
            <w:r>
              <w:rPr>
                <w:rFonts w:asciiTheme="minorEastAsia" w:hAnsiTheme="minorEastAsia" w:eastAsiaTheme="minorEastAsia"/>
                <w:b w:val="0"/>
                <w:szCs w:val="21"/>
              </w:rPr>
              <w:t>8#1.3</w:t>
            </w:r>
            <w:r>
              <w:rPr>
                <w:rFonts w:hint="eastAsia" w:asciiTheme="minorEastAsia" w:hAnsiTheme="minorEastAsia" w:eastAsiaTheme="minorEastAsia"/>
                <w:b w:val="0"/>
                <w:szCs w:val="21"/>
              </w:rPr>
              <w:t>级库房</w:t>
            </w:r>
          </w:p>
        </w:tc>
        <w:tc>
          <w:tcPr>
            <w:tcW w:w="3047" w:type="dxa"/>
            <w:vAlign w:val="center"/>
          </w:tcPr>
          <w:p w14:paraId="0E0360E8">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除双响成品外的烟花爆竹成品</w:t>
            </w:r>
          </w:p>
        </w:tc>
        <w:tc>
          <w:tcPr>
            <w:tcW w:w="1214" w:type="dxa"/>
            <w:vAlign w:val="center"/>
          </w:tcPr>
          <w:p w14:paraId="013DE3C5">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6.6</w:t>
            </w:r>
          </w:p>
        </w:tc>
        <w:tc>
          <w:tcPr>
            <w:tcW w:w="1243" w:type="dxa"/>
            <w:vAlign w:val="center"/>
          </w:tcPr>
          <w:p w14:paraId="5FA09A4D">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r>
              <w:rPr>
                <w:rFonts w:asciiTheme="minorEastAsia" w:hAnsiTheme="minorEastAsia" w:eastAsiaTheme="minorEastAsia"/>
                <w:b w:val="0"/>
                <w:szCs w:val="21"/>
              </w:rPr>
              <w:t>0</w:t>
            </w:r>
          </w:p>
        </w:tc>
        <w:tc>
          <w:tcPr>
            <w:tcW w:w="2343" w:type="dxa"/>
            <w:vMerge w:val="restart"/>
            <w:vAlign w:val="center"/>
          </w:tcPr>
          <w:p w14:paraId="402A019A">
            <w:pPr>
              <w:adjustRightInd w:val="0"/>
              <w:snapToGrid w:val="0"/>
              <w:jc w:val="center"/>
              <w:rPr>
                <w:rFonts w:asciiTheme="minorEastAsia" w:hAnsiTheme="minorEastAsia"/>
                <w:b w:val="0"/>
                <w:bCs/>
                <w:szCs w:val="21"/>
              </w:rPr>
            </w:pPr>
            <w:r>
              <w:rPr>
                <w:rFonts w:hint="eastAsia" w:asciiTheme="minorEastAsia" w:hAnsiTheme="minorEastAsia" w:eastAsiaTheme="minorEastAsia"/>
                <w:b w:val="0"/>
                <w:bCs/>
                <w:szCs w:val="21"/>
              </w:rPr>
              <w:t>（1</w:t>
            </w:r>
            <w:r>
              <w:rPr>
                <w:rFonts w:asciiTheme="minorEastAsia" w:hAnsiTheme="minorEastAsia" w:eastAsiaTheme="minorEastAsia"/>
                <w:b w:val="0"/>
                <w:bCs/>
                <w:szCs w:val="21"/>
              </w:rPr>
              <w:t>6.6</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50</w:t>
            </w:r>
            <w:r>
              <w:rPr>
                <w:rFonts w:hint="eastAsia" w:asciiTheme="minorEastAsia" w:hAnsiTheme="minorEastAsia" w:eastAsiaTheme="minorEastAsia"/>
                <w:b w:val="0"/>
                <w:bCs/>
                <w:szCs w:val="21"/>
              </w:rPr>
              <w:t>）+（3</w:t>
            </w:r>
            <w:r>
              <w:rPr>
                <w:rFonts w:asciiTheme="minorEastAsia" w:hAnsiTheme="minorEastAsia" w:eastAsiaTheme="minorEastAsia"/>
                <w:b w:val="0"/>
                <w:bCs/>
                <w:szCs w:val="21"/>
              </w:rPr>
              <w:t>.2/5</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0.332+0.64=0.972</w:t>
            </w:r>
            <w:r>
              <w:rPr>
                <w:rFonts w:hint="eastAsia" w:asciiTheme="minorEastAsia" w:hAnsiTheme="minorEastAsia" w:eastAsiaTheme="minorEastAsia"/>
                <w:b w:val="0"/>
                <w:bCs/>
                <w:szCs w:val="21"/>
              </w:rPr>
              <w:t>＜1</w:t>
            </w:r>
          </w:p>
        </w:tc>
      </w:tr>
      <w:tr w14:paraId="78692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526748D3">
            <w:pPr>
              <w:adjustRightInd w:val="0"/>
              <w:snapToGrid w:val="0"/>
              <w:jc w:val="center"/>
              <w:rPr>
                <w:rFonts w:asciiTheme="minorEastAsia" w:hAnsiTheme="minorEastAsia" w:eastAsiaTheme="minorEastAsia"/>
                <w:b w:val="0"/>
                <w:szCs w:val="21"/>
              </w:rPr>
            </w:pPr>
          </w:p>
        </w:tc>
        <w:tc>
          <w:tcPr>
            <w:tcW w:w="992" w:type="dxa"/>
            <w:vMerge w:val="continue"/>
            <w:vAlign w:val="center"/>
          </w:tcPr>
          <w:p w14:paraId="46F86115">
            <w:pPr>
              <w:jc w:val="center"/>
              <w:rPr>
                <w:rFonts w:asciiTheme="minorEastAsia" w:hAnsiTheme="minorEastAsia" w:eastAsiaTheme="minorEastAsia"/>
                <w:b w:val="0"/>
                <w:szCs w:val="21"/>
              </w:rPr>
            </w:pPr>
          </w:p>
        </w:tc>
        <w:tc>
          <w:tcPr>
            <w:tcW w:w="3047" w:type="dxa"/>
            <w:vAlign w:val="center"/>
          </w:tcPr>
          <w:p w14:paraId="6367EFFC">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双响成品</w:t>
            </w:r>
          </w:p>
        </w:tc>
        <w:tc>
          <w:tcPr>
            <w:tcW w:w="1214" w:type="dxa"/>
            <w:vAlign w:val="center"/>
          </w:tcPr>
          <w:p w14:paraId="6AB83B3D">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3</w:t>
            </w:r>
            <w:r>
              <w:rPr>
                <w:rFonts w:asciiTheme="minorEastAsia" w:hAnsiTheme="minorEastAsia" w:eastAsiaTheme="minorEastAsia"/>
                <w:b w:val="0"/>
                <w:szCs w:val="21"/>
              </w:rPr>
              <w:t>.2</w:t>
            </w:r>
          </w:p>
        </w:tc>
        <w:tc>
          <w:tcPr>
            <w:tcW w:w="1243" w:type="dxa"/>
            <w:vAlign w:val="center"/>
          </w:tcPr>
          <w:p w14:paraId="1816F55D">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p>
        </w:tc>
        <w:tc>
          <w:tcPr>
            <w:tcW w:w="2343" w:type="dxa"/>
            <w:vMerge w:val="continue"/>
            <w:vAlign w:val="center"/>
          </w:tcPr>
          <w:p w14:paraId="3DF30A0F">
            <w:pPr>
              <w:adjustRightInd w:val="0"/>
              <w:snapToGrid w:val="0"/>
              <w:jc w:val="center"/>
              <w:rPr>
                <w:rFonts w:asciiTheme="minorEastAsia" w:hAnsiTheme="minorEastAsia" w:eastAsiaTheme="minorEastAsia"/>
                <w:szCs w:val="21"/>
              </w:rPr>
            </w:pPr>
          </w:p>
        </w:tc>
      </w:tr>
      <w:tr w14:paraId="3806E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1127D390">
            <w:pPr>
              <w:adjustRightInd w:val="0"/>
              <w:snapToGrid w:val="0"/>
              <w:jc w:val="center"/>
              <w:rPr>
                <w:rFonts w:asciiTheme="minorEastAsia" w:hAnsiTheme="minorEastAsia" w:eastAsiaTheme="minorEastAsia"/>
                <w:b w:val="0"/>
                <w:szCs w:val="21"/>
              </w:rPr>
            </w:pPr>
          </w:p>
        </w:tc>
        <w:tc>
          <w:tcPr>
            <w:tcW w:w="992" w:type="dxa"/>
            <w:vMerge w:val="restart"/>
            <w:vAlign w:val="center"/>
          </w:tcPr>
          <w:p w14:paraId="3BDCC27A">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9</w:t>
            </w:r>
            <w:r>
              <w:rPr>
                <w:rFonts w:asciiTheme="minorEastAsia" w:hAnsiTheme="minorEastAsia" w:eastAsiaTheme="minorEastAsia"/>
                <w:b w:val="0"/>
                <w:szCs w:val="21"/>
              </w:rPr>
              <w:t>#1.3</w:t>
            </w:r>
            <w:r>
              <w:rPr>
                <w:rFonts w:hint="eastAsia" w:asciiTheme="minorEastAsia" w:hAnsiTheme="minorEastAsia" w:eastAsiaTheme="minorEastAsia"/>
                <w:b w:val="0"/>
                <w:szCs w:val="21"/>
              </w:rPr>
              <w:t>级库房</w:t>
            </w:r>
          </w:p>
        </w:tc>
        <w:tc>
          <w:tcPr>
            <w:tcW w:w="3047" w:type="dxa"/>
            <w:vAlign w:val="center"/>
          </w:tcPr>
          <w:p w14:paraId="48FD83ED">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除双响成品外的烟花爆竹成品</w:t>
            </w:r>
          </w:p>
        </w:tc>
        <w:tc>
          <w:tcPr>
            <w:tcW w:w="1214" w:type="dxa"/>
            <w:vAlign w:val="center"/>
          </w:tcPr>
          <w:p w14:paraId="53468831">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5</w:t>
            </w:r>
          </w:p>
        </w:tc>
        <w:tc>
          <w:tcPr>
            <w:tcW w:w="1243" w:type="dxa"/>
            <w:vAlign w:val="center"/>
          </w:tcPr>
          <w:p w14:paraId="31B75EA3">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r>
              <w:rPr>
                <w:rFonts w:asciiTheme="minorEastAsia" w:hAnsiTheme="minorEastAsia" w:eastAsiaTheme="minorEastAsia"/>
                <w:b w:val="0"/>
                <w:szCs w:val="21"/>
              </w:rPr>
              <w:t>0</w:t>
            </w:r>
          </w:p>
        </w:tc>
        <w:tc>
          <w:tcPr>
            <w:tcW w:w="2343" w:type="dxa"/>
            <w:vMerge w:val="restart"/>
            <w:vAlign w:val="center"/>
          </w:tcPr>
          <w:p w14:paraId="42C6529F">
            <w:pPr>
              <w:adjustRightInd w:val="0"/>
              <w:snapToGrid w:val="0"/>
              <w:jc w:val="center"/>
              <w:rPr>
                <w:rFonts w:asciiTheme="minorEastAsia" w:hAnsiTheme="minorEastAsia" w:eastAsiaTheme="minorEastAsia"/>
                <w:b w:val="0"/>
                <w:bCs/>
                <w:szCs w:val="21"/>
              </w:rPr>
            </w:pPr>
            <w:r>
              <w:rPr>
                <w:rFonts w:hint="eastAsia" w:asciiTheme="minorEastAsia" w:hAnsiTheme="minorEastAsia" w:eastAsiaTheme="minorEastAsia"/>
                <w:b w:val="0"/>
                <w:bCs/>
                <w:szCs w:val="21"/>
              </w:rPr>
              <w:t>（1</w:t>
            </w:r>
            <w:r>
              <w:rPr>
                <w:rFonts w:asciiTheme="minorEastAsia" w:hAnsiTheme="minorEastAsia" w:eastAsiaTheme="minorEastAsia"/>
                <w:b w:val="0"/>
                <w:bCs/>
                <w:szCs w:val="21"/>
              </w:rPr>
              <w:t>5/50</w:t>
            </w:r>
            <w:r>
              <w:rPr>
                <w:rFonts w:hint="eastAsia" w:asciiTheme="minorEastAsia" w:hAnsiTheme="minorEastAsia" w:eastAsiaTheme="minorEastAsia"/>
                <w:b w:val="0"/>
                <w:bCs/>
                <w:szCs w:val="21"/>
              </w:rPr>
              <w:t>）+（3</w:t>
            </w:r>
            <w:r>
              <w:rPr>
                <w:rFonts w:asciiTheme="minorEastAsia" w:hAnsiTheme="minorEastAsia" w:eastAsiaTheme="minorEastAsia"/>
                <w:b w:val="0"/>
                <w:bCs/>
                <w:szCs w:val="21"/>
              </w:rPr>
              <w:t>.48/5</w:t>
            </w:r>
            <w:r>
              <w:rPr>
                <w:rFonts w:hint="eastAsia" w:asciiTheme="minorEastAsia" w:hAnsiTheme="minorEastAsia" w:eastAsiaTheme="minorEastAsia"/>
                <w:b w:val="0"/>
                <w:bCs/>
                <w:szCs w:val="21"/>
              </w:rPr>
              <w:t>）=</w:t>
            </w:r>
            <w:r>
              <w:rPr>
                <w:rFonts w:asciiTheme="minorEastAsia" w:hAnsiTheme="minorEastAsia" w:eastAsiaTheme="minorEastAsia"/>
                <w:b w:val="0"/>
                <w:bCs/>
                <w:szCs w:val="21"/>
              </w:rPr>
              <w:t>0.3+0.696=0.996</w:t>
            </w:r>
            <w:r>
              <w:rPr>
                <w:rFonts w:hint="eastAsia" w:asciiTheme="minorEastAsia" w:hAnsiTheme="minorEastAsia" w:eastAsiaTheme="minorEastAsia"/>
                <w:b w:val="0"/>
                <w:bCs/>
                <w:szCs w:val="21"/>
              </w:rPr>
              <w:t>＜1</w:t>
            </w:r>
          </w:p>
        </w:tc>
      </w:tr>
      <w:tr w14:paraId="01F7F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07A6A2E0">
            <w:pPr>
              <w:adjustRightInd w:val="0"/>
              <w:snapToGrid w:val="0"/>
              <w:jc w:val="center"/>
              <w:rPr>
                <w:rFonts w:asciiTheme="minorEastAsia" w:hAnsiTheme="minorEastAsia" w:eastAsiaTheme="minorEastAsia"/>
                <w:b w:val="0"/>
                <w:szCs w:val="21"/>
              </w:rPr>
            </w:pPr>
          </w:p>
        </w:tc>
        <w:tc>
          <w:tcPr>
            <w:tcW w:w="992" w:type="dxa"/>
            <w:vMerge w:val="continue"/>
            <w:vAlign w:val="center"/>
          </w:tcPr>
          <w:p w14:paraId="352517DF">
            <w:pPr>
              <w:jc w:val="center"/>
              <w:rPr>
                <w:rFonts w:asciiTheme="minorEastAsia" w:hAnsiTheme="minorEastAsia" w:eastAsiaTheme="minorEastAsia"/>
                <w:b w:val="0"/>
                <w:szCs w:val="21"/>
              </w:rPr>
            </w:pPr>
          </w:p>
        </w:tc>
        <w:tc>
          <w:tcPr>
            <w:tcW w:w="3047" w:type="dxa"/>
            <w:vAlign w:val="center"/>
          </w:tcPr>
          <w:p w14:paraId="6441BC07">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双响成品</w:t>
            </w:r>
          </w:p>
        </w:tc>
        <w:tc>
          <w:tcPr>
            <w:tcW w:w="1214" w:type="dxa"/>
            <w:vAlign w:val="center"/>
          </w:tcPr>
          <w:p w14:paraId="067E2073">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3</w:t>
            </w:r>
            <w:r>
              <w:rPr>
                <w:rFonts w:asciiTheme="minorEastAsia" w:hAnsiTheme="minorEastAsia" w:eastAsiaTheme="minorEastAsia"/>
                <w:b w:val="0"/>
                <w:szCs w:val="21"/>
              </w:rPr>
              <w:t>.48</w:t>
            </w:r>
          </w:p>
        </w:tc>
        <w:tc>
          <w:tcPr>
            <w:tcW w:w="1243" w:type="dxa"/>
            <w:vAlign w:val="center"/>
          </w:tcPr>
          <w:p w14:paraId="37FB1C68">
            <w:pPr>
              <w:adjustRightInd w:val="0"/>
              <w:snapToGrid w:val="0"/>
              <w:jc w:val="center"/>
              <w:rPr>
                <w:rFonts w:asciiTheme="minorEastAsia" w:hAnsiTheme="minorEastAsia" w:eastAsiaTheme="minorEastAsia"/>
                <w:b w:val="0"/>
                <w:szCs w:val="21"/>
              </w:rPr>
            </w:pPr>
            <w:r>
              <w:rPr>
                <w:rFonts w:hint="eastAsia" w:asciiTheme="minorEastAsia" w:hAnsiTheme="minorEastAsia" w:eastAsiaTheme="minorEastAsia"/>
                <w:b w:val="0"/>
                <w:szCs w:val="21"/>
              </w:rPr>
              <w:t>5</w:t>
            </w:r>
          </w:p>
        </w:tc>
        <w:tc>
          <w:tcPr>
            <w:tcW w:w="2343" w:type="dxa"/>
            <w:vMerge w:val="continue"/>
            <w:vAlign w:val="center"/>
          </w:tcPr>
          <w:p w14:paraId="24FBB9E1">
            <w:pPr>
              <w:adjustRightInd w:val="0"/>
              <w:snapToGrid w:val="0"/>
              <w:jc w:val="center"/>
              <w:rPr>
                <w:rFonts w:asciiTheme="minorEastAsia" w:hAnsiTheme="minorEastAsia" w:eastAsiaTheme="minorEastAsia"/>
                <w:szCs w:val="21"/>
              </w:rPr>
            </w:pPr>
          </w:p>
        </w:tc>
      </w:tr>
      <w:tr w14:paraId="52839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70" w:type="dxa"/>
            <w:vMerge w:val="continue"/>
            <w:vAlign w:val="center"/>
          </w:tcPr>
          <w:p w14:paraId="6296C893">
            <w:pPr>
              <w:adjustRightInd w:val="0"/>
              <w:snapToGrid w:val="0"/>
              <w:jc w:val="center"/>
              <w:rPr>
                <w:rFonts w:asciiTheme="minorEastAsia" w:hAnsiTheme="minorEastAsia" w:eastAsiaTheme="minorEastAsia"/>
                <w:b w:val="0"/>
                <w:szCs w:val="21"/>
              </w:rPr>
            </w:pPr>
          </w:p>
        </w:tc>
        <w:tc>
          <w:tcPr>
            <w:tcW w:w="992" w:type="dxa"/>
            <w:vAlign w:val="center"/>
          </w:tcPr>
          <w:p w14:paraId="7EE12766">
            <w:pPr>
              <w:jc w:val="center"/>
              <w:rPr>
                <w:rFonts w:asciiTheme="minorEastAsia" w:hAnsiTheme="minorEastAsia" w:eastAsiaTheme="minorEastAsia"/>
                <w:b w:val="0"/>
                <w:szCs w:val="21"/>
              </w:rPr>
            </w:pPr>
            <w:r>
              <w:rPr>
                <w:rFonts w:asciiTheme="minorEastAsia" w:hAnsiTheme="minorEastAsia" w:eastAsiaTheme="minorEastAsia"/>
                <w:b w:val="0"/>
                <w:szCs w:val="21"/>
              </w:rPr>
              <w:t>10#</w:t>
            </w:r>
            <w:r>
              <w:rPr>
                <w:rFonts w:hint="eastAsia" w:asciiTheme="minorEastAsia" w:hAnsiTheme="minorEastAsia" w:eastAsiaTheme="minorEastAsia"/>
                <w:b w:val="0"/>
                <w:szCs w:val="21"/>
              </w:rPr>
              <w:t>1</w:t>
            </w:r>
            <w:r>
              <w:rPr>
                <w:rFonts w:asciiTheme="minorEastAsia" w:hAnsiTheme="minorEastAsia" w:eastAsiaTheme="minorEastAsia"/>
                <w:b w:val="0"/>
                <w:szCs w:val="21"/>
              </w:rPr>
              <w:t>.1</w:t>
            </w:r>
            <w:r>
              <w:rPr>
                <w:rFonts w:asciiTheme="minorEastAsia" w:hAnsiTheme="minorEastAsia" w:eastAsiaTheme="minorEastAsia"/>
                <w:b w:val="0"/>
                <w:szCs w:val="21"/>
                <w:vertAlign w:val="superscript"/>
              </w:rPr>
              <w:t>-2</w:t>
            </w:r>
            <w:r>
              <w:rPr>
                <w:rFonts w:hint="eastAsia" w:asciiTheme="minorEastAsia" w:hAnsiTheme="minorEastAsia" w:eastAsiaTheme="minorEastAsia"/>
                <w:b w:val="0"/>
                <w:szCs w:val="21"/>
              </w:rPr>
              <w:t>级库房</w:t>
            </w:r>
          </w:p>
        </w:tc>
        <w:tc>
          <w:tcPr>
            <w:tcW w:w="3047" w:type="dxa"/>
            <w:vAlign w:val="center"/>
          </w:tcPr>
          <w:p w14:paraId="65F22A9F">
            <w:pPr>
              <w:jc w:val="center"/>
              <w:rPr>
                <w:rFonts w:asciiTheme="minorEastAsia" w:hAnsiTheme="minorEastAsia" w:eastAsiaTheme="minorEastAsia"/>
                <w:b w:val="0"/>
                <w:szCs w:val="21"/>
              </w:rPr>
            </w:pPr>
            <w:r>
              <w:rPr>
                <w:rFonts w:hint="eastAsia" w:asciiTheme="minorEastAsia" w:hAnsiTheme="minorEastAsia" w:eastAsiaTheme="minorEastAsia"/>
                <w:b w:val="0"/>
                <w:szCs w:val="21"/>
              </w:rPr>
              <w:t>B级架子烟花类、组合烟花成品</w:t>
            </w:r>
          </w:p>
        </w:tc>
        <w:tc>
          <w:tcPr>
            <w:tcW w:w="1214" w:type="dxa"/>
            <w:vAlign w:val="center"/>
          </w:tcPr>
          <w:p w14:paraId="405410BF">
            <w:pPr>
              <w:jc w:val="center"/>
              <w:rPr>
                <w:rFonts w:asciiTheme="minorEastAsia" w:hAnsiTheme="minorEastAsia" w:eastAsiaTheme="minorEastAsia"/>
                <w:b w:val="0"/>
                <w:szCs w:val="21"/>
              </w:rPr>
            </w:pPr>
            <w:r>
              <w:rPr>
                <w:rFonts w:asciiTheme="minorEastAsia" w:hAnsiTheme="minorEastAsia" w:eastAsiaTheme="minorEastAsia"/>
                <w:b w:val="0"/>
                <w:szCs w:val="21"/>
              </w:rPr>
              <w:t>2.2</w:t>
            </w:r>
          </w:p>
        </w:tc>
        <w:tc>
          <w:tcPr>
            <w:tcW w:w="1243" w:type="dxa"/>
            <w:vAlign w:val="center"/>
          </w:tcPr>
          <w:p w14:paraId="3AB1A19A">
            <w:pPr>
              <w:adjustRightInd w:val="0"/>
              <w:snapToGrid w:val="0"/>
              <w:jc w:val="center"/>
              <w:rPr>
                <w:rFonts w:asciiTheme="minorEastAsia" w:hAnsiTheme="minorEastAsia" w:eastAsiaTheme="minorEastAsia"/>
                <w:b w:val="0"/>
                <w:szCs w:val="21"/>
              </w:rPr>
            </w:pPr>
            <w:r>
              <w:rPr>
                <w:rFonts w:asciiTheme="minorEastAsia" w:hAnsiTheme="minorEastAsia" w:eastAsiaTheme="minorEastAsia"/>
                <w:b w:val="0"/>
                <w:szCs w:val="21"/>
              </w:rPr>
              <w:t>10</w:t>
            </w:r>
          </w:p>
        </w:tc>
        <w:tc>
          <w:tcPr>
            <w:tcW w:w="2343" w:type="dxa"/>
            <w:vAlign w:val="center"/>
          </w:tcPr>
          <w:p w14:paraId="09A5F1FA">
            <w:pPr>
              <w:adjustRightInd w:val="0"/>
              <w:snapToGrid w:val="0"/>
              <w:jc w:val="center"/>
              <w:rPr>
                <w:rFonts w:asciiTheme="minorEastAsia" w:hAnsiTheme="minorEastAsia" w:eastAsiaTheme="minorEastAsia"/>
                <w:b w:val="0"/>
                <w:bCs/>
                <w:szCs w:val="21"/>
              </w:rPr>
            </w:pPr>
            <w:r>
              <w:rPr>
                <w:rFonts w:hint="eastAsia" w:asciiTheme="minorEastAsia" w:hAnsiTheme="minorEastAsia" w:eastAsiaTheme="minorEastAsia"/>
                <w:b w:val="0"/>
                <w:bCs/>
                <w:szCs w:val="21"/>
              </w:rPr>
              <w:t>2</w:t>
            </w:r>
            <w:r>
              <w:rPr>
                <w:rFonts w:asciiTheme="minorEastAsia" w:hAnsiTheme="minorEastAsia" w:eastAsiaTheme="minorEastAsia"/>
                <w:b w:val="0"/>
                <w:bCs/>
                <w:szCs w:val="21"/>
              </w:rPr>
              <w:t>.2/10=0.22</w:t>
            </w:r>
            <w:r>
              <w:rPr>
                <w:rFonts w:hint="eastAsia" w:asciiTheme="minorEastAsia" w:hAnsiTheme="minorEastAsia" w:eastAsiaTheme="minorEastAsia"/>
                <w:b w:val="0"/>
                <w:bCs/>
                <w:szCs w:val="21"/>
              </w:rPr>
              <w:t>＜1</w:t>
            </w:r>
          </w:p>
        </w:tc>
      </w:tr>
    </w:tbl>
    <w:p w14:paraId="510637BB">
      <w:pPr>
        <w:pStyle w:val="6"/>
        <w:spacing w:before="120" w:beforeLines="50"/>
        <w:rPr>
          <w:rFonts w:ascii="黑体" w:hAnsi="黑体" w:eastAsia="黑体" w:cs="宋体"/>
          <w:b w:val="0"/>
          <w:szCs w:val="28"/>
        </w:rPr>
      </w:pPr>
      <w:r>
        <w:rPr>
          <w:rFonts w:hint="eastAsia" w:ascii="黑体" w:hAnsi="黑体" w:eastAsia="黑体" w:cs="宋体"/>
          <w:b w:val="0"/>
          <w:szCs w:val="28"/>
        </w:rPr>
        <w:t>3.3.4烟花爆竹重大危险源辨识结果</w:t>
      </w:r>
    </w:p>
    <w:p w14:paraId="54393756">
      <w:pPr>
        <w:spacing w:line="360" w:lineRule="auto"/>
        <w:ind w:firstLine="560" w:firstLineChars="200"/>
        <w:rPr>
          <w:rFonts w:ascii="宋体" w:hAnsi="宋体"/>
          <w:b w:val="0"/>
          <w:sz w:val="28"/>
          <w:szCs w:val="28"/>
          <w:lang w:val="en-GB"/>
        </w:rPr>
      </w:pPr>
      <w:r>
        <w:rPr>
          <w:rFonts w:hint="eastAsia" w:ascii="宋体" w:hAnsi="宋体"/>
          <w:b w:val="0"/>
          <w:sz w:val="28"/>
          <w:szCs w:val="28"/>
          <w:lang w:val="en-GB"/>
        </w:rPr>
        <w:t>综上，该项目中</w:t>
      </w:r>
      <w:r>
        <w:rPr>
          <w:rFonts w:ascii="宋体" w:hAnsi="宋体"/>
          <w:b w:val="0"/>
          <w:sz w:val="28"/>
          <w:szCs w:val="28"/>
          <w:lang w:val="en-GB"/>
        </w:rPr>
        <w:t>1#</w:t>
      </w:r>
      <w:r>
        <w:rPr>
          <w:rFonts w:ascii="Times New Roman" w:hAnsi="Times New Roman"/>
          <w:b w:val="0"/>
          <w:sz w:val="28"/>
          <w:szCs w:val="28"/>
          <w:lang w:val="en-GB"/>
        </w:rPr>
        <w:t>~</w:t>
      </w:r>
      <w:r>
        <w:rPr>
          <w:rFonts w:ascii="宋体" w:hAnsi="宋体"/>
          <w:b w:val="0"/>
          <w:sz w:val="28"/>
          <w:szCs w:val="28"/>
          <w:lang w:val="en-GB"/>
        </w:rPr>
        <w:t>10#</w:t>
      </w:r>
      <w:r>
        <w:rPr>
          <w:rFonts w:hint="eastAsia" w:ascii="宋体" w:hAnsi="宋体"/>
          <w:b w:val="0"/>
          <w:sz w:val="28"/>
          <w:szCs w:val="28"/>
          <w:lang w:val="en-GB"/>
        </w:rPr>
        <w:t>库房在严格按拟定最大储存量分类存放烟花爆竹成品则均不构成烟花爆竹重大危险源。</w:t>
      </w:r>
    </w:p>
    <w:p w14:paraId="6EEB0A73">
      <w:pPr>
        <w:spacing w:line="360" w:lineRule="auto"/>
        <w:ind w:firstLine="560" w:firstLineChars="200"/>
        <w:rPr>
          <w:rFonts w:ascii="宋体" w:hAnsi="宋体" w:cs="宋体"/>
          <w:b w:val="0"/>
          <w:sz w:val="28"/>
          <w:szCs w:val="28"/>
        </w:rPr>
      </w:pPr>
      <w:r>
        <w:rPr>
          <w:rFonts w:hint="eastAsia" w:ascii="宋体" w:hAnsi="宋体"/>
          <w:b w:val="0"/>
          <w:sz w:val="28"/>
          <w:szCs w:val="28"/>
          <w:lang w:val="en-GB"/>
        </w:rPr>
        <w:t>但由于烟花爆竹本身具有易燃易爆的危险，因此企业对此应引起充分重视，在实际经营过程中，对烟花爆竹储存仓库严格管理，进行实时监控，制定事故应急救援预案并定期演练，采取严格措施预防和控制库区发生火灾、爆炸事故</w:t>
      </w:r>
      <w:r>
        <w:rPr>
          <w:rFonts w:hint="eastAsia" w:ascii="宋体" w:hAnsi="宋体" w:cs="宋体"/>
          <w:b w:val="0"/>
          <w:sz w:val="28"/>
          <w:szCs w:val="28"/>
        </w:rPr>
        <w:t>。</w:t>
      </w:r>
    </w:p>
    <w:p w14:paraId="7452875A">
      <w:pPr>
        <w:pStyle w:val="6"/>
        <w:rPr>
          <w:rFonts w:ascii="黑体" w:hAnsi="黑体" w:eastAsia="黑体" w:cs="宋体"/>
          <w:b w:val="0"/>
          <w:szCs w:val="28"/>
        </w:rPr>
      </w:pPr>
      <w:r>
        <w:rPr>
          <w:rFonts w:hint="eastAsia" w:ascii="黑体" w:hAnsi="黑体" w:eastAsia="黑体" w:cs="宋体"/>
          <w:b w:val="0"/>
          <w:szCs w:val="28"/>
        </w:rPr>
        <w:t>3.3.5特殊危险化学品辨识</w:t>
      </w:r>
    </w:p>
    <w:p w14:paraId="11A42AA1">
      <w:pPr>
        <w:spacing w:line="360" w:lineRule="auto"/>
        <w:ind w:firstLine="560" w:firstLineChars="200"/>
        <w:rPr>
          <w:rFonts w:ascii="Times New Roman" w:hAnsi="Times New Roman"/>
          <w:b w:val="0"/>
          <w:sz w:val="28"/>
          <w:szCs w:val="28"/>
        </w:rPr>
      </w:pPr>
      <w:r>
        <w:rPr>
          <w:rFonts w:hint="eastAsia" w:ascii="宋体" w:hAnsi="宋体" w:cs="宋体"/>
          <w:b w:val="0"/>
          <w:sz w:val="28"/>
          <w:szCs w:val="28"/>
        </w:rPr>
        <w:t>特殊危险化学品包括：</w:t>
      </w:r>
      <w:r>
        <w:rPr>
          <w:rFonts w:hint="eastAsia" w:ascii="宋体" w:hAnsi="宋体" w:cs="宋体"/>
          <w:b w:val="0"/>
          <w:sz w:val="28"/>
          <w:szCs w:val="28"/>
          <w:lang w:val="zh-CN"/>
        </w:rPr>
        <w:t>《监控化学品管理条例》（中华人民共和国国务院令（第190号））的名录、</w:t>
      </w:r>
      <w:r>
        <w:rPr>
          <w:rFonts w:hint="eastAsia" w:ascii="宋体" w:hAnsi="宋体" w:cs="宋体"/>
          <w:b w:val="0"/>
          <w:sz w:val="28"/>
          <w:szCs w:val="28"/>
        </w:rPr>
        <w:t>《易制毒化学品管理条例》（中华人民共和国国务院令（第445号）的名录、《危险化学品目录》（2015）中所列的剧毒化学品、安监总局《重点监管化学品名录》和公安部确定的《易制爆化学品名录》中指定的化学品，本评价项目不涉及上述危险化学品。</w:t>
      </w:r>
    </w:p>
    <w:p w14:paraId="034D1F8C">
      <w:pPr>
        <w:keepNext/>
        <w:snapToGrid w:val="0"/>
        <w:spacing w:before="120" w:beforeLines="50" w:line="360" w:lineRule="auto"/>
        <w:outlineLvl w:val="1"/>
        <w:rPr>
          <w:rFonts w:ascii="黑体" w:hAnsi="黑体" w:eastAsia="黑体" w:cs="楷体"/>
          <w:b w:val="0"/>
          <w:sz w:val="30"/>
          <w:szCs w:val="30"/>
        </w:rPr>
      </w:pPr>
      <w:bookmarkStart w:id="195" w:name="_Toc28057"/>
      <w:bookmarkStart w:id="196" w:name="_Toc24519"/>
      <w:bookmarkStart w:id="197" w:name="_Toc124539520"/>
      <w:bookmarkStart w:id="198" w:name="_Toc205979642"/>
      <w:r>
        <w:rPr>
          <w:rFonts w:hint="eastAsia" w:ascii="黑体" w:hAnsi="黑体" w:eastAsia="黑体" w:cs="楷体"/>
          <w:b w:val="0"/>
          <w:sz w:val="30"/>
          <w:szCs w:val="30"/>
        </w:rPr>
        <w:t>3.4主要危险、有害因素</w:t>
      </w:r>
      <w:bookmarkEnd w:id="195"/>
      <w:bookmarkEnd w:id="196"/>
      <w:bookmarkEnd w:id="197"/>
      <w:bookmarkEnd w:id="198"/>
    </w:p>
    <w:p w14:paraId="332F6472">
      <w:pPr>
        <w:pStyle w:val="6"/>
        <w:rPr>
          <w:rFonts w:ascii="黑体" w:hAnsi="黑体" w:eastAsia="黑体" w:cs="宋体"/>
          <w:b w:val="0"/>
          <w:szCs w:val="28"/>
        </w:rPr>
      </w:pPr>
      <w:r>
        <w:rPr>
          <w:rFonts w:hint="eastAsia" w:ascii="黑体" w:hAnsi="黑体" w:eastAsia="黑体" w:cs="宋体"/>
          <w:b w:val="0"/>
          <w:szCs w:val="28"/>
        </w:rPr>
        <w:t>3.4.1主要危险、有害因素分布情况</w:t>
      </w:r>
    </w:p>
    <w:p w14:paraId="3B9ECFE7">
      <w:pPr>
        <w:spacing w:line="520" w:lineRule="exact"/>
        <w:ind w:firstLine="560" w:firstLineChars="200"/>
        <w:rPr>
          <w:rFonts w:asciiTheme="minorEastAsia" w:hAnsiTheme="minorEastAsia" w:eastAsiaTheme="minorEastAsia"/>
          <w:b w:val="0"/>
          <w:sz w:val="28"/>
          <w:szCs w:val="28"/>
        </w:rPr>
      </w:pPr>
      <w:r>
        <w:rPr>
          <w:rFonts w:hint="eastAsia" w:ascii="Times New Roman" w:hAnsi="Times New Roman"/>
          <w:b w:val="0"/>
          <w:sz w:val="28"/>
          <w:szCs w:val="28"/>
        </w:rPr>
        <w:t>主要危险、有害因素分布情况见</w:t>
      </w:r>
      <w:r>
        <w:rPr>
          <w:rFonts w:hint="eastAsia" w:ascii="Times New Roman" w:hAnsi="Times New Roman"/>
          <w:b w:val="0"/>
          <w:bCs/>
          <w:sz w:val="28"/>
          <w:szCs w:val="28"/>
        </w:rPr>
        <w:t>表</w:t>
      </w:r>
      <w:r>
        <w:rPr>
          <w:rFonts w:hint="eastAsia" w:asciiTheme="minorEastAsia" w:hAnsiTheme="minorEastAsia" w:eastAsiaTheme="minorEastAsia"/>
          <w:b w:val="0"/>
          <w:bCs/>
          <w:sz w:val="28"/>
          <w:szCs w:val="28"/>
        </w:rPr>
        <w:t>3.4-1</w:t>
      </w:r>
      <w:r>
        <w:rPr>
          <w:rFonts w:hint="eastAsia" w:asciiTheme="minorEastAsia" w:hAnsiTheme="minorEastAsia" w:eastAsiaTheme="minorEastAsia"/>
          <w:b w:val="0"/>
          <w:sz w:val="28"/>
          <w:szCs w:val="28"/>
        </w:rPr>
        <w:t>。</w:t>
      </w:r>
    </w:p>
    <w:p w14:paraId="0F2798C7">
      <w:pPr>
        <w:spacing w:line="360" w:lineRule="auto"/>
        <w:ind w:firstLine="480" w:firstLineChars="200"/>
        <w:jc w:val="center"/>
        <w:rPr>
          <w:rFonts w:ascii="黑体" w:hAnsi="黑体" w:eastAsia="黑体" w:cs="宋体"/>
          <w:b w:val="0"/>
          <w:sz w:val="24"/>
        </w:rPr>
      </w:pPr>
      <w:r>
        <w:rPr>
          <w:rFonts w:hint="eastAsia" w:ascii="黑体" w:hAnsi="黑体" w:eastAsia="黑体" w:cs="宋体"/>
          <w:b w:val="0"/>
          <w:sz w:val="24"/>
        </w:rPr>
        <w:t>表3.4-1  主要储存系统危险、有害因素一览表</w:t>
      </w:r>
    </w:p>
    <w:tbl>
      <w:tblPr>
        <w:tblStyle w:val="49"/>
        <w:tblW w:w="94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41"/>
        <w:gridCol w:w="841"/>
        <w:gridCol w:w="841"/>
        <w:gridCol w:w="841"/>
        <w:gridCol w:w="842"/>
        <w:gridCol w:w="841"/>
        <w:gridCol w:w="841"/>
        <w:gridCol w:w="841"/>
        <w:gridCol w:w="842"/>
      </w:tblGrid>
      <w:tr w14:paraId="3BE4F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41" w:type="dxa"/>
            <w:vMerge w:val="restart"/>
            <w:tcBorders>
              <w:tl2br w:val="nil"/>
              <w:tr2bl w:val="nil"/>
            </w:tcBorders>
          </w:tcPr>
          <w:p w14:paraId="5B5DC9E0">
            <w:pPr>
              <w:spacing w:line="240" w:lineRule="exact"/>
              <w:jc w:val="center"/>
              <w:rPr>
                <w:rFonts w:ascii="宋体" w:hAnsi="宋体"/>
                <w:bCs/>
              </w:rPr>
            </w:pPr>
            <w:r>
              <w:rPr>
                <w:rFonts w:ascii="Times New Roman" w:hAnsi="Times New Roman"/>
                <w:bCs/>
              </w:rPr>
              <mc:AlternateContent>
                <mc:Choice Requires="wps">
                  <w:drawing>
                    <wp:anchor distT="0" distB="0" distL="114300" distR="114300" simplePos="0" relativeHeight="251661312" behindDoc="0" locked="0" layoutInCell="1" allowOverlap="1">
                      <wp:simplePos x="0" y="0"/>
                      <wp:positionH relativeFrom="column">
                        <wp:posOffset>-60325</wp:posOffset>
                      </wp:positionH>
                      <wp:positionV relativeFrom="paragraph">
                        <wp:posOffset>8890</wp:posOffset>
                      </wp:positionV>
                      <wp:extent cx="1738630" cy="558165"/>
                      <wp:effectExtent l="0" t="0" r="33655" b="33020"/>
                      <wp:wrapNone/>
                      <wp:docPr id="259" name="直接连接符 259"/>
                      <wp:cNvGraphicFramePr/>
                      <a:graphic xmlns:a="http://schemas.openxmlformats.org/drawingml/2006/main">
                        <a:graphicData uri="http://schemas.microsoft.com/office/word/2010/wordprocessingShape">
                          <wps:wsp>
                            <wps:cNvCnPr/>
                            <wps:spPr>
                              <a:xfrm>
                                <a:off x="0" y="0"/>
                                <a:ext cx="1738313" cy="558141"/>
                              </a:xfrm>
                              <a:prstGeom prst="line">
                                <a:avLst/>
                              </a:prstGeom>
                              <a:ln w="31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75pt;margin-top:0.7pt;height:43.95pt;width:136.9pt;z-index:251661312;mso-width-relative:page;mso-height-relative:page;" filled="f" stroked="t" coordsize="21600,21600" o:gfxdata="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h07XYAAAABwEAAA8AAAAAAAAAAQAgAAAAIgAAAGRycy9kb3ducmV2LnhtbFBLAQIU&#10;ABQAAAAIAIdO4kCXB5UR8wEAAOEDAAAOAAAAAAAAAAEAIAAAACcBAABkcnMvZTJvRG9jLnhtbFBL&#10;BQYAAAAABgAGAFkBAACMBQAAAAA=&#10;">
                      <v:fill on="f" focussize="0,0"/>
                      <v:stroke weight="0.25pt" color="#000000" joinstyle="round"/>
                      <v:imagedata o:title=""/>
                      <o:lock v:ext="edit" aspectratio="f"/>
                    </v:line>
                  </w:pict>
                </mc:Fallback>
              </mc:AlternateContent>
            </w:r>
            <w:r>
              <w:rPr>
                <w:rFonts w:hint="eastAsia" w:ascii="宋体" w:hAnsi="宋体"/>
                <w:bCs/>
              </w:rPr>
              <w:t xml:space="preserve">        危险、有害因素</w:t>
            </w:r>
          </w:p>
          <w:p w14:paraId="14AF9B5B">
            <w:pPr>
              <w:spacing w:line="240" w:lineRule="exact"/>
              <w:ind w:left="-1348" w:leftChars="-642" w:firstLine="1353" w:firstLineChars="642"/>
              <w:jc w:val="center"/>
              <w:rPr>
                <w:rFonts w:ascii="宋体" w:hAnsi="宋体"/>
                <w:bCs/>
              </w:rPr>
            </w:pPr>
          </w:p>
          <w:p w14:paraId="6DB845DE">
            <w:pPr>
              <w:spacing w:line="240" w:lineRule="exact"/>
              <w:ind w:firstLine="211" w:firstLineChars="100"/>
              <w:rPr>
                <w:rFonts w:ascii="宋体" w:hAnsi="宋体"/>
                <w:bCs/>
              </w:rPr>
            </w:pPr>
            <w:r>
              <w:rPr>
                <w:rFonts w:hint="eastAsia" w:ascii="宋体" w:hAnsi="宋体"/>
                <w:bCs/>
              </w:rPr>
              <w:t>作业场所</w:t>
            </w:r>
          </w:p>
        </w:tc>
        <w:tc>
          <w:tcPr>
            <w:tcW w:w="6730" w:type="dxa"/>
            <w:gridSpan w:val="8"/>
            <w:tcBorders>
              <w:tl2br w:val="nil"/>
              <w:tr2bl w:val="nil"/>
            </w:tcBorders>
            <w:vAlign w:val="center"/>
          </w:tcPr>
          <w:p w14:paraId="11BA855F">
            <w:pPr>
              <w:spacing w:line="240" w:lineRule="exact"/>
              <w:jc w:val="center"/>
              <w:rPr>
                <w:rFonts w:ascii="宋体" w:hAnsi="宋体"/>
                <w:bCs/>
              </w:rPr>
            </w:pPr>
            <w:r>
              <w:rPr>
                <w:rFonts w:hint="eastAsia" w:ascii="宋体" w:hAnsi="宋体"/>
                <w:bCs/>
              </w:rPr>
              <w:t>危险因素</w:t>
            </w:r>
          </w:p>
        </w:tc>
      </w:tr>
      <w:tr w14:paraId="53AE0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41" w:type="dxa"/>
            <w:vMerge w:val="continue"/>
            <w:tcBorders>
              <w:tl2br w:val="nil"/>
              <w:tr2bl w:val="nil"/>
            </w:tcBorders>
          </w:tcPr>
          <w:p w14:paraId="29AAAF29">
            <w:pPr>
              <w:spacing w:line="240" w:lineRule="exact"/>
              <w:jc w:val="center"/>
              <w:rPr>
                <w:rFonts w:ascii="Times New Roman" w:hAnsi="Times New Roman"/>
                <w:bCs/>
              </w:rPr>
            </w:pPr>
          </w:p>
        </w:tc>
        <w:tc>
          <w:tcPr>
            <w:tcW w:w="841" w:type="dxa"/>
            <w:tcBorders>
              <w:tl2br w:val="nil"/>
              <w:tr2bl w:val="nil"/>
            </w:tcBorders>
            <w:vAlign w:val="center"/>
          </w:tcPr>
          <w:p w14:paraId="260A0938">
            <w:pPr>
              <w:spacing w:line="240" w:lineRule="exact"/>
              <w:jc w:val="center"/>
              <w:rPr>
                <w:rFonts w:ascii="宋体" w:hAnsi="宋体"/>
                <w:bCs/>
              </w:rPr>
            </w:pPr>
            <w:r>
              <w:rPr>
                <w:rFonts w:hint="eastAsia" w:ascii="宋体" w:hAnsi="宋体"/>
                <w:bCs/>
              </w:rPr>
              <w:t>火灾</w:t>
            </w:r>
          </w:p>
        </w:tc>
        <w:tc>
          <w:tcPr>
            <w:tcW w:w="841" w:type="dxa"/>
            <w:tcBorders>
              <w:tl2br w:val="nil"/>
              <w:tr2bl w:val="nil"/>
            </w:tcBorders>
            <w:vAlign w:val="center"/>
          </w:tcPr>
          <w:p w14:paraId="46C5EE7B">
            <w:pPr>
              <w:spacing w:line="240" w:lineRule="exact"/>
              <w:jc w:val="center"/>
              <w:rPr>
                <w:rFonts w:ascii="宋体" w:hAnsi="宋体"/>
                <w:bCs/>
              </w:rPr>
            </w:pPr>
            <w:r>
              <w:rPr>
                <w:rFonts w:hint="eastAsia" w:ascii="宋体" w:hAnsi="宋体"/>
                <w:bCs/>
              </w:rPr>
              <w:t>爆炸</w:t>
            </w:r>
          </w:p>
        </w:tc>
        <w:tc>
          <w:tcPr>
            <w:tcW w:w="841" w:type="dxa"/>
            <w:tcBorders>
              <w:tl2br w:val="nil"/>
              <w:tr2bl w:val="nil"/>
            </w:tcBorders>
            <w:vAlign w:val="center"/>
          </w:tcPr>
          <w:p w14:paraId="52F2083F">
            <w:pPr>
              <w:spacing w:line="240" w:lineRule="exact"/>
              <w:jc w:val="center"/>
              <w:rPr>
                <w:rFonts w:ascii="宋体" w:hAnsi="宋体"/>
                <w:bCs/>
              </w:rPr>
            </w:pPr>
            <w:r>
              <w:rPr>
                <w:rFonts w:hint="eastAsia" w:ascii="宋体" w:hAnsi="宋体"/>
                <w:bCs/>
              </w:rPr>
              <w:t>触电</w:t>
            </w:r>
          </w:p>
        </w:tc>
        <w:tc>
          <w:tcPr>
            <w:tcW w:w="842" w:type="dxa"/>
            <w:tcBorders>
              <w:tl2br w:val="nil"/>
              <w:tr2bl w:val="nil"/>
            </w:tcBorders>
            <w:vAlign w:val="center"/>
          </w:tcPr>
          <w:p w14:paraId="2C17DEDC">
            <w:pPr>
              <w:spacing w:line="240" w:lineRule="exact"/>
              <w:jc w:val="center"/>
              <w:rPr>
                <w:rFonts w:ascii="宋体" w:hAnsi="宋体"/>
                <w:bCs/>
              </w:rPr>
            </w:pPr>
            <w:r>
              <w:rPr>
                <w:rFonts w:hint="eastAsia" w:ascii="宋体" w:hAnsi="宋体"/>
                <w:bCs/>
              </w:rPr>
              <w:t>机械</w:t>
            </w:r>
          </w:p>
          <w:p w14:paraId="4BE36547">
            <w:pPr>
              <w:spacing w:line="240" w:lineRule="exact"/>
              <w:jc w:val="center"/>
              <w:rPr>
                <w:rFonts w:ascii="宋体" w:hAnsi="宋体"/>
                <w:bCs/>
              </w:rPr>
            </w:pPr>
            <w:r>
              <w:rPr>
                <w:rFonts w:hint="eastAsia" w:ascii="宋体" w:hAnsi="宋体"/>
                <w:bCs/>
              </w:rPr>
              <w:t>伤害</w:t>
            </w:r>
          </w:p>
        </w:tc>
        <w:tc>
          <w:tcPr>
            <w:tcW w:w="841" w:type="dxa"/>
            <w:tcBorders>
              <w:tl2br w:val="nil"/>
              <w:tr2bl w:val="nil"/>
            </w:tcBorders>
            <w:vAlign w:val="center"/>
          </w:tcPr>
          <w:p w14:paraId="1A8DE7E9">
            <w:pPr>
              <w:widowControl/>
              <w:spacing w:line="240" w:lineRule="exact"/>
              <w:jc w:val="center"/>
              <w:rPr>
                <w:rFonts w:ascii="宋体" w:hAnsi="宋体"/>
                <w:bCs/>
              </w:rPr>
            </w:pPr>
            <w:r>
              <w:rPr>
                <w:rFonts w:hint="eastAsia" w:ascii="宋体" w:hAnsi="宋体"/>
                <w:bCs/>
              </w:rPr>
              <w:t>高处坠落</w:t>
            </w:r>
          </w:p>
        </w:tc>
        <w:tc>
          <w:tcPr>
            <w:tcW w:w="841" w:type="dxa"/>
            <w:tcBorders>
              <w:tl2br w:val="nil"/>
              <w:tr2bl w:val="nil"/>
            </w:tcBorders>
            <w:vAlign w:val="center"/>
          </w:tcPr>
          <w:p w14:paraId="4E226FFB">
            <w:pPr>
              <w:spacing w:line="240" w:lineRule="exact"/>
              <w:jc w:val="center"/>
              <w:rPr>
                <w:rFonts w:ascii="宋体" w:hAnsi="宋体"/>
                <w:bCs/>
              </w:rPr>
            </w:pPr>
            <w:r>
              <w:rPr>
                <w:rFonts w:hint="eastAsia" w:ascii="宋体" w:hAnsi="宋体"/>
                <w:bCs/>
              </w:rPr>
              <w:t>物体</w:t>
            </w:r>
          </w:p>
          <w:p w14:paraId="4136170F">
            <w:pPr>
              <w:spacing w:line="240" w:lineRule="exact"/>
              <w:jc w:val="center"/>
              <w:rPr>
                <w:rFonts w:ascii="宋体" w:hAnsi="宋体"/>
                <w:bCs/>
              </w:rPr>
            </w:pPr>
            <w:r>
              <w:rPr>
                <w:rFonts w:hint="eastAsia" w:ascii="宋体" w:hAnsi="宋体"/>
                <w:bCs/>
              </w:rPr>
              <w:t>打击</w:t>
            </w:r>
          </w:p>
        </w:tc>
        <w:tc>
          <w:tcPr>
            <w:tcW w:w="841" w:type="dxa"/>
            <w:tcBorders>
              <w:tl2br w:val="nil"/>
              <w:tr2bl w:val="nil"/>
            </w:tcBorders>
            <w:vAlign w:val="center"/>
          </w:tcPr>
          <w:p w14:paraId="11A1CA3C">
            <w:pPr>
              <w:spacing w:line="240" w:lineRule="exact"/>
              <w:jc w:val="center"/>
              <w:rPr>
                <w:rFonts w:ascii="宋体" w:hAnsi="宋体"/>
                <w:bCs/>
              </w:rPr>
            </w:pPr>
            <w:r>
              <w:rPr>
                <w:rFonts w:hint="eastAsia" w:ascii="宋体" w:hAnsi="宋体"/>
                <w:bCs/>
              </w:rPr>
              <w:t>车辆</w:t>
            </w:r>
          </w:p>
          <w:p w14:paraId="46303AE3">
            <w:pPr>
              <w:spacing w:line="240" w:lineRule="exact"/>
              <w:jc w:val="center"/>
              <w:rPr>
                <w:rFonts w:ascii="宋体" w:hAnsi="宋体"/>
                <w:bCs/>
              </w:rPr>
            </w:pPr>
            <w:r>
              <w:rPr>
                <w:rFonts w:hint="eastAsia" w:ascii="宋体" w:hAnsi="宋体"/>
                <w:bCs/>
              </w:rPr>
              <w:t>伤害</w:t>
            </w:r>
          </w:p>
        </w:tc>
        <w:tc>
          <w:tcPr>
            <w:tcW w:w="842" w:type="dxa"/>
            <w:tcBorders>
              <w:tl2br w:val="nil"/>
              <w:tr2bl w:val="nil"/>
            </w:tcBorders>
            <w:vAlign w:val="center"/>
          </w:tcPr>
          <w:p w14:paraId="7E462B21">
            <w:pPr>
              <w:spacing w:line="240" w:lineRule="exact"/>
              <w:jc w:val="center"/>
              <w:rPr>
                <w:rFonts w:ascii="宋体" w:hAnsi="宋体"/>
                <w:bCs/>
              </w:rPr>
            </w:pPr>
            <w:r>
              <w:rPr>
                <w:rFonts w:hint="eastAsia" w:ascii="宋体" w:hAnsi="宋体"/>
                <w:bCs/>
              </w:rPr>
              <w:t>其它</w:t>
            </w:r>
          </w:p>
        </w:tc>
      </w:tr>
      <w:tr w14:paraId="2C9FD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41" w:type="dxa"/>
            <w:tcBorders>
              <w:tl2br w:val="nil"/>
              <w:tr2bl w:val="nil"/>
            </w:tcBorders>
            <w:vAlign w:val="center"/>
          </w:tcPr>
          <w:p w14:paraId="4B6D9C2B">
            <w:pPr>
              <w:spacing w:line="240" w:lineRule="exact"/>
              <w:jc w:val="center"/>
              <w:rPr>
                <w:rFonts w:ascii="宋体" w:hAnsi="宋体"/>
                <w:b w:val="0"/>
              </w:rPr>
            </w:pPr>
            <w:r>
              <w:rPr>
                <w:rFonts w:hint="eastAsia" w:ascii="宋体" w:hAnsi="宋体"/>
                <w:b w:val="0"/>
              </w:rPr>
              <w:t>库区</w:t>
            </w:r>
          </w:p>
        </w:tc>
        <w:tc>
          <w:tcPr>
            <w:tcW w:w="841" w:type="dxa"/>
            <w:tcBorders>
              <w:tl2br w:val="nil"/>
              <w:tr2bl w:val="nil"/>
            </w:tcBorders>
            <w:vAlign w:val="center"/>
          </w:tcPr>
          <w:p w14:paraId="338F5C92">
            <w:pPr>
              <w:spacing w:line="240" w:lineRule="exact"/>
              <w:jc w:val="center"/>
              <w:rPr>
                <w:rFonts w:ascii="宋体" w:hAnsi="宋体"/>
                <w:b w:val="0"/>
              </w:rPr>
            </w:pPr>
            <w:r>
              <w:rPr>
                <w:rFonts w:ascii="宋体" w:hAnsi="宋体"/>
                <w:b w:val="0"/>
              </w:rPr>
              <w:t>√</w:t>
            </w:r>
          </w:p>
        </w:tc>
        <w:tc>
          <w:tcPr>
            <w:tcW w:w="841" w:type="dxa"/>
            <w:tcBorders>
              <w:tl2br w:val="nil"/>
              <w:tr2bl w:val="nil"/>
            </w:tcBorders>
            <w:vAlign w:val="center"/>
          </w:tcPr>
          <w:p w14:paraId="16400238">
            <w:pPr>
              <w:spacing w:line="240" w:lineRule="exact"/>
              <w:jc w:val="center"/>
              <w:rPr>
                <w:rFonts w:ascii="宋体" w:hAnsi="宋体"/>
                <w:b w:val="0"/>
              </w:rPr>
            </w:pPr>
            <w:r>
              <w:rPr>
                <w:rFonts w:ascii="宋体" w:hAnsi="宋体"/>
                <w:b w:val="0"/>
              </w:rPr>
              <w:t>√</w:t>
            </w:r>
          </w:p>
        </w:tc>
        <w:tc>
          <w:tcPr>
            <w:tcW w:w="841" w:type="dxa"/>
            <w:tcBorders>
              <w:tl2br w:val="nil"/>
              <w:tr2bl w:val="nil"/>
            </w:tcBorders>
            <w:vAlign w:val="center"/>
          </w:tcPr>
          <w:p w14:paraId="5AF66448">
            <w:pPr>
              <w:spacing w:line="240" w:lineRule="exact"/>
              <w:jc w:val="center"/>
              <w:rPr>
                <w:rFonts w:ascii="宋体" w:hAnsi="宋体"/>
                <w:b w:val="0"/>
              </w:rPr>
            </w:pPr>
            <w:r>
              <w:rPr>
                <w:rFonts w:ascii="宋体" w:hAnsi="宋体"/>
                <w:b w:val="0"/>
              </w:rPr>
              <w:t>√</w:t>
            </w:r>
          </w:p>
        </w:tc>
        <w:tc>
          <w:tcPr>
            <w:tcW w:w="842" w:type="dxa"/>
            <w:tcBorders>
              <w:tl2br w:val="nil"/>
              <w:tr2bl w:val="nil"/>
            </w:tcBorders>
            <w:vAlign w:val="center"/>
          </w:tcPr>
          <w:p w14:paraId="4C849B64">
            <w:pPr>
              <w:spacing w:line="240" w:lineRule="exact"/>
              <w:jc w:val="center"/>
              <w:rPr>
                <w:rFonts w:ascii="宋体" w:hAnsi="宋体"/>
                <w:b w:val="0"/>
              </w:rPr>
            </w:pPr>
            <w:r>
              <w:rPr>
                <w:rFonts w:ascii="宋体" w:hAnsi="宋体"/>
                <w:b w:val="0"/>
              </w:rPr>
              <w:t>√</w:t>
            </w:r>
          </w:p>
        </w:tc>
        <w:tc>
          <w:tcPr>
            <w:tcW w:w="841" w:type="dxa"/>
            <w:tcBorders>
              <w:tl2br w:val="nil"/>
              <w:tr2bl w:val="nil"/>
            </w:tcBorders>
            <w:vAlign w:val="center"/>
          </w:tcPr>
          <w:p w14:paraId="521BC31D">
            <w:pPr>
              <w:spacing w:line="240" w:lineRule="exact"/>
              <w:jc w:val="center"/>
              <w:rPr>
                <w:rFonts w:ascii="宋体" w:hAnsi="宋体"/>
                <w:b w:val="0"/>
              </w:rPr>
            </w:pPr>
            <w:r>
              <w:rPr>
                <w:rFonts w:ascii="宋体" w:hAnsi="宋体"/>
                <w:b w:val="0"/>
              </w:rPr>
              <w:t>√</w:t>
            </w:r>
          </w:p>
        </w:tc>
        <w:tc>
          <w:tcPr>
            <w:tcW w:w="841" w:type="dxa"/>
            <w:tcBorders>
              <w:tl2br w:val="nil"/>
              <w:tr2bl w:val="nil"/>
            </w:tcBorders>
            <w:vAlign w:val="center"/>
          </w:tcPr>
          <w:p w14:paraId="72141792">
            <w:pPr>
              <w:spacing w:line="240" w:lineRule="exact"/>
              <w:jc w:val="center"/>
              <w:rPr>
                <w:rFonts w:ascii="宋体" w:hAnsi="宋体"/>
                <w:b w:val="0"/>
              </w:rPr>
            </w:pPr>
            <w:r>
              <w:rPr>
                <w:rFonts w:ascii="宋体" w:hAnsi="宋体"/>
                <w:b w:val="0"/>
              </w:rPr>
              <w:t>√</w:t>
            </w:r>
          </w:p>
        </w:tc>
        <w:tc>
          <w:tcPr>
            <w:tcW w:w="841" w:type="dxa"/>
            <w:tcBorders>
              <w:tl2br w:val="nil"/>
              <w:tr2bl w:val="nil"/>
            </w:tcBorders>
            <w:vAlign w:val="center"/>
          </w:tcPr>
          <w:p w14:paraId="07D2E870">
            <w:pPr>
              <w:spacing w:line="240" w:lineRule="exact"/>
              <w:jc w:val="center"/>
              <w:rPr>
                <w:rFonts w:ascii="宋体" w:hAnsi="宋体"/>
                <w:b w:val="0"/>
              </w:rPr>
            </w:pPr>
            <w:r>
              <w:rPr>
                <w:rFonts w:ascii="宋体" w:hAnsi="宋体"/>
                <w:b w:val="0"/>
              </w:rPr>
              <w:t>√</w:t>
            </w:r>
          </w:p>
        </w:tc>
        <w:tc>
          <w:tcPr>
            <w:tcW w:w="842" w:type="dxa"/>
            <w:tcBorders>
              <w:tl2br w:val="nil"/>
              <w:tr2bl w:val="nil"/>
            </w:tcBorders>
            <w:vAlign w:val="center"/>
          </w:tcPr>
          <w:p w14:paraId="0B9E25B0">
            <w:pPr>
              <w:spacing w:line="240" w:lineRule="exact"/>
              <w:jc w:val="center"/>
              <w:rPr>
                <w:rFonts w:ascii="宋体" w:hAnsi="宋体"/>
                <w:b w:val="0"/>
              </w:rPr>
            </w:pPr>
            <w:r>
              <w:rPr>
                <w:rFonts w:ascii="宋体" w:hAnsi="宋体"/>
                <w:b w:val="0"/>
              </w:rPr>
              <w:t>√</w:t>
            </w:r>
          </w:p>
        </w:tc>
      </w:tr>
      <w:tr w14:paraId="13741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741" w:type="dxa"/>
            <w:tcBorders>
              <w:tl2br w:val="nil"/>
              <w:tr2bl w:val="nil"/>
            </w:tcBorders>
            <w:vAlign w:val="center"/>
          </w:tcPr>
          <w:p w14:paraId="112499A1">
            <w:pPr>
              <w:spacing w:line="240" w:lineRule="exact"/>
              <w:jc w:val="center"/>
              <w:rPr>
                <w:rFonts w:ascii="宋体" w:hAnsi="宋体"/>
                <w:b w:val="0"/>
              </w:rPr>
            </w:pPr>
            <w:r>
              <w:rPr>
                <w:rFonts w:hint="eastAsia" w:ascii="宋体" w:hAnsi="宋体"/>
                <w:b w:val="0"/>
              </w:rPr>
              <w:t>车辆运输</w:t>
            </w:r>
          </w:p>
        </w:tc>
        <w:tc>
          <w:tcPr>
            <w:tcW w:w="841" w:type="dxa"/>
            <w:tcBorders>
              <w:tl2br w:val="nil"/>
              <w:tr2bl w:val="nil"/>
            </w:tcBorders>
            <w:vAlign w:val="center"/>
          </w:tcPr>
          <w:p w14:paraId="0DE0AB99">
            <w:pPr>
              <w:spacing w:line="240" w:lineRule="exact"/>
              <w:jc w:val="center"/>
              <w:rPr>
                <w:rFonts w:ascii="宋体" w:hAnsi="宋体"/>
                <w:b w:val="0"/>
              </w:rPr>
            </w:pPr>
            <w:r>
              <w:rPr>
                <w:rFonts w:ascii="宋体" w:hAnsi="宋体"/>
                <w:b w:val="0"/>
              </w:rPr>
              <w:t>√</w:t>
            </w:r>
          </w:p>
        </w:tc>
        <w:tc>
          <w:tcPr>
            <w:tcW w:w="841" w:type="dxa"/>
            <w:tcBorders>
              <w:tl2br w:val="nil"/>
              <w:tr2bl w:val="nil"/>
            </w:tcBorders>
            <w:vAlign w:val="center"/>
          </w:tcPr>
          <w:p w14:paraId="2F816264">
            <w:pPr>
              <w:spacing w:line="240" w:lineRule="exact"/>
              <w:jc w:val="center"/>
              <w:rPr>
                <w:rFonts w:ascii="宋体" w:hAnsi="宋体"/>
                <w:b w:val="0"/>
              </w:rPr>
            </w:pPr>
            <w:r>
              <w:rPr>
                <w:rFonts w:ascii="宋体" w:hAnsi="宋体"/>
                <w:b w:val="0"/>
              </w:rPr>
              <w:t>√</w:t>
            </w:r>
          </w:p>
        </w:tc>
        <w:tc>
          <w:tcPr>
            <w:tcW w:w="841" w:type="dxa"/>
            <w:tcBorders>
              <w:tl2br w:val="nil"/>
              <w:tr2bl w:val="nil"/>
            </w:tcBorders>
            <w:vAlign w:val="center"/>
          </w:tcPr>
          <w:p w14:paraId="6454FA6E">
            <w:pPr>
              <w:spacing w:line="240" w:lineRule="exact"/>
              <w:jc w:val="center"/>
              <w:rPr>
                <w:rFonts w:ascii="宋体" w:hAnsi="宋体"/>
                <w:b w:val="0"/>
              </w:rPr>
            </w:pPr>
          </w:p>
        </w:tc>
        <w:tc>
          <w:tcPr>
            <w:tcW w:w="842" w:type="dxa"/>
            <w:tcBorders>
              <w:tl2br w:val="nil"/>
              <w:tr2bl w:val="nil"/>
            </w:tcBorders>
            <w:vAlign w:val="center"/>
          </w:tcPr>
          <w:p w14:paraId="482B40E6">
            <w:pPr>
              <w:spacing w:line="240" w:lineRule="exact"/>
              <w:jc w:val="center"/>
              <w:rPr>
                <w:rFonts w:ascii="宋体" w:hAnsi="宋体"/>
                <w:b w:val="0"/>
              </w:rPr>
            </w:pPr>
          </w:p>
        </w:tc>
        <w:tc>
          <w:tcPr>
            <w:tcW w:w="841" w:type="dxa"/>
            <w:tcBorders>
              <w:tl2br w:val="nil"/>
              <w:tr2bl w:val="nil"/>
            </w:tcBorders>
            <w:vAlign w:val="center"/>
          </w:tcPr>
          <w:p w14:paraId="72E634CB">
            <w:pPr>
              <w:spacing w:line="240" w:lineRule="exact"/>
              <w:jc w:val="center"/>
              <w:rPr>
                <w:rFonts w:ascii="宋体" w:hAnsi="宋体"/>
                <w:b w:val="0"/>
              </w:rPr>
            </w:pPr>
          </w:p>
        </w:tc>
        <w:tc>
          <w:tcPr>
            <w:tcW w:w="841" w:type="dxa"/>
            <w:tcBorders>
              <w:tl2br w:val="nil"/>
              <w:tr2bl w:val="nil"/>
            </w:tcBorders>
            <w:vAlign w:val="center"/>
          </w:tcPr>
          <w:p w14:paraId="080F5648">
            <w:pPr>
              <w:spacing w:line="240" w:lineRule="exact"/>
              <w:jc w:val="center"/>
              <w:rPr>
                <w:rFonts w:ascii="宋体" w:hAnsi="宋体"/>
                <w:b w:val="0"/>
              </w:rPr>
            </w:pPr>
          </w:p>
        </w:tc>
        <w:tc>
          <w:tcPr>
            <w:tcW w:w="841" w:type="dxa"/>
            <w:tcBorders>
              <w:tl2br w:val="nil"/>
              <w:tr2bl w:val="nil"/>
            </w:tcBorders>
            <w:vAlign w:val="center"/>
          </w:tcPr>
          <w:p w14:paraId="0BC3F822">
            <w:pPr>
              <w:spacing w:line="240" w:lineRule="exact"/>
              <w:jc w:val="center"/>
              <w:rPr>
                <w:rFonts w:ascii="宋体" w:hAnsi="宋体"/>
                <w:b w:val="0"/>
              </w:rPr>
            </w:pPr>
            <w:r>
              <w:rPr>
                <w:rFonts w:ascii="宋体" w:hAnsi="宋体"/>
                <w:b w:val="0"/>
              </w:rPr>
              <w:t>√</w:t>
            </w:r>
          </w:p>
        </w:tc>
        <w:tc>
          <w:tcPr>
            <w:tcW w:w="842" w:type="dxa"/>
            <w:tcBorders>
              <w:tl2br w:val="nil"/>
              <w:tr2bl w:val="nil"/>
            </w:tcBorders>
            <w:vAlign w:val="center"/>
          </w:tcPr>
          <w:p w14:paraId="1BABE809">
            <w:pPr>
              <w:spacing w:line="240" w:lineRule="exact"/>
              <w:jc w:val="center"/>
              <w:rPr>
                <w:rFonts w:ascii="宋体" w:hAnsi="宋体"/>
                <w:b w:val="0"/>
              </w:rPr>
            </w:pPr>
            <w:r>
              <w:rPr>
                <w:rFonts w:ascii="宋体" w:hAnsi="宋体"/>
                <w:b w:val="0"/>
              </w:rPr>
              <w:t>√</w:t>
            </w:r>
          </w:p>
        </w:tc>
      </w:tr>
      <w:tr w14:paraId="2BBC0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471" w:type="dxa"/>
            <w:gridSpan w:val="9"/>
            <w:tcBorders>
              <w:tl2br w:val="nil"/>
              <w:tr2bl w:val="nil"/>
            </w:tcBorders>
            <w:vAlign w:val="center"/>
          </w:tcPr>
          <w:p w14:paraId="04564DF0">
            <w:pPr>
              <w:spacing w:line="240" w:lineRule="exact"/>
              <w:ind w:firstLine="210" w:firstLineChars="100"/>
              <w:jc w:val="left"/>
              <w:rPr>
                <w:rFonts w:ascii="宋体" w:hAnsi="宋体"/>
                <w:b w:val="0"/>
              </w:rPr>
            </w:pPr>
            <w:r>
              <w:rPr>
                <w:rFonts w:hint="eastAsia" w:ascii="宋体" w:hAnsi="宋体"/>
                <w:b w:val="0"/>
              </w:rPr>
              <w:t>注：打“</w:t>
            </w:r>
            <w:r>
              <w:rPr>
                <w:rFonts w:ascii="宋体" w:hAnsi="宋体"/>
                <w:b w:val="0"/>
              </w:rPr>
              <w:t>√</w:t>
            </w:r>
            <w:r>
              <w:rPr>
                <w:rFonts w:hint="eastAsia" w:ascii="宋体" w:hAnsi="宋体"/>
                <w:b w:val="0"/>
              </w:rPr>
              <w:t>”为危险、有害因素存在。</w:t>
            </w:r>
          </w:p>
        </w:tc>
      </w:tr>
    </w:tbl>
    <w:p w14:paraId="6EAEC936">
      <w:pPr>
        <w:pStyle w:val="6"/>
        <w:spacing w:before="120" w:beforeLines="50"/>
        <w:rPr>
          <w:rFonts w:ascii="黑体" w:hAnsi="黑体" w:eastAsia="黑体" w:cs="宋体"/>
          <w:b w:val="0"/>
          <w:szCs w:val="28"/>
        </w:rPr>
      </w:pPr>
      <w:r>
        <w:rPr>
          <w:rFonts w:hint="eastAsia" w:ascii="黑体" w:hAnsi="黑体" w:eastAsia="黑体" w:cs="宋体"/>
          <w:b w:val="0"/>
          <w:szCs w:val="28"/>
        </w:rPr>
        <w:t>3.4.2危险、危害因素产生的原因</w:t>
      </w:r>
    </w:p>
    <w:p w14:paraId="097CEAF1">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危险、危害产生的根本原因是存在危险、危害物质并且处于失控状态。能量也是一种物质，在失控状态下同样造成危险，但任何生产过程都不可避免地要使用到此类物质。因此，采用有效的手段和措施进行控制，消除或降低危险、有害程度，是预防事故的关键。</w:t>
      </w:r>
    </w:p>
    <w:p w14:paraId="238FCC78">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失控主要体现在设备故障(缺陷）、人员失误、管理缺陷和环境的不良影响等几个方面。</w:t>
      </w:r>
    </w:p>
    <w:p w14:paraId="6998E92F">
      <w:pPr>
        <w:pStyle w:val="6"/>
        <w:rPr>
          <w:rFonts w:ascii="黑体" w:hAnsi="黑体" w:eastAsia="黑体" w:cs="宋体"/>
          <w:b w:val="0"/>
          <w:szCs w:val="28"/>
        </w:rPr>
      </w:pPr>
      <w:r>
        <w:rPr>
          <w:rFonts w:hint="eastAsia" w:ascii="黑体" w:hAnsi="黑体" w:eastAsia="黑体" w:cs="宋体"/>
          <w:b w:val="0"/>
          <w:szCs w:val="28"/>
        </w:rPr>
        <w:t>3.4.2.1设备故障（缺陷）</w:t>
      </w:r>
    </w:p>
    <w:p w14:paraId="66F84D5C">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设备故障（缺陷）主要表现在设备、元件在运行过程中由于性能低下或不符合工艺要求而不能实现预期的功能。如电气绝缘损坏、保护装置失效可能造成人员触电等设备故障的发生具有随机性、渐进性、规律性，可以通过定期检查，维护保养等措施来加以防范。</w:t>
      </w:r>
    </w:p>
    <w:p w14:paraId="2FF7CBE2">
      <w:pPr>
        <w:pStyle w:val="6"/>
        <w:rPr>
          <w:rFonts w:ascii="黑体" w:hAnsi="黑体" w:eastAsia="黑体" w:cs="宋体"/>
          <w:b w:val="0"/>
          <w:szCs w:val="28"/>
        </w:rPr>
      </w:pPr>
      <w:r>
        <w:rPr>
          <w:rFonts w:hint="eastAsia" w:ascii="黑体" w:hAnsi="黑体" w:eastAsia="黑体" w:cs="宋体"/>
          <w:b w:val="0"/>
          <w:szCs w:val="28"/>
        </w:rPr>
        <w:t>3.4.2.2人员失误</w:t>
      </w:r>
    </w:p>
    <w:p w14:paraId="4ED182DF">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人员失误是由于人的不安全行为造成的，可能产生严重后果，如未按规定穿戴劳动保护用品；在烟花爆竹仓库区内违章动火、吸烟等，可能引发火灾、爆炸事故；脱岗、串岗、注意力不集中、操作失误引发严重事故。</w:t>
      </w:r>
    </w:p>
    <w:p w14:paraId="18AFD976">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人员失误可以通过严格的安全管理规章制度、操作规程、安全知识教育和安全技能培训等手段和措施加以预防。</w:t>
      </w:r>
    </w:p>
    <w:p w14:paraId="3EEA946A">
      <w:pPr>
        <w:pStyle w:val="6"/>
        <w:rPr>
          <w:rFonts w:ascii="黑体" w:hAnsi="黑体" w:eastAsia="黑体" w:cs="宋体"/>
          <w:b w:val="0"/>
          <w:szCs w:val="28"/>
        </w:rPr>
      </w:pPr>
      <w:r>
        <w:rPr>
          <w:rFonts w:hint="eastAsia" w:ascii="黑体" w:hAnsi="黑体" w:eastAsia="黑体" w:cs="宋体"/>
          <w:b w:val="0"/>
          <w:szCs w:val="28"/>
        </w:rPr>
        <w:t>3.4.2.3管理缺陷</w:t>
      </w:r>
    </w:p>
    <w:p w14:paraId="65347B6B">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管理缺陷主要体现在安全管理机构不健全，安全管理规章制度不健全或执行不力、安全教育不到位等方面。管理缺陷可能造成设备故障（缺陷）不能及时发现处理，设备长期得不到维护、检修或检修质量不能保证，从而引发事故；也可因管理松懈而导致人员失误增多等。</w:t>
      </w:r>
    </w:p>
    <w:p w14:paraId="148B1ABD">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管理缺陷主要依靠健全安全管理机构、完善安全管理规章制度并严格执行来消除。</w:t>
      </w:r>
    </w:p>
    <w:p w14:paraId="1AEE50EF">
      <w:pPr>
        <w:pStyle w:val="6"/>
        <w:spacing w:before="120" w:beforeLines="50"/>
        <w:rPr>
          <w:rFonts w:ascii="黑体" w:hAnsi="黑体" w:eastAsia="黑体" w:cs="宋体"/>
          <w:b w:val="0"/>
          <w:szCs w:val="28"/>
        </w:rPr>
      </w:pPr>
      <w:r>
        <w:rPr>
          <w:rFonts w:hint="eastAsia" w:ascii="黑体" w:hAnsi="黑体" w:eastAsia="黑体" w:cs="宋体"/>
          <w:b w:val="0"/>
          <w:szCs w:val="28"/>
        </w:rPr>
        <w:t>3</w:t>
      </w:r>
      <w:r>
        <w:rPr>
          <w:rFonts w:ascii="黑体" w:hAnsi="黑体" w:eastAsia="黑体" w:cs="宋体"/>
          <w:b w:val="0"/>
          <w:szCs w:val="28"/>
        </w:rPr>
        <w:t xml:space="preserve">.4.2.4 </w:t>
      </w:r>
      <w:r>
        <w:rPr>
          <w:rFonts w:hint="eastAsia" w:ascii="黑体" w:hAnsi="黑体" w:eastAsia="黑体" w:cs="宋体"/>
          <w:b w:val="0"/>
          <w:szCs w:val="28"/>
        </w:rPr>
        <w:t>施工过程中的危险有害因素分析</w:t>
      </w:r>
    </w:p>
    <w:p w14:paraId="3FBBDF04">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（1）施工材料与设施相关的危险因素</w:t>
      </w:r>
    </w:p>
    <w:p w14:paraId="6C47E431">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1）材料防火防爆性能不足</w:t>
      </w:r>
    </w:p>
    <w:p w14:paraId="35F97FE9">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风险：使用耐火等级低、抗爆能力差的建筑材料，可能导致火灾或爆炸扩散。</w:t>
      </w:r>
    </w:p>
    <w:p w14:paraId="0AA6705D">
      <w:pPr>
        <w:pStyle w:val="2"/>
        <w:spacing w:line="520" w:lineRule="exact"/>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措施：严格选用符合国家标准的防火防爆材料（如轻质抗爆墙、泄压屋顶），并核查材料检测报告。</w:t>
      </w:r>
    </w:p>
    <w:p w14:paraId="7AFFE60A">
      <w:pPr>
        <w:pStyle w:val="2"/>
        <w:spacing w:line="520" w:lineRule="exact"/>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2）电气设备安装不规范</w:t>
      </w:r>
    </w:p>
    <w:p w14:paraId="6D194A54">
      <w:pPr>
        <w:pStyle w:val="2"/>
        <w:spacing w:line="520" w:lineRule="exact"/>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风险：线路短路、设备漏电或未使用防爆电器，可能引发火花导致燃爆。</w:t>
      </w:r>
    </w:p>
    <w:p w14:paraId="2892485E">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措施：采用防爆电气设备，规范布线并设置漏电保护装置，定期进行防爆检测。</w:t>
      </w:r>
    </w:p>
    <w:p w14:paraId="660B2DA4">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3）防雷与防静电设施缺陷</w:t>
      </w:r>
    </w:p>
    <w:p w14:paraId="2346BFA4">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风险:雷击或静电积累可能引燃危险品。</w:t>
      </w:r>
    </w:p>
    <w:p w14:paraId="7653E1D3">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措施：按规范安装避雷针、接地装置，仓库内设置导静电地面并定期检测电阻值。</w:t>
      </w:r>
    </w:p>
    <w:p w14:paraId="16A6B385">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（2）施工过程中的作业风险</w:t>
      </w:r>
    </w:p>
    <w:p w14:paraId="4C50C47E">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1）动火作业（焊接、切割等）</w:t>
      </w:r>
    </w:p>
    <w:p w14:paraId="5CE1D504">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风险：火花飞溅引燃易燃物或残留火药粉尘。</w:t>
      </w:r>
    </w:p>
    <w:p w14:paraId="7ED63902">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措施：施工前清理现场，设置防火隔离带，配备灭火器材，并执行动火审批制度。</w:t>
      </w:r>
    </w:p>
    <w:p w14:paraId="5E51FC81">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2）高处作业与机械操作</w:t>
      </w:r>
    </w:p>
    <w:p w14:paraId="5A1A2536">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风险：坠落、机械碰撞导致结构损坏或人员伤亡。</w:t>
      </w:r>
    </w:p>
    <w:p w14:paraId="0FDD2657">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措施：搭设脚手架及防护网，操作人员持证上岗，机械作业区域设置警戒线。</w:t>
      </w:r>
    </w:p>
    <w:p w14:paraId="62242113">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3）人员操作失误</w:t>
      </w:r>
    </w:p>
    <w:p w14:paraId="3B064104">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风险：未佩戴防护装备、违规吸烟或携带火种进入禁区。</w:t>
      </w:r>
    </w:p>
    <w:p w14:paraId="409EEEB3">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措施：强制穿戴防护装备，设立禁火标识，施工前进行安全培训并设置监控。</w:t>
      </w:r>
    </w:p>
    <w:p w14:paraId="18AEFC7D">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（3）施工管理与制度漏洞</w:t>
      </w:r>
    </w:p>
    <w:p w14:paraId="4FA067BD">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1）安全制度缺失</w:t>
      </w:r>
    </w:p>
    <w:p w14:paraId="518581D8">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风险：无应急预案、责任划分不清，延误事故处置。</w:t>
      </w:r>
    </w:p>
    <w:p w14:paraId="17B8B6B9">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措施：建立H</w:t>
      </w:r>
      <w:r>
        <w:rPr>
          <w:rFonts w:ascii="宋体" w:hAnsi="宋体" w:eastAsia="宋体" w:cs="宋体"/>
          <w:b w:val="0"/>
          <w:kern w:val="2"/>
          <w:szCs w:val="28"/>
          <w:lang w:val="zh-CN"/>
        </w:rPr>
        <w:t>SE</w:t>
      </w:r>
      <w:r>
        <w:rPr>
          <w:rFonts w:hint="eastAsia" w:ascii="宋体" w:hAnsi="宋体" w:eastAsia="宋体" w:cs="宋体"/>
          <w:b w:val="0"/>
          <w:kern w:val="2"/>
          <w:szCs w:val="28"/>
          <w:lang w:val="zh-CN"/>
        </w:rPr>
        <w:t>管理体系，明确干我给职责，开展应急演练（如火灾、爆炸模拟）。</w:t>
      </w:r>
    </w:p>
    <w:p w14:paraId="2461B837">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2）人员培训不足</w:t>
      </w:r>
    </w:p>
    <w:p w14:paraId="6CDADC3C">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风险：施工人员缺乏危险品作业知识，盲目操作。</w:t>
      </w:r>
    </w:p>
    <w:p w14:paraId="1549F1E6">
      <w:pPr>
        <w:pStyle w:val="2"/>
        <w:ind w:firstLine="560"/>
        <w:rPr>
          <w:rFonts w:ascii="宋体" w:hAnsi="宋体" w:eastAsia="宋体" w:cs="宋体"/>
          <w:b w:val="0"/>
          <w:kern w:val="2"/>
          <w:szCs w:val="28"/>
          <w:lang w:val="zh-CN"/>
        </w:rPr>
      </w:pPr>
      <w:r>
        <w:rPr>
          <w:rFonts w:hint="eastAsia" w:ascii="宋体" w:hAnsi="宋体" w:eastAsia="宋体" w:cs="宋体"/>
          <w:b w:val="0"/>
          <w:kern w:val="2"/>
          <w:szCs w:val="28"/>
          <w:lang w:val="zh-CN"/>
        </w:rPr>
        <w:t>措施：实施岗前安全培训，考核合格后持证上岗，定期复训。</w:t>
      </w:r>
    </w:p>
    <w:p w14:paraId="03593CC9">
      <w:pPr>
        <w:pStyle w:val="6"/>
        <w:spacing w:before="120" w:beforeLines="50"/>
        <w:rPr>
          <w:rFonts w:ascii="黑体" w:hAnsi="黑体" w:eastAsia="黑体" w:cs="宋体"/>
          <w:b w:val="0"/>
          <w:szCs w:val="28"/>
        </w:rPr>
      </w:pPr>
      <w:r>
        <w:rPr>
          <w:rFonts w:hint="eastAsia" w:ascii="黑体" w:hAnsi="黑体" w:eastAsia="黑体" w:cs="宋体"/>
          <w:b w:val="0"/>
          <w:szCs w:val="28"/>
        </w:rPr>
        <w:t>3.4.2.</w:t>
      </w:r>
      <w:r>
        <w:rPr>
          <w:rFonts w:ascii="黑体" w:hAnsi="黑体" w:eastAsia="黑体" w:cs="宋体"/>
          <w:b w:val="0"/>
          <w:szCs w:val="28"/>
        </w:rPr>
        <w:t>5</w:t>
      </w:r>
      <w:r>
        <w:rPr>
          <w:rFonts w:hint="eastAsia" w:ascii="黑体" w:hAnsi="黑体" w:eastAsia="黑体" w:cs="宋体"/>
          <w:b w:val="0"/>
          <w:szCs w:val="28"/>
        </w:rPr>
        <w:t>环境的不良影响</w:t>
      </w:r>
    </w:p>
    <w:p w14:paraId="7DEF0028">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环境的不良影响主要表现在两个方面。</w:t>
      </w:r>
    </w:p>
    <w:p w14:paraId="6B310DD0">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一是作业环境，如温度、湿度、通风、照明、噪声、色彩等。如温度、湿度、噪声、色彩等可能造成人的身体状况不良，注意力不集中，影响对周围情况的判断力，从而造成误操作或对故障处理不当引发危险的发生；如通风不良可能造成易燃、有毒有害物质的积聚而引发事故；如照明不良则可能造成人员因视线不清而发生摔跌或误操作等。</w:t>
      </w:r>
    </w:p>
    <w:p w14:paraId="2AB4D523">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二是外部环境如炎热、暴风雨、大风等。如暴风雨可能造成雷击伤人或损坏设备事故，也可能引发火灾、爆炸事故，另外，还可能因雷雨造成设备电气绝缘下降以致发生事故。</w:t>
      </w:r>
    </w:p>
    <w:p w14:paraId="400FA9D2">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另一方面是自然灾害环境：</w:t>
      </w:r>
    </w:p>
    <w:p w14:paraId="5A6C8255">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自然灾害是指地震、洪水、风暴潮、台风、滑坡、泥石流、地裂缝、塌陷、冰雪、干旱、山火等灾害。根据该企业所处的地理位置情况，虽然不受地震、地裂缝的影响。</w:t>
      </w:r>
      <w:bookmarkStart w:id="199" w:name="_Toc18964"/>
      <w:bookmarkStart w:id="200" w:name="_Toc32734"/>
      <w:bookmarkStart w:id="201" w:name="_Toc156035576"/>
      <w:bookmarkStart w:id="202" w:name="_Toc65855309"/>
    </w:p>
    <w:p w14:paraId="4CB85956">
      <w:pPr>
        <w:keepNext/>
        <w:snapToGrid w:val="0"/>
        <w:spacing w:line="360" w:lineRule="auto"/>
        <w:outlineLvl w:val="1"/>
        <w:rPr>
          <w:rFonts w:ascii="黑体" w:hAnsi="黑体" w:eastAsia="黑体" w:cs="楷体"/>
          <w:b w:val="0"/>
          <w:sz w:val="30"/>
          <w:szCs w:val="30"/>
        </w:rPr>
      </w:pPr>
      <w:bookmarkStart w:id="203" w:name="_Toc124539521"/>
      <w:bookmarkStart w:id="204" w:name="_Toc205979643"/>
      <w:r>
        <w:rPr>
          <w:rFonts w:hint="eastAsia" w:ascii="黑体" w:hAnsi="黑体" w:eastAsia="黑体" w:cs="楷体"/>
          <w:b w:val="0"/>
          <w:sz w:val="30"/>
          <w:szCs w:val="30"/>
        </w:rPr>
        <w:t>3.5库区的危险性分析</w:t>
      </w:r>
      <w:bookmarkEnd w:id="199"/>
      <w:bookmarkEnd w:id="200"/>
      <w:bookmarkEnd w:id="201"/>
      <w:bookmarkEnd w:id="202"/>
      <w:bookmarkEnd w:id="203"/>
      <w:bookmarkEnd w:id="204"/>
    </w:p>
    <w:p w14:paraId="2ADDBCC6">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烟花爆竹仓库区主要有储存、搬运和运输三环节，每个环节都容易诱发事故，可能产生的后果是十分严重。主要存在有燃烧、爆炸、触电、电气火灾、机械伤害、高处坠落、物体打击、车辆伤害和其他伤害等危险性，其中最严重最容易发生的事故为火灾、爆炸。</w:t>
      </w:r>
    </w:p>
    <w:p w14:paraId="545FCC46">
      <w:pPr>
        <w:pStyle w:val="6"/>
        <w:rPr>
          <w:rFonts w:ascii="黑体" w:hAnsi="黑体" w:eastAsia="黑体" w:cs="宋体"/>
          <w:b w:val="0"/>
          <w:szCs w:val="28"/>
        </w:rPr>
      </w:pPr>
      <w:r>
        <w:rPr>
          <w:rFonts w:hint="eastAsia" w:ascii="黑体" w:hAnsi="黑体" w:eastAsia="黑体" w:cs="宋体"/>
          <w:b w:val="0"/>
          <w:szCs w:val="28"/>
        </w:rPr>
        <w:t>3.5.1储存、搬运过程的危险性</w:t>
      </w:r>
    </w:p>
    <w:p w14:paraId="6519549D">
      <w:pPr>
        <w:spacing w:line="360" w:lineRule="auto"/>
        <w:ind w:firstLine="560" w:firstLineChars="200"/>
        <w:rPr>
          <w:rFonts w:ascii="宋体" w:hAnsi="宋体" w:cs="宋体"/>
          <w:b w:val="0"/>
          <w:sz w:val="28"/>
          <w:szCs w:val="28"/>
        </w:rPr>
      </w:pPr>
      <w:r>
        <w:rPr>
          <w:rFonts w:hint="eastAsia" w:ascii="宋体" w:hAnsi="宋体" w:cs="宋体"/>
          <w:b w:val="0"/>
          <w:sz w:val="28"/>
          <w:szCs w:val="28"/>
        </w:rPr>
        <w:t>（1）</w:t>
      </w:r>
      <w:r>
        <w:rPr>
          <w:rFonts w:hint="eastAsia" w:ascii="宋体" w:hAnsi="宋体" w:cs="宋体"/>
          <w:b w:val="0"/>
          <w:sz w:val="28"/>
          <w:szCs w:val="28"/>
          <w:lang w:val="zh-CN"/>
        </w:rPr>
        <w:t>库区的选址必须符合国家标准的相关规定，安全距离必须符合《烟花爆竹工程设计安全标准》的要求，使人员和危险源保持安全距离，降低危险。</w:t>
      </w:r>
    </w:p>
    <w:p w14:paraId="7A2ABE95">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rPr>
        <w:t>（2）</w:t>
      </w:r>
      <w:r>
        <w:rPr>
          <w:rFonts w:hint="eastAsia" w:ascii="宋体" w:hAnsi="宋体" w:cs="宋体"/>
          <w:b w:val="0"/>
          <w:sz w:val="28"/>
          <w:szCs w:val="28"/>
          <w:lang w:val="zh-CN"/>
        </w:rPr>
        <w:t>明火直接引爆。仓库全部为易燃、易爆物质，由于吸烟、取暖明火等原因，易引发爆炸事故。</w:t>
      </w:r>
    </w:p>
    <w:p w14:paraId="08980113">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（3）产品质量不合格，使用了违禁原料，或产品过于敏感，在正常的储存条件下引发事故。</w:t>
      </w:r>
    </w:p>
    <w:p w14:paraId="5643B6F0">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（4）在装卸搬运操作过程中，撞击、坠落、摩擦、倾斜、重压、滚动、就地拖拉、投掷等均有可能引起烟花爆竹产品的燃烧爆炸</w:t>
      </w:r>
    </w:p>
    <w:p w14:paraId="1DCC3138">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（5）烟花爆竹库区相应较独立，要做好防雷电设计，并采取有效避雷措施，防止雷电造成的燃烧、爆炸事故的发生。</w:t>
      </w:r>
    </w:p>
    <w:p w14:paraId="5833A915">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（6）静电起火，烟花爆竹产品在装卸、搬运过程中产生的静电积聚和人带有静电，无消除静电装置接地造成静电积聚放电。</w:t>
      </w:r>
    </w:p>
    <w:p w14:paraId="62F333BF">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（7）潮气和雨水直接影响产品的质量，同时部分品种的烟花爆竹中使用铝粉、镁粉等金属粉末，铝粉、镁粉遇潮湿、水蒸气能分解产生易燃易爆的氢气，积热后自燃。</w:t>
      </w:r>
    </w:p>
    <w:p w14:paraId="69292067">
      <w:pPr>
        <w:pStyle w:val="6"/>
        <w:rPr>
          <w:rFonts w:ascii="黑体" w:hAnsi="黑体" w:eastAsia="黑体" w:cs="宋体"/>
          <w:b w:val="0"/>
          <w:szCs w:val="28"/>
        </w:rPr>
      </w:pPr>
      <w:r>
        <w:rPr>
          <w:rFonts w:hint="eastAsia" w:ascii="黑体" w:hAnsi="黑体" w:eastAsia="黑体" w:cs="宋体"/>
          <w:b w:val="0"/>
          <w:szCs w:val="28"/>
        </w:rPr>
        <w:t>3.5.2运输过程的危险性</w:t>
      </w:r>
    </w:p>
    <w:p w14:paraId="3C2FC8C9">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（1）在烟花爆竹成品的运输过程中，运输工具产生的火花或撞击、摩擦、坠落、人体产生的静电等均有可能引起危险物的燃烧爆炸。</w:t>
      </w:r>
    </w:p>
    <w:p w14:paraId="3C406024">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（2）烟花爆竹产品运输过程中温度过高，加之日光曝晒、磨擦、撞击等，易发生燃烧爆炸事故。</w:t>
      </w:r>
    </w:p>
    <w:p w14:paraId="3A96D0F8">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（3）在运输时，司机和押运员的管理原因，由明火直接引起爆炸。</w:t>
      </w:r>
    </w:p>
    <w:p w14:paraId="36685595">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（4）运输途中，受雷击和静电积聚引起的火花，造成爆炸事故。</w:t>
      </w:r>
    </w:p>
    <w:p w14:paraId="1F4D280C">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（5）运输的线路必须按照公安部门指定的线路，避开人员稠密区和重要场所。</w:t>
      </w:r>
    </w:p>
    <w:p w14:paraId="75A0A740">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（6）运输车辆停靠时要加强监管，防止事故的发生。</w:t>
      </w:r>
    </w:p>
    <w:p w14:paraId="328ABEBD">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（7）使用非危险化学品车辆进行运输，极易造成事故的发生。</w:t>
      </w:r>
    </w:p>
    <w:p w14:paraId="607BD0CB">
      <w:pPr>
        <w:pStyle w:val="6"/>
        <w:rPr>
          <w:rFonts w:ascii="黑体" w:hAnsi="黑体" w:eastAsia="黑体" w:cs="宋体"/>
          <w:b w:val="0"/>
          <w:szCs w:val="28"/>
        </w:rPr>
      </w:pPr>
      <w:r>
        <w:rPr>
          <w:rFonts w:hint="eastAsia" w:ascii="黑体" w:hAnsi="黑体" w:eastAsia="黑体" w:cs="宋体"/>
          <w:b w:val="0"/>
          <w:szCs w:val="28"/>
        </w:rPr>
        <w:t>3.5.3燃烧的危险性</w:t>
      </w:r>
    </w:p>
    <w:p w14:paraId="67854276">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燃烧危险的主要作用方式是：①火焰的直接作用；②热对流，即燃烧后产生的热气体同未加热的气体对流，使整个空间温度迅速升高；③热辐射，即被燃烧加热的高温物体以辐射的形式向外发射能量，温度越高，辐射越强；④热传导，即热能由物体温度较高的部分传至较低的部分。本项目燃烧的主要危害方式是火焰的直接作用。火焰除可对人员造成直接伤害外，还可使建筑物的结构强度降低，造成建筑物倒塌、破坏，特别是在一定条件下可能引起更大范围的燃烧和爆炸。另外，在燃烧的发光、发热、生成新物质的过程中，产生的燃烧产物主要为</w:t>
      </w:r>
      <w:r>
        <w:rPr>
          <w:rFonts w:ascii="宋体" w:hAnsi="宋体" w:cs="宋体"/>
          <w:b w:val="0"/>
          <w:sz w:val="28"/>
          <w:szCs w:val="28"/>
          <w:lang w:val="zh-CN"/>
        </w:rPr>
        <w:t>CO</w:t>
      </w:r>
      <w:r>
        <w:rPr>
          <w:rFonts w:hint="eastAsia" w:ascii="宋体" w:hAnsi="宋体" w:cs="宋体"/>
          <w:b w:val="0"/>
          <w:sz w:val="28"/>
          <w:szCs w:val="28"/>
          <w:lang w:val="zh-CN"/>
        </w:rPr>
        <w:t>、</w:t>
      </w:r>
      <w:r>
        <w:rPr>
          <w:rFonts w:ascii="宋体" w:hAnsi="宋体" w:cs="宋体"/>
          <w:b w:val="0"/>
          <w:sz w:val="28"/>
          <w:szCs w:val="28"/>
          <w:lang w:val="zh-CN"/>
        </w:rPr>
        <w:t>CO</w:t>
      </w:r>
      <w:r>
        <w:rPr>
          <w:rFonts w:ascii="宋体" w:hAnsi="宋体" w:cs="宋体"/>
          <w:b w:val="0"/>
          <w:sz w:val="28"/>
          <w:szCs w:val="28"/>
          <w:vertAlign w:val="subscript"/>
          <w:lang w:val="zh-CN"/>
        </w:rPr>
        <w:t>2</w:t>
      </w:r>
      <w:r>
        <w:rPr>
          <w:rFonts w:hint="eastAsia" w:ascii="宋体" w:hAnsi="宋体" w:cs="宋体"/>
          <w:b w:val="0"/>
          <w:sz w:val="28"/>
          <w:szCs w:val="28"/>
          <w:lang w:val="zh-CN"/>
        </w:rPr>
        <w:t>、</w:t>
      </w:r>
      <w:r>
        <w:rPr>
          <w:rFonts w:ascii="宋体" w:hAnsi="宋体" w:cs="宋体"/>
          <w:b w:val="0"/>
          <w:sz w:val="28"/>
          <w:szCs w:val="28"/>
          <w:lang w:val="zh-CN"/>
        </w:rPr>
        <w:t>NO</w:t>
      </w:r>
      <w:r>
        <w:rPr>
          <w:rFonts w:ascii="宋体" w:hAnsi="宋体" w:cs="宋体"/>
          <w:b w:val="0"/>
          <w:sz w:val="28"/>
          <w:szCs w:val="28"/>
          <w:vertAlign w:val="subscript"/>
          <w:lang w:val="zh-CN"/>
        </w:rPr>
        <w:t>2</w:t>
      </w:r>
      <w:r>
        <w:rPr>
          <w:rFonts w:hint="eastAsia" w:ascii="宋体" w:hAnsi="宋体" w:cs="宋体"/>
          <w:b w:val="0"/>
          <w:sz w:val="28"/>
          <w:szCs w:val="28"/>
          <w:lang w:val="zh-CN"/>
        </w:rPr>
        <w:t>、烟雾等，这些有毒有害物质也会对周围人员造成危害，导致窒息、甚至死亡。</w:t>
      </w:r>
    </w:p>
    <w:p w14:paraId="15FD8AF2">
      <w:pPr>
        <w:pStyle w:val="6"/>
        <w:rPr>
          <w:rFonts w:ascii="黑体" w:hAnsi="黑体" w:eastAsia="黑体" w:cs="宋体"/>
          <w:b w:val="0"/>
          <w:szCs w:val="28"/>
        </w:rPr>
      </w:pPr>
      <w:bookmarkStart w:id="205" w:name="_Toc417402451"/>
      <w:r>
        <w:rPr>
          <w:rFonts w:hint="eastAsia" w:ascii="黑体" w:hAnsi="黑体" w:eastAsia="黑体" w:cs="宋体"/>
          <w:b w:val="0"/>
          <w:szCs w:val="28"/>
        </w:rPr>
        <w:t>3.5.4爆炸的危险性</w:t>
      </w:r>
    </w:p>
    <w:bookmarkEnd w:id="205"/>
    <w:p w14:paraId="35194832">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烟花爆炸会产生爆轰产物、飞散物、地震波、冲击波四种破坏效应。</w:t>
      </w:r>
    </w:p>
    <w:p w14:paraId="6C11100C">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一旦发生爆炸，高温、高压的爆轰产物立即迅速向四周膨胀，对周围介质产生很大的破坏作用。</w:t>
      </w:r>
    </w:p>
    <w:p w14:paraId="4A2CB22B">
      <w:pPr>
        <w:topLinePunct/>
        <w:spacing w:line="360" w:lineRule="auto"/>
        <w:ind w:right="-170" w:rightChars="-81" w:firstLine="560" w:firstLineChars="200"/>
        <w:rPr>
          <w:rFonts w:ascii="宋体" w:hAnsi="宋体" w:cs="宋体"/>
          <w:b w:val="0"/>
          <w:sz w:val="28"/>
          <w:szCs w:val="28"/>
          <w:lang w:val="zh-CN"/>
        </w:rPr>
      </w:pPr>
      <w:r>
        <w:rPr>
          <w:rFonts w:hint="eastAsia" w:ascii="宋体" w:hAnsi="宋体" w:cs="宋体"/>
          <w:b w:val="0"/>
          <w:sz w:val="28"/>
          <w:szCs w:val="28"/>
          <w:lang w:val="zh-CN"/>
        </w:rPr>
        <w:t>爆炸掀起的破片、砖石等固体飞散物也会对周围人员建筑等造成破坏，但这种破坏一般是局部的、随机的。</w:t>
      </w:r>
    </w:p>
    <w:p w14:paraId="4A49DC6F">
      <w:pPr>
        <w:topLinePunct/>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地面爆炸还能引起地面的震动，地震波能造成建筑物和相关设备的破坏，如一般建筑可以承受的振动速度为</w:t>
      </w:r>
      <w:r>
        <w:rPr>
          <w:rFonts w:ascii="宋体" w:hAnsi="宋体" w:cs="宋体"/>
          <w:b w:val="0"/>
          <w:sz w:val="28"/>
          <w:szCs w:val="28"/>
          <w:lang w:val="zh-CN"/>
        </w:rPr>
        <w:t>5cm/s</w:t>
      </w:r>
      <w:r>
        <w:rPr>
          <w:rFonts w:hint="eastAsia" w:ascii="宋体" w:hAnsi="宋体" w:cs="宋体"/>
          <w:b w:val="0"/>
          <w:sz w:val="28"/>
          <w:szCs w:val="28"/>
          <w:lang w:val="zh-CN"/>
        </w:rPr>
        <w:t>，但地震波破坏效应一般远小于冲击波的破坏效应，可以忽略不计。</w:t>
      </w:r>
    </w:p>
    <w:p w14:paraId="011EC095">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爆炸对周围建筑物和人员等目标的破坏主要是爆炸空气冲击波作用。烟火药在空气中爆炸形成高温、高压气体产物，迅速向外膨胀，使原来静止的空气的压力、温度突然升高，形成爆炸冲击波。爆炸冲击波传播距离大大超出爆炸本身占有的范围，对周围人员和建筑物造成很大破坏和伤害。描述空气冲击波强弱的参数有三个：峰值超压、正压作用时间和冲量。空气冲击波对人员杀伤的主要征象是引起听觉器官的损伤、内脏出血以及死亡。冲击波峰值超压和冲量共同作用可导致建筑物倒塌，如果建筑物内有危险品，还可引发次生灾害。</w:t>
      </w:r>
    </w:p>
    <w:p w14:paraId="5FA64D18">
      <w:pPr>
        <w:pStyle w:val="6"/>
        <w:rPr>
          <w:rFonts w:ascii="黑体" w:hAnsi="黑体" w:eastAsia="黑体" w:cs="宋体"/>
          <w:b w:val="0"/>
          <w:szCs w:val="28"/>
        </w:rPr>
      </w:pPr>
      <w:r>
        <w:rPr>
          <w:rFonts w:hint="eastAsia" w:ascii="黑体" w:hAnsi="黑体" w:eastAsia="黑体" w:cs="宋体"/>
          <w:b w:val="0"/>
          <w:szCs w:val="28"/>
        </w:rPr>
        <w:t>3.5.5触电的危险性</w:t>
      </w:r>
    </w:p>
    <w:p w14:paraId="35F39784">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1）触电伤害形式与种类：当人体触及带电体，电流对人体造成的伤害，一般分为电击、电伤两种类型。电击是指电流通过人体，造成对人体内脏及神经系统等组织的伤害。电击是最危险的触电伤害，绝大多数的触电死亡事故是由电击造成的。电伤是电流的热效应、化学效应、机械效应对人体表面局部造成的伤害，包括电灼伤，即电弧烧伤。电灼伤可深入皮组织、脂肪、肌肉甚至神经和骨骼，不易治愈，严重时使人至死。金属溅伤使皮肤金属化，是电伤中最轻的一种。电烙印是由电流的化学效应和机械效应作用的结果，在触电的皮肤表面形成浅黄色或灰色边缘的圆形或椭圆形的肿块，严重时造成局部僵死甚至截肢。</w:t>
      </w:r>
    </w:p>
    <w:p w14:paraId="2116EA01">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（2）触电方式：电气伤害事故包括触电事故、雷击事故、静电事故等，其中最多的是触电事故。触电事故包括单相触电、双相触电、跨步电压触电及接触电压触电四种方式。</w:t>
      </w:r>
    </w:p>
    <w:p w14:paraId="6D07BB67">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（3）触电伤害程度的影响因素：触电后果严重程度的主要影响因素是电流大小、电流通过人体持续时间、电流通过人体的途径、电流的种类及人体的健康状况等因素。</w:t>
      </w:r>
    </w:p>
    <w:p w14:paraId="44B2E4EC">
      <w:pPr>
        <w:pStyle w:val="6"/>
        <w:rPr>
          <w:rFonts w:ascii="黑体" w:hAnsi="黑体" w:eastAsia="黑体" w:cs="宋体"/>
          <w:b w:val="0"/>
          <w:szCs w:val="28"/>
        </w:rPr>
      </w:pPr>
      <w:r>
        <w:rPr>
          <w:rFonts w:hint="eastAsia" w:ascii="黑体" w:hAnsi="黑体" w:eastAsia="黑体" w:cs="宋体"/>
          <w:b w:val="0"/>
          <w:szCs w:val="28"/>
        </w:rPr>
        <w:t>3.5.6电气火灾的危险性</w:t>
      </w:r>
    </w:p>
    <w:p w14:paraId="21636582">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电气的各类仪器仪表、开关、电机、保险等器具在使用过程中，由于电流的作用，各类规格型号没有按规范配置或失修，电流超过电器容许数值产生电火花、电弧以及局部高温发热，导致电线电器和设备的过度发热而产生燃烧，引燃邻近的可燃物而造成火灾，因此电气安全是一个很重要的问题。</w:t>
      </w:r>
    </w:p>
    <w:p w14:paraId="643945FE">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因短路、过载、接触不良、电器发热散热不良及电热器具表面温度过高等原因，造成过热并超过允许范围，温度急剧升高，在一定条件下起火；电气设备或电气线路发生故障时产生温度很高的火花，大量电火花汇集成电弧，其温度可高达3000℃以上，电火花或电弧引起可燃物燃烧，还会使金属熔化飞溅构成危险火源。</w:t>
      </w:r>
    </w:p>
    <w:p w14:paraId="47A197E8">
      <w:pPr>
        <w:pStyle w:val="6"/>
        <w:rPr>
          <w:rFonts w:ascii="黑体" w:hAnsi="黑体" w:eastAsia="黑体" w:cs="宋体"/>
          <w:b w:val="0"/>
          <w:szCs w:val="28"/>
        </w:rPr>
      </w:pPr>
      <w:bookmarkStart w:id="206" w:name="_Toc205979644"/>
      <w:r>
        <w:rPr>
          <w:rFonts w:hint="eastAsia" w:ascii="黑体" w:hAnsi="黑体" w:eastAsia="黑体" w:cs="宋体"/>
          <w:b w:val="0"/>
          <w:szCs w:val="28"/>
        </w:rPr>
        <w:t>3.5.7机械伤害的危险性</w:t>
      </w:r>
    </w:p>
    <w:p w14:paraId="2C329253">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机械性的伤害一般是因为机械设备动力驱动的传动件、转动部位缺少防护装置，而大部分是因为违章作业，不遵守安全操作规程，对运转中的设备进行检修不正确使用工具，不按规定穿戴合格的防护用具，安全保护措施不全或失效，都可能造成伤害等事故。机械伤害常常会造成人体伤残或人员死亡。</w:t>
      </w:r>
    </w:p>
    <w:p w14:paraId="63F1555A">
      <w:pPr>
        <w:pStyle w:val="2"/>
        <w:ind w:firstLine="560"/>
        <w:rPr>
          <w:rFonts w:ascii="宋体" w:hAnsi="宋体" w:eastAsia="宋体"/>
          <w:b w:val="0"/>
          <w:lang w:val="zh-CN"/>
        </w:rPr>
      </w:pPr>
      <w:r>
        <w:rPr>
          <w:rFonts w:hint="eastAsia" w:ascii="宋体" w:hAnsi="宋体" w:eastAsia="宋体"/>
          <w:b w:val="0"/>
          <w:lang w:val="zh-CN"/>
        </w:rPr>
        <w:t>本项目库区在建设和运营过程中，可能存在机械伤害风险的场所及设备主要包括以下几类，其伤害类型和潜在风险如下：</w:t>
      </w:r>
    </w:p>
    <w:p w14:paraId="11FCA9E6">
      <w:pPr>
        <w:pStyle w:val="2"/>
        <w:ind w:firstLine="560"/>
        <w:rPr>
          <w:rFonts w:ascii="宋体" w:hAnsi="宋体" w:eastAsia="宋体"/>
          <w:b w:val="0"/>
          <w:lang w:val="zh-CN"/>
        </w:rPr>
      </w:pPr>
      <w:r>
        <w:rPr>
          <w:rFonts w:hint="eastAsia" w:ascii="宋体" w:hAnsi="宋体" w:eastAsia="宋体"/>
          <w:b w:val="0"/>
          <w:lang w:val="zh-CN"/>
        </w:rPr>
        <w:t>（1）施工阶段</w:t>
      </w:r>
    </w:p>
    <w:p w14:paraId="63D51598">
      <w:pPr>
        <w:pStyle w:val="2"/>
        <w:ind w:firstLine="560"/>
        <w:rPr>
          <w:rFonts w:ascii="宋体" w:hAnsi="宋体" w:eastAsia="宋体"/>
          <w:b w:val="0"/>
          <w:lang w:val="zh-CN"/>
        </w:rPr>
      </w:pPr>
      <w:r>
        <w:rPr>
          <w:rFonts w:hint="eastAsia" w:ascii="宋体" w:hAnsi="宋体" w:eastAsia="宋体"/>
          <w:b w:val="0"/>
          <w:lang w:val="zh-CN"/>
        </w:rPr>
        <w:t>混凝土搅拌机</w:t>
      </w:r>
    </w:p>
    <w:p w14:paraId="3715D4F5">
      <w:pPr>
        <w:pStyle w:val="2"/>
        <w:ind w:firstLine="560"/>
        <w:rPr>
          <w:rFonts w:ascii="宋体" w:hAnsi="宋体" w:eastAsia="宋体"/>
          <w:b w:val="0"/>
          <w:lang w:val="zh-CN"/>
        </w:rPr>
      </w:pPr>
      <w:r>
        <w:rPr>
          <w:rFonts w:hint="eastAsia" w:ascii="宋体" w:hAnsi="宋体" w:eastAsia="宋体"/>
          <w:b w:val="0"/>
          <w:lang w:val="zh-CN"/>
        </w:rPr>
        <w:t>伤害类型：肢体绞伤、触电（如电气故障）；风险场景：清理搅拌筒或维修室未断电，设备意外启动。</w:t>
      </w:r>
    </w:p>
    <w:p w14:paraId="5E18C7EA">
      <w:pPr>
        <w:pStyle w:val="2"/>
        <w:ind w:firstLine="560"/>
        <w:rPr>
          <w:rFonts w:ascii="宋体" w:hAnsi="宋体" w:eastAsia="宋体"/>
          <w:b w:val="0"/>
          <w:lang w:val="zh-CN"/>
        </w:rPr>
      </w:pPr>
      <w:r>
        <w:rPr>
          <w:rFonts w:hint="eastAsia" w:ascii="宋体" w:hAnsi="宋体" w:eastAsia="宋体"/>
          <w:b w:val="0"/>
          <w:lang w:val="zh-CN"/>
        </w:rPr>
        <w:t>钢筋加工设备（切割机、弯曲机）</w:t>
      </w:r>
    </w:p>
    <w:p w14:paraId="1B6E827F">
      <w:pPr>
        <w:pStyle w:val="2"/>
        <w:ind w:firstLine="560"/>
        <w:rPr>
          <w:rFonts w:ascii="宋体" w:hAnsi="宋体" w:eastAsia="宋体"/>
          <w:b w:val="0"/>
          <w:lang w:val="zh-CN"/>
        </w:rPr>
      </w:pPr>
      <w:r>
        <w:rPr>
          <w:rFonts w:hint="eastAsia" w:ascii="宋体" w:hAnsi="宋体" w:eastAsia="宋体"/>
          <w:b w:val="0"/>
          <w:lang w:val="zh-CN"/>
        </w:rPr>
        <w:t>伤害类型：切割伤、断指、飞溅金属碎片击伤；风险场景：操作不当或防护罩缺失导致手部接触刀具。</w:t>
      </w:r>
    </w:p>
    <w:p w14:paraId="0DFDFC68">
      <w:pPr>
        <w:pStyle w:val="2"/>
        <w:ind w:firstLine="560"/>
        <w:rPr>
          <w:rFonts w:ascii="宋体" w:hAnsi="宋体" w:eastAsia="宋体"/>
          <w:b w:val="0"/>
          <w:lang w:val="zh-CN"/>
        </w:rPr>
      </w:pPr>
      <w:r>
        <w:rPr>
          <w:rFonts w:hint="eastAsia" w:ascii="宋体" w:hAnsi="宋体" w:eastAsia="宋体"/>
          <w:b w:val="0"/>
          <w:lang w:val="zh-CN"/>
        </w:rPr>
        <w:t>（2）设备安装阶段</w:t>
      </w:r>
    </w:p>
    <w:p w14:paraId="6883618B">
      <w:pPr>
        <w:pStyle w:val="2"/>
        <w:ind w:firstLine="560"/>
        <w:rPr>
          <w:rFonts w:ascii="宋体" w:hAnsi="宋体" w:eastAsia="宋体"/>
          <w:b w:val="0"/>
          <w:lang w:val="zh-CN"/>
        </w:rPr>
      </w:pPr>
      <w:r>
        <w:rPr>
          <w:rFonts w:hint="eastAsia" w:ascii="宋体" w:hAnsi="宋体" w:eastAsia="宋体"/>
          <w:b w:val="0"/>
          <w:lang w:val="zh-CN"/>
        </w:rPr>
        <w:t>叉车、起重机</w:t>
      </w:r>
    </w:p>
    <w:p w14:paraId="5B74B82A">
      <w:pPr>
        <w:pStyle w:val="2"/>
        <w:ind w:firstLine="560"/>
        <w:rPr>
          <w:rFonts w:ascii="宋体" w:hAnsi="宋体" w:eastAsia="宋体"/>
          <w:b w:val="0"/>
          <w:lang w:val="zh-CN"/>
        </w:rPr>
      </w:pPr>
      <w:r>
        <w:rPr>
          <w:rFonts w:hint="eastAsia" w:ascii="宋体" w:hAnsi="宋体" w:eastAsia="宋体"/>
          <w:b w:val="0"/>
          <w:lang w:val="zh-CN"/>
        </w:rPr>
        <w:t>伤害类型：重物坠落砸伤、倾翻压伤；风险场景：吊装仓库钢结构或设备因超载或操作失误导致坠落。</w:t>
      </w:r>
    </w:p>
    <w:p w14:paraId="75DDC7B2">
      <w:pPr>
        <w:pStyle w:val="2"/>
        <w:ind w:firstLine="560"/>
        <w:rPr>
          <w:rFonts w:ascii="宋体" w:hAnsi="宋体" w:eastAsia="宋体"/>
          <w:b w:val="0"/>
          <w:lang w:val="zh-CN"/>
        </w:rPr>
      </w:pPr>
      <w:r>
        <w:rPr>
          <w:rFonts w:hint="eastAsia" w:ascii="宋体" w:hAnsi="宋体" w:eastAsia="宋体"/>
          <w:b w:val="0"/>
          <w:lang w:val="zh-CN"/>
        </w:rPr>
        <w:t>输送带/传送机械</w:t>
      </w:r>
    </w:p>
    <w:p w14:paraId="427DD7A6">
      <w:pPr>
        <w:pStyle w:val="2"/>
        <w:ind w:firstLine="560"/>
        <w:rPr>
          <w:rFonts w:ascii="宋体" w:hAnsi="宋体" w:eastAsia="宋体"/>
          <w:b w:val="0"/>
          <w:lang w:val="zh-CN"/>
        </w:rPr>
      </w:pPr>
      <w:r>
        <w:rPr>
          <w:rFonts w:hint="eastAsia" w:ascii="宋体" w:hAnsi="宋体" w:eastAsia="宋体"/>
          <w:b w:val="0"/>
          <w:lang w:val="zh-CN"/>
        </w:rPr>
        <w:t>伤害类型：肢体卷入、衣物缠绕窒息；风险场景：调试或清理时未停机，肢体被卷入滚筒。</w:t>
      </w:r>
    </w:p>
    <w:p w14:paraId="0BEE7C04">
      <w:pPr>
        <w:pStyle w:val="2"/>
        <w:ind w:firstLine="560"/>
        <w:rPr>
          <w:rFonts w:ascii="宋体" w:hAnsi="宋体" w:eastAsia="宋体"/>
          <w:b w:val="0"/>
          <w:lang w:val="zh-CN"/>
        </w:rPr>
      </w:pPr>
      <w:r>
        <w:rPr>
          <w:rFonts w:hint="eastAsia" w:ascii="宋体" w:hAnsi="宋体" w:eastAsia="宋体"/>
          <w:b w:val="0"/>
          <w:lang w:val="zh-CN"/>
        </w:rPr>
        <w:t>（3）仓库运营阶段</w:t>
      </w:r>
    </w:p>
    <w:p w14:paraId="2EE141DC">
      <w:pPr>
        <w:pStyle w:val="2"/>
        <w:ind w:firstLine="560"/>
        <w:rPr>
          <w:rFonts w:ascii="宋体" w:hAnsi="宋体" w:eastAsia="宋体"/>
          <w:b w:val="0"/>
          <w:lang w:val="zh-CN"/>
        </w:rPr>
      </w:pPr>
      <w:r>
        <w:rPr>
          <w:rFonts w:hint="eastAsia" w:ascii="宋体" w:hAnsi="宋体" w:eastAsia="宋体"/>
          <w:b w:val="0"/>
          <w:lang w:val="zh-CN"/>
        </w:rPr>
        <w:t>消防设备（水泵）</w:t>
      </w:r>
    </w:p>
    <w:p w14:paraId="0720393D">
      <w:pPr>
        <w:pStyle w:val="2"/>
        <w:ind w:firstLine="560"/>
        <w:rPr>
          <w:rFonts w:ascii="宋体" w:hAnsi="宋体" w:eastAsia="宋体"/>
          <w:b w:val="0"/>
          <w:lang w:val="zh-CN"/>
        </w:rPr>
      </w:pPr>
      <w:r>
        <w:rPr>
          <w:rFonts w:hint="eastAsia" w:ascii="宋体" w:hAnsi="宋体" w:eastAsia="宋体"/>
          <w:b w:val="0"/>
          <w:lang w:val="zh-CN"/>
        </w:rPr>
        <w:t>伤害类型：旋转部件绞伤、触电；风险场景：维护时未锁定能源，设备意外启动。</w:t>
      </w:r>
    </w:p>
    <w:p w14:paraId="04D2BF5C">
      <w:pPr>
        <w:pStyle w:val="2"/>
        <w:ind w:firstLine="560"/>
        <w:rPr>
          <w:rFonts w:ascii="宋体" w:hAnsi="宋体" w:eastAsia="宋体"/>
          <w:b w:val="0"/>
          <w:lang w:val="zh-CN"/>
        </w:rPr>
      </w:pPr>
      <w:r>
        <w:rPr>
          <w:rFonts w:hint="eastAsia" w:ascii="宋体" w:hAnsi="宋体" w:eastAsia="宋体"/>
          <w:b w:val="0"/>
          <w:lang w:val="zh-CN"/>
        </w:rPr>
        <w:t>防爆电器安装工具（电钻、角磨机）</w:t>
      </w:r>
    </w:p>
    <w:p w14:paraId="6D40473D">
      <w:pPr>
        <w:pStyle w:val="2"/>
        <w:ind w:firstLine="560"/>
        <w:rPr>
          <w:rFonts w:ascii="宋体" w:hAnsi="宋体" w:eastAsia="宋体"/>
          <w:b w:val="0"/>
          <w:lang w:val="zh-CN"/>
        </w:rPr>
      </w:pPr>
      <w:r>
        <w:rPr>
          <w:rFonts w:hint="eastAsia" w:ascii="宋体" w:hAnsi="宋体" w:eastAsia="宋体"/>
          <w:b w:val="0"/>
          <w:lang w:val="zh-CN"/>
        </w:rPr>
        <w:t>伤害类型：切割伤、触电、火花引发爆炸（特殊风险）；风险场景：在危险区域使用非防爆工具维修。</w:t>
      </w:r>
    </w:p>
    <w:p w14:paraId="52E439E4">
      <w:pPr>
        <w:pStyle w:val="2"/>
        <w:ind w:firstLine="560"/>
        <w:rPr>
          <w:rFonts w:ascii="宋体" w:hAnsi="宋体" w:eastAsia="宋体"/>
          <w:b w:val="0"/>
          <w:lang w:val="zh-CN"/>
        </w:rPr>
      </w:pPr>
      <w:r>
        <w:rPr>
          <w:rFonts w:hint="eastAsia" w:ascii="宋体" w:hAnsi="宋体" w:eastAsia="宋体"/>
          <w:b w:val="0"/>
          <w:lang w:val="zh-CN"/>
        </w:rPr>
        <w:t>（4）其他风险场景</w:t>
      </w:r>
    </w:p>
    <w:p w14:paraId="0977492C">
      <w:pPr>
        <w:pStyle w:val="2"/>
        <w:ind w:firstLine="560"/>
        <w:rPr>
          <w:rFonts w:ascii="宋体" w:hAnsi="宋体" w:eastAsia="宋体"/>
          <w:b w:val="0"/>
          <w:lang w:val="zh-CN"/>
        </w:rPr>
      </w:pPr>
      <w:r>
        <w:rPr>
          <w:rFonts w:hint="eastAsia" w:ascii="宋体" w:hAnsi="宋体" w:eastAsia="宋体"/>
          <w:b w:val="0"/>
          <w:lang w:val="zh-CN"/>
        </w:rPr>
        <w:t>仓库门窗</w:t>
      </w:r>
    </w:p>
    <w:p w14:paraId="4E31180D">
      <w:pPr>
        <w:pStyle w:val="2"/>
        <w:ind w:firstLine="560"/>
        <w:rPr>
          <w:rFonts w:ascii="宋体" w:hAnsi="宋体" w:eastAsia="宋体"/>
          <w:b w:val="0"/>
          <w:lang w:val="zh-CN"/>
        </w:rPr>
      </w:pPr>
      <w:r>
        <w:rPr>
          <w:rFonts w:hint="eastAsia" w:ascii="宋体" w:hAnsi="宋体" w:eastAsia="宋体"/>
          <w:b w:val="0"/>
          <w:lang w:val="zh-CN"/>
        </w:rPr>
        <w:t>伤害类型：夹伤、碰撞；风险场景：手动操作失误。</w:t>
      </w:r>
    </w:p>
    <w:p w14:paraId="79D802ED">
      <w:pPr>
        <w:pStyle w:val="2"/>
        <w:ind w:firstLine="560"/>
        <w:rPr>
          <w:rFonts w:ascii="宋体" w:hAnsi="宋体" w:eastAsia="宋体"/>
          <w:b w:val="0"/>
          <w:lang w:val="zh-CN"/>
        </w:rPr>
      </w:pPr>
      <w:r>
        <w:rPr>
          <w:rFonts w:hint="eastAsia" w:ascii="宋体" w:hAnsi="宋体" w:eastAsia="宋体"/>
          <w:b w:val="0"/>
          <w:lang w:val="zh-CN"/>
        </w:rPr>
        <w:t>安全防火装置（如防爆隔离墙施工设备）</w:t>
      </w:r>
    </w:p>
    <w:p w14:paraId="326D37D9">
      <w:pPr>
        <w:pStyle w:val="2"/>
        <w:ind w:firstLine="560"/>
        <w:rPr>
          <w:rFonts w:ascii="宋体" w:hAnsi="宋体" w:eastAsia="宋体"/>
          <w:b w:val="0"/>
          <w:lang w:val="zh-CN"/>
        </w:rPr>
      </w:pPr>
      <w:r>
        <w:rPr>
          <w:rFonts w:hint="eastAsia" w:ascii="宋体" w:hAnsi="宋体" w:eastAsia="宋体"/>
          <w:b w:val="0"/>
          <w:lang w:val="zh-CN"/>
        </w:rPr>
        <w:t>伤害类型：高处坠落、工具掉落伤人；风险场景：安装防爆设施时未系安全带或工具未固定。</w:t>
      </w:r>
    </w:p>
    <w:p w14:paraId="428139AC">
      <w:pPr>
        <w:pStyle w:val="6"/>
        <w:rPr>
          <w:rFonts w:ascii="黑体" w:hAnsi="黑体" w:eastAsia="黑体" w:cs="宋体"/>
          <w:b w:val="0"/>
          <w:szCs w:val="28"/>
        </w:rPr>
      </w:pPr>
      <w:r>
        <w:rPr>
          <w:rFonts w:hint="eastAsia" w:ascii="黑体" w:hAnsi="黑体" w:eastAsia="黑体" w:cs="宋体"/>
          <w:b w:val="0"/>
          <w:szCs w:val="28"/>
        </w:rPr>
        <w:t>3.5.8高处坠落的危险性</w:t>
      </w:r>
    </w:p>
    <w:p w14:paraId="7EBD7BA5">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本项目库区</w:t>
      </w:r>
      <w:r>
        <w:rPr>
          <w:rFonts w:ascii="宋体" w:hAnsi="宋体" w:cs="宋体"/>
          <w:b w:val="0"/>
          <w:sz w:val="28"/>
          <w:szCs w:val="28"/>
          <w:lang w:val="zh-CN"/>
        </w:rPr>
        <w:t>进行</w:t>
      </w:r>
      <w:r>
        <w:rPr>
          <w:rFonts w:hint="eastAsia" w:ascii="宋体" w:hAnsi="宋体" w:cs="宋体"/>
          <w:b w:val="0"/>
          <w:sz w:val="28"/>
          <w:szCs w:val="28"/>
          <w:lang w:val="zh-CN"/>
        </w:rPr>
        <w:t>工程施工时，工程负责人未在统一指挥和监督下进行，并未根据施工组织设计和安全技术规程向参加施工的工作人员进行详细的交底；工人从事新建工作时，搭设的脚手架不稳固，未佩戴安全帽等；工作区周围未设立围栏，挂警告牌；维修库房时，施工人员直接踩踏在屋顶上进行工作，未使用移动板梯或板梯不牢固，而从高处坠落</w:t>
      </w:r>
      <w:r>
        <w:rPr>
          <w:rFonts w:ascii="宋体" w:hAnsi="宋体" w:cs="宋体"/>
          <w:b w:val="0"/>
          <w:sz w:val="28"/>
          <w:szCs w:val="28"/>
          <w:lang w:val="zh-CN"/>
        </w:rPr>
        <w:t>造成事故</w:t>
      </w:r>
      <w:r>
        <w:rPr>
          <w:rFonts w:hint="eastAsia" w:ascii="宋体" w:hAnsi="宋体" w:cs="宋体"/>
          <w:b w:val="0"/>
          <w:sz w:val="28"/>
          <w:szCs w:val="28"/>
          <w:lang w:val="zh-CN"/>
        </w:rPr>
        <w:t>。</w:t>
      </w:r>
    </w:p>
    <w:p w14:paraId="614E808A">
      <w:pPr>
        <w:pStyle w:val="6"/>
        <w:rPr>
          <w:rFonts w:ascii="黑体" w:hAnsi="黑体" w:eastAsia="黑体" w:cs="宋体"/>
          <w:b w:val="0"/>
          <w:szCs w:val="28"/>
        </w:rPr>
      </w:pPr>
      <w:r>
        <w:rPr>
          <w:rFonts w:hint="eastAsia" w:ascii="黑体" w:hAnsi="黑体" w:eastAsia="黑体" w:cs="宋体"/>
          <w:b w:val="0"/>
          <w:szCs w:val="28"/>
        </w:rPr>
        <w:t>3.5.9物体打击的危险性</w:t>
      </w:r>
    </w:p>
    <w:p w14:paraId="12A2D7C8">
      <w:pPr>
        <w:spacing w:line="360" w:lineRule="auto"/>
        <w:ind w:firstLine="560" w:firstLineChars="200"/>
        <w:rPr>
          <w:rFonts w:ascii="Verdana" w:hAnsi="Verdana"/>
          <w:b w:val="0"/>
          <w:sz w:val="28"/>
          <w:szCs w:val="20"/>
        </w:rPr>
      </w:pPr>
      <w:r>
        <w:rPr>
          <w:rFonts w:hint="eastAsia" w:ascii="Verdana" w:hAnsi="Verdana"/>
          <w:b w:val="0"/>
          <w:sz w:val="28"/>
          <w:szCs w:val="20"/>
        </w:rPr>
        <w:t>在设备检修过程中，如果监护不当，或者遇高处坠落的物体、搬运过程中码放不稳等原因，均有可能发生物体打击伤害。如物料堆码过高易倒塌伤人，高处物件落下砸伤员工。</w:t>
      </w:r>
    </w:p>
    <w:p w14:paraId="2CA96A11">
      <w:pPr>
        <w:pStyle w:val="6"/>
        <w:rPr>
          <w:rFonts w:ascii="黑体" w:hAnsi="黑体" w:eastAsia="黑体" w:cs="宋体"/>
          <w:b w:val="0"/>
          <w:szCs w:val="28"/>
        </w:rPr>
      </w:pPr>
      <w:r>
        <w:rPr>
          <w:rFonts w:hint="eastAsia" w:ascii="黑体" w:hAnsi="黑体" w:eastAsia="黑体" w:cs="宋体"/>
          <w:b w:val="0"/>
          <w:szCs w:val="28"/>
        </w:rPr>
        <w:t>3.5.10车辆伤害的危险性</w:t>
      </w:r>
    </w:p>
    <w:p w14:paraId="50EF1D38">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该项目产品运输需要采用符合相关标准的危险货物运输车辆运输，如车辆故障、道路设置不规范、警示标志缺失或不全、注意力不集中等，有可能发生事故。</w:t>
      </w:r>
    </w:p>
    <w:p w14:paraId="131938EE">
      <w:pPr>
        <w:pStyle w:val="6"/>
        <w:rPr>
          <w:rFonts w:ascii="黑体" w:hAnsi="黑体" w:eastAsia="黑体" w:cs="宋体"/>
          <w:b w:val="0"/>
          <w:szCs w:val="28"/>
        </w:rPr>
      </w:pPr>
      <w:r>
        <w:rPr>
          <w:rFonts w:hint="eastAsia" w:ascii="黑体" w:hAnsi="黑体" w:eastAsia="黑体" w:cs="宋体"/>
          <w:b w:val="0"/>
          <w:szCs w:val="28"/>
        </w:rPr>
        <w:t>3.5.11其他伤害的危险性</w:t>
      </w:r>
    </w:p>
    <w:p w14:paraId="25B7E4E3">
      <w:pPr>
        <w:spacing w:line="360" w:lineRule="auto"/>
        <w:ind w:firstLine="560" w:firstLineChars="200"/>
        <w:rPr>
          <w:rFonts w:ascii="宋体" w:hAnsi="宋体" w:cs="宋体"/>
          <w:b w:val="0"/>
          <w:sz w:val="28"/>
          <w:szCs w:val="28"/>
          <w:lang w:val="zh-CN"/>
        </w:rPr>
      </w:pPr>
      <w:r>
        <w:rPr>
          <w:rFonts w:hint="eastAsia" w:ascii="宋体" w:hAnsi="宋体" w:cs="宋体"/>
          <w:b w:val="0"/>
          <w:sz w:val="28"/>
          <w:szCs w:val="28"/>
          <w:lang w:val="zh-CN"/>
        </w:rPr>
        <w:t>该项目在检修过程中可能存在因环境不良、注意力不集中等原因造成的滑跌、绊倒、碰撞等，造成人员伤害。同时，该项目有大量的货物需要转运、装卸，如操作不当，可能发生砸伤。</w:t>
      </w:r>
    </w:p>
    <w:bookmarkEnd w:id="206"/>
    <w:p w14:paraId="777C2CD2">
      <w:pPr>
        <w:keepNext/>
        <w:pageBreakBefore/>
        <w:widowControl/>
        <w:spacing w:before="120" w:beforeLines="50" w:line="360" w:lineRule="auto"/>
        <w:jc w:val="center"/>
        <w:outlineLvl w:val="0"/>
        <w:rPr>
          <w:rFonts w:ascii="黑体" w:hAnsi="宋体" w:eastAsia="黑体"/>
          <w:b w:val="0"/>
          <w:sz w:val="32"/>
          <w:szCs w:val="32"/>
        </w:rPr>
      </w:pPr>
      <w:bookmarkStart w:id="207" w:name="_Toc205979645"/>
      <w:bookmarkStart w:id="208" w:name="_Toc233449786"/>
      <w:r>
        <w:rPr>
          <w:rFonts w:hint="eastAsia" w:ascii="黑体" w:hAnsi="宋体" w:eastAsia="黑体"/>
          <w:b w:val="0"/>
          <w:sz w:val="32"/>
          <w:szCs w:val="32"/>
        </w:rPr>
        <w:t>第四章 评价单元划分及评价方法的选择</w:t>
      </w:r>
      <w:bookmarkEnd w:id="207"/>
    </w:p>
    <w:p w14:paraId="2D6190FA">
      <w:pPr>
        <w:keepNext/>
        <w:keepLines/>
        <w:spacing w:before="120" w:beforeLines="50" w:line="360" w:lineRule="auto"/>
        <w:outlineLvl w:val="1"/>
        <w:rPr>
          <w:rFonts w:ascii="黑体" w:hAnsi="宋体" w:eastAsia="黑体"/>
          <w:b w:val="0"/>
          <w:bCs/>
          <w:snapToGrid w:val="0"/>
          <w:sz w:val="30"/>
          <w:szCs w:val="30"/>
        </w:rPr>
      </w:pPr>
      <w:bookmarkStart w:id="209" w:name="_Toc235865724"/>
      <w:bookmarkStart w:id="210" w:name="_Toc205979646"/>
      <w:bookmarkStart w:id="211" w:name="_Toc235862393"/>
      <w:bookmarkStart w:id="212" w:name="_Toc221454626"/>
      <w:bookmarkStart w:id="213" w:name="_Toc235352276"/>
      <w:bookmarkStart w:id="214" w:name="_Toc235352372"/>
      <w:bookmarkStart w:id="215" w:name="_Toc235865635"/>
      <w:bookmarkStart w:id="216" w:name="_Toc364346095"/>
      <w:bookmarkStart w:id="217" w:name="_Toc211769696"/>
      <w:r>
        <w:rPr>
          <w:rFonts w:hint="eastAsia" w:ascii="黑体" w:hAnsi="宋体" w:eastAsia="黑体"/>
          <w:b w:val="0"/>
          <w:bCs/>
          <w:snapToGrid w:val="0"/>
          <w:sz w:val="30"/>
          <w:szCs w:val="30"/>
        </w:rPr>
        <w:t>4.1评价单元划分</w:t>
      </w:r>
      <w:bookmarkEnd w:id="209"/>
      <w:bookmarkEnd w:id="210"/>
      <w:bookmarkEnd w:id="211"/>
      <w:bookmarkEnd w:id="212"/>
      <w:bookmarkEnd w:id="213"/>
      <w:bookmarkEnd w:id="214"/>
      <w:bookmarkEnd w:id="215"/>
      <w:bookmarkEnd w:id="216"/>
      <w:bookmarkEnd w:id="217"/>
    </w:p>
    <w:p w14:paraId="603FAA75">
      <w:pPr>
        <w:adjustRightInd w:val="0"/>
        <w:snapToGrid w:val="0"/>
        <w:spacing w:line="360" w:lineRule="auto"/>
        <w:ind w:firstLine="523" w:firstLineChars="187"/>
        <w:rPr>
          <w:rFonts w:ascii="宋体" w:hAnsi="宋体" w:cs="宋体"/>
          <w:b w:val="0"/>
          <w:sz w:val="28"/>
        </w:rPr>
      </w:pPr>
      <w:r>
        <w:rPr>
          <w:rFonts w:hint="eastAsia" w:ascii="宋体" w:hAnsi="宋体" w:cs="宋体"/>
          <w:b w:val="0"/>
          <w:sz w:val="28"/>
        </w:rPr>
        <w:t xml:space="preserve">根据《安全预评价导则》（AQ8002-2007）和《烟花爆竹企业安全评价规范》（AQ4113-2008）结合评价对象的主要功能、区域划分及其危险性质，结合安全评价单元的划分原则，为简单有效地对库区各环节危险、有害因素进行评价，考虑本项目的特点，本次评价将对象划分为以下几个评价单元： </w:t>
      </w:r>
    </w:p>
    <w:p w14:paraId="4A8B68E9">
      <w:pPr>
        <w:adjustRightInd w:val="0"/>
        <w:snapToGrid w:val="0"/>
        <w:spacing w:line="360" w:lineRule="auto"/>
        <w:ind w:firstLine="548" w:firstLineChars="196"/>
        <w:rPr>
          <w:rFonts w:ascii="宋体" w:hAnsi="宋体" w:cs="宋体"/>
          <w:b w:val="0"/>
          <w:sz w:val="28"/>
          <w:szCs w:val="28"/>
        </w:rPr>
      </w:pPr>
      <w:r>
        <w:rPr>
          <w:rFonts w:hint="eastAsia" w:ascii="宋体" w:hAnsi="宋体" w:cs="宋体"/>
          <w:b w:val="0"/>
          <w:sz w:val="28"/>
          <w:szCs w:val="28"/>
        </w:rPr>
        <w:t>1）建设项目外部安全条件单元；</w:t>
      </w:r>
    </w:p>
    <w:p w14:paraId="665D4C45">
      <w:pPr>
        <w:adjustRightInd w:val="0"/>
        <w:snapToGrid w:val="0"/>
        <w:spacing w:line="360" w:lineRule="auto"/>
        <w:ind w:firstLine="548" w:firstLineChars="196"/>
        <w:rPr>
          <w:rFonts w:ascii="宋体" w:hAnsi="宋体" w:cs="宋体"/>
          <w:b w:val="0"/>
          <w:sz w:val="28"/>
          <w:szCs w:val="28"/>
        </w:rPr>
      </w:pPr>
      <w:r>
        <w:rPr>
          <w:rFonts w:hint="eastAsia" w:ascii="宋体" w:hAnsi="宋体" w:cs="宋体"/>
          <w:b w:val="0"/>
          <w:sz w:val="28"/>
          <w:szCs w:val="28"/>
        </w:rPr>
        <w:t>2）选址、总平面布置和内部距离；</w:t>
      </w:r>
    </w:p>
    <w:p w14:paraId="49AD40D6">
      <w:pPr>
        <w:adjustRightInd w:val="0"/>
        <w:snapToGrid w:val="0"/>
        <w:spacing w:line="360" w:lineRule="auto"/>
        <w:ind w:firstLine="548" w:firstLineChars="196"/>
        <w:rPr>
          <w:rFonts w:ascii="宋体" w:hAnsi="宋体" w:cs="宋体"/>
          <w:b w:val="0"/>
          <w:sz w:val="28"/>
          <w:szCs w:val="28"/>
        </w:rPr>
      </w:pPr>
      <w:r>
        <w:rPr>
          <w:rFonts w:hint="eastAsia" w:ascii="宋体" w:hAnsi="宋体" w:cs="宋体"/>
          <w:b w:val="0"/>
          <w:sz w:val="28"/>
          <w:szCs w:val="28"/>
        </w:rPr>
        <w:t>3）安全设施单元。</w:t>
      </w:r>
    </w:p>
    <w:p w14:paraId="5E4522DC">
      <w:pPr>
        <w:keepNext/>
        <w:keepLines/>
        <w:spacing w:before="120" w:beforeLines="50" w:line="360" w:lineRule="auto"/>
        <w:outlineLvl w:val="1"/>
        <w:rPr>
          <w:rFonts w:ascii="黑体" w:hAnsi="宋体" w:eastAsia="黑体"/>
          <w:b w:val="0"/>
          <w:bCs/>
          <w:snapToGrid w:val="0"/>
          <w:sz w:val="30"/>
          <w:szCs w:val="30"/>
        </w:rPr>
      </w:pPr>
      <w:bookmarkStart w:id="218" w:name="_Toc205979647"/>
      <w:r>
        <w:rPr>
          <w:rFonts w:hint="eastAsia" w:ascii="黑体" w:hAnsi="宋体" w:eastAsia="黑体"/>
          <w:b w:val="0"/>
          <w:bCs/>
          <w:snapToGrid w:val="0"/>
          <w:sz w:val="30"/>
          <w:szCs w:val="30"/>
        </w:rPr>
        <w:t>4.2评价方法</w:t>
      </w:r>
      <w:bookmarkEnd w:id="208"/>
      <w:r>
        <w:rPr>
          <w:rFonts w:hint="eastAsia" w:ascii="黑体" w:hAnsi="宋体" w:eastAsia="黑体"/>
          <w:b w:val="0"/>
          <w:bCs/>
          <w:snapToGrid w:val="0"/>
          <w:sz w:val="30"/>
          <w:szCs w:val="30"/>
        </w:rPr>
        <w:t>选择</w:t>
      </w:r>
      <w:bookmarkEnd w:id="218"/>
    </w:p>
    <w:p w14:paraId="537D8EA3">
      <w:pPr>
        <w:pStyle w:val="6"/>
        <w:rPr>
          <w:rFonts w:ascii="黑体" w:hAnsi="黑体" w:eastAsia="黑体" w:cs="宋体"/>
          <w:b w:val="0"/>
          <w:szCs w:val="28"/>
        </w:rPr>
      </w:pPr>
      <w:bookmarkStart w:id="219" w:name="_Toc165038808"/>
      <w:bookmarkStart w:id="220" w:name="_Toc233449787"/>
      <w:r>
        <w:rPr>
          <w:rFonts w:hint="eastAsia" w:ascii="黑体" w:hAnsi="黑体" w:eastAsia="黑体" w:cs="宋体"/>
          <w:b w:val="0"/>
          <w:szCs w:val="28"/>
        </w:rPr>
        <w:t>4.2.1安全检查表法（SCL）</w:t>
      </w:r>
      <w:bookmarkEnd w:id="219"/>
      <w:bookmarkEnd w:id="220"/>
    </w:p>
    <w:p w14:paraId="3A30F76C">
      <w:pPr>
        <w:adjustRightInd w:val="0"/>
        <w:snapToGrid w:val="0"/>
        <w:spacing w:line="520" w:lineRule="exact"/>
        <w:ind w:firstLine="560" w:firstLineChars="200"/>
        <w:rPr>
          <w:rFonts w:ascii="宋体" w:hAnsi="宋体" w:cs="宋体"/>
          <w:b w:val="0"/>
          <w:sz w:val="28"/>
        </w:rPr>
      </w:pPr>
      <w:r>
        <w:rPr>
          <w:rFonts w:hint="eastAsia" w:ascii="宋体" w:hAnsi="宋体" w:cs="宋体"/>
          <w:b w:val="0"/>
          <w:sz w:val="28"/>
        </w:rPr>
        <w:t>安全检查表法是系统安全工程的一种最基础、最简便、最广泛应用的系统安全评价方法。安全检查表不仅用于查找系统中各种潜在的事故隐患,还对各检查项目给予量化,用于进行系统安全评价。</w:t>
      </w:r>
    </w:p>
    <w:p w14:paraId="67B92735">
      <w:pPr>
        <w:adjustRightInd w:val="0"/>
        <w:snapToGrid w:val="0"/>
        <w:spacing w:line="520" w:lineRule="exact"/>
        <w:ind w:firstLine="560" w:firstLineChars="200"/>
        <w:rPr>
          <w:rFonts w:ascii="宋体" w:hAnsi="宋体" w:cs="宋体"/>
          <w:b w:val="0"/>
          <w:sz w:val="28"/>
        </w:rPr>
      </w:pPr>
      <w:r>
        <w:rPr>
          <w:rFonts w:hint="eastAsia" w:ascii="宋体" w:hAnsi="宋体" w:cs="宋体"/>
          <w:b w:val="0"/>
          <w:sz w:val="28"/>
        </w:rPr>
        <w:t>安全检查表是由一些对工艺过程、机械设备和作业情况熟悉并富有安全技术、安全管理经验的人员,事先对分析对象进行详尽分析和充分讨论,列出检查单元和部位、检查项目、检查要求、各项赋分标准、评定系统安全等级分值标准等内容的表格（清单）。</w:t>
      </w:r>
    </w:p>
    <w:p w14:paraId="5EDAD861">
      <w:pPr>
        <w:adjustRightInd w:val="0"/>
        <w:snapToGrid w:val="0"/>
        <w:spacing w:line="520" w:lineRule="exact"/>
        <w:ind w:firstLine="560" w:firstLineChars="200"/>
        <w:rPr>
          <w:rFonts w:ascii="宋体" w:hAnsi="宋体" w:cs="宋体"/>
          <w:b w:val="0"/>
          <w:sz w:val="28"/>
        </w:rPr>
      </w:pPr>
      <w:r>
        <w:rPr>
          <w:rFonts w:hint="eastAsia" w:ascii="宋体" w:hAnsi="宋体" w:cs="宋体"/>
          <w:b w:val="0"/>
          <w:sz w:val="28"/>
        </w:rPr>
        <w:t>对系统进行评价,对照安全检查表逐项检查、赋分,从而评价出系统的安全等级。</w:t>
      </w:r>
    </w:p>
    <w:p w14:paraId="1C957956">
      <w:pPr>
        <w:adjustRightInd w:val="0"/>
        <w:snapToGrid w:val="0"/>
        <w:spacing w:line="360" w:lineRule="auto"/>
        <w:ind w:firstLine="560" w:firstLineChars="200"/>
        <w:rPr>
          <w:rFonts w:ascii="宋体" w:hAnsi="宋体" w:cs="宋体"/>
          <w:b w:val="0"/>
          <w:sz w:val="28"/>
        </w:rPr>
      </w:pPr>
      <w:r>
        <w:rPr>
          <w:rFonts w:hint="eastAsia" w:ascii="宋体" w:hAnsi="宋体" w:cs="宋体"/>
          <w:b w:val="0"/>
          <w:sz w:val="28"/>
        </w:rPr>
        <w:t>当安全检查表用于设计、维修、环境、管理等方面查找缺陷或隐患时,可省略赋分、评级等内容和步骤。</w:t>
      </w:r>
    </w:p>
    <w:p w14:paraId="2DDB8791">
      <w:pPr>
        <w:pStyle w:val="6"/>
        <w:rPr>
          <w:rFonts w:ascii="黑体" w:hAnsi="黑体" w:eastAsia="黑体" w:cs="宋体"/>
          <w:b w:val="0"/>
          <w:szCs w:val="28"/>
        </w:rPr>
      </w:pPr>
      <w:bookmarkStart w:id="221" w:name="_Toc165038809"/>
      <w:bookmarkStart w:id="222" w:name="_Toc92180781"/>
      <w:bookmarkStart w:id="223" w:name="_Toc233449788"/>
      <w:bookmarkStart w:id="224" w:name="_Toc124131605"/>
      <w:bookmarkStart w:id="225" w:name="_Toc92175255"/>
      <w:bookmarkStart w:id="226" w:name="_Toc101064852"/>
      <w:r>
        <w:rPr>
          <w:rFonts w:hint="eastAsia" w:ascii="黑体" w:hAnsi="黑体" w:eastAsia="黑体" w:cs="宋体"/>
          <w:b w:val="0"/>
          <w:szCs w:val="28"/>
        </w:rPr>
        <w:t>4.2.2预先危险性分析法（PHA）</w:t>
      </w:r>
      <w:bookmarkEnd w:id="221"/>
      <w:bookmarkEnd w:id="222"/>
      <w:bookmarkEnd w:id="223"/>
      <w:bookmarkEnd w:id="224"/>
      <w:bookmarkEnd w:id="225"/>
      <w:bookmarkEnd w:id="226"/>
    </w:p>
    <w:p w14:paraId="0628107E">
      <w:pPr>
        <w:spacing w:line="360" w:lineRule="auto"/>
        <w:ind w:firstLine="560" w:firstLineChars="200"/>
        <w:rPr>
          <w:rFonts w:ascii="宋体" w:hAnsi="宋体" w:cs="宋体"/>
          <w:b w:val="0"/>
          <w:sz w:val="28"/>
        </w:rPr>
      </w:pPr>
      <w:r>
        <w:rPr>
          <w:rFonts w:hint="eastAsia" w:ascii="宋体" w:hAnsi="宋体" w:cs="宋体"/>
          <w:b w:val="0"/>
          <w:sz w:val="28"/>
        </w:rPr>
        <w:t>预先危险性分析（Preliminary Hazard Analysis，简称PHA）是在进行某项工程活动（包括设计、施工、生产、维修等）之前，对系统存在的各种危险因素（类别、分布）、出现条件和事故可能造成的后果进行宏观、概略分析的系统安全分析方法。其目的是早期发现系统的潜在危险因素，确定系统的危险性等级，提出相应的防范措施，防止这些危险因素发展成为事故，避免考虑不周所造成的损失。</w:t>
      </w:r>
    </w:p>
    <w:p w14:paraId="768BA5D5">
      <w:pPr>
        <w:spacing w:line="360" w:lineRule="auto"/>
        <w:ind w:firstLine="560" w:firstLineChars="200"/>
        <w:rPr>
          <w:rFonts w:ascii="宋体" w:hAnsi="宋体" w:cs="宋体"/>
          <w:b w:val="0"/>
          <w:sz w:val="28"/>
          <w:szCs w:val="28"/>
          <w:lang w:val="en-GB"/>
        </w:rPr>
      </w:pPr>
      <w:bookmarkStart w:id="227" w:name="_Toc233449789"/>
      <w:r>
        <w:rPr>
          <w:rFonts w:hint="eastAsia" w:ascii="宋体" w:hAnsi="宋体" w:cs="宋体"/>
          <w:b w:val="0"/>
          <w:sz w:val="28"/>
          <w:szCs w:val="28"/>
          <w:lang w:val="en-GB"/>
        </w:rPr>
        <w:t>相关的危险事件严重性等级、危险事件可能性等级、危险评价指数矩阵和危险程度判定准则见表4.2.2-1、4.2.2-2。</w:t>
      </w:r>
    </w:p>
    <w:p w14:paraId="498CADDB">
      <w:pPr>
        <w:jc w:val="center"/>
        <w:rPr>
          <w:rFonts w:ascii="Arial" w:hAnsi="Arial" w:eastAsia="黑体" w:cs="Arial"/>
          <w:b w:val="0"/>
          <w:sz w:val="24"/>
        </w:rPr>
      </w:pPr>
      <w:r>
        <w:rPr>
          <w:rFonts w:ascii="Arial" w:hAnsi="Arial" w:eastAsia="黑体" w:cs="Arial"/>
          <w:b w:val="0"/>
          <w:sz w:val="24"/>
        </w:rPr>
        <w:t>表</w:t>
      </w:r>
      <w:r>
        <w:rPr>
          <w:rFonts w:hint="eastAsia" w:ascii="Arial" w:hAnsi="Arial" w:eastAsia="黑体" w:cs="Arial"/>
          <w:b w:val="0"/>
          <w:sz w:val="24"/>
        </w:rPr>
        <w:t>4.2.2-1  危险、有害因素的危险程度等级划分表</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173"/>
        <w:gridCol w:w="1391"/>
        <w:gridCol w:w="5302"/>
      </w:tblGrid>
      <w:tr w14:paraId="73E3C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8" w:type="dxa"/>
            <w:vAlign w:val="center"/>
          </w:tcPr>
          <w:p w14:paraId="511B318C">
            <w:pPr>
              <w:spacing w:line="240" w:lineRule="atLeast"/>
              <w:jc w:val="center"/>
              <w:rPr>
                <w:rFonts w:cs="Arial" w:asciiTheme="minorEastAsia" w:hAnsiTheme="minorEastAsia" w:eastAsiaTheme="minorEastAsia"/>
                <w:bCs/>
                <w:szCs w:val="21"/>
              </w:rPr>
            </w:pPr>
            <w:r>
              <w:rPr>
                <w:rFonts w:cs="Arial" w:asciiTheme="minorEastAsia" w:hAnsiTheme="minorEastAsia" w:eastAsiaTheme="minorEastAsia"/>
                <w:bCs/>
                <w:szCs w:val="21"/>
              </w:rPr>
              <w:t>级别</w:t>
            </w:r>
          </w:p>
        </w:tc>
        <w:tc>
          <w:tcPr>
            <w:tcW w:w="1173" w:type="dxa"/>
            <w:vAlign w:val="center"/>
          </w:tcPr>
          <w:p w14:paraId="1D7E2963">
            <w:pPr>
              <w:spacing w:line="240" w:lineRule="atLeast"/>
              <w:jc w:val="center"/>
              <w:rPr>
                <w:rFonts w:cs="Arial" w:asciiTheme="minorEastAsia" w:hAnsiTheme="minorEastAsia" w:eastAsiaTheme="minorEastAsia"/>
                <w:bCs/>
                <w:szCs w:val="21"/>
              </w:rPr>
            </w:pPr>
            <w:r>
              <w:rPr>
                <w:rFonts w:cs="Arial" w:asciiTheme="minorEastAsia" w:hAnsiTheme="minorEastAsia" w:eastAsiaTheme="minorEastAsia"/>
                <w:bCs/>
                <w:szCs w:val="21"/>
              </w:rPr>
              <w:t>等级系数</w:t>
            </w:r>
          </w:p>
        </w:tc>
        <w:tc>
          <w:tcPr>
            <w:tcW w:w="1391" w:type="dxa"/>
            <w:vAlign w:val="center"/>
          </w:tcPr>
          <w:p w14:paraId="6CA74A28">
            <w:pPr>
              <w:spacing w:line="240" w:lineRule="atLeast"/>
              <w:jc w:val="center"/>
              <w:rPr>
                <w:rFonts w:cs="Arial" w:asciiTheme="minorEastAsia" w:hAnsiTheme="minorEastAsia" w:eastAsiaTheme="minorEastAsia"/>
                <w:bCs/>
                <w:szCs w:val="21"/>
              </w:rPr>
            </w:pPr>
            <w:r>
              <w:rPr>
                <w:rFonts w:cs="Arial" w:asciiTheme="minorEastAsia" w:hAnsiTheme="minorEastAsia" w:eastAsiaTheme="minorEastAsia"/>
                <w:bCs/>
                <w:szCs w:val="21"/>
              </w:rPr>
              <w:t>危险程度</w:t>
            </w:r>
          </w:p>
        </w:tc>
        <w:tc>
          <w:tcPr>
            <w:tcW w:w="5302" w:type="dxa"/>
            <w:vAlign w:val="center"/>
          </w:tcPr>
          <w:p w14:paraId="4F699C2E">
            <w:pPr>
              <w:spacing w:line="240" w:lineRule="atLeast"/>
              <w:jc w:val="center"/>
              <w:rPr>
                <w:rFonts w:cs="Arial" w:asciiTheme="minorEastAsia" w:hAnsiTheme="minorEastAsia" w:eastAsiaTheme="minorEastAsia"/>
                <w:bCs/>
                <w:szCs w:val="21"/>
              </w:rPr>
            </w:pPr>
            <w:r>
              <w:rPr>
                <w:rFonts w:cs="Arial" w:asciiTheme="minorEastAsia" w:hAnsiTheme="minorEastAsia" w:eastAsiaTheme="minorEastAsia"/>
                <w:bCs/>
                <w:szCs w:val="21"/>
              </w:rPr>
              <w:t>可能导致的事故后果</w:t>
            </w:r>
          </w:p>
        </w:tc>
      </w:tr>
      <w:tr w14:paraId="47E87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958" w:type="dxa"/>
            <w:vAlign w:val="center"/>
          </w:tcPr>
          <w:p w14:paraId="1C74C287">
            <w:pPr>
              <w:adjustRightInd w:val="0"/>
              <w:snapToGrid w:val="0"/>
              <w:spacing w:line="360" w:lineRule="auto"/>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I</w:t>
            </w:r>
          </w:p>
        </w:tc>
        <w:tc>
          <w:tcPr>
            <w:tcW w:w="1173" w:type="dxa"/>
            <w:vAlign w:val="center"/>
          </w:tcPr>
          <w:p w14:paraId="01F656CF">
            <w:pPr>
              <w:spacing w:line="240" w:lineRule="atLeas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1</w:t>
            </w:r>
          </w:p>
        </w:tc>
        <w:tc>
          <w:tcPr>
            <w:tcW w:w="1391" w:type="dxa"/>
            <w:vAlign w:val="center"/>
          </w:tcPr>
          <w:p w14:paraId="54BB3D06">
            <w:pPr>
              <w:spacing w:line="240" w:lineRule="atLeas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安全的</w:t>
            </w:r>
          </w:p>
        </w:tc>
        <w:tc>
          <w:tcPr>
            <w:tcW w:w="5302" w:type="dxa"/>
            <w:vAlign w:val="center"/>
          </w:tcPr>
          <w:p w14:paraId="6FD30A0A">
            <w:pPr>
              <w:spacing w:line="240" w:lineRule="atLeas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不会造成人员伤害及系统损坏</w:t>
            </w:r>
          </w:p>
        </w:tc>
      </w:tr>
      <w:tr w14:paraId="48C8E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8" w:type="dxa"/>
            <w:vAlign w:val="center"/>
          </w:tcPr>
          <w:p w14:paraId="26346F23">
            <w:pPr>
              <w:adjustRightInd w:val="0"/>
              <w:snapToGrid w:val="0"/>
              <w:spacing w:line="360" w:lineRule="auto"/>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II</w:t>
            </w:r>
          </w:p>
        </w:tc>
        <w:tc>
          <w:tcPr>
            <w:tcW w:w="1173" w:type="dxa"/>
            <w:vAlign w:val="center"/>
          </w:tcPr>
          <w:p w14:paraId="7C65B5C9">
            <w:pPr>
              <w:spacing w:line="240" w:lineRule="atLeas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2</w:t>
            </w:r>
          </w:p>
        </w:tc>
        <w:tc>
          <w:tcPr>
            <w:tcW w:w="1391" w:type="dxa"/>
            <w:vAlign w:val="center"/>
          </w:tcPr>
          <w:p w14:paraId="076E9AB5">
            <w:pPr>
              <w:spacing w:line="240" w:lineRule="atLeas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临界的</w:t>
            </w:r>
          </w:p>
        </w:tc>
        <w:tc>
          <w:tcPr>
            <w:tcW w:w="5302" w:type="dxa"/>
            <w:vAlign w:val="center"/>
          </w:tcPr>
          <w:p w14:paraId="58AC40DA">
            <w:pPr>
              <w:spacing w:line="240" w:lineRule="atLeas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处于事故的边缘状态，暂时不会造成人员伤亡、系统损坏或降低系统性能，但应予以排除或采取控制措施</w:t>
            </w:r>
          </w:p>
        </w:tc>
      </w:tr>
      <w:tr w14:paraId="47F2D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8" w:type="dxa"/>
            <w:vAlign w:val="center"/>
          </w:tcPr>
          <w:p w14:paraId="318DF616">
            <w:pPr>
              <w:adjustRightInd w:val="0"/>
              <w:snapToGrid w:val="0"/>
              <w:spacing w:line="360" w:lineRule="auto"/>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Ⅲ</w:t>
            </w:r>
          </w:p>
        </w:tc>
        <w:tc>
          <w:tcPr>
            <w:tcW w:w="1173" w:type="dxa"/>
            <w:vAlign w:val="center"/>
          </w:tcPr>
          <w:p w14:paraId="306D1544">
            <w:pPr>
              <w:spacing w:line="240" w:lineRule="atLeas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4</w:t>
            </w:r>
          </w:p>
        </w:tc>
        <w:tc>
          <w:tcPr>
            <w:tcW w:w="1391" w:type="dxa"/>
            <w:vAlign w:val="center"/>
          </w:tcPr>
          <w:p w14:paraId="6818BFD8">
            <w:pPr>
              <w:spacing w:line="240" w:lineRule="atLeas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危险的</w:t>
            </w:r>
          </w:p>
        </w:tc>
        <w:tc>
          <w:tcPr>
            <w:tcW w:w="5302" w:type="dxa"/>
            <w:vAlign w:val="center"/>
          </w:tcPr>
          <w:p w14:paraId="208730BC">
            <w:pPr>
              <w:spacing w:line="240" w:lineRule="atLeas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会造成人员伤害及系统损坏，要立即采取防范对策措施</w:t>
            </w:r>
          </w:p>
        </w:tc>
      </w:tr>
      <w:tr w14:paraId="4290E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8" w:type="dxa"/>
            <w:vAlign w:val="center"/>
          </w:tcPr>
          <w:p w14:paraId="164ABAAC">
            <w:pPr>
              <w:adjustRightInd w:val="0"/>
              <w:snapToGrid w:val="0"/>
              <w:spacing w:line="360" w:lineRule="auto"/>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Ⅳ</w:t>
            </w:r>
          </w:p>
        </w:tc>
        <w:tc>
          <w:tcPr>
            <w:tcW w:w="1173" w:type="dxa"/>
            <w:vAlign w:val="center"/>
          </w:tcPr>
          <w:p w14:paraId="71F8DC47">
            <w:pPr>
              <w:spacing w:line="240" w:lineRule="atLeas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8</w:t>
            </w:r>
          </w:p>
        </w:tc>
        <w:tc>
          <w:tcPr>
            <w:tcW w:w="1391" w:type="dxa"/>
            <w:vAlign w:val="center"/>
          </w:tcPr>
          <w:p w14:paraId="196B4C04">
            <w:pPr>
              <w:spacing w:line="240" w:lineRule="atLeas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灾难性的</w:t>
            </w:r>
          </w:p>
        </w:tc>
        <w:tc>
          <w:tcPr>
            <w:tcW w:w="5302" w:type="dxa"/>
            <w:vAlign w:val="center"/>
          </w:tcPr>
          <w:p w14:paraId="5394F28E">
            <w:pPr>
              <w:spacing w:line="240" w:lineRule="atLeast"/>
              <w:jc w:val="center"/>
              <w:rPr>
                <w:rFonts w:cs="Arial" w:asciiTheme="minorEastAsia" w:hAnsiTheme="minorEastAsia" w:eastAsiaTheme="minorEastAsia"/>
                <w:b w:val="0"/>
                <w:szCs w:val="21"/>
              </w:rPr>
            </w:pPr>
            <w:r>
              <w:rPr>
                <w:rFonts w:cs="Arial" w:asciiTheme="minorEastAsia" w:hAnsiTheme="minorEastAsia" w:eastAsiaTheme="minorEastAsia"/>
                <w:b w:val="0"/>
                <w:szCs w:val="21"/>
              </w:rPr>
              <w:t>造成人员重大伤亡及系统严重破坏的灾难性事故，必须予以果断排除并进行重点防范</w:t>
            </w:r>
          </w:p>
        </w:tc>
      </w:tr>
    </w:tbl>
    <w:p w14:paraId="6F364C2E">
      <w:pPr>
        <w:spacing w:before="120" w:beforeLines="50"/>
        <w:jc w:val="center"/>
        <w:rPr>
          <w:rFonts w:ascii="Arial" w:hAnsi="Arial" w:eastAsia="黑体" w:cs="Arial"/>
          <w:b w:val="0"/>
          <w:sz w:val="24"/>
        </w:rPr>
      </w:pPr>
      <w:r>
        <w:rPr>
          <w:rFonts w:ascii="Arial" w:hAnsi="Arial" w:eastAsia="黑体" w:cs="Arial"/>
          <w:b w:val="0"/>
          <w:sz w:val="24"/>
        </w:rPr>
        <w:t>表</w:t>
      </w:r>
      <w:r>
        <w:rPr>
          <w:rFonts w:hint="eastAsia" w:ascii="Arial" w:hAnsi="Arial" w:eastAsia="黑体" w:cs="Arial"/>
          <w:b w:val="0"/>
          <w:sz w:val="24"/>
        </w:rPr>
        <w:t xml:space="preserve">4.2.2-2  </w:t>
      </w:r>
      <w:r>
        <w:rPr>
          <w:rFonts w:ascii="Arial" w:hAnsi="Arial" w:eastAsia="黑体" w:cs="Arial"/>
          <w:b w:val="0"/>
          <w:sz w:val="24"/>
        </w:rPr>
        <w:t>事</w:t>
      </w:r>
      <w:r>
        <w:rPr>
          <w:rFonts w:hint="eastAsia" w:ascii="Arial" w:hAnsi="Arial" w:eastAsia="黑体" w:cs="Arial"/>
          <w:b w:val="0"/>
          <w:sz w:val="24"/>
        </w:rPr>
        <w:t>故</w:t>
      </w:r>
      <w:r>
        <w:rPr>
          <w:rFonts w:ascii="Arial" w:hAnsi="Arial" w:eastAsia="黑体" w:cs="Arial"/>
          <w:b w:val="0"/>
          <w:sz w:val="24"/>
        </w:rPr>
        <w:t>可能性等级</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5"/>
        <w:gridCol w:w="1715"/>
        <w:gridCol w:w="5735"/>
      </w:tblGrid>
      <w:tr w14:paraId="44FC09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385" w:type="dxa"/>
            <w:vAlign w:val="center"/>
          </w:tcPr>
          <w:p w14:paraId="49F8F2E8">
            <w:pPr>
              <w:adjustRightInd w:val="0"/>
              <w:snapToGrid w:val="0"/>
              <w:jc w:val="center"/>
              <w:rPr>
                <w:rFonts w:cs="Arial" w:asciiTheme="minorEastAsia" w:hAnsiTheme="minorEastAsia" w:eastAsiaTheme="minorEastAsia"/>
                <w:bCs/>
                <w:szCs w:val="21"/>
              </w:rPr>
            </w:pPr>
            <w:r>
              <w:rPr>
                <w:rFonts w:cs="Arial" w:asciiTheme="minorEastAsia" w:hAnsiTheme="minorEastAsia" w:eastAsiaTheme="minorEastAsia"/>
                <w:bCs/>
                <w:kern w:val="0"/>
                <w:szCs w:val="21"/>
              </w:rPr>
              <w:t>级别</w:t>
            </w:r>
          </w:p>
        </w:tc>
        <w:tc>
          <w:tcPr>
            <w:tcW w:w="1715" w:type="dxa"/>
            <w:vAlign w:val="center"/>
          </w:tcPr>
          <w:p w14:paraId="2DED9A1A">
            <w:pPr>
              <w:adjustRightInd w:val="0"/>
              <w:snapToGrid w:val="0"/>
              <w:jc w:val="center"/>
              <w:rPr>
                <w:rFonts w:cs="Arial" w:asciiTheme="minorEastAsia" w:hAnsiTheme="minorEastAsia" w:eastAsiaTheme="minorEastAsia"/>
                <w:bCs/>
                <w:szCs w:val="21"/>
              </w:rPr>
            </w:pPr>
            <w:r>
              <w:rPr>
                <w:rFonts w:cs="Arial" w:asciiTheme="minorEastAsia" w:hAnsiTheme="minorEastAsia" w:eastAsiaTheme="minorEastAsia"/>
                <w:bCs/>
                <w:kern w:val="0"/>
                <w:szCs w:val="21"/>
              </w:rPr>
              <w:t>概率系数</w:t>
            </w:r>
          </w:p>
        </w:tc>
        <w:tc>
          <w:tcPr>
            <w:tcW w:w="5735" w:type="dxa"/>
            <w:vAlign w:val="center"/>
          </w:tcPr>
          <w:p w14:paraId="1E95F78B">
            <w:pPr>
              <w:adjustRightInd w:val="0"/>
              <w:snapToGrid w:val="0"/>
              <w:jc w:val="center"/>
              <w:rPr>
                <w:rFonts w:cs="Arial" w:asciiTheme="minorEastAsia" w:hAnsiTheme="minorEastAsia" w:eastAsiaTheme="minorEastAsia"/>
                <w:bCs/>
                <w:szCs w:val="21"/>
              </w:rPr>
            </w:pPr>
            <w:r>
              <w:rPr>
                <w:rFonts w:cs="Arial" w:asciiTheme="minorEastAsia" w:hAnsiTheme="minorEastAsia" w:eastAsiaTheme="minorEastAsia"/>
                <w:bCs/>
                <w:kern w:val="0"/>
                <w:szCs w:val="21"/>
              </w:rPr>
              <w:t>发生概率</w:t>
            </w:r>
          </w:p>
        </w:tc>
      </w:tr>
      <w:tr w14:paraId="167616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385" w:type="dxa"/>
            <w:vAlign w:val="center"/>
          </w:tcPr>
          <w:p w14:paraId="22348866">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A</w:t>
            </w:r>
          </w:p>
        </w:tc>
        <w:tc>
          <w:tcPr>
            <w:tcW w:w="1715" w:type="dxa"/>
            <w:vAlign w:val="center"/>
          </w:tcPr>
          <w:p w14:paraId="72CA9245">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0</w:t>
            </w:r>
            <w:r>
              <w:rPr>
                <w:rFonts w:cs="Arial" w:asciiTheme="minorEastAsia" w:hAnsiTheme="minorEastAsia" w:eastAsiaTheme="minorEastAsia"/>
                <w:b w:val="0"/>
                <w:szCs w:val="21"/>
              </w:rPr>
              <w:t>.</w:t>
            </w:r>
            <w:r>
              <w:rPr>
                <w:rFonts w:cs="Arial" w:asciiTheme="minorEastAsia" w:hAnsiTheme="minorEastAsia" w:eastAsiaTheme="minorEastAsia"/>
                <w:b w:val="0"/>
                <w:kern w:val="0"/>
                <w:szCs w:val="21"/>
              </w:rPr>
              <w:t>05</w:t>
            </w:r>
          </w:p>
        </w:tc>
        <w:tc>
          <w:tcPr>
            <w:tcW w:w="5735" w:type="dxa"/>
            <w:vAlign w:val="center"/>
          </w:tcPr>
          <w:p w14:paraId="3E4974B5">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在设备使用期内几乎不发生。</w:t>
            </w:r>
          </w:p>
        </w:tc>
      </w:tr>
      <w:tr w14:paraId="379C7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385" w:type="dxa"/>
            <w:vAlign w:val="center"/>
          </w:tcPr>
          <w:p w14:paraId="22C096C2">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B</w:t>
            </w:r>
          </w:p>
        </w:tc>
        <w:tc>
          <w:tcPr>
            <w:tcW w:w="1715" w:type="dxa"/>
            <w:vAlign w:val="center"/>
          </w:tcPr>
          <w:p w14:paraId="1D6E5AC4">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0</w:t>
            </w:r>
            <w:r>
              <w:rPr>
                <w:rFonts w:cs="Arial" w:asciiTheme="minorEastAsia" w:hAnsiTheme="minorEastAsia" w:eastAsiaTheme="minorEastAsia"/>
                <w:b w:val="0"/>
                <w:szCs w:val="21"/>
              </w:rPr>
              <w:t>.</w:t>
            </w:r>
            <w:r>
              <w:rPr>
                <w:rFonts w:cs="Arial" w:asciiTheme="minorEastAsia" w:hAnsiTheme="minorEastAsia" w:eastAsiaTheme="minorEastAsia"/>
                <w:b w:val="0"/>
                <w:kern w:val="0"/>
                <w:szCs w:val="21"/>
              </w:rPr>
              <w:t>10</w:t>
            </w:r>
          </w:p>
        </w:tc>
        <w:tc>
          <w:tcPr>
            <w:tcW w:w="5735" w:type="dxa"/>
            <w:vAlign w:val="center"/>
          </w:tcPr>
          <w:p w14:paraId="5ABC4577">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很少发生。</w:t>
            </w:r>
          </w:p>
        </w:tc>
      </w:tr>
      <w:tr w14:paraId="288C2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385" w:type="dxa"/>
            <w:vAlign w:val="center"/>
          </w:tcPr>
          <w:p w14:paraId="5F234C06">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C</w:t>
            </w:r>
          </w:p>
        </w:tc>
        <w:tc>
          <w:tcPr>
            <w:tcW w:w="1715" w:type="dxa"/>
            <w:vAlign w:val="center"/>
          </w:tcPr>
          <w:p w14:paraId="6D3523CF">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0</w:t>
            </w:r>
            <w:r>
              <w:rPr>
                <w:rFonts w:cs="Arial" w:asciiTheme="minorEastAsia" w:hAnsiTheme="minorEastAsia" w:eastAsiaTheme="minorEastAsia"/>
                <w:b w:val="0"/>
                <w:szCs w:val="21"/>
              </w:rPr>
              <w:t>.</w:t>
            </w:r>
            <w:r>
              <w:rPr>
                <w:rFonts w:cs="Arial" w:asciiTheme="minorEastAsia" w:hAnsiTheme="minorEastAsia" w:eastAsiaTheme="minorEastAsia"/>
                <w:b w:val="0"/>
                <w:kern w:val="0"/>
                <w:szCs w:val="21"/>
              </w:rPr>
              <w:t>20</w:t>
            </w:r>
          </w:p>
        </w:tc>
        <w:tc>
          <w:tcPr>
            <w:tcW w:w="5735" w:type="dxa"/>
            <w:vAlign w:val="center"/>
          </w:tcPr>
          <w:p w14:paraId="0967E350">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容易发生或偶然发生。</w:t>
            </w:r>
          </w:p>
        </w:tc>
      </w:tr>
      <w:tr w14:paraId="20392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385" w:type="dxa"/>
            <w:vAlign w:val="center"/>
          </w:tcPr>
          <w:p w14:paraId="09560796">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D</w:t>
            </w:r>
          </w:p>
        </w:tc>
        <w:tc>
          <w:tcPr>
            <w:tcW w:w="1715" w:type="dxa"/>
            <w:vAlign w:val="center"/>
          </w:tcPr>
          <w:p w14:paraId="7692BB9A">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0</w:t>
            </w:r>
            <w:r>
              <w:rPr>
                <w:rFonts w:cs="Arial" w:asciiTheme="minorEastAsia" w:hAnsiTheme="minorEastAsia" w:eastAsiaTheme="minorEastAsia"/>
                <w:b w:val="0"/>
                <w:szCs w:val="21"/>
              </w:rPr>
              <w:t>.</w:t>
            </w:r>
            <w:r>
              <w:rPr>
                <w:rFonts w:cs="Arial" w:asciiTheme="minorEastAsia" w:hAnsiTheme="minorEastAsia" w:eastAsiaTheme="minorEastAsia"/>
                <w:b w:val="0"/>
                <w:kern w:val="0"/>
                <w:szCs w:val="21"/>
              </w:rPr>
              <w:t>30</w:t>
            </w:r>
          </w:p>
        </w:tc>
        <w:tc>
          <w:tcPr>
            <w:tcW w:w="5735" w:type="dxa"/>
            <w:vAlign w:val="center"/>
          </w:tcPr>
          <w:p w14:paraId="0D8EDFF6">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很容易发生，相当可能发生。</w:t>
            </w:r>
          </w:p>
        </w:tc>
      </w:tr>
      <w:tr w14:paraId="4323C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1385" w:type="dxa"/>
            <w:vAlign w:val="center"/>
          </w:tcPr>
          <w:p w14:paraId="1D0625E7">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E</w:t>
            </w:r>
          </w:p>
        </w:tc>
        <w:tc>
          <w:tcPr>
            <w:tcW w:w="1715" w:type="dxa"/>
            <w:vAlign w:val="center"/>
          </w:tcPr>
          <w:p w14:paraId="41942CD4">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0</w:t>
            </w:r>
            <w:r>
              <w:rPr>
                <w:rFonts w:cs="Arial" w:asciiTheme="minorEastAsia" w:hAnsiTheme="minorEastAsia" w:eastAsiaTheme="minorEastAsia"/>
                <w:b w:val="0"/>
                <w:szCs w:val="21"/>
              </w:rPr>
              <w:t>.</w:t>
            </w:r>
            <w:r>
              <w:rPr>
                <w:rFonts w:cs="Arial" w:asciiTheme="minorEastAsia" w:hAnsiTheme="minorEastAsia" w:eastAsiaTheme="minorEastAsia"/>
                <w:b w:val="0"/>
                <w:kern w:val="0"/>
                <w:szCs w:val="21"/>
              </w:rPr>
              <w:t>35</w:t>
            </w:r>
          </w:p>
        </w:tc>
        <w:tc>
          <w:tcPr>
            <w:tcW w:w="5735" w:type="dxa"/>
            <w:vAlign w:val="center"/>
          </w:tcPr>
          <w:p w14:paraId="395103FF">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频繁发生、经常发生。</w:t>
            </w:r>
          </w:p>
        </w:tc>
      </w:tr>
    </w:tbl>
    <w:p w14:paraId="39F63C13">
      <w:pPr>
        <w:pStyle w:val="6"/>
        <w:spacing w:before="120" w:beforeLines="50"/>
        <w:rPr>
          <w:rFonts w:ascii="黑体" w:hAnsi="黑体" w:eastAsia="黑体" w:cs="宋体"/>
          <w:b w:val="0"/>
          <w:szCs w:val="28"/>
        </w:rPr>
      </w:pPr>
      <w:bookmarkStart w:id="228" w:name="_Toc165038810"/>
      <w:r>
        <w:rPr>
          <w:rFonts w:hint="eastAsia" w:ascii="黑体" w:hAnsi="黑体" w:eastAsia="黑体" w:cs="宋体"/>
          <w:b w:val="0"/>
          <w:szCs w:val="28"/>
        </w:rPr>
        <w:t>4.2.3事故树分析法（FAT）</w:t>
      </w:r>
      <w:bookmarkEnd w:id="228"/>
    </w:p>
    <w:p w14:paraId="075B05F7">
      <w:pPr>
        <w:adjustRightInd w:val="0"/>
        <w:snapToGrid w:val="0"/>
        <w:spacing w:line="360" w:lineRule="auto"/>
        <w:ind w:firstLine="700" w:firstLineChars="250"/>
        <w:rPr>
          <w:rFonts w:ascii="Arial" w:hAnsi="Arial" w:cs="Arial"/>
          <w:b w:val="0"/>
          <w:sz w:val="28"/>
          <w:szCs w:val="28"/>
        </w:rPr>
        <w:sectPr>
          <w:headerReference r:id="rId14" w:type="default"/>
          <w:footerReference r:id="rId15" w:type="default"/>
          <w:pgSz w:w="11906" w:h="16838"/>
          <w:pgMar w:top="1440" w:right="1800" w:bottom="1440" w:left="1800" w:header="851" w:footer="863" w:gutter="0"/>
          <w:pgNumType w:start="1"/>
          <w:cols w:space="720" w:num="1"/>
          <w:docGrid w:linePitch="312" w:charSpace="0"/>
        </w:sectPr>
      </w:pPr>
      <w:r>
        <w:rPr>
          <w:rFonts w:hint="eastAsia" w:ascii="Arial" w:hAnsi="Arial"/>
          <w:b w:val="0"/>
          <w:sz w:val="28"/>
          <w:szCs w:val="28"/>
        </w:rPr>
        <w:t>事故树分析是一种表示导致灾害事故的各种因素之间的因果及逻辑关系图。在设计过程中或现有生产系统和作业中，通过对可能造成系统事故或导致灾害后果的各种因素进行分析，根据工艺流程</w:t>
      </w:r>
      <w:r>
        <w:rPr>
          <w:rFonts w:ascii="Arial" w:hAnsi="Arial" w:cs="Arial"/>
          <w:b w:val="0"/>
          <w:sz w:val="28"/>
          <w:szCs w:val="28"/>
        </w:rPr>
        <w:t>、</w:t>
      </w:r>
      <w:r>
        <w:rPr>
          <w:rFonts w:hint="eastAsia" w:ascii="Arial" w:hAnsi="Arial" w:cs="Arial"/>
          <w:b w:val="0"/>
          <w:sz w:val="28"/>
          <w:szCs w:val="28"/>
        </w:rPr>
        <w:t>先后次序和因果关系绘制出逻辑图，从而确定系统故障原因的各种可能组合方式及其发生概率，进而计算系统故障概率，并据此采取相应的措施，以提高系统的安全性和可靠性。</w:t>
      </w:r>
    </w:p>
    <w:bookmarkEnd w:id="177"/>
    <w:bookmarkEnd w:id="227"/>
    <w:p w14:paraId="24B20F4A">
      <w:pPr>
        <w:keepNext/>
        <w:pageBreakBefore/>
        <w:widowControl/>
        <w:spacing w:before="120" w:beforeLines="50" w:line="360" w:lineRule="auto"/>
        <w:jc w:val="center"/>
        <w:outlineLvl w:val="0"/>
        <w:rPr>
          <w:rFonts w:ascii="黑体" w:hAnsi="宋体" w:eastAsia="黑体"/>
          <w:b w:val="0"/>
          <w:sz w:val="32"/>
          <w:szCs w:val="32"/>
        </w:rPr>
      </w:pPr>
      <w:bookmarkStart w:id="229" w:name="_Toc157496785"/>
      <w:bookmarkStart w:id="230" w:name="_Toc270850122"/>
      <w:bookmarkStart w:id="231" w:name="_Toc274316590"/>
      <w:bookmarkStart w:id="232" w:name="_Toc205979648"/>
      <w:bookmarkStart w:id="233" w:name="_Toc233449794"/>
      <w:bookmarkStart w:id="234" w:name="_Toc110569910"/>
      <w:bookmarkStart w:id="235" w:name="_Toc104424059"/>
      <w:bookmarkStart w:id="236" w:name="_Toc124131613"/>
      <w:bookmarkStart w:id="237" w:name="_Toc104354001"/>
      <w:r>
        <w:rPr>
          <w:rFonts w:hint="eastAsia" w:ascii="黑体" w:hAnsi="宋体" w:eastAsia="黑体"/>
          <w:b w:val="0"/>
          <w:sz w:val="32"/>
          <w:szCs w:val="32"/>
        </w:rPr>
        <w:t>第五章 定性定量评价</w:t>
      </w:r>
      <w:bookmarkEnd w:id="229"/>
      <w:bookmarkEnd w:id="230"/>
      <w:bookmarkEnd w:id="231"/>
      <w:bookmarkEnd w:id="232"/>
    </w:p>
    <w:p w14:paraId="1160D369">
      <w:pPr>
        <w:keepNext/>
        <w:keepLines/>
        <w:spacing w:before="120" w:beforeLines="50" w:line="360" w:lineRule="auto"/>
        <w:outlineLvl w:val="1"/>
        <w:rPr>
          <w:rFonts w:ascii="黑体" w:hAnsi="宋体" w:eastAsia="黑体"/>
          <w:b w:val="0"/>
          <w:bCs/>
          <w:snapToGrid w:val="0"/>
          <w:sz w:val="30"/>
          <w:szCs w:val="30"/>
        </w:rPr>
      </w:pPr>
      <w:bookmarkStart w:id="238" w:name="_Toc205979649"/>
      <w:bookmarkStart w:id="239" w:name="_Toc235862396"/>
      <w:bookmarkStart w:id="240" w:name="_Toc174793934"/>
      <w:bookmarkStart w:id="241" w:name="_Toc235865727"/>
      <w:bookmarkStart w:id="242" w:name="_Toc221454629"/>
      <w:bookmarkStart w:id="243" w:name="_Toc235352375"/>
      <w:bookmarkStart w:id="244" w:name="_Toc171001579"/>
      <w:bookmarkStart w:id="245" w:name="_Toc176170398"/>
      <w:bookmarkStart w:id="246" w:name="_Toc364346099"/>
      <w:bookmarkStart w:id="247" w:name="_Toc235352279"/>
      <w:bookmarkStart w:id="248" w:name="_Toc211769700"/>
      <w:bookmarkStart w:id="249" w:name="_Toc235865638"/>
      <w:r>
        <w:rPr>
          <w:rFonts w:hint="eastAsia" w:ascii="黑体" w:hAnsi="宋体" w:eastAsia="黑体"/>
          <w:b w:val="0"/>
          <w:bCs/>
          <w:snapToGrid w:val="0"/>
          <w:sz w:val="30"/>
          <w:szCs w:val="30"/>
        </w:rPr>
        <w:t>5.1安全检查表</w:t>
      </w:r>
      <w:bookmarkEnd w:id="238"/>
    </w:p>
    <w:p w14:paraId="47979D44">
      <w:pPr>
        <w:spacing w:line="360" w:lineRule="auto"/>
        <w:ind w:firstLine="560" w:firstLineChars="200"/>
        <w:rPr>
          <w:rFonts w:ascii="宋体" w:hAnsi="宋体" w:cs="宋体"/>
          <w:b w:val="0"/>
          <w:sz w:val="28"/>
          <w:szCs w:val="28"/>
        </w:rPr>
      </w:pPr>
      <w:r>
        <w:rPr>
          <w:rFonts w:hint="eastAsia" w:ascii="宋体" w:hAnsi="宋体" w:cs="宋体"/>
          <w:b w:val="0"/>
          <w:sz w:val="28"/>
          <w:szCs w:val="28"/>
        </w:rPr>
        <w:t>由库区所处地理位置等自然条件结合安全检查表所列检查项目，对项目的选址、</w:t>
      </w:r>
      <w:r>
        <w:rPr>
          <w:rFonts w:hint="eastAsia" w:ascii="宋体" w:hAnsi="宋体" w:cs="宋体"/>
          <w:b w:val="0"/>
          <w:sz w:val="28"/>
        </w:rPr>
        <w:t>总平面布置以及拟改建设施内部安全距离等进行</w:t>
      </w:r>
      <w:r>
        <w:rPr>
          <w:rFonts w:hint="eastAsia" w:ascii="宋体" w:hAnsi="宋体" w:cs="宋体"/>
          <w:b w:val="0"/>
          <w:sz w:val="28"/>
          <w:szCs w:val="28"/>
        </w:rPr>
        <w:t>检查，详见表5.1-1</w:t>
      </w:r>
      <w:r>
        <w:rPr>
          <w:rFonts w:hint="eastAsia" w:ascii="宋体" w:hAnsi="宋体" w:cs="宋体"/>
          <w:b w:val="0"/>
          <w:sz w:val="28"/>
        </w:rPr>
        <w:t>选址及总平面布置单元</w:t>
      </w:r>
      <w:r>
        <w:rPr>
          <w:rFonts w:hint="eastAsia" w:ascii="宋体" w:hAnsi="宋体" w:cs="宋体"/>
          <w:b w:val="0"/>
          <w:sz w:val="28"/>
          <w:szCs w:val="28"/>
        </w:rPr>
        <w:t>安全检查表。</w:t>
      </w:r>
    </w:p>
    <w:p w14:paraId="3E4FB234">
      <w:pPr>
        <w:jc w:val="center"/>
        <w:rPr>
          <w:rFonts w:ascii="黑体" w:hAnsi="黑体" w:eastAsia="黑体" w:cs="Arial"/>
          <w:b w:val="0"/>
          <w:sz w:val="24"/>
        </w:rPr>
      </w:pPr>
      <w:r>
        <w:rPr>
          <w:rFonts w:ascii="黑体" w:hAnsi="黑体" w:eastAsia="黑体" w:cs="Arial"/>
          <w:b w:val="0"/>
          <w:sz w:val="24"/>
        </w:rPr>
        <w:t>表</w:t>
      </w:r>
      <w:r>
        <w:rPr>
          <w:rFonts w:hint="eastAsia" w:ascii="黑体" w:hAnsi="黑体" w:eastAsia="黑体" w:cs="Arial"/>
          <w:b w:val="0"/>
          <w:sz w:val="24"/>
        </w:rPr>
        <w:t>5.1-1</w:t>
      </w:r>
      <w:r>
        <w:rPr>
          <w:rFonts w:ascii="黑体" w:hAnsi="黑体" w:eastAsia="黑体" w:cs="Arial"/>
          <w:b w:val="0"/>
          <w:sz w:val="24"/>
        </w:rPr>
        <w:t xml:space="preserve">  选址及总平面布置单元安全检查表</w:t>
      </w:r>
    </w:p>
    <w:tbl>
      <w:tblPr>
        <w:tblStyle w:val="49"/>
        <w:tblW w:w="93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1"/>
        <w:gridCol w:w="3448"/>
        <w:gridCol w:w="1959"/>
        <w:gridCol w:w="707"/>
        <w:gridCol w:w="2463"/>
      </w:tblGrid>
      <w:tr w14:paraId="2D961D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01" w:type="dxa"/>
            <w:vAlign w:val="center"/>
          </w:tcPr>
          <w:p w14:paraId="214F1528">
            <w:pPr>
              <w:spacing w:line="280" w:lineRule="exact"/>
              <w:jc w:val="center"/>
              <w:rPr>
                <w:rFonts w:ascii="宋体" w:hAnsi="宋体" w:cs="Arial"/>
                <w:bCs/>
                <w:szCs w:val="21"/>
              </w:rPr>
            </w:pPr>
            <w:r>
              <w:rPr>
                <w:rFonts w:ascii="宋体" w:hAnsi="宋体" w:cs="Arial"/>
                <w:bCs/>
                <w:szCs w:val="21"/>
              </w:rPr>
              <w:t>序号</w:t>
            </w:r>
          </w:p>
        </w:tc>
        <w:tc>
          <w:tcPr>
            <w:tcW w:w="3448" w:type="dxa"/>
            <w:vAlign w:val="center"/>
          </w:tcPr>
          <w:p w14:paraId="7CF78140">
            <w:pPr>
              <w:spacing w:line="280" w:lineRule="exact"/>
              <w:jc w:val="center"/>
              <w:rPr>
                <w:rFonts w:ascii="宋体" w:hAnsi="宋体" w:cs="Arial"/>
                <w:bCs/>
                <w:szCs w:val="21"/>
              </w:rPr>
            </w:pPr>
            <w:r>
              <w:rPr>
                <w:rFonts w:ascii="宋体" w:hAnsi="宋体" w:cs="Arial"/>
                <w:bCs/>
                <w:szCs w:val="21"/>
              </w:rPr>
              <w:t>检查项目内容</w:t>
            </w:r>
          </w:p>
        </w:tc>
        <w:tc>
          <w:tcPr>
            <w:tcW w:w="1959" w:type="dxa"/>
            <w:vAlign w:val="center"/>
          </w:tcPr>
          <w:p w14:paraId="00BBDA39">
            <w:pPr>
              <w:spacing w:line="280" w:lineRule="exact"/>
              <w:jc w:val="center"/>
              <w:rPr>
                <w:rFonts w:ascii="宋体" w:hAnsi="宋体" w:cs="Arial"/>
                <w:bCs/>
                <w:szCs w:val="21"/>
              </w:rPr>
            </w:pPr>
            <w:r>
              <w:rPr>
                <w:rFonts w:ascii="宋体" w:hAnsi="宋体" w:cs="Arial"/>
                <w:bCs/>
                <w:szCs w:val="21"/>
              </w:rPr>
              <w:t>依据</w:t>
            </w:r>
          </w:p>
        </w:tc>
        <w:tc>
          <w:tcPr>
            <w:tcW w:w="707" w:type="dxa"/>
            <w:vAlign w:val="center"/>
          </w:tcPr>
          <w:p w14:paraId="670244A2">
            <w:pPr>
              <w:spacing w:line="280" w:lineRule="exact"/>
              <w:jc w:val="center"/>
              <w:rPr>
                <w:rFonts w:ascii="宋体" w:hAnsi="宋体" w:cs="Arial"/>
                <w:bCs/>
                <w:szCs w:val="21"/>
              </w:rPr>
            </w:pPr>
            <w:r>
              <w:rPr>
                <w:rFonts w:ascii="宋体" w:hAnsi="宋体" w:cs="Arial"/>
                <w:bCs/>
                <w:szCs w:val="21"/>
              </w:rPr>
              <w:t>检查</w:t>
            </w:r>
          </w:p>
          <w:p w14:paraId="723A8AF8">
            <w:pPr>
              <w:spacing w:line="280" w:lineRule="exact"/>
              <w:jc w:val="center"/>
              <w:rPr>
                <w:rFonts w:ascii="宋体" w:hAnsi="宋体" w:cs="Arial"/>
                <w:bCs/>
                <w:szCs w:val="21"/>
              </w:rPr>
            </w:pPr>
            <w:r>
              <w:rPr>
                <w:rFonts w:ascii="宋体" w:hAnsi="宋体" w:cs="Arial"/>
                <w:bCs/>
                <w:szCs w:val="21"/>
              </w:rPr>
              <w:t>结果</w:t>
            </w:r>
          </w:p>
        </w:tc>
        <w:tc>
          <w:tcPr>
            <w:tcW w:w="2463" w:type="dxa"/>
            <w:vAlign w:val="center"/>
          </w:tcPr>
          <w:p w14:paraId="0857257B">
            <w:pPr>
              <w:spacing w:line="280" w:lineRule="exact"/>
              <w:jc w:val="center"/>
              <w:rPr>
                <w:rFonts w:ascii="宋体" w:hAnsi="宋体" w:cs="Arial"/>
                <w:bCs/>
                <w:szCs w:val="21"/>
              </w:rPr>
            </w:pPr>
            <w:r>
              <w:rPr>
                <w:rFonts w:ascii="宋体" w:hAnsi="宋体" w:cs="Arial"/>
                <w:bCs/>
                <w:szCs w:val="21"/>
              </w:rPr>
              <w:t>备注</w:t>
            </w:r>
          </w:p>
        </w:tc>
      </w:tr>
      <w:tr w14:paraId="70306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2" w:hRule="atLeast"/>
          <w:jc w:val="center"/>
        </w:trPr>
        <w:tc>
          <w:tcPr>
            <w:tcW w:w="801" w:type="dxa"/>
            <w:vAlign w:val="center"/>
          </w:tcPr>
          <w:p w14:paraId="60AD3D38">
            <w:pPr>
              <w:spacing w:line="280" w:lineRule="exact"/>
              <w:jc w:val="center"/>
              <w:rPr>
                <w:rFonts w:ascii="宋体" w:hAnsi="宋体" w:cs="Arial"/>
                <w:b w:val="0"/>
                <w:szCs w:val="21"/>
              </w:rPr>
            </w:pPr>
            <w:r>
              <w:rPr>
                <w:rFonts w:ascii="宋体" w:hAnsi="宋体" w:cs="Arial"/>
                <w:b w:val="0"/>
                <w:szCs w:val="21"/>
              </w:rPr>
              <w:t>1</w:t>
            </w:r>
          </w:p>
        </w:tc>
        <w:tc>
          <w:tcPr>
            <w:tcW w:w="3448" w:type="dxa"/>
            <w:vAlign w:val="center"/>
          </w:tcPr>
          <w:p w14:paraId="7F25D9D2">
            <w:pPr>
              <w:spacing w:line="280" w:lineRule="exact"/>
              <w:rPr>
                <w:rFonts w:ascii="宋体" w:hAnsi="宋体" w:cs="Arial"/>
                <w:b w:val="0"/>
                <w:szCs w:val="21"/>
              </w:rPr>
            </w:pPr>
            <w:r>
              <w:rPr>
                <w:rFonts w:ascii="宋体" w:hAnsi="宋体" w:cs="Arial"/>
                <w:b w:val="0"/>
                <w:szCs w:val="21"/>
              </w:rPr>
              <w:t>仓库选址应符合城镇规划的要求。并应避开居民点、学校、工业区、旅游重点建筑物、铁路和公路运输线、高压输电线</w:t>
            </w:r>
          </w:p>
        </w:tc>
        <w:tc>
          <w:tcPr>
            <w:tcW w:w="1959" w:type="dxa"/>
            <w:vAlign w:val="center"/>
          </w:tcPr>
          <w:p w14:paraId="7854D7B2">
            <w:pPr>
              <w:spacing w:line="280" w:lineRule="exact"/>
              <w:jc w:val="center"/>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707" w:type="dxa"/>
            <w:vAlign w:val="center"/>
          </w:tcPr>
          <w:p w14:paraId="48AE07E6">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4AE2C203">
            <w:pPr>
              <w:spacing w:line="280" w:lineRule="exact"/>
              <w:jc w:val="center"/>
            </w:pPr>
            <w:r>
              <w:rPr>
                <w:rFonts w:hint="eastAsia" w:ascii="宋体" w:hAnsi="宋体"/>
                <w:b w:val="0"/>
                <w:szCs w:val="21"/>
              </w:rPr>
              <w:t>可行性研究报告已提及或已明确</w:t>
            </w:r>
          </w:p>
        </w:tc>
      </w:tr>
      <w:tr w14:paraId="0E37C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1" w:type="dxa"/>
            <w:vAlign w:val="center"/>
          </w:tcPr>
          <w:p w14:paraId="05925C17">
            <w:pPr>
              <w:spacing w:line="280" w:lineRule="exact"/>
              <w:jc w:val="center"/>
              <w:rPr>
                <w:rFonts w:ascii="宋体" w:hAnsi="宋体" w:cs="Arial"/>
                <w:b w:val="0"/>
                <w:szCs w:val="21"/>
              </w:rPr>
            </w:pPr>
            <w:r>
              <w:rPr>
                <w:rFonts w:ascii="宋体" w:hAnsi="宋体" w:cs="Arial"/>
                <w:b w:val="0"/>
                <w:szCs w:val="21"/>
              </w:rPr>
              <w:t>2</w:t>
            </w:r>
          </w:p>
        </w:tc>
        <w:tc>
          <w:tcPr>
            <w:tcW w:w="3448" w:type="dxa"/>
            <w:vAlign w:val="center"/>
          </w:tcPr>
          <w:p w14:paraId="43934F10">
            <w:pPr>
              <w:spacing w:line="280" w:lineRule="exact"/>
              <w:rPr>
                <w:rFonts w:ascii="宋体" w:hAnsi="宋体" w:cs="Arial"/>
                <w:b w:val="0"/>
                <w:szCs w:val="21"/>
              </w:rPr>
            </w:pPr>
            <w:r>
              <w:rPr>
                <w:rFonts w:ascii="宋体" w:hAnsi="宋体" w:cs="Arial"/>
                <w:b w:val="0"/>
                <w:szCs w:val="21"/>
              </w:rPr>
              <w:t>仓库宜设置在有自然屏障的偏僻地带</w:t>
            </w:r>
          </w:p>
        </w:tc>
        <w:tc>
          <w:tcPr>
            <w:tcW w:w="1959" w:type="dxa"/>
            <w:vAlign w:val="center"/>
          </w:tcPr>
          <w:p w14:paraId="0F62BB34">
            <w:pPr>
              <w:spacing w:line="280" w:lineRule="exact"/>
              <w:jc w:val="center"/>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707" w:type="dxa"/>
            <w:vAlign w:val="center"/>
          </w:tcPr>
          <w:p w14:paraId="1A5BE13C">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41382061">
            <w:pPr>
              <w:spacing w:line="280" w:lineRule="exact"/>
              <w:jc w:val="center"/>
            </w:pPr>
            <w:r>
              <w:rPr>
                <w:rFonts w:hint="eastAsia" w:ascii="宋体" w:hAnsi="宋体"/>
                <w:b w:val="0"/>
                <w:szCs w:val="21"/>
              </w:rPr>
              <w:t>可行性研究报告已提及或已明确</w:t>
            </w:r>
          </w:p>
        </w:tc>
      </w:tr>
      <w:tr w14:paraId="480DB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1" w:type="dxa"/>
            <w:vAlign w:val="center"/>
          </w:tcPr>
          <w:p w14:paraId="7001A2AF">
            <w:pPr>
              <w:spacing w:line="280" w:lineRule="exact"/>
              <w:jc w:val="center"/>
              <w:rPr>
                <w:rFonts w:ascii="宋体" w:hAnsi="宋体" w:cs="Arial"/>
                <w:b w:val="0"/>
                <w:szCs w:val="21"/>
              </w:rPr>
            </w:pPr>
            <w:r>
              <w:rPr>
                <w:rFonts w:ascii="宋体" w:hAnsi="宋体" w:cs="Arial"/>
                <w:b w:val="0"/>
                <w:szCs w:val="21"/>
              </w:rPr>
              <w:t>3</w:t>
            </w:r>
          </w:p>
        </w:tc>
        <w:tc>
          <w:tcPr>
            <w:tcW w:w="3448" w:type="dxa"/>
            <w:vAlign w:val="center"/>
          </w:tcPr>
          <w:p w14:paraId="47173F8D">
            <w:pPr>
              <w:spacing w:line="280" w:lineRule="exact"/>
              <w:rPr>
                <w:rFonts w:ascii="宋体" w:hAnsi="宋体" w:cs="Arial"/>
                <w:b w:val="0"/>
                <w:szCs w:val="21"/>
              </w:rPr>
            </w:pPr>
            <w:r>
              <w:rPr>
                <w:rFonts w:ascii="宋体" w:hAnsi="宋体" w:cs="Arial"/>
                <w:b w:val="0"/>
                <w:szCs w:val="21"/>
              </w:rPr>
              <w:t>仓库与内部最小允许距离应符合规定</w:t>
            </w:r>
          </w:p>
        </w:tc>
        <w:tc>
          <w:tcPr>
            <w:tcW w:w="1959" w:type="dxa"/>
            <w:vAlign w:val="center"/>
          </w:tcPr>
          <w:p w14:paraId="2338C3EE">
            <w:pPr>
              <w:spacing w:line="280" w:lineRule="exact"/>
              <w:jc w:val="center"/>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707" w:type="dxa"/>
            <w:vAlign w:val="center"/>
          </w:tcPr>
          <w:p w14:paraId="6002AD79">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21364BFB">
            <w:pPr>
              <w:spacing w:line="280" w:lineRule="exact"/>
              <w:jc w:val="center"/>
            </w:pPr>
            <w:r>
              <w:rPr>
                <w:rFonts w:hint="eastAsia" w:ascii="宋体" w:hAnsi="宋体"/>
                <w:b w:val="0"/>
                <w:szCs w:val="21"/>
              </w:rPr>
              <w:t>可行性研究报告已提及或已明确</w:t>
            </w:r>
          </w:p>
        </w:tc>
      </w:tr>
      <w:tr w14:paraId="63CFB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1" w:type="dxa"/>
            <w:vAlign w:val="center"/>
          </w:tcPr>
          <w:p w14:paraId="0415C3E4">
            <w:pPr>
              <w:spacing w:line="280" w:lineRule="exact"/>
              <w:jc w:val="center"/>
              <w:rPr>
                <w:rFonts w:ascii="宋体" w:hAnsi="宋体" w:cs="Arial"/>
                <w:b w:val="0"/>
                <w:szCs w:val="21"/>
              </w:rPr>
            </w:pPr>
            <w:r>
              <w:rPr>
                <w:rFonts w:ascii="宋体" w:hAnsi="宋体" w:cs="Arial"/>
                <w:b w:val="0"/>
                <w:szCs w:val="21"/>
              </w:rPr>
              <w:t>4</w:t>
            </w:r>
          </w:p>
        </w:tc>
        <w:tc>
          <w:tcPr>
            <w:tcW w:w="3448" w:type="dxa"/>
            <w:vAlign w:val="center"/>
          </w:tcPr>
          <w:p w14:paraId="503E2035">
            <w:pPr>
              <w:spacing w:line="280" w:lineRule="exact"/>
              <w:rPr>
                <w:rFonts w:ascii="宋体" w:hAnsi="宋体" w:cs="Arial"/>
                <w:b w:val="0"/>
                <w:szCs w:val="21"/>
              </w:rPr>
            </w:pPr>
            <w:r>
              <w:rPr>
                <w:rFonts w:ascii="宋体" w:hAnsi="宋体" w:cs="Arial"/>
                <w:b w:val="0"/>
                <w:szCs w:val="21"/>
              </w:rPr>
              <w:t>应根据仓库的危险等级和计算药量结合地形布置</w:t>
            </w:r>
          </w:p>
        </w:tc>
        <w:tc>
          <w:tcPr>
            <w:tcW w:w="1959" w:type="dxa"/>
            <w:vAlign w:val="center"/>
          </w:tcPr>
          <w:p w14:paraId="1626DA7B">
            <w:pPr>
              <w:spacing w:line="280" w:lineRule="exact"/>
              <w:jc w:val="center"/>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707" w:type="dxa"/>
            <w:vAlign w:val="center"/>
          </w:tcPr>
          <w:p w14:paraId="0085E1ED">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2069A03B">
            <w:pPr>
              <w:spacing w:line="280" w:lineRule="exact"/>
              <w:jc w:val="center"/>
            </w:pPr>
            <w:r>
              <w:rPr>
                <w:rFonts w:hint="eastAsia" w:ascii="宋体" w:hAnsi="宋体"/>
                <w:b w:val="0"/>
                <w:szCs w:val="21"/>
              </w:rPr>
              <w:t>可行性研究报告已提及或已明确</w:t>
            </w:r>
          </w:p>
        </w:tc>
      </w:tr>
      <w:tr w14:paraId="368E2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1" w:type="dxa"/>
            <w:vAlign w:val="center"/>
          </w:tcPr>
          <w:p w14:paraId="77C14EA4">
            <w:pPr>
              <w:spacing w:line="280" w:lineRule="exact"/>
              <w:jc w:val="center"/>
              <w:rPr>
                <w:rFonts w:ascii="宋体" w:hAnsi="宋体" w:cs="Arial"/>
                <w:b w:val="0"/>
                <w:szCs w:val="21"/>
              </w:rPr>
            </w:pPr>
            <w:r>
              <w:rPr>
                <w:rFonts w:ascii="宋体" w:hAnsi="宋体" w:cs="Arial"/>
                <w:b w:val="0"/>
                <w:szCs w:val="21"/>
              </w:rPr>
              <w:t>5</w:t>
            </w:r>
          </w:p>
        </w:tc>
        <w:tc>
          <w:tcPr>
            <w:tcW w:w="3448" w:type="dxa"/>
            <w:vAlign w:val="center"/>
          </w:tcPr>
          <w:p w14:paraId="39EB725F">
            <w:pPr>
              <w:spacing w:line="280" w:lineRule="exact"/>
              <w:rPr>
                <w:rFonts w:ascii="宋体" w:hAnsi="宋体" w:cs="Arial"/>
                <w:b w:val="0"/>
                <w:szCs w:val="21"/>
              </w:rPr>
            </w:pPr>
            <w:r>
              <w:rPr>
                <w:rFonts w:ascii="宋体" w:hAnsi="宋体" w:cs="Arial"/>
                <w:b w:val="0"/>
                <w:szCs w:val="21"/>
              </w:rPr>
              <w:t>同一危险等级的库房宜集中布置；计算药量大或危险性大的和库房，宜布置在危险品库区的边缘或其他有利于安全的地形处</w:t>
            </w:r>
          </w:p>
        </w:tc>
        <w:tc>
          <w:tcPr>
            <w:tcW w:w="1959" w:type="dxa"/>
            <w:vAlign w:val="center"/>
          </w:tcPr>
          <w:p w14:paraId="2E9045C4">
            <w:pPr>
              <w:spacing w:line="280" w:lineRule="exact"/>
              <w:jc w:val="center"/>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707" w:type="dxa"/>
            <w:vAlign w:val="center"/>
          </w:tcPr>
          <w:p w14:paraId="4DD538BA">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64E70145">
            <w:pPr>
              <w:spacing w:line="280" w:lineRule="exact"/>
              <w:jc w:val="center"/>
            </w:pPr>
            <w:r>
              <w:rPr>
                <w:rFonts w:hint="eastAsia" w:ascii="宋体" w:hAnsi="宋体"/>
                <w:b w:val="0"/>
                <w:szCs w:val="21"/>
              </w:rPr>
              <w:t>可行性研究报告已提及或已明确</w:t>
            </w:r>
          </w:p>
        </w:tc>
      </w:tr>
      <w:tr w14:paraId="328A1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1" w:type="dxa"/>
            <w:vAlign w:val="center"/>
          </w:tcPr>
          <w:p w14:paraId="213E0129">
            <w:pPr>
              <w:spacing w:line="280" w:lineRule="exact"/>
              <w:jc w:val="center"/>
              <w:rPr>
                <w:rFonts w:ascii="宋体" w:hAnsi="宋体" w:cs="Arial"/>
                <w:b w:val="0"/>
                <w:szCs w:val="21"/>
              </w:rPr>
            </w:pPr>
            <w:r>
              <w:rPr>
                <w:rFonts w:ascii="宋体" w:hAnsi="宋体" w:cs="Arial"/>
                <w:b w:val="0"/>
                <w:szCs w:val="21"/>
              </w:rPr>
              <w:t>6</w:t>
            </w:r>
          </w:p>
        </w:tc>
        <w:tc>
          <w:tcPr>
            <w:tcW w:w="3448" w:type="dxa"/>
            <w:vAlign w:val="center"/>
          </w:tcPr>
          <w:p w14:paraId="1B0E9A4E">
            <w:pPr>
              <w:spacing w:line="280" w:lineRule="exact"/>
              <w:rPr>
                <w:rFonts w:ascii="宋体" w:hAnsi="宋体" w:cs="Arial"/>
                <w:b w:val="0"/>
                <w:szCs w:val="21"/>
              </w:rPr>
            </w:pPr>
            <w:r>
              <w:rPr>
                <w:rFonts w:ascii="宋体" w:hAnsi="宋体" w:cs="Arial"/>
                <w:b w:val="0"/>
                <w:szCs w:val="21"/>
              </w:rPr>
              <w:t>危险品运输道路不应在其他防护屏障内穿行通过</w:t>
            </w:r>
          </w:p>
        </w:tc>
        <w:tc>
          <w:tcPr>
            <w:tcW w:w="1959" w:type="dxa"/>
            <w:vAlign w:val="center"/>
          </w:tcPr>
          <w:p w14:paraId="7E4B7F82">
            <w:pPr>
              <w:spacing w:line="280" w:lineRule="exact"/>
              <w:jc w:val="center"/>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707" w:type="dxa"/>
            <w:vAlign w:val="center"/>
          </w:tcPr>
          <w:p w14:paraId="7F705F94">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44417888">
            <w:pPr>
              <w:spacing w:line="280" w:lineRule="exact"/>
              <w:jc w:val="center"/>
            </w:pPr>
            <w:r>
              <w:rPr>
                <w:rFonts w:hint="eastAsia" w:ascii="宋体" w:hAnsi="宋体"/>
                <w:b w:val="0"/>
                <w:szCs w:val="21"/>
              </w:rPr>
              <w:t>可行性研究报告已提及或已明确</w:t>
            </w:r>
          </w:p>
        </w:tc>
      </w:tr>
      <w:tr w14:paraId="345512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1" w:type="dxa"/>
            <w:vAlign w:val="center"/>
          </w:tcPr>
          <w:p w14:paraId="732354AD">
            <w:pPr>
              <w:spacing w:line="280" w:lineRule="exact"/>
              <w:jc w:val="center"/>
              <w:rPr>
                <w:rFonts w:ascii="宋体" w:hAnsi="宋体" w:cs="Arial"/>
                <w:b w:val="0"/>
                <w:szCs w:val="21"/>
              </w:rPr>
            </w:pPr>
            <w:r>
              <w:rPr>
                <w:rFonts w:ascii="宋体" w:hAnsi="宋体" w:cs="Arial"/>
                <w:b w:val="0"/>
                <w:szCs w:val="21"/>
              </w:rPr>
              <w:t>7</w:t>
            </w:r>
          </w:p>
        </w:tc>
        <w:tc>
          <w:tcPr>
            <w:tcW w:w="3448" w:type="dxa"/>
            <w:vAlign w:val="center"/>
          </w:tcPr>
          <w:p w14:paraId="05407A72">
            <w:pPr>
              <w:spacing w:line="280" w:lineRule="exact"/>
              <w:rPr>
                <w:rFonts w:ascii="宋体" w:hAnsi="宋体" w:cs="Arial"/>
                <w:b w:val="0"/>
                <w:szCs w:val="21"/>
              </w:rPr>
            </w:pPr>
            <w:r>
              <w:rPr>
                <w:rFonts w:ascii="宋体" w:hAnsi="宋体" w:cs="Arial"/>
                <w:b w:val="0"/>
                <w:szCs w:val="21"/>
              </w:rPr>
              <w:t>危险品总仓库区的围墙设置应符合下列规定：</w:t>
            </w:r>
          </w:p>
          <w:p w14:paraId="7B611A8D">
            <w:pPr>
              <w:spacing w:line="280" w:lineRule="exact"/>
              <w:rPr>
                <w:rFonts w:ascii="宋体" w:hAnsi="宋体" w:cs="Arial"/>
                <w:b w:val="0"/>
                <w:szCs w:val="21"/>
              </w:rPr>
            </w:pPr>
            <w:r>
              <w:rPr>
                <w:rFonts w:ascii="宋体" w:hAnsi="宋体" w:cs="Arial"/>
                <w:b w:val="0"/>
                <w:szCs w:val="21"/>
              </w:rPr>
              <w:t>1.危险品生产区和危险品总仓库区应设置应设置高度不低于2m的围墙。</w:t>
            </w:r>
          </w:p>
          <w:p w14:paraId="6F117829">
            <w:pPr>
              <w:spacing w:line="280" w:lineRule="exact"/>
              <w:rPr>
                <w:rFonts w:ascii="宋体" w:hAnsi="宋体" w:cs="Arial"/>
                <w:b w:val="0"/>
                <w:szCs w:val="21"/>
              </w:rPr>
            </w:pPr>
            <w:r>
              <w:rPr>
                <w:rFonts w:ascii="宋体" w:hAnsi="宋体" w:cs="Arial"/>
                <w:b w:val="0"/>
                <w:szCs w:val="21"/>
              </w:rPr>
              <w:t>2.围墙与危险性建筑物、构筑物之间的距离宜为12m，且不得小于5m。</w:t>
            </w:r>
          </w:p>
          <w:p w14:paraId="1D3037EA">
            <w:pPr>
              <w:spacing w:line="280" w:lineRule="exact"/>
              <w:rPr>
                <w:rFonts w:ascii="宋体" w:hAnsi="宋体" w:cs="Arial"/>
                <w:b w:val="0"/>
                <w:szCs w:val="21"/>
              </w:rPr>
            </w:pPr>
            <w:r>
              <w:rPr>
                <w:rFonts w:ascii="宋体" w:hAnsi="宋体" w:cs="Arial"/>
                <w:b w:val="0"/>
                <w:szCs w:val="21"/>
              </w:rPr>
              <w:t>3.围墙应为密砌墙，特殊地形设置密砌围墙有困难时，局部地段可设置刺丝网围墙。</w:t>
            </w:r>
          </w:p>
        </w:tc>
        <w:tc>
          <w:tcPr>
            <w:tcW w:w="1959" w:type="dxa"/>
            <w:vAlign w:val="center"/>
          </w:tcPr>
          <w:p w14:paraId="3F221A0D">
            <w:pPr>
              <w:spacing w:line="280" w:lineRule="exact"/>
              <w:jc w:val="center"/>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707" w:type="dxa"/>
            <w:vAlign w:val="center"/>
          </w:tcPr>
          <w:p w14:paraId="77E57EDF">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6115C9D9">
            <w:pPr>
              <w:spacing w:line="280" w:lineRule="exact"/>
              <w:jc w:val="center"/>
            </w:pPr>
            <w:r>
              <w:rPr>
                <w:rFonts w:hint="eastAsia" w:ascii="宋体" w:hAnsi="宋体"/>
                <w:b w:val="0"/>
                <w:szCs w:val="21"/>
              </w:rPr>
              <w:t>可行性研究报告已提及或已明确</w:t>
            </w:r>
          </w:p>
        </w:tc>
      </w:tr>
      <w:tr w14:paraId="52F17A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1" w:type="dxa"/>
            <w:vAlign w:val="center"/>
          </w:tcPr>
          <w:p w14:paraId="1743F6CF">
            <w:pPr>
              <w:spacing w:line="280" w:lineRule="exact"/>
              <w:jc w:val="center"/>
              <w:rPr>
                <w:rFonts w:ascii="宋体" w:hAnsi="宋体" w:cs="Arial"/>
                <w:b w:val="0"/>
                <w:szCs w:val="21"/>
              </w:rPr>
            </w:pPr>
            <w:r>
              <w:rPr>
                <w:rFonts w:ascii="宋体" w:hAnsi="宋体" w:cs="Arial"/>
                <w:b w:val="0"/>
                <w:szCs w:val="21"/>
              </w:rPr>
              <w:t>8</w:t>
            </w:r>
          </w:p>
        </w:tc>
        <w:tc>
          <w:tcPr>
            <w:tcW w:w="3448" w:type="dxa"/>
            <w:vAlign w:val="center"/>
          </w:tcPr>
          <w:p w14:paraId="1E246406">
            <w:pPr>
              <w:spacing w:line="280" w:lineRule="exact"/>
              <w:rPr>
                <w:rFonts w:ascii="宋体" w:hAnsi="宋体" w:cs="Arial"/>
                <w:b w:val="0"/>
                <w:szCs w:val="21"/>
              </w:rPr>
            </w:pPr>
            <w:r>
              <w:rPr>
                <w:rFonts w:ascii="宋体" w:hAnsi="宋体" w:cs="Arial"/>
                <w:b w:val="0"/>
                <w:szCs w:val="21"/>
              </w:rPr>
              <w:t>危险品总仓库区的绿化，宜种植阔叶树</w:t>
            </w:r>
          </w:p>
        </w:tc>
        <w:tc>
          <w:tcPr>
            <w:tcW w:w="1959" w:type="dxa"/>
            <w:vAlign w:val="center"/>
          </w:tcPr>
          <w:p w14:paraId="19B3197E">
            <w:pPr>
              <w:spacing w:line="280" w:lineRule="exact"/>
              <w:jc w:val="center"/>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707" w:type="dxa"/>
            <w:vAlign w:val="center"/>
          </w:tcPr>
          <w:p w14:paraId="2EFC4A8E">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0EB72319">
            <w:pPr>
              <w:spacing w:line="280" w:lineRule="exact"/>
              <w:jc w:val="center"/>
            </w:pPr>
            <w:r>
              <w:rPr>
                <w:rFonts w:hint="eastAsia" w:ascii="宋体" w:hAnsi="宋体"/>
                <w:b w:val="0"/>
                <w:szCs w:val="21"/>
              </w:rPr>
              <w:t>可行性研究报告已提及或已明确</w:t>
            </w:r>
          </w:p>
        </w:tc>
      </w:tr>
      <w:tr w14:paraId="347B28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1" w:type="dxa"/>
            <w:vAlign w:val="center"/>
          </w:tcPr>
          <w:p w14:paraId="7D01C7D6">
            <w:pPr>
              <w:spacing w:line="280" w:lineRule="exact"/>
              <w:jc w:val="center"/>
              <w:rPr>
                <w:rFonts w:ascii="宋体" w:hAnsi="宋体" w:cs="Arial"/>
                <w:b w:val="0"/>
                <w:szCs w:val="21"/>
              </w:rPr>
            </w:pPr>
            <w:r>
              <w:rPr>
                <w:rFonts w:ascii="宋体" w:hAnsi="宋体" w:cs="Arial"/>
                <w:b w:val="0"/>
                <w:szCs w:val="21"/>
              </w:rPr>
              <w:t>9</w:t>
            </w:r>
          </w:p>
        </w:tc>
        <w:tc>
          <w:tcPr>
            <w:tcW w:w="3448" w:type="dxa"/>
            <w:vAlign w:val="center"/>
          </w:tcPr>
          <w:p w14:paraId="32C32B04">
            <w:pPr>
              <w:spacing w:line="280" w:lineRule="exact"/>
              <w:rPr>
                <w:rFonts w:ascii="宋体" w:hAnsi="宋体" w:cs="Arial"/>
                <w:b w:val="0"/>
                <w:szCs w:val="21"/>
              </w:rPr>
            </w:pPr>
            <w:r>
              <w:rPr>
                <w:rFonts w:ascii="宋体" w:hAnsi="宋体" w:cs="Arial"/>
                <w:b w:val="0"/>
                <w:szCs w:val="21"/>
              </w:rPr>
              <w:t>距离危险性建、构筑物外墙四周5m内宜设置防火隔离带</w:t>
            </w:r>
          </w:p>
        </w:tc>
        <w:tc>
          <w:tcPr>
            <w:tcW w:w="1959" w:type="dxa"/>
            <w:vAlign w:val="center"/>
          </w:tcPr>
          <w:p w14:paraId="359D732A">
            <w:pPr>
              <w:spacing w:line="280" w:lineRule="exact"/>
              <w:jc w:val="center"/>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707" w:type="dxa"/>
            <w:vAlign w:val="center"/>
          </w:tcPr>
          <w:p w14:paraId="1853761A">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7D036654">
            <w:pPr>
              <w:spacing w:line="280" w:lineRule="exact"/>
              <w:jc w:val="center"/>
            </w:pPr>
            <w:r>
              <w:rPr>
                <w:rFonts w:hint="eastAsia" w:ascii="宋体" w:hAnsi="宋体"/>
                <w:b w:val="0"/>
                <w:szCs w:val="21"/>
              </w:rPr>
              <w:t>可行性研究报告已提及或已明确</w:t>
            </w:r>
          </w:p>
        </w:tc>
      </w:tr>
      <w:tr w14:paraId="7863AA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1" w:type="dxa"/>
            <w:vAlign w:val="center"/>
          </w:tcPr>
          <w:p w14:paraId="643C2EB8">
            <w:pPr>
              <w:spacing w:line="280" w:lineRule="exact"/>
              <w:jc w:val="center"/>
              <w:rPr>
                <w:rFonts w:ascii="宋体" w:hAnsi="宋体" w:cs="Arial"/>
                <w:b w:val="0"/>
                <w:szCs w:val="21"/>
              </w:rPr>
            </w:pPr>
            <w:r>
              <w:rPr>
                <w:rFonts w:ascii="宋体" w:hAnsi="宋体" w:cs="Arial"/>
                <w:b w:val="0"/>
                <w:szCs w:val="21"/>
              </w:rPr>
              <w:t>10</w:t>
            </w:r>
          </w:p>
        </w:tc>
        <w:tc>
          <w:tcPr>
            <w:tcW w:w="3448" w:type="dxa"/>
            <w:vAlign w:val="center"/>
          </w:tcPr>
          <w:p w14:paraId="2FD57AB5">
            <w:pPr>
              <w:spacing w:line="280" w:lineRule="exact"/>
              <w:rPr>
                <w:rFonts w:ascii="宋体" w:hAnsi="宋体" w:cs="Arial"/>
                <w:b w:val="0"/>
                <w:szCs w:val="21"/>
              </w:rPr>
            </w:pPr>
            <w:r>
              <w:rPr>
                <w:rFonts w:ascii="宋体" w:hAnsi="宋体" w:cs="Arial"/>
                <w:b w:val="0"/>
                <w:szCs w:val="21"/>
              </w:rPr>
              <w:t>危险库区内建筑物的内部距离应符合规定</w:t>
            </w:r>
          </w:p>
        </w:tc>
        <w:tc>
          <w:tcPr>
            <w:tcW w:w="1959" w:type="dxa"/>
            <w:vAlign w:val="center"/>
          </w:tcPr>
          <w:p w14:paraId="04F81358">
            <w:pPr>
              <w:spacing w:line="280" w:lineRule="exact"/>
              <w:jc w:val="center"/>
              <w:rPr>
                <w:rFonts w:ascii="宋体" w:hAnsi="宋体" w:cs="Arial"/>
                <w:b w:val="0"/>
                <w:szCs w:val="21"/>
              </w:rPr>
            </w:pP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707" w:type="dxa"/>
            <w:vAlign w:val="center"/>
          </w:tcPr>
          <w:p w14:paraId="34338590">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45BF0672">
            <w:pPr>
              <w:spacing w:line="280" w:lineRule="exact"/>
              <w:jc w:val="center"/>
            </w:pPr>
            <w:r>
              <w:rPr>
                <w:rFonts w:hint="eastAsia" w:ascii="宋体" w:hAnsi="宋体"/>
                <w:b w:val="0"/>
                <w:szCs w:val="21"/>
              </w:rPr>
              <w:t>可行性研究报告已提及或已明确</w:t>
            </w:r>
          </w:p>
        </w:tc>
      </w:tr>
      <w:tr w14:paraId="126CD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1" w:type="dxa"/>
            <w:vAlign w:val="center"/>
          </w:tcPr>
          <w:p w14:paraId="1FB50933">
            <w:pPr>
              <w:spacing w:line="280" w:lineRule="exact"/>
              <w:jc w:val="center"/>
              <w:rPr>
                <w:rFonts w:ascii="宋体" w:hAnsi="宋体" w:cs="Arial"/>
                <w:b w:val="0"/>
                <w:szCs w:val="21"/>
              </w:rPr>
            </w:pPr>
            <w:r>
              <w:rPr>
                <w:rFonts w:hint="eastAsia" w:ascii="宋体" w:hAnsi="宋体" w:cs="Arial"/>
                <w:b w:val="0"/>
                <w:szCs w:val="21"/>
              </w:rPr>
              <w:t>11</w:t>
            </w:r>
          </w:p>
        </w:tc>
        <w:tc>
          <w:tcPr>
            <w:tcW w:w="3448" w:type="dxa"/>
            <w:vAlign w:val="center"/>
          </w:tcPr>
          <w:p w14:paraId="1490ABD2">
            <w:pPr>
              <w:spacing w:line="280" w:lineRule="exact"/>
              <w:rPr>
                <w:rFonts w:ascii="宋体" w:hAnsi="宋体" w:cs="Arial"/>
                <w:b w:val="0"/>
                <w:szCs w:val="21"/>
              </w:rPr>
            </w:pPr>
            <w:r>
              <w:rPr>
                <w:rFonts w:ascii="宋体" w:hAnsi="宋体" w:cs="Arial"/>
                <w:b w:val="0"/>
                <w:szCs w:val="21"/>
              </w:rPr>
              <w:t>危险品库区内各仓库不宜长面相对布置</w:t>
            </w:r>
          </w:p>
        </w:tc>
        <w:tc>
          <w:tcPr>
            <w:tcW w:w="1959" w:type="dxa"/>
            <w:vAlign w:val="center"/>
          </w:tcPr>
          <w:p w14:paraId="2F6728A0">
            <w:pPr>
              <w:spacing w:line="280" w:lineRule="exact"/>
              <w:jc w:val="center"/>
              <w:rPr>
                <w:rFonts w:ascii="宋体" w:hAnsi="宋体" w:cs="Arial"/>
                <w:b w:val="0"/>
                <w:szCs w:val="21"/>
              </w:rPr>
            </w:pP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707" w:type="dxa"/>
            <w:vAlign w:val="center"/>
          </w:tcPr>
          <w:p w14:paraId="0E19183D">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6E7C1066">
            <w:pPr>
              <w:spacing w:line="280" w:lineRule="exact"/>
              <w:jc w:val="center"/>
            </w:pPr>
            <w:r>
              <w:rPr>
                <w:rFonts w:hint="eastAsia" w:ascii="宋体" w:hAnsi="宋体"/>
                <w:b w:val="0"/>
                <w:szCs w:val="21"/>
              </w:rPr>
              <w:t>可行性研究报告已提及或已明确</w:t>
            </w:r>
          </w:p>
        </w:tc>
      </w:tr>
      <w:tr w14:paraId="3F1D6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1" w:type="dxa"/>
            <w:vAlign w:val="center"/>
          </w:tcPr>
          <w:p w14:paraId="505E1211">
            <w:pPr>
              <w:spacing w:line="280" w:lineRule="exact"/>
              <w:jc w:val="center"/>
              <w:rPr>
                <w:rFonts w:ascii="宋体" w:hAnsi="宋体" w:cs="Arial"/>
                <w:b w:val="0"/>
                <w:szCs w:val="21"/>
              </w:rPr>
            </w:pPr>
            <w:r>
              <w:rPr>
                <w:rFonts w:ascii="宋体" w:hAnsi="宋体" w:cs="Arial"/>
                <w:b w:val="0"/>
                <w:szCs w:val="21"/>
              </w:rPr>
              <w:t>1</w:t>
            </w:r>
            <w:r>
              <w:rPr>
                <w:rFonts w:hint="eastAsia" w:ascii="宋体" w:hAnsi="宋体" w:cs="Arial"/>
                <w:b w:val="0"/>
                <w:szCs w:val="21"/>
              </w:rPr>
              <w:t>2</w:t>
            </w:r>
          </w:p>
        </w:tc>
        <w:tc>
          <w:tcPr>
            <w:tcW w:w="3448" w:type="dxa"/>
            <w:vAlign w:val="center"/>
          </w:tcPr>
          <w:p w14:paraId="245E1D55">
            <w:pPr>
              <w:adjustRightInd w:val="0"/>
              <w:snapToGrid w:val="0"/>
              <w:spacing w:line="280" w:lineRule="exact"/>
              <w:rPr>
                <w:rFonts w:ascii="宋体" w:hAnsi="宋体" w:cs="Arial"/>
                <w:b w:val="0"/>
                <w:szCs w:val="21"/>
              </w:rPr>
            </w:pPr>
            <w:r>
              <w:rPr>
                <w:rFonts w:ascii="宋体" w:hAnsi="宋体" w:cs="Arial"/>
                <w:b w:val="0"/>
                <w:szCs w:val="21"/>
              </w:rPr>
              <w:t>库区应位于不受洪水或内涝威胁地区，当不可避免时，应采取可靠的防洪、排涝措施，库址防洪标准可按50年一遇考虑。</w:t>
            </w:r>
          </w:p>
        </w:tc>
        <w:tc>
          <w:tcPr>
            <w:tcW w:w="1959" w:type="dxa"/>
            <w:vAlign w:val="center"/>
          </w:tcPr>
          <w:p w14:paraId="76FB8450">
            <w:pPr>
              <w:adjustRightInd w:val="0"/>
              <w:snapToGrid w:val="0"/>
              <w:spacing w:line="280" w:lineRule="exact"/>
              <w:jc w:val="center"/>
              <w:rPr>
                <w:rFonts w:ascii="宋体" w:hAnsi="宋体" w:cs="Arial"/>
                <w:b w:val="0"/>
                <w:kern w:val="0"/>
                <w:szCs w:val="21"/>
              </w:rPr>
            </w:pPr>
            <w:r>
              <w:rPr>
                <w:rFonts w:ascii="宋体" w:hAnsi="宋体" w:cs="Arial"/>
                <w:b w:val="0"/>
                <w:kern w:val="0"/>
                <w:szCs w:val="21"/>
              </w:rPr>
              <w:t>建标125-2009</w:t>
            </w:r>
          </w:p>
          <w:p w14:paraId="5CFB9550">
            <w:pPr>
              <w:adjustRightInd w:val="0"/>
              <w:snapToGrid w:val="0"/>
              <w:spacing w:line="280" w:lineRule="exact"/>
              <w:jc w:val="center"/>
              <w:rPr>
                <w:rFonts w:ascii="宋体" w:hAnsi="宋体" w:cs="Arial"/>
                <w:b w:val="0"/>
                <w:kern w:val="0"/>
                <w:szCs w:val="21"/>
              </w:rPr>
            </w:pPr>
            <w:r>
              <w:rPr>
                <w:rFonts w:ascii="宋体" w:hAnsi="宋体" w:cs="Arial"/>
                <w:b w:val="0"/>
                <w:kern w:val="0"/>
                <w:szCs w:val="21"/>
              </w:rPr>
              <w:t>第十一条</w:t>
            </w:r>
          </w:p>
        </w:tc>
        <w:tc>
          <w:tcPr>
            <w:tcW w:w="707" w:type="dxa"/>
            <w:vAlign w:val="center"/>
          </w:tcPr>
          <w:p w14:paraId="4E388BEF">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34EE229A">
            <w:pPr>
              <w:spacing w:line="280" w:lineRule="exact"/>
              <w:jc w:val="center"/>
            </w:pPr>
            <w:r>
              <w:rPr>
                <w:rFonts w:hint="eastAsia" w:ascii="宋体" w:hAnsi="宋体"/>
                <w:b w:val="0"/>
                <w:szCs w:val="21"/>
              </w:rPr>
              <w:t>可行性研究报告已提及或已明确</w:t>
            </w:r>
          </w:p>
        </w:tc>
      </w:tr>
      <w:tr w14:paraId="5BD02E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1" w:type="dxa"/>
            <w:vAlign w:val="center"/>
          </w:tcPr>
          <w:p w14:paraId="40591A00">
            <w:pPr>
              <w:spacing w:line="280" w:lineRule="exact"/>
              <w:jc w:val="center"/>
              <w:rPr>
                <w:rFonts w:ascii="宋体" w:hAnsi="宋体" w:cs="Arial"/>
                <w:b w:val="0"/>
                <w:szCs w:val="21"/>
              </w:rPr>
            </w:pPr>
            <w:r>
              <w:rPr>
                <w:rFonts w:ascii="宋体" w:hAnsi="宋体" w:cs="Arial"/>
                <w:b w:val="0"/>
                <w:szCs w:val="21"/>
              </w:rPr>
              <w:t>1</w:t>
            </w:r>
            <w:r>
              <w:rPr>
                <w:rFonts w:hint="eastAsia" w:ascii="宋体" w:hAnsi="宋体" w:cs="Arial"/>
                <w:b w:val="0"/>
                <w:szCs w:val="21"/>
              </w:rPr>
              <w:t>3</w:t>
            </w:r>
          </w:p>
        </w:tc>
        <w:tc>
          <w:tcPr>
            <w:tcW w:w="3448" w:type="dxa"/>
            <w:vAlign w:val="center"/>
          </w:tcPr>
          <w:p w14:paraId="5D0B23A7">
            <w:pPr>
              <w:adjustRightInd w:val="0"/>
              <w:snapToGrid w:val="0"/>
              <w:spacing w:line="280" w:lineRule="exact"/>
              <w:rPr>
                <w:rFonts w:ascii="宋体" w:hAnsi="宋体" w:cs="Arial"/>
                <w:b w:val="0"/>
                <w:szCs w:val="21"/>
              </w:rPr>
            </w:pPr>
            <w:r>
              <w:rPr>
                <w:rFonts w:ascii="宋体" w:hAnsi="宋体" w:cs="Arial"/>
                <w:b w:val="0"/>
                <w:szCs w:val="21"/>
              </w:rPr>
              <w:t>下列地区不应选择为库址：</w:t>
            </w:r>
          </w:p>
          <w:p w14:paraId="3309A0E8">
            <w:pPr>
              <w:adjustRightInd w:val="0"/>
              <w:snapToGrid w:val="0"/>
              <w:spacing w:line="280" w:lineRule="exact"/>
              <w:rPr>
                <w:rFonts w:ascii="宋体" w:hAnsi="宋体" w:cs="Arial"/>
                <w:b w:val="0"/>
                <w:szCs w:val="21"/>
              </w:rPr>
            </w:pPr>
            <w:r>
              <w:rPr>
                <w:rFonts w:ascii="宋体" w:hAnsi="宋体" w:cs="Arial"/>
                <w:b w:val="0"/>
                <w:szCs w:val="21"/>
              </w:rPr>
              <w:t>1、地震烈度大于9度的地区；</w:t>
            </w:r>
          </w:p>
          <w:p w14:paraId="7425EDB7">
            <w:pPr>
              <w:adjustRightInd w:val="0"/>
              <w:snapToGrid w:val="0"/>
              <w:spacing w:line="280" w:lineRule="exact"/>
              <w:rPr>
                <w:rFonts w:ascii="宋体" w:hAnsi="宋体" w:cs="Arial"/>
                <w:b w:val="0"/>
                <w:szCs w:val="21"/>
              </w:rPr>
            </w:pPr>
            <w:r>
              <w:rPr>
                <w:rFonts w:ascii="宋体" w:hAnsi="宋体" w:cs="Arial"/>
                <w:b w:val="0"/>
                <w:szCs w:val="21"/>
              </w:rPr>
              <w:t>2、存在地质危害的地段，如泥石流、滑坡、流沙等；</w:t>
            </w:r>
          </w:p>
          <w:p w14:paraId="63FCC9B9">
            <w:pPr>
              <w:adjustRightInd w:val="0"/>
              <w:snapToGrid w:val="0"/>
              <w:spacing w:line="280" w:lineRule="exact"/>
              <w:rPr>
                <w:rFonts w:ascii="宋体" w:hAnsi="宋体" w:cs="Arial"/>
                <w:b w:val="0"/>
                <w:szCs w:val="21"/>
              </w:rPr>
            </w:pPr>
            <w:r>
              <w:rPr>
                <w:rFonts w:ascii="宋体" w:hAnsi="宋体" w:cs="Arial"/>
                <w:b w:val="0"/>
                <w:szCs w:val="21"/>
              </w:rPr>
              <w:t>3、历史文物古迹保护区；</w:t>
            </w:r>
          </w:p>
          <w:p w14:paraId="4F228070">
            <w:pPr>
              <w:adjustRightInd w:val="0"/>
              <w:snapToGrid w:val="0"/>
              <w:spacing w:line="280" w:lineRule="exact"/>
              <w:rPr>
                <w:rFonts w:ascii="宋体" w:hAnsi="宋体" w:cs="Arial"/>
                <w:b w:val="0"/>
                <w:szCs w:val="21"/>
              </w:rPr>
            </w:pPr>
            <w:r>
              <w:rPr>
                <w:rFonts w:ascii="宋体" w:hAnsi="宋体" w:cs="Arial"/>
                <w:b w:val="0"/>
                <w:szCs w:val="21"/>
              </w:rPr>
              <w:t>4、工程地质不良地区，如</w:t>
            </w:r>
            <w:r>
              <w:rPr>
                <w:rFonts w:hint="eastAsia" w:ascii="宋体" w:hAnsi="宋体" w:cs="宋体"/>
                <w:b w:val="0"/>
                <w:szCs w:val="21"/>
              </w:rPr>
              <w:t>Ⅳ</w:t>
            </w:r>
            <w:r>
              <w:rPr>
                <w:rFonts w:ascii="宋体" w:hAnsi="宋体" w:cs="Arial"/>
                <w:b w:val="0"/>
                <w:szCs w:val="21"/>
              </w:rPr>
              <w:t>级自重湿陷性黄土，厚度大的新近堆积黄土，高压缩性的饱和黄土和</w:t>
            </w:r>
            <w:r>
              <w:rPr>
                <w:rFonts w:hint="eastAsia" w:ascii="宋体" w:hAnsi="宋体" w:cs="宋体"/>
                <w:b w:val="0"/>
                <w:szCs w:val="21"/>
              </w:rPr>
              <w:t>Ⅲ</w:t>
            </w:r>
            <w:r>
              <w:rPr>
                <w:rFonts w:ascii="宋体" w:hAnsi="宋体" w:cs="Arial"/>
                <w:b w:val="0"/>
                <w:szCs w:val="21"/>
              </w:rPr>
              <w:t>级膨胀土区。</w:t>
            </w:r>
          </w:p>
          <w:p w14:paraId="0847F6B2">
            <w:pPr>
              <w:adjustRightInd w:val="0"/>
              <w:snapToGrid w:val="0"/>
              <w:spacing w:line="280" w:lineRule="exact"/>
              <w:rPr>
                <w:rFonts w:ascii="宋体" w:hAnsi="宋体" w:cs="Arial"/>
                <w:b w:val="0"/>
                <w:szCs w:val="21"/>
              </w:rPr>
            </w:pPr>
            <w:r>
              <w:rPr>
                <w:rFonts w:ascii="宋体" w:hAnsi="宋体" w:cs="Arial"/>
                <w:b w:val="0"/>
                <w:szCs w:val="21"/>
              </w:rPr>
              <w:t>5、具有开采价值的矿藏区。</w:t>
            </w:r>
          </w:p>
          <w:p w14:paraId="331A04B8">
            <w:pPr>
              <w:adjustRightInd w:val="0"/>
              <w:snapToGrid w:val="0"/>
              <w:spacing w:line="280" w:lineRule="exact"/>
              <w:rPr>
                <w:rFonts w:ascii="宋体" w:hAnsi="宋体" w:cs="Arial"/>
                <w:b w:val="0"/>
                <w:szCs w:val="21"/>
              </w:rPr>
            </w:pPr>
            <w:r>
              <w:rPr>
                <w:rFonts w:ascii="宋体" w:hAnsi="宋体" w:cs="Arial"/>
                <w:b w:val="0"/>
                <w:szCs w:val="21"/>
              </w:rPr>
              <w:t>6、雷暴区</w:t>
            </w:r>
          </w:p>
        </w:tc>
        <w:tc>
          <w:tcPr>
            <w:tcW w:w="1959" w:type="dxa"/>
            <w:vAlign w:val="center"/>
          </w:tcPr>
          <w:p w14:paraId="5A8F2271">
            <w:pPr>
              <w:adjustRightInd w:val="0"/>
              <w:snapToGrid w:val="0"/>
              <w:spacing w:line="280" w:lineRule="exact"/>
              <w:jc w:val="center"/>
              <w:rPr>
                <w:rFonts w:ascii="宋体" w:hAnsi="宋体" w:cs="Arial"/>
                <w:b w:val="0"/>
                <w:kern w:val="0"/>
                <w:szCs w:val="21"/>
              </w:rPr>
            </w:pPr>
            <w:r>
              <w:rPr>
                <w:rFonts w:ascii="宋体" w:hAnsi="宋体" w:cs="Arial"/>
                <w:b w:val="0"/>
                <w:kern w:val="0"/>
                <w:szCs w:val="21"/>
              </w:rPr>
              <w:t>建标125-2009</w:t>
            </w:r>
          </w:p>
          <w:p w14:paraId="7CFF1DCD">
            <w:pPr>
              <w:adjustRightInd w:val="0"/>
              <w:snapToGrid w:val="0"/>
              <w:spacing w:line="280" w:lineRule="exact"/>
              <w:jc w:val="center"/>
              <w:rPr>
                <w:rFonts w:ascii="宋体" w:hAnsi="宋体" w:cs="Arial"/>
                <w:b w:val="0"/>
                <w:kern w:val="0"/>
                <w:szCs w:val="21"/>
              </w:rPr>
            </w:pPr>
            <w:r>
              <w:rPr>
                <w:rFonts w:ascii="宋体" w:hAnsi="宋体" w:cs="Arial"/>
                <w:b w:val="0"/>
                <w:kern w:val="0"/>
                <w:szCs w:val="21"/>
              </w:rPr>
              <w:t>第十二条</w:t>
            </w:r>
          </w:p>
        </w:tc>
        <w:tc>
          <w:tcPr>
            <w:tcW w:w="707" w:type="dxa"/>
            <w:vAlign w:val="center"/>
          </w:tcPr>
          <w:p w14:paraId="122AC82B">
            <w:pPr>
              <w:spacing w:line="280" w:lineRule="exact"/>
              <w:jc w:val="center"/>
              <w:rPr>
                <w:rFonts w:ascii="宋体" w:hAnsi="宋体" w:cs="Arial"/>
                <w:b w:val="0"/>
                <w:szCs w:val="21"/>
              </w:rPr>
            </w:pPr>
            <w:r>
              <w:rPr>
                <w:rFonts w:ascii="宋体" w:hAnsi="宋体" w:cs="Arial"/>
                <w:b w:val="0"/>
                <w:szCs w:val="21"/>
              </w:rPr>
              <w:t>符合</w:t>
            </w:r>
          </w:p>
        </w:tc>
        <w:tc>
          <w:tcPr>
            <w:tcW w:w="2463" w:type="dxa"/>
            <w:vAlign w:val="center"/>
          </w:tcPr>
          <w:p w14:paraId="7F361E21">
            <w:pPr>
              <w:spacing w:line="280" w:lineRule="exact"/>
              <w:jc w:val="center"/>
              <w:rPr>
                <w:rFonts w:ascii="宋体" w:hAnsi="宋体" w:cs="Arial"/>
                <w:b w:val="0"/>
                <w:szCs w:val="21"/>
              </w:rPr>
            </w:pPr>
            <w:r>
              <w:rPr>
                <w:rFonts w:hint="eastAsia" w:ascii="宋体" w:hAnsi="宋体"/>
                <w:b w:val="0"/>
                <w:szCs w:val="21"/>
              </w:rPr>
              <w:t>可行性研究报告已提及或已明确</w:t>
            </w:r>
          </w:p>
        </w:tc>
      </w:tr>
    </w:tbl>
    <w:p w14:paraId="7FF1DE1F">
      <w:pPr>
        <w:spacing w:before="120" w:beforeLines="50"/>
        <w:jc w:val="center"/>
        <w:rPr>
          <w:rFonts w:ascii="黑体" w:hAnsi="黑体" w:eastAsia="黑体" w:cs="Arial"/>
          <w:b w:val="0"/>
          <w:sz w:val="24"/>
        </w:rPr>
      </w:pPr>
      <w:r>
        <w:rPr>
          <w:rFonts w:ascii="黑体" w:hAnsi="黑体" w:eastAsia="黑体" w:cs="Arial"/>
          <w:b w:val="0"/>
          <w:sz w:val="24"/>
        </w:rPr>
        <w:t>表5.</w:t>
      </w:r>
      <w:r>
        <w:rPr>
          <w:rFonts w:hint="eastAsia" w:ascii="黑体" w:hAnsi="黑体" w:eastAsia="黑体" w:cs="Arial"/>
          <w:b w:val="0"/>
          <w:sz w:val="24"/>
        </w:rPr>
        <w:t>1</w:t>
      </w:r>
      <w:r>
        <w:rPr>
          <w:rFonts w:ascii="黑体" w:hAnsi="黑体" w:eastAsia="黑体" w:cs="Arial"/>
          <w:b w:val="0"/>
          <w:sz w:val="24"/>
        </w:rPr>
        <w:t>.</w:t>
      </w:r>
      <w:r>
        <w:rPr>
          <w:rFonts w:hint="eastAsia" w:ascii="黑体" w:hAnsi="黑体" w:eastAsia="黑体" w:cs="Arial"/>
          <w:b w:val="0"/>
          <w:sz w:val="24"/>
        </w:rPr>
        <w:t>2</w:t>
      </w:r>
      <w:r>
        <w:rPr>
          <w:rFonts w:ascii="黑体" w:hAnsi="黑体" w:eastAsia="黑体" w:cs="Arial"/>
          <w:b w:val="0"/>
          <w:sz w:val="24"/>
        </w:rPr>
        <w:t xml:space="preserve">  安全设施单元安全检查表</w:t>
      </w:r>
    </w:p>
    <w:tbl>
      <w:tblPr>
        <w:tblStyle w:val="49"/>
        <w:tblW w:w="94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1"/>
        <w:gridCol w:w="4092"/>
        <w:gridCol w:w="2043"/>
        <w:gridCol w:w="855"/>
        <w:gridCol w:w="1801"/>
      </w:tblGrid>
      <w:tr w14:paraId="61DA2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 w:hRule="atLeast"/>
          <w:tblHeader/>
          <w:jc w:val="center"/>
        </w:trPr>
        <w:tc>
          <w:tcPr>
            <w:tcW w:w="681" w:type="dxa"/>
            <w:vAlign w:val="center"/>
          </w:tcPr>
          <w:p w14:paraId="7DF5A102">
            <w:pPr>
              <w:spacing w:line="260" w:lineRule="exact"/>
              <w:jc w:val="center"/>
              <w:rPr>
                <w:rFonts w:ascii="宋体" w:hAnsi="宋体" w:cs="Arial"/>
                <w:bCs/>
                <w:szCs w:val="21"/>
              </w:rPr>
            </w:pPr>
            <w:r>
              <w:rPr>
                <w:rFonts w:ascii="宋体" w:hAnsi="宋体" w:cs="Arial"/>
                <w:bCs/>
                <w:szCs w:val="21"/>
              </w:rPr>
              <w:t>序号</w:t>
            </w:r>
          </w:p>
        </w:tc>
        <w:tc>
          <w:tcPr>
            <w:tcW w:w="4092" w:type="dxa"/>
            <w:vAlign w:val="center"/>
          </w:tcPr>
          <w:p w14:paraId="6DEFF90E">
            <w:pPr>
              <w:spacing w:line="260" w:lineRule="exact"/>
              <w:jc w:val="center"/>
              <w:rPr>
                <w:rFonts w:ascii="宋体" w:hAnsi="宋体" w:cs="Arial"/>
                <w:bCs/>
                <w:szCs w:val="21"/>
              </w:rPr>
            </w:pPr>
            <w:r>
              <w:rPr>
                <w:rFonts w:ascii="宋体" w:hAnsi="宋体" w:cs="Arial"/>
                <w:bCs/>
                <w:szCs w:val="21"/>
              </w:rPr>
              <w:t>检查项目内容</w:t>
            </w:r>
          </w:p>
        </w:tc>
        <w:tc>
          <w:tcPr>
            <w:tcW w:w="2043" w:type="dxa"/>
            <w:vAlign w:val="center"/>
          </w:tcPr>
          <w:p w14:paraId="30561378">
            <w:pPr>
              <w:spacing w:line="260" w:lineRule="exact"/>
              <w:jc w:val="center"/>
              <w:rPr>
                <w:rFonts w:ascii="宋体" w:hAnsi="宋体" w:cs="Arial"/>
                <w:bCs/>
                <w:szCs w:val="21"/>
              </w:rPr>
            </w:pPr>
            <w:r>
              <w:rPr>
                <w:rFonts w:ascii="宋体" w:hAnsi="宋体" w:cs="Arial"/>
                <w:bCs/>
                <w:szCs w:val="21"/>
              </w:rPr>
              <w:t>依  据</w:t>
            </w:r>
          </w:p>
        </w:tc>
        <w:tc>
          <w:tcPr>
            <w:tcW w:w="855" w:type="dxa"/>
            <w:vAlign w:val="center"/>
          </w:tcPr>
          <w:p w14:paraId="71F5B293">
            <w:pPr>
              <w:spacing w:line="260" w:lineRule="exact"/>
              <w:jc w:val="center"/>
              <w:rPr>
                <w:rFonts w:ascii="宋体" w:hAnsi="宋体" w:cs="Arial"/>
                <w:bCs/>
                <w:szCs w:val="21"/>
              </w:rPr>
            </w:pPr>
            <w:r>
              <w:rPr>
                <w:rFonts w:ascii="宋体" w:hAnsi="宋体" w:cs="Arial"/>
                <w:bCs/>
                <w:szCs w:val="21"/>
              </w:rPr>
              <w:t>检查</w:t>
            </w:r>
          </w:p>
          <w:p w14:paraId="77A9F6C3">
            <w:pPr>
              <w:spacing w:line="260" w:lineRule="exact"/>
              <w:jc w:val="center"/>
              <w:rPr>
                <w:rFonts w:ascii="宋体" w:hAnsi="宋体" w:cs="Arial"/>
                <w:bCs/>
                <w:szCs w:val="21"/>
              </w:rPr>
            </w:pPr>
            <w:r>
              <w:rPr>
                <w:rFonts w:ascii="宋体" w:hAnsi="宋体" w:cs="Arial"/>
                <w:bCs/>
                <w:szCs w:val="21"/>
              </w:rPr>
              <w:t>结果</w:t>
            </w:r>
          </w:p>
        </w:tc>
        <w:tc>
          <w:tcPr>
            <w:tcW w:w="1801" w:type="dxa"/>
            <w:vAlign w:val="center"/>
          </w:tcPr>
          <w:p w14:paraId="222C15CD">
            <w:pPr>
              <w:spacing w:line="260" w:lineRule="exact"/>
              <w:jc w:val="center"/>
              <w:rPr>
                <w:rFonts w:ascii="宋体" w:hAnsi="宋体" w:cs="Arial"/>
                <w:bCs/>
                <w:szCs w:val="21"/>
              </w:rPr>
            </w:pPr>
            <w:r>
              <w:rPr>
                <w:rFonts w:ascii="宋体" w:hAnsi="宋体" w:cs="Arial"/>
                <w:bCs/>
                <w:szCs w:val="21"/>
              </w:rPr>
              <w:t>备 注</w:t>
            </w:r>
          </w:p>
        </w:tc>
      </w:tr>
      <w:tr w14:paraId="71BD0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7FC902D0">
            <w:pPr>
              <w:spacing w:line="260" w:lineRule="exact"/>
              <w:jc w:val="center"/>
              <w:rPr>
                <w:rFonts w:ascii="宋体" w:hAnsi="宋体" w:cs="Arial"/>
                <w:b w:val="0"/>
                <w:szCs w:val="21"/>
              </w:rPr>
            </w:pPr>
            <w:r>
              <w:rPr>
                <w:rFonts w:ascii="宋体" w:hAnsi="宋体" w:cs="Arial"/>
                <w:b w:val="0"/>
                <w:szCs w:val="21"/>
              </w:rPr>
              <w:t>1</w:t>
            </w:r>
          </w:p>
        </w:tc>
        <w:tc>
          <w:tcPr>
            <w:tcW w:w="4092" w:type="dxa"/>
            <w:vAlign w:val="center"/>
          </w:tcPr>
          <w:p w14:paraId="74B3E9C1">
            <w:pPr>
              <w:spacing w:line="260" w:lineRule="exact"/>
              <w:rPr>
                <w:rFonts w:ascii="宋体" w:hAnsi="宋体" w:cs="Arial"/>
                <w:b w:val="0"/>
                <w:szCs w:val="21"/>
              </w:rPr>
            </w:pPr>
            <w:r>
              <w:rPr>
                <w:rFonts w:ascii="宋体" w:hAnsi="宋体" w:cs="Arial"/>
                <w:b w:val="0"/>
                <w:szCs w:val="21"/>
              </w:rPr>
              <w:t>烟花爆竹经营批发仓库必须设置消防给水设施。消防给水可采用消火栓、手抬机动消防泵等不同形式的给水系统</w:t>
            </w:r>
          </w:p>
        </w:tc>
        <w:tc>
          <w:tcPr>
            <w:tcW w:w="2043" w:type="dxa"/>
            <w:vAlign w:val="center"/>
          </w:tcPr>
          <w:p w14:paraId="2B513263">
            <w:pPr>
              <w:spacing w:line="260" w:lineRule="exact"/>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855" w:type="dxa"/>
            <w:vAlign w:val="center"/>
          </w:tcPr>
          <w:p w14:paraId="04E7EC51">
            <w:pPr>
              <w:spacing w:line="260" w:lineRule="exact"/>
              <w:jc w:val="center"/>
              <w:rPr>
                <w:rFonts w:ascii="宋体" w:hAnsi="宋体" w:cs="Arial"/>
                <w:b w:val="0"/>
                <w:szCs w:val="21"/>
              </w:rPr>
            </w:pPr>
            <w:r>
              <w:rPr>
                <w:rFonts w:ascii="宋体" w:hAnsi="宋体" w:cs="Arial"/>
                <w:b w:val="0"/>
                <w:szCs w:val="21"/>
              </w:rPr>
              <w:t>合格</w:t>
            </w:r>
          </w:p>
        </w:tc>
        <w:tc>
          <w:tcPr>
            <w:tcW w:w="1801" w:type="dxa"/>
            <w:vAlign w:val="center"/>
          </w:tcPr>
          <w:p w14:paraId="64A564C2">
            <w:pPr>
              <w:spacing w:line="260" w:lineRule="exact"/>
              <w:jc w:val="center"/>
              <w:rPr>
                <w:rFonts w:ascii="宋体" w:hAnsi="宋体"/>
              </w:rPr>
            </w:pPr>
            <w:r>
              <w:rPr>
                <w:rFonts w:hint="eastAsia" w:ascii="宋体" w:hAnsi="宋体"/>
                <w:b w:val="0"/>
                <w:szCs w:val="21"/>
              </w:rPr>
              <w:t>可行性研究报告已提及或已明确</w:t>
            </w:r>
          </w:p>
        </w:tc>
      </w:tr>
      <w:tr w14:paraId="3A06A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0C9F35BE">
            <w:pPr>
              <w:spacing w:line="260" w:lineRule="exact"/>
              <w:jc w:val="center"/>
              <w:rPr>
                <w:rFonts w:ascii="宋体" w:hAnsi="宋体" w:cs="Arial"/>
                <w:b w:val="0"/>
                <w:szCs w:val="21"/>
              </w:rPr>
            </w:pPr>
            <w:r>
              <w:rPr>
                <w:rFonts w:ascii="宋体" w:hAnsi="宋体" w:cs="Arial"/>
                <w:b w:val="0"/>
                <w:szCs w:val="21"/>
              </w:rPr>
              <w:t>2</w:t>
            </w:r>
          </w:p>
        </w:tc>
        <w:tc>
          <w:tcPr>
            <w:tcW w:w="4092" w:type="dxa"/>
            <w:vAlign w:val="center"/>
          </w:tcPr>
          <w:p w14:paraId="2BADEB2A">
            <w:pPr>
              <w:spacing w:line="260" w:lineRule="exact"/>
              <w:rPr>
                <w:rFonts w:ascii="宋体" w:hAnsi="宋体" w:cs="Arial"/>
                <w:b w:val="0"/>
                <w:szCs w:val="21"/>
              </w:rPr>
            </w:pPr>
            <w:r>
              <w:rPr>
                <w:rFonts w:ascii="宋体" w:hAnsi="宋体" w:cs="Arial"/>
                <w:b w:val="0"/>
                <w:szCs w:val="21"/>
              </w:rPr>
              <w:t>消防给水的水源必须充足可靠。当利用天然水源时，在枯水期应有可靠的取水设施；当水源来自市政给水管网而厂区内无消防蓄水设施时，消防给水管网应设计成环状，并有两条输水干管接自市政给水管网；当采用自备水源井时，应设置消防蓄水设施</w:t>
            </w:r>
          </w:p>
        </w:tc>
        <w:tc>
          <w:tcPr>
            <w:tcW w:w="2043" w:type="dxa"/>
            <w:vAlign w:val="center"/>
          </w:tcPr>
          <w:p w14:paraId="2FB92814">
            <w:pPr>
              <w:spacing w:line="260" w:lineRule="exact"/>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855" w:type="dxa"/>
            <w:vAlign w:val="center"/>
          </w:tcPr>
          <w:p w14:paraId="460388A4">
            <w:pPr>
              <w:spacing w:line="260" w:lineRule="exact"/>
              <w:jc w:val="center"/>
              <w:rPr>
                <w:rFonts w:ascii="宋体" w:hAnsi="宋体" w:cs="Arial"/>
                <w:b w:val="0"/>
                <w:szCs w:val="21"/>
              </w:rPr>
            </w:pPr>
            <w:r>
              <w:rPr>
                <w:rFonts w:ascii="宋体" w:hAnsi="宋体" w:cs="Arial"/>
                <w:b w:val="0"/>
                <w:szCs w:val="21"/>
              </w:rPr>
              <w:t>合格</w:t>
            </w:r>
          </w:p>
        </w:tc>
        <w:tc>
          <w:tcPr>
            <w:tcW w:w="1801" w:type="dxa"/>
            <w:vAlign w:val="center"/>
          </w:tcPr>
          <w:p w14:paraId="6238B5B7">
            <w:pPr>
              <w:spacing w:line="260" w:lineRule="exact"/>
              <w:jc w:val="center"/>
              <w:rPr>
                <w:rFonts w:ascii="宋体" w:hAnsi="宋体"/>
              </w:rPr>
            </w:pPr>
            <w:r>
              <w:rPr>
                <w:rFonts w:hint="eastAsia" w:ascii="宋体" w:hAnsi="宋体"/>
                <w:b w:val="0"/>
                <w:szCs w:val="21"/>
              </w:rPr>
              <w:t>可行性研究报告已提及或已明确</w:t>
            </w:r>
          </w:p>
        </w:tc>
      </w:tr>
      <w:tr w14:paraId="5FC2A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04442038">
            <w:pPr>
              <w:spacing w:line="260" w:lineRule="exact"/>
              <w:jc w:val="center"/>
              <w:rPr>
                <w:rFonts w:ascii="宋体" w:hAnsi="宋体" w:cs="Arial"/>
                <w:b w:val="0"/>
                <w:szCs w:val="21"/>
              </w:rPr>
            </w:pPr>
            <w:r>
              <w:rPr>
                <w:rFonts w:ascii="宋体" w:hAnsi="宋体" w:cs="Arial"/>
                <w:b w:val="0"/>
                <w:szCs w:val="21"/>
              </w:rPr>
              <w:t>3</w:t>
            </w:r>
          </w:p>
        </w:tc>
        <w:tc>
          <w:tcPr>
            <w:tcW w:w="4092" w:type="dxa"/>
            <w:vAlign w:val="center"/>
          </w:tcPr>
          <w:p w14:paraId="46594CD6">
            <w:pPr>
              <w:spacing w:line="260" w:lineRule="exact"/>
              <w:rPr>
                <w:rFonts w:ascii="宋体" w:hAnsi="宋体" w:cs="Arial"/>
                <w:b w:val="0"/>
                <w:szCs w:val="21"/>
              </w:rPr>
            </w:pPr>
            <w:r>
              <w:rPr>
                <w:rFonts w:ascii="宋体" w:hAnsi="宋体" w:cs="Arial"/>
                <w:b w:val="0"/>
                <w:szCs w:val="21"/>
              </w:rPr>
              <w:t>危险品总仓库区根据当地消防供水条件，可设消防蓄水池、高位水池、室外消火栓或利用天然河、塘。室外消防用水量应按现行国家标准《建筑设计防火规范》GB50016中甲类仓库的规定执行，消防延续时间按3h计算。供消防车或手抬机动消防泵取水的消防蓄水池的保护半径不应大于150m。</w:t>
            </w:r>
          </w:p>
        </w:tc>
        <w:tc>
          <w:tcPr>
            <w:tcW w:w="2043" w:type="dxa"/>
            <w:vAlign w:val="center"/>
          </w:tcPr>
          <w:p w14:paraId="142DE476">
            <w:pPr>
              <w:spacing w:line="260" w:lineRule="exact"/>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855" w:type="dxa"/>
            <w:vAlign w:val="center"/>
          </w:tcPr>
          <w:p w14:paraId="0EC3549F">
            <w:pPr>
              <w:spacing w:line="260" w:lineRule="exact"/>
              <w:jc w:val="center"/>
              <w:rPr>
                <w:rFonts w:ascii="宋体" w:hAnsi="宋体" w:cs="Arial"/>
                <w:b w:val="0"/>
                <w:szCs w:val="21"/>
              </w:rPr>
            </w:pPr>
            <w:r>
              <w:rPr>
                <w:rFonts w:ascii="宋体" w:hAnsi="宋体" w:cs="Arial"/>
                <w:b w:val="0"/>
                <w:szCs w:val="21"/>
              </w:rPr>
              <w:t>合格</w:t>
            </w:r>
          </w:p>
        </w:tc>
        <w:tc>
          <w:tcPr>
            <w:tcW w:w="1801" w:type="dxa"/>
            <w:vAlign w:val="center"/>
          </w:tcPr>
          <w:p w14:paraId="65752918">
            <w:pPr>
              <w:spacing w:line="260" w:lineRule="exact"/>
              <w:jc w:val="center"/>
              <w:rPr>
                <w:rFonts w:ascii="宋体" w:hAnsi="宋体"/>
              </w:rPr>
            </w:pPr>
            <w:r>
              <w:rPr>
                <w:rFonts w:hint="eastAsia" w:ascii="宋体" w:hAnsi="宋体"/>
                <w:b w:val="0"/>
                <w:szCs w:val="21"/>
              </w:rPr>
              <w:t>可行性研究报告已提及或已明确</w:t>
            </w:r>
          </w:p>
        </w:tc>
      </w:tr>
      <w:tr w14:paraId="0C37E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622D8B18">
            <w:pPr>
              <w:spacing w:line="260" w:lineRule="exact"/>
              <w:jc w:val="center"/>
              <w:rPr>
                <w:rFonts w:ascii="宋体" w:hAnsi="宋体" w:cs="Arial"/>
                <w:b w:val="0"/>
                <w:szCs w:val="21"/>
              </w:rPr>
            </w:pPr>
            <w:r>
              <w:rPr>
                <w:rFonts w:ascii="宋体" w:hAnsi="宋体" w:cs="Arial"/>
                <w:b w:val="0"/>
                <w:szCs w:val="21"/>
              </w:rPr>
              <w:t>4</w:t>
            </w:r>
          </w:p>
        </w:tc>
        <w:tc>
          <w:tcPr>
            <w:tcW w:w="4092" w:type="dxa"/>
            <w:vAlign w:val="center"/>
          </w:tcPr>
          <w:p w14:paraId="2EA155E1">
            <w:pPr>
              <w:spacing w:line="260" w:lineRule="exact"/>
              <w:rPr>
                <w:rFonts w:ascii="宋体" w:hAnsi="宋体" w:cs="Arial"/>
                <w:b w:val="0"/>
                <w:szCs w:val="21"/>
              </w:rPr>
            </w:pPr>
            <w:r>
              <w:rPr>
                <w:rFonts w:ascii="宋体" w:hAnsi="宋体" w:cs="Arial"/>
                <w:b w:val="0"/>
                <w:szCs w:val="21"/>
              </w:rPr>
              <w:t>消防储备水应有平时不被动用的措施。使用后的补给恢复时间不宜超过48h</w:t>
            </w:r>
          </w:p>
        </w:tc>
        <w:tc>
          <w:tcPr>
            <w:tcW w:w="2043" w:type="dxa"/>
            <w:vAlign w:val="center"/>
          </w:tcPr>
          <w:p w14:paraId="5EE3E8DB">
            <w:pPr>
              <w:spacing w:line="260" w:lineRule="exact"/>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855" w:type="dxa"/>
            <w:vAlign w:val="center"/>
          </w:tcPr>
          <w:p w14:paraId="6E4EFDA2">
            <w:pPr>
              <w:spacing w:line="260" w:lineRule="exact"/>
              <w:jc w:val="center"/>
              <w:rPr>
                <w:rFonts w:ascii="宋体" w:hAnsi="宋体" w:cs="Arial"/>
                <w:b w:val="0"/>
                <w:szCs w:val="21"/>
              </w:rPr>
            </w:pPr>
            <w:r>
              <w:rPr>
                <w:rFonts w:ascii="宋体" w:hAnsi="宋体" w:cs="Arial"/>
                <w:b w:val="0"/>
                <w:szCs w:val="21"/>
              </w:rPr>
              <w:t>合格</w:t>
            </w:r>
          </w:p>
        </w:tc>
        <w:tc>
          <w:tcPr>
            <w:tcW w:w="1801" w:type="dxa"/>
            <w:vAlign w:val="center"/>
          </w:tcPr>
          <w:p w14:paraId="29ADD22D">
            <w:pPr>
              <w:spacing w:line="260" w:lineRule="exact"/>
              <w:jc w:val="center"/>
              <w:rPr>
                <w:rFonts w:ascii="宋体" w:hAnsi="宋体"/>
              </w:rPr>
            </w:pPr>
            <w:r>
              <w:rPr>
                <w:rFonts w:hint="eastAsia" w:ascii="宋体" w:hAnsi="宋体"/>
                <w:b w:val="0"/>
                <w:szCs w:val="21"/>
              </w:rPr>
              <w:t>可行性研究报告已提及或已明确</w:t>
            </w:r>
          </w:p>
        </w:tc>
      </w:tr>
      <w:tr w14:paraId="042120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6265F6E3">
            <w:pPr>
              <w:spacing w:line="260" w:lineRule="exact"/>
              <w:jc w:val="center"/>
              <w:rPr>
                <w:rFonts w:ascii="宋体" w:hAnsi="宋体" w:cs="Arial"/>
                <w:b w:val="0"/>
                <w:szCs w:val="21"/>
              </w:rPr>
            </w:pPr>
            <w:r>
              <w:rPr>
                <w:rFonts w:ascii="宋体" w:hAnsi="宋体" w:cs="Arial"/>
                <w:b w:val="0"/>
                <w:szCs w:val="21"/>
              </w:rPr>
              <w:t>5</w:t>
            </w:r>
          </w:p>
        </w:tc>
        <w:tc>
          <w:tcPr>
            <w:tcW w:w="4092" w:type="dxa"/>
            <w:vAlign w:val="center"/>
          </w:tcPr>
          <w:p w14:paraId="389E2352">
            <w:pPr>
              <w:spacing w:line="260" w:lineRule="exact"/>
              <w:rPr>
                <w:rFonts w:ascii="宋体" w:hAnsi="宋体" w:cs="Arial"/>
                <w:b w:val="0"/>
                <w:szCs w:val="21"/>
              </w:rPr>
            </w:pPr>
            <w:r>
              <w:rPr>
                <w:rFonts w:ascii="宋体" w:hAnsi="宋体" w:cs="Arial"/>
                <w:b w:val="0"/>
                <w:szCs w:val="21"/>
              </w:rPr>
              <w:t>烟花爆竹生产项目和经营批发仓库宜按现行国家标准的有关规定配置灭火器</w:t>
            </w:r>
          </w:p>
        </w:tc>
        <w:tc>
          <w:tcPr>
            <w:tcW w:w="2043" w:type="dxa"/>
            <w:vAlign w:val="center"/>
          </w:tcPr>
          <w:p w14:paraId="17E00103">
            <w:pPr>
              <w:spacing w:line="260" w:lineRule="exact"/>
              <w:rPr>
                <w:rFonts w:ascii="宋体" w:hAnsi="宋体" w:cs="Arial"/>
                <w:b w:val="0"/>
                <w:szCs w:val="21"/>
              </w:rPr>
            </w:pPr>
            <w:r>
              <w:rPr>
                <w:rFonts w:ascii="宋体" w:hAnsi="宋体" w:cs="Arial"/>
                <w:b w:val="0"/>
                <w:szCs w:val="21"/>
              </w:rPr>
              <w:t>《</w:t>
            </w:r>
            <w:r>
              <w:rPr>
                <w:rFonts w:hint="eastAsia" w:ascii="宋体" w:hAnsi="宋体" w:cs="Arial"/>
                <w:b w:val="0"/>
                <w:szCs w:val="21"/>
              </w:rPr>
              <w:t>烟花爆竹工程设计安全标准</w:t>
            </w:r>
            <w:r>
              <w:rPr>
                <w:rFonts w:ascii="宋体" w:hAnsi="宋体" w:cs="Arial"/>
                <w:b w:val="0"/>
                <w:szCs w:val="21"/>
              </w:rPr>
              <w:t>》（</w:t>
            </w:r>
            <w:r>
              <w:rPr>
                <w:rFonts w:hint="eastAsia" w:ascii="宋体" w:hAnsi="宋体" w:cs="Arial"/>
                <w:b w:val="0"/>
                <w:szCs w:val="21"/>
              </w:rPr>
              <w:t>GB50161-2022</w:t>
            </w:r>
            <w:r>
              <w:rPr>
                <w:rFonts w:ascii="宋体" w:hAnsi="宋体" w:cs="Arial"/>
                <w:b w:val="0"/>
                <w:szCs w:val="21"/>
              </w:rPr>
              <w:t>）</w:t>
            </w:r>
          </w:p>
        </w:tc>
        <w:tc>
          <w:tcPr>
            <w:tcW w:w="855" w:type="dxa"/>
            <w:vAlign w:val="center"/>
          </w:tcPr>
          <w:p w14:paraId="38BFC8E0">
            <w:pPr>
              <w:spacing w:line="260" w:lineRule="exact"/>
              <w:jc w:val="center"/>
              <w:rPr>
                <w:rFonts w:ascii="宋体" w:hAnsi="宋体" w:cs="Arial"/>
                <w:b w:val="0"/>
                <w:szCs w:val="21"/>
              </w:rPr>
            </w:pPr>
            <w:r>
              <w:rPr>
                <w:rFonts w:ascii="宋体" w:hAnsi="宋体" w:cs="Arial"/>
                <w:b w:val="0"/>
                <w:szCs w:val="21"/>
              </w:rPr>
              <w:t>合格</w:t>
            </w:r>
          </w:p>
        </w:tc>
        <w:tc>
          <w:tcPr>
            <w:tcW w:w="1801" w:type="dxa"/>
            <w:vAlign w:val="center"/>
          </w:tcPr>
          <w:p w14:paraId="784C7455">
            <w:pPr>
              <w:spacing w:line="260" w:lineRule="exact"/>
              <w:jc w:val="center"/>
              <w:rPr>
                <w:rFonts w:ascii="宋体" w:hAnsi="宋体"/>
              </w:rPr>
            </w:pPr>
            <w:r>
              <w:rPr>
                <w:rFonts w:hint="eastAsia" w:ascii="宋体" w:hAnsi="宋体"/>
                <w:b w:val="0"/>
                <w:szCs w:val="21"/>
              </w:rPr>
              <w:t>可行性研究报告已提及或已明确</w:t>
            </w:r>
          </w:p>
        </w:tc>
      </w:tr>
      <w:tr w14:paraId="44FB0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2DF26CBD">
            <w:pPr>
              <w:spacing w:line="260" w:lineRule="exact"/>
              <w:jc w:val="center"/>
              <w:rPr>
                <w:rFonts w:ascii="宋体" w:hAnsi="宋体" w:cs="Arial"/>
                <w:b w:val="0"/>
                <w:szCs w:val="21"/>
              </w:rPr>
            </w:pPr>
            <w:r>
              <w:rPr>
                <w:rFonts w:hint="eastAsia" w:ascii="宋体" w:hAnsi="宋体" w:cs="Arial"/>
                <w:b w:val="0"/>
                <w:szCs w:val="21"/>
              </w:rPr>
              <w:t>6</w:t>
            </w:r>
          </w:p>
        </w:tc>
        <w:tc>
          <w:tcPr>
            <w:tcW w:w="4092" w:type="dxa"/>
            <w:vAlign w:val="center"/>
          </w:tcPr>
          <w:p w14:paraId="196F88E6">
            <w:pPr>
              <w:spacing w:line="260" w:lineRule="exact"/>
              <w:rPr>
                <w:rFonts w:ascii="宋体" w:hAnsi="宋体" w:cs="Arial"/>
                <w:b w:val="0"/>
                <w:szCs w:val="21"/>
              </w:rPr>
            </w:pPr>
            <w:r>
              <w:rPr>
                <w:rFonts w:hint="eastAsia" w:ascii="宋体" w:hAnsi="宋体" w:cs="Arial"/>
                <w:b w:val="0"/>
                <w:szCs w:val="21"/>
              </w:rPr>
              <w:t>危险品仓库应根据当地气候和存放物品的要求，采取防潮、隔热、通风、防小动物等措施</w:t>
            </w:r>
          </w:p>
        </w:tc>
        <w:tc>
          <w:tcPr>
            <w:tcW w:w="2043" w:type="dxa"/>
            <w:vAlign w:val="center"/>
          </w:tcPr>
          <w:p w14:paraId="5D12495C">
            <w:pPr>
              <w:spacing w:line="260" w:lineRule="exact"/>
              <w:rPr>
                <w:rFonts w:ascii="宋体" w:hAnsi="宋体" w:cs="Arial"/>
                <w:b w:val="0"/>
                <w:szCs w:val="21"/>
              </w:rPr>
            </w:pPr>
            <w:r>
              <w:rPr>
                <w:rFonts w:hint="eastAsia" w:ascii="宋体" w:hAnsi="宋体" w:cs="Arial"/>
                <w:b w:val="0"/>
                <w:szCs w:val="21"/>
              </w:rPr>
              <w:t>《烟花爆竹工程设计安全标准》（GB50161-2022）</w:t>
            </w:r>
          </w:p>
        </w:tc>
        <w:tc>
          <w:tcPr>
            <w:tcW w:w="855" w:type="dxa"/>
            <w:vAlign w:val="center"/>
          </w:tcPr>
          <w:p w14:paraId="44B7FD5C">
            <w:pPr>
              <w:spacing w:line="260" w:lineRule="exact"/>
              <w:jc w:val="center"/>
              <w:rPr>
                <w:rFonts w:ascii="宋体" w:hAnsi="宋体" w:cs="Arial"/>
                <w:b w:val="0"/>
                <w:szCs w:val="21"/>
              </w:rPr>
            </w:pPr>
            <w:r>
              <w:rPr>
                <w:rFonts w:hint="eastAsia" w:ascii="宋体" w:hAnsi="宋体" w:cs="Arial"/>
                <w:b w:val="0"/>
                <w:szCs w:val="21"/>
              </w:rPr>
              <w:t>合格</w:t>
            </w:r>
          </w:p>
        </w:tc>
        <w:tc>
          <w:tcPr>
            <w:tcW w:w="1801" w:type="dxa"/>
            <w:vAlign w:val="center"/>
          </w:tcPr>
          <w:p w14:paraId="5EFA1F3B">
            <w:pPr>
              <w:spacing w:line="260" w:lineRule="exact"/>
              <w:jc w:val="center"/>
              <w:rPr>
                <w:rFonts w:ascii="宋体" w:hAnsi="宋体"/>
              </w:rPr>
            </w:pPr>
            <w:r>
              <w:rPr>
                <w:rFonts w:hint="eastAsia" w:ascii="宋体" w:hAnsi="宋体"/>
                <w:b w:val="0"/>
                <w:szCs w:val="21"/>
              </w:rPr>
              <w:t>可行性研究报告已提及或已明确</w:t>
            </w:r>
          </w:p>
        </w:tc>
      </w:tr>
      <w:tr w14:paraId="7E273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29F51140">
            <w:pPr>
              <w:spacing w:line="260" w:lineRule="exact"/>
              <w:jc w:val="center"/>
              <w:rPr>
                <w:rFonts w:ascii="宋体" w:hAnsi="宋体" w:cs="Arial"/>
                <w:b w:val="0"/>
                <w:szCs w:val="21"/>
              </w:rPr>
            </w:pPr>
            <w:r>
              <w:rPr>
                <w:rFonts w:hint="eastAsia" w:ascii="宋体" w:hAnsi="宋体" w:cs="Arial"/>
                <w:b w:val="0"/>
                <w:szCs w:val="21"/>
              </w:rPr>
              <w:t>7</w:t>
            </w:r>
          </w:p>
        </w:tc>
        <w:tc>
          <w:tcPr>
            <w:tcW w:w="4092" w:type="dxa"/>
            <w:vAlign w:val="center"/>
          </w:tcPr>
          <w:p w14:paraId="2D439EC8">
            <w:pPr>
              <w:spacing w:line="260" w:lineRule="exact"/>
              <w:rPr>
                <w:rFonts w:ascii="宋体" w:hAnsi="宋体" w:cs="Arial"/>
                <w:b w:val="0"/>
                <w:szCs w:val="21"/>
              </w:rPr>
            </w:pPr>
            <w:r>
              <w:rPr>
                <w:rFonts w:ascii="宋体" w:hAnsi="宋体" w:cs="Arial"/>
                <w:b w:val="0"/>
                <w:szCs w:val="21"/>
              </w:rPr>
              <w:t>危险品仓库宜采用现浇钢筋混凝土框架结构，也可采用钢筋混凝土柱、梁承重结构或砌体承重结构。屋盖宜采用现浇钢筋混凝土屋盖，也可采用轻质泄压或轻质易碎屋盖。1.3级仓库屋盖当采用现浇钢筋混凝土屋盖时，宜多设置门及高窗或采用轻型围护结构等，</w:t>
            </w:r>
            <w:r>
              <w:rPr>
                <w:rFonts w:hint="eastAsia" w:ascii="宋体" w:hAnsi="宋体" w:cs="Arial"/>
                <w:b w:val="0"/>
                <w:szCs w:val="21"/>
              </w:rPr>
              <w:t>单栋1.1级库房建筑面积不宜超过500m</w:t>
            </w:r>
            <w:r>
              <w:rPr>
                <w:rFonts w:hint="eastAsia" w:ascii="宋体" w:hAnsi="宋体" w:cs="Arial"/>
                <w:b w:val="0"/>
                <w:szCs w:val="21"/>
                <w:vertAlign w:val="superscript"/>
              </w:rPr>
              <w:t>2</w:t>
            </w:r>
            <w:r>
              <w:rPr>
                <w:rFonts w:hint="eastAsia" w:ascii="宋体" w:hAnsi="宋体" w:cs="Arial"/>
                <w:b w:val="0"/>
                <w:szCs w:val="21"/>
              </w:rPr>
              <w:t>，</w:t>
            </w:r>
            <w:r>
              <w:rPr>
                <w:rFonts w:ascii="宋体" w:hAnsi="宋体" w:cs="Arial"/>
                <w:b w:val="0"/>
                <w:szCs w:val="21"/>
                <w:lang w:bidi="ar"/>
              </w:rPr>
              <w:t>单栋1.3级库房建筑面积不宜超过1000m</w:t>
            </w:r>
            <w:r>
              <w:rPr>
                <w:rFonts w:ascii="宋体" w:hAnsi="宋体" w:cs="Arial"/>
                <w:b w:val="0"/>
                <w:szCs w:val="21"/>
                <w:vertAlign w:val="superscript"/>
                <w:lang w:bidi="ar"/>
              </w:rPr>
              <w:t>2</w:t>
            </w:r>
            <w:r>
              <w:rPr>
                <w:rFonts w:ascii="宋体" w:hAnsi="宋体" w:cs="Arial"/>
                <w:b w:val="0"/>
                <w:szCs w:val="21"/>
                <w:lang w:bidi="ar"/>
              </w:rPr>
              <w:t>，每个防火分区不应超过500m</w:t>
            </w:r>
            <w:r>
              <w:rPr>
                <w:rFonts w:ascii="宋体" w:hAnsi="宋体" w:cs="Arial"/>
                <w:b w:val="0"/>
                <w:szCs w:val="21"/>
                <w:vertAlign w:val="superscript"/>
                <w:lang w:bidi="ar"/>
              </w:rPr>
              <w:t>2</w:t>
            </w:r>
            <w:r>
              <w:rPr>
                <w:rFonts w:ascii="宋体" w:hAnsi="宋体" w:cs="Arial"/>
                <w:b w:val="0"/>
                <w:szCs w:val="21"/>
                <w:lang w:bidi="ar"/>
              </w:rPr>
              <w:t>。</w:t>
            </w:r>
          </w:p>
        </w:tc>
        <w:tc>
          <w:tcPr>
            <w:tcW w:w="2043" w:type="dxa"/>
            <w:vAlign w:val="center"/>
          </w:tcPr>
          <w:p w14:paraId="0AB7BB84">
            <w:pPr>
              <w:spacing w:line="260" w:lineRule="exact"/>
              <w:rPr>
                <w:rFonts w:ascii="宋体" w:hAnsi="宋体" w:cs="Arial"/>
                <w:b w:val="0"/>
                <w:szCs w:val="21"/>
              </w:rPr>
            </w:pPr>
            <w:r>
              <w:rPr>
                <w:rFonts w:hint="eastAsia" w:ascii="宋体" w:hAnsi="宋体" w:cs="Arial"/>
                <w:b w:val="0"/>
                <w:szCs w:val="21"/>
              </w:rPr>
              <w:t>《烟花爆竹工程设计安全标准》（GB50161-2022）</w:t>
            </w:r>
          </w:p>
        </w:tc>
        <w:tc>
          <w:tcPr>
            <w:tcW w:w="855" w:type="dxa"/>
            <w:vAlign w:val="center"/>
          </w:tcPr>
          <w:p w14:paraId="198C6327">
            <w:pPr>
              <w:spacing w:line="260" w:lineRule="exact"/>
              <w:jc w:val="center"/>
              <w:rPr>
                <w:rFonts w:ascii="宋体" w:hAnsi="宋体" w:cs="Arial"/>
                <w:b w:val="0"/>
                <w:szCs w:val="21"/>
              </w:rPr>
            </w:pPr>
            <w:r>
              <w:rPr>
                <w:rFonts w:hint="eastAsia" w:ascii="宋体" w:hAnsi="宋体" w:cs="Arial"/>
                <w:b w:val="0"/>
                <w:szCs w:val="21"/>
              </w:rPr>
              <w:t>合格</w:t>
            </w:r>
          </w:p>
        </w:tc>
        <w:tc>
          <w:tcPr>
            <w:tcW w:w="1801" w:type="dxa"/>
            <w:vAlign w:val="center"/>
          </w:tcPr>
          <w:p w14:paraId="731D3C5B">
            <w:pPr>
              <w:spacing w:line="260" w:lineRule="exact"/>
              <w:jc w:val="center"/>
              <w:rPr>
                <w:rFonts w:ascii="宋体" w:hAnsi="宋体"/>
              </w:rPr>
            </w:pPr>
            <w:r>
              <w:rPr>
                <w:rFonts w:hint="eastAsia" w:ascii="宋体" w:hAnsi="宋体"/>
                <w:b w:val="0"/>
                <w:szCs w:val="21"/>
              </w:rPr>
              <w:t>可行性研究报告已提及或已明确</w:t>
            </w:r>
          </w:p>
        </w:tc>
      </w:tr>
      <w:tr w14:paraId="762EE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659D3DCA">
            <w:pPr>
              <w:spacing w:line="260" w:lineRule="exact"/>
              <w:jc w:val="center"/>
              <w:rPr>
                <w:rFonts w:ascii="宋体" w:hAnsi="宋体" w:cs="Arial"/>
                <w:b w:val="0"/>
                <w:szCs w:val="21"/>
              </w:rPr>
            </w:pPr>
            <w:r>
              <w:rPr>
                <w:rFonts w:hint="eastAsia" w:ascii="宋体" w:hAnsi="宋体" w:cs="Arial"/>
                <w:b w:val="0"/>
                <w:szCs w:val="21"/>
              </w:rPr>
              <w:t>8</w:t>
            </w:r>
          </w:p>
        </w:tc>
        <w:tc>
          <w:tcPr>
            <w:tcW w:w="4092" w:type="dxa"/>
            <w:vAlign w:val="center"/>
          </w:tcPr>
          <w:p w14:paraId="777CC131">
            <w:pPr>
              <w:spacing w:line="260" w:lineRule="exact"/>
              <w:rPr>
                <w:rFonts w:ascii="宋体" w:hAnsi="宋体" w:cs="Arial"/>
                <w:b w:val="0"/>
                <w:szCs w:val="21"/>
              </w:rPr>
            </w:pPr>
            <w:r>
              <w:rPr>
                <w:rFonts w:hint="eastAsia" w:ascii="宋体" w:hAnsi="宋体" w:cs="Arial"/>
                <w:b w:val="0"/>
                <w:szCs w:val="21"/>
              </w:rPr>
              <w:t>危险品仓库的安全出口的设置应符合下列规定：</w:t>
            </w:r>
          </w:p>
          <w:p w14:paraId="55491B21">
            <w:pPr>
              <w:spacing w:line="260" w:lineRule="exact"/>
              <w:rPr>
                <w:rFonts w:ascii="宋体" w:hAnsi="宋体" w:cs="Arial"/>
                <w:b w:val="0"/>
                <w:szCs w:val="21"/>
              </w:rPr>
            </w:pPr>
            <w:r>
              <w:rPr>
                <w:rFonts w:hint="eastAsia" w:ascii="宋体" w:hAnsi="宋体" w:cs="Arial"/>
                <w:b w:val="0"/>
                <w:szCs w:val="21"/>
              </w:rPr>
              <w:t>1．当仓库（或储存隔间）的建筑面积大于100㎡（或长度大于18m）时，安全出口不应少于2个。</w:t>
            </w:r>
          </w:p>
          <w:p w14:paraId="54540762">
            <w:pPr>
              <w:spacing w:line="260" w:lineRule="exact"/>
              <w:rPr>
                <w:rFonts w:ascii="宋体" w:hAnsi="宋体" w:cs="Arial"/>
                <w:b w:val="0"/>
                <w:szCs w:val="21"/>
              </w:rPr>
            </w:pPr>
            <w:r>
              <w:rPr>
                <w:rFonts w:hint="eastAsia" w:ascii="宋体" w:hAnsi="宋体" w:cs="Arial"/>
                <w:b w:val="0"/>
                <w:szCs w:val="21"/>
              </w:rPr>
              <w:t>2．当仓库（或储存隔间）的建筑面积小于100㎡，且长度小于18m时，可设1个安全出口。</w:t>
            </w:r>
          </w:p>
          <w:p w14:paraId="213D319C">
            <w:pPr>
              <w:spacing w:line="260" w:lineRule="exact"/>
              <w:rPr>
                <w:rFonts w:ascii="宋体" w:hAnsi="宋体" w:cs="Arial"/>
                <w:b w:val="0"/>
                <w:szCs w:val="21"/>
              </w:rPr>
            </w:pPr>
            <w:r>
              <w:rPr>
                <w:rFonts w:hint="eastAsia" w:ascii="宋体" w:hAnsi="宋体" w:cs="Arial"/>
                <w:b w:val="0"/>
                <w:szCs w:val="21"/>
              </w:rPr>
              <w:t>3．仓库内任一点至安全出口的距离不应大于15m。</w:t>
            </w:r>
          </w:p>
        </w:tc>
        <w:tc>
          <w:tcPr>
            <w:tcW w:w="2043" w:type="dxa"/>
            <w:vAlign w:val="center"/>
          </w:tcPr>
          <w:p w14:paraId="476359A8">
            <w:pPr>
              <w:spacing w:line="260" w:lineRule="exact"/>
              <w:rPr>
                <w:rFonts w:ascii="宋体" w:hAnsi="宋体" w:cs="Arial"/>
                <w:b w:val="0"/>
                <w:szCs w:val="21"/>
              </w:rPr>
            </w:pPr>
            <w:r>
              <w:rPr>
                <w:rFonts w:hint="eastAsia" w:ascii="宋体" w:hAnsi="宋体" w:cs="Arial"/>
                <w:b w:val="0"/>
                <w:szCs w:val="21"/>
              </w:rPr>
              <w:t>《烟花爆竹工程设计安全标准》（GB50161-2022）</w:t>
            </w:r>
          </w:p>
        </w:tc>
        <w:tc>
          <w:tcPr>
            <w:tcW w:w="855" w:type="dxa"/>
            <w:vAlign w:val="center"/>
          </w:tcPr>
          <w:p w14:paraId="5677486C">
            <w:pPr>
              <w:spacing w:line="260" w:lineRule="exact"/>
              <w:jc w:val="center"/>
              <w:rPr>
                <w:rFonts w:ascii="宋体" w:hAnsi="宋体" w:cs="Arial"/>
                <w:b w:val="0"/>
                <w:szCs w:val="21"/>
              </w:rPr>
            </w:pPr>
            <w:r>
              <w:rPr>
                <w:rFonts w:hint="eastAsia" w:ascii="宋体" w:hAnsi="宋体" w:cs="Arial"/>
                <w:b w:val="0"/>
                <w:szCs w:val="21"/>
              </w:rPr>
              <w:t>合格</w:t>
            </w:r>
          </w:p>
        </w:tc>
        <w:tc>
          <w:tcPr>
            <w:tcW w:w="1801" w:type="dxa"/>
            <w:vAlign w:val="center"/>
          </w:tcPr>
          <w:p w14:paraId="7A1F4869">
            <w:pPr>
              <w:spacing w:line="260" w:lineRule="exact"/>
              <w:jc w:val="center"/>
              <w:rPr>
                <w:rFonts w:ascii="宋体" w:hAnsi="宋体" w:cs="Arial"/>
                <w:b w:val="0"/>
                <w:bCs/>
                <w:color w:val="FF0000"/>
                <w:szCs w:val="21"/>
              </w:rPr>
            </w:pPr>
            <w:r>
              <w:rPr>
                <w:rFonts w:hint="eastAsia" w:ascii="宋体" w:hAnsi="宋体"/>
                <w:b w:val="0"/>
                <w:szCs w:val="21"/>
              </w:rPr>
              <w:t>可行性研究报告已提及或已明确</w:t>
            </w:r>
          </w:p>
        </w:tc>
      </w:tr>
      <w:tr w14:paraId="028581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2A1D5060">
            <w:pPr>
              <w:spacing w:line="260" w:lineRule="exact"/>
              <w:jc w:val="center"/>
              <w:rPr>
                <w:rFonts w:ascii="宋体" w:hAnsi="宋体" w:cs="Arial"/>
                <w:b w:val="0"/>
                <w:szCs w:val="21"/>
              </w:rPr>
            </w:pPr>
            <w:r>
              <w:rPr>
                <w:rFonts w:hint="eastAsia" w:ascii="宋体" w:hAnsi="宋体" w:cs="Arial"/>
                <w:b w:val="0"/>
                <w:szCs w:val="21"/>
              </w:rPr>
              <w:t>9</w:t>
            </w:r>
          </w:p>
        </w:tc>
        <w:tc>
          <w:tcPr>
            <w:tcW w:w="4092" w:type="dxa"/>
            <w:vAlign w:val="center"/>
          </w:tcPr>
          <w:p w14:paraId="4D1C4C16">
            <w:pPr>
              <w:spacing w:line="260" w:lineRule="exact"/>
              <w:rPr>
                <w:rFonts w:ascii="宋体" w:hAnsi="宋体" w:cs="Arial"/>
                <w:b w:val="0"/>
                <w:szCs w:val="21"/>
              </w:rPr>
            </w:pPr>
            <w:r>
              <w:rPr>
                <w:rFonts w:hint="eastAsia" w:ascii="宋体" w:hAnsi="宋体" w:cs="Arial"/>
                <w:b w:val="0"/>
                <w:szCs w:val="21"/>
              </w:rPr>
              <w:t>危险品仓库门的设计应符合下列规定：</w:t>
            </w:r>
          </w:p>
          <w:p w14:paraId="1C2DBE18">
            <w:pPr>
              <w:spacing w:line="260" w:lineRule="exact"/>
              <w:rPr>
                <w:rFonts w:ascii="宋体" w:hAnsi="宋体" w:cs="Arial"/>
                <w:b w:val="0"/>
                <w:szCs w:val="21"/>
              </w:rPr>
            </w:pPr>
            <w:r>
              <w:rPr>
                <w:rFonts w:hint="eastAsia" w:ascii="宋体" w:hAnsi="宋体" w:cs="Arial"/>
                <w:b w:val="0"/>
                <w:szCs w:val="21"/>
              </w:rPr>
              <w:t>1．仓库的门应向外平开，门洞的宽度不宜小于1.5m，不得设门槛。</w:t>
            </w:r>
          </w:p>
          <w:p w14:paraId="6EAE76A1">
            <w:pPr>
              <w:spacing w:line="260" w:lineRule="exact"/>
              <w:rPr>
                <w:rFonts w:ascii="宋体" w:hAnsi="宋体" w:cs="Arial"/>
                <w:b w:val="0"/>
                <w:szCs w:val="21"/>
              </w:rPr>
            </w:pPr>
            <w:r>
              <w:rPr>
                <w:rFonts w:hint="eastAsia" w:ascii="宋体" w:hAnsi="宋体" w:cs="Arial"/>
                <w:b w:val="0"/>
                <w:szCs w:val="21"/>
              </w:rPr>
              <w:t>2．当危险品仓库设计门斗时，应采用外门斗，此时的内、外两层门均应向外开启。</w:t>
            </w:r>
          </w:p>
          <w:p w14:paraId="6DADFBC2">
            <w:pPr>
              <w:spacing w:line="260" w:lineRule="exact"/>
              <w:rPr>
                <w:rFonts w:ascii="宋体" w:hAnsi="宋体" w:cs="Arial"/>
                <w:b w:val="0"/>
                <w:szCs w:val="21"/>
              </w:rPr>
            </w:pPr>
            <w:r>
              <w:rPr>
                <w:rFonts w:hint="eastAsia" w:ascii="宋体" w:hAnsi="宋体" w:cs="Arial"/>
                <w:b w:val="0"/>
                <w:szCs w:val="21"/>
              </w:rPr>
              <w:t>3．总仓库的门宜为双层，内层门为通风用门，通风用门应有防小动物进入的措施。外层门为防火门，两层门均应向外开启。</w:t>
            </w:r>
          </w:p>
        </w:tc>
        <w:tc>
          <w:tcPr>
            <w:tcW w:w="2043" w:type="dxa"/>
            <w:vAlign w:val="center"/>
          </w:tcPr>
          <w:p w14:paraId="7DEF6E0C">
            <w:pPr>
              <w:spacing w:line="260" w:lineRule="exact"/>
              <w:rPr>
                <w:rFonts w:ascii="宋体" w:hAnsi="宋体" w:cs="Arial"/>
                <w:b w:val="0"/>
                <w:szCs w:val="21"/>
              </w:rPr>
            </w:pPr>
            <w:r>
              <w:rPr>
                <w:rFonts w:hint="eastAsia" w:ascii="宋体" w:hAnsi="宋体" w:cs="Arial"/>
                <w:b w:val="0"/>
                <w:szCs w:val="21"/>
              </w:rPr>
              <w:t>《烟花爆竹工程设计安全标准》（GB50161-2022）</w:t>
            </w:r>
          </w:p>
        </w:tc>
        <w:tc>
          <w:tcPr>
            <w:tcW w:w="855" w:type="dxa"/>
            <w:vAlign w:val="center"/>
          </w:tcPr>
          <w:p w14:paraId="2AC6B48A">
            <w:pPr>
              <w:spacing w:line="260" w:lineRule="exact"/>
              <w:jc w:val="center"/>
              <w:rPr>
                <w:rFonts w:ascii="宋体" w:hAnsi="宋体" w:cs="Arial"/>
                <w:b w:val="0"/>
                <w:szCs w:val="21"/>
              </w:rPr>
            </w:pPr>
            <w:r>
              <w:rPr>
                <w:rFonts w:hint="eastAsia" w:ascii="宋体" w:hAnsi="宋体" w:cs="Arial"/>
                <w:b w:val="0"/>
                <w:szCs w:val="21"/>
              </w:rPr>
              <w:t>合格</w:t>
            </w:r>
          </w:p>
        </w:tc>
        <w:tc>
          <w:tcPr>
            <w:tcW w:w="1801" w:type="dxa"/>
            <w:vAlign w:val="center"/>
          </w:tcPr>
          <w:p w14:paraId="19623458">
            <w:pPr>
              <w:spacing w:line="260" w:lineRule="exact"/>
              <w:jc w:val="center"/>
              <w:rPr>
                <w:rFonts w:ascii="宋体" w:hAnsi="宋体"/>
              </w:rPr>
            </w:pPr>
            <w:r>
              <w:rPr>
                <w:rFonts w:hint="eastAsia" w:ascii="宋体" w:hAnsi="宋体"/>
                <w:b w:val="0"/>
                <w:szCs w:val="21"/>
              </w:rPr>
              <w:t>可行性研究报告已提及或已明确</w:t>
            </w:r>
          </w:p>
        </w:tc>
      </w:tr>
      <w:tr w14:paraId="29203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484FC640">
            <w:pPr>
              <w:spacing w:line="260" w:lineRule="exact"/>
              <w:jc w:val="center"/>
              <w:rPr>
                <w:rFonts w:ascii="宋体" w:hAnsi="宋体" w:cs="Arial"/>
                <w:b w:val="0"/>
                <w:szCs w:val="21"/>
              </w:rPr>
            </w:pPr>
            <w:r>
              <w:rPr>
                <w:rFonts w:hint="eastAsia" w:ascii="宋体" w:hAnsi="宋体" w:cs="Arial"/>
                <w:b w:val="0"/>
                <w:szCs w:val="21"/>
              </w:rPr>
              <w:t>10</w:t>
            </w:r>
          </w:p>
        </w:tc>
        <w:tc>
          <w:tcPr>
            <w:tcW w:w="4092" w:type="dxa"/>
            <w:vAlign w:val="center"/>
          </w:tcPr>
          <w:p w14:paraId="520FFADD">
            <w:pPr>
              <w:spacing w:line="260" w:lineRule="exact"/>
              <w:rPr>
                <w:rFonts w:ascii="宋体" w:hAnsi="宋体" w:cs="Arial"/>
                <w:b w:val="0"/>
                <w:szCs w:val="21"/>
              </w:rPr>
            </w:pPr>
            <w:r>
              <w:rPr>
                <w:rFonts w:hint="eastAsia" w:ascii="宋体" w:hAnsi="宋体" w:cs="Arial"/>
                <w:b w:val="0"/>
                <w:szCs w:val="21"/>
              </w:rPr>
              <w:t>危险品总仓库的窗宜设可开启的高窗，并应配置铁栅和金属网。在勒脚处宜设置可开关的活动百叶窗或带活动防护板的固定百叶窗。窗应有防小动物进入的措施。</w:t>
            </w:r>
          </w:p>
        </w:tc>
        <w:tc>
          <w:tcPr>
            <w:tcW w:w="2043" w:type="dxa"/>
            <w:vAlign w:val="center"/>
          </w:tcPr>
          <w:p w14:paraId="05B77482">
            <w:pPr>
              <w:spacing w:line="260" w:lineRule="exact"/>
              <w:rPr>
                <w:rFonts w:ascii="宋体" w:hAnsi="宋体" w:cs="Arial"/>
                <w:b w:val="0"/>
                <w:szCs w:val="21"/>
              </w:rPr>
            </w:pPr>
            <w:r>
              <w:rPr>
                <w:rFonts w:hint="eastAsia" w:ascii="宋体" w:hAnsi="宋体" w:cs="Arial"/>
                <w:b w:val="0"/>
                <w:szCs w:val="21"/>
              </w:rPr>
              <w:t>《烟花爆竹工程设计安全标准》（GB50161-2022）</w:t>
            </w:r>
          </w:p>
        </w:tc>
        <w:tc>
          <w:tcPr>
            <w:tcW w:w="855" w:type="dxa"/>
            <w:vAlign w:val="center"/>
          </w:tcPr>
          <w:p w14:paraId="390936F2">
            <w:pPr>
              <w:spacing w:line="260" w:lineRule="exact"/>
              <w:jc w:val="center"/>
              <w:rPr>
                <w:rFonts w:ascii="宋体" w:hAnsi="宋体" w:cs="Arial"/>
                <w:b w:val="0"/>
                <w:szCs w:val="21"/>
              </w:rPr>
            </w:pPr>
            <w:r>
              <w:rPr>
                <w:rFonts w:hint="eastAsia" w:ascii="宋体" w:hAnsi="宋体" w:cs="Arial"/>
                <w:b w:val="0"/>
                <w:szCs w:val="21"/>
              </w:rPr>
              <w:t>合格</w:t>
            </w:r>
          </w:p>
        </w:tc>
        <w:tc>
          <w:tcPr>
            <w:tcW w:w="1801" w:type="dxa"/>
            <w:vAlign w:val="center"/>
          </w:tcPr>
          <w:p w14:paraId="4C140169">
            <w:pPr>
              <w:spacing w:line="260" w:lineRule="exact"/>
              <w:jc w:val="center"/>
              <w:rPr>
                <w:rFonts w:ascii="宋体" w:hAnsi="宋体"/>
              </w:rPr>
            </w:pPr>
            <w:r>
              <w:rPr>
                <w:rFonts w:hint="eastAsia" w:ascii="宋体" w:hAnsi="宋体"/>
                <w:b w:val="0"/>
                <w:szCs w:val="21"/>
              </w:rPr>
              <w:t>可行性研究报告已提及或已明确</w:t>
            </w:r>
          </w:p>
        </w:tc>
      </w:tr>
      <w:tr w14:paraId="118491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4D14D836">
            <w:pPr>
              <w:spacing w:line="260" w:lineRule="exact"/>
              <w:jc w:val="center"/>
              <w:rPr>
                <w:rFonts w:ascii="宋体" w:hAnsi="宋体" w:cs="Arial"/>
                <w:b w:val="0"/>
                <w:szCs w:val="21"/>
              </w:rPr>
            </w:pPr>
            <w:r>
              <w:rPr>
                <w:rFonts w:hint="eastAsia" w:ascii="宋体" w:hAnsi="宋体" w:cs="Arial"/>
                <w:b w:val="0"/>
                <w:szCs w:val="21"/>
              </w:rPr>
              <w:t>11</w:t>
            </w:r>
          </w:p>
        </w:tc>
        <w:tc>
          <w:tcPr>
            <w:tcW w:w="4092" w:type="dxa"/>
            <w:vAlign w:val="center"/>
          </w:tcPr>
          <w:p w14:paraId="67E034FB">
            <w:pPr>
              <w:spacing w:line="260" w:lineRule="exact"/>
              <w:rPr>
                <w:rFonts w:ascii="宋体" w:hAnsi="宋体" w:cs="Arial"/>
                <w:b w:val="0"/>
                <w:szCs w:val="21"/>
              </w:rPr>
            </w:pPr>
            <w:r>
              <w:rPr>
                <w:rFonts w:hint="eastAsia" w:ascii="宋体" w:hAnsi="宋体" w:cs="Arial"/>
                <w:b w:val="0"/>
                <w:szCs w:val="21"/>
              </w:rPr>
              <w:t>当危险品已装箱并不在库内开箱时，可采用一般地面</w:t>
            </w:r>
          </w:p>
        </w:tc>
        <w:tc>
          <w:tcPr>
            <w:tcW w:w="2043" w:type="dxa"/>
            <w:vAlign w:val="center"/>
          </w:tcPr>
          <w:p w14:paraId="50648F74">
            <w:pPr>
              <w:spacing w:line="260" w:lineRule="exact"/>
              <w:rPr>
                <w:rFonts w:ascii="宋体" w:hAnsi="宋体" w:cs="Arial"/>
                <w:b w:val="0"/>
                <w:szCs w:val="21"/>
              </w:rPr>
            </w:pPr>
            <w:r>
              <w:rPr>
                <w:rFonts w:hint="eastAsia" w:ascii="宋体" w:hAnsi="宋体" w:cs="Arial"/>
                <w:b w:val="0"/>
                <w:szCs w:val="21"/>
              </w:rPr>
              <w:t>《烟花爆竹工程设计安全标准》（GB50161-2022）</w:t>
            </w:r>
          </w:p>
        </w:tc>
        <w:tc>
          <w:tcPr>
            <w:tcW w:w="855" w:type="dxa"/>
            <w:vAlign w:val="center"/>
          </w:tcPr>
          <w:p w14:paraId="342CE37B">
            <w:pPr>
              <w:spacing w:line="260" w:lineRule="exact"/>
              <w:jc w:val="center"/>
              <w:rPr>
                <w:rFonts w:ascii="宋体" w:hAnsi="宋体" w:cs="Arial"/>
                <w:b w:val="0"/>
                <w:szCs w:val="21"/>
              </w:rPr>
            </w:pPr>
            <w:r>
              <w:rPr>
                <w:rFonts w:hint="eastAsia" w:ascii="宋体" w:hAnsi="宋体" w:cs="Arial"/>
                <w:b w:val="0"/>
                <w:szCs w:val="21"/>
              </w:rPr>
              <w:t>合格</w:t>
            </w:r>
          </w:p>
        </w:tc>
        <w:tc>
          <w:tcPr>
            <w:tcW w:w="1801" w:type="dxa"/>
            <w:vAlign w:val="center"/>
          </w:tcPr>
          <w:p w14:paraId="22A57F18">
            <w:pPr>
              <w:spacing w:line="260" w:lineRule="exact"/>
              <w:jc w:val="center"/>
              <w:rPr>
                <w:rFonts w:ascii="宋体" w:hAnsi="宋体"/>
              </w:rPr>
            </w:pPr>
            <w:r>
              <w:rPr>
                <w:rFonts w:hint="eastAsia" w:ascii="宋体" w:hAnsi="宋体"/>
                <w:b w:val="0"/>
                <w:szCs w:val="21"/>
              </w:rPr>
              <w:t>可行性研究报告已提及或已明确</w:t>
            </w:r>
          </w:p>
        </w:tc>
      </w:tr>
      <w:tr w14:paraId="20559D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315B97F9">
            <w:pPr>
              <w:spacing w:line="260" w:lineRule="exact"/>
              <w:jc w:val="center"/>
              <w:rPr>
                <w:rFonts w:ascii="宋体" w:hAnsi="宋体" w:cs="Arial"/>
                <w:b w:val="0"/>
                <w:szCs w:val="21"/>
              </w:rPr>
            </w:pPr>
            <w:r>
              <w:rPr>
                <w:rFonts w:hint="eastAsia" w:ascii="宋体" w:hAnsi="宋体" w:cs="Arial"/>
                <w:b w:val="0"/>
                <w:szCs w:val="21"/>
              </w:rPr>
              <w:t>12</w:t>
            </w:r>
          </w:p>
        </w:tc>
        <w:tc>
          <w:tcPr>
            <w:tcW w:w="4092" w:type="dxa"/>
            <w:vAlign w:val="center"/>
          </w:tcPr>
          <w:p w14:paraId="13BAE9D7">
            <w:pPr>
              <w:spacing w:line="260" w:lineRule="exact"/>
              <w:rPr>
                <w:rFonts w:ascii="宋体" w:hAnsi="宋体" w:cs="Arial"/>
                <w:b w:val="0"/>
                <w:szCs w:val="21"/>
              </w:rPr>
            </w:pPr>
            <w:r>
              <w:rPr>
                <w:rFonts w:hint="eastAsia" w:ascii="宋体" w:hAnsi="宋体" w:cs="Arial"/>
                <w:b w:val="0"/>
                <w:szCs w:val="21"/>
              </w:rPr>
              <w:t>1.1级建(构)筑物应设置防护屏障</w:t>
            </w:r>
          </w:p>
        </w:tc>
        <w:tc>
          <w:tcPr>
            <w:tcW w:w="2043" w:type="dxa"/>
            <w:vAlign w:val="center"/>
          </w:tcPr>
          <w:p w14:paraId="3ACC7D4F">
            <w:pPr>
              <w:spacing w:line="260" w:lineRule="exact"/>
              <w:rPr>
                <w:rFonts w:ascii="宋体" w:hAnsi="宋体" w:cs="Arial"/>
                <w:b w:val="0"/>
                <w:szCs w:val="21"/>
              </w:rPr>
            </w:pPr>
            <w:r>
              <w:rPr>
                <w:rFonts w:hint="eastAsia" w:ascii="宋体" w:hAnsi="宋体" w:cs="Arial"/>
                <w:b w:val="0"/>
                <w:szCs w:val="21"/>
              </w:rPr>
              <w:t>《烟花爆竹工程设计安全标准》（GB50161-2022）</w:t>
            </w:r>
          </w:p>
        </w:tc>
        <w:tc>
          <w:tcPr>
            <w:tcW w:w="855" w:type="dxa"/>
            <w:vAlign w:val="center"/>
          </w:tcPr>
          <w:p w14:paraId="6357A4D7">
            <w:pPr>
              <w:spacing w:line="260" w:lineRule="exact"/>
              <w:jc w:val="center"/>
              <w:rPr>
                <w:rFonts w:ascii="宋体" w:hAnsi="宋体" w:cs="Arial"/>
                <w:b w:val="0"/>
                <w:szCs w:val="21"/>
              </w:rPr>
            </w:pPr>
            <w:r>
              <w:rPr>
                <w:rFonts w:hint="eastAsia" w:ascii="宋体" w:hAnsi="宋体" w:cs="Arial"/>
                <w:b w:val="0"/>
                <w:szCs w:val="21"/>
              </w:rPr>
              <w:t>合格</w:t>
            </w:r>
          </w:p>
        </w:tc>
        <w:tc>
          <w:tcPr>
            <w:tcW w:w="1801" w:type="dxa"/>
            <w:vAlign w:val="center"/>
          </w:tcPr>
          <w:p w14:paraId="54D53565">
            <w:pPr>
              <w:spacing w:line="260" w:lineRule="exact"/>
              <w:jc w:val="center"/>
              <w:rPr>
                <w:rFonts w:ascii="宋体" w:hAnsi="宋体"/>
                <w:b w:val="0"/>
                <w:szCs w:val="21"/>
              </w:rPr>
            </w:pPr>
            <w:r>
              <w:rPr>
                <w:rFonts w:hint="eastAsia" w:ascii="宋体" w:hAnsi="宋体"/>
                <w:b w:val="0"/>
                <w:szCs w:val="21"/>
              </w:rPr>
              <w:t>本项目1</w:t>
            </w:r>
            <w:r>
              <w:rPr>
                <w:rFonts w:ascii="宋体" w:hAnsi="宋体"/>
                <w:b w:val="0"/>
                <w:szCs w:val="21"/>
              </w:rPr>
              <w:t>0#</w:t>
            </w:r>
            <w:r>
              <w:rPr>
                <w:rFonts w:hint="eastAsia" w:ascii="宋体" w:hAnsi="宋体"/>
                <w:b w:val="0"/>
                <w:szCs w:val="21"/>
              </w:rPr>
              <w:t>库房为</w:t>
            </w:r>
            <w:r>
              <w:rPr>
                <w:rFonts w:ascii="宋体" w:hAnsi="宋体"/>
                <w:b w:val="0"/>
                <w:szCs w:val="21"/>
              </w:rPr>
              <w:t>1.1</w:t>
            </w:r>
            <w:r>
              <w:rPr>
                <w:rFonts w:ascii="宋体" w:hAnsi="宋体"/>
                <w:b w:val="0"/>
                <w:szCs w:val="21"/>
                <w:vertAlign w:val="superscript"/>
              </w:rPr>
              <w:t>-2</w:t>
            </w:r>
            <w:r>
              <w:rPr>
                <w:rFonts w:hint="eastAsia" w:ascii="宋体" w:hAnsi="宋体"/>
                <w:b w:val="0"/>
                <w:szCs w:val="21"/>
              </w:rPr>
              <w:t>级库房，设防护土堤</w:t>
            </w:r>
          </w:p>
        </w:tc>
      </w:tr>
      <w:tr w14:paraId="07F64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681" w:type="dxa"/>
            <w:vAlign w:val="center"/>
          </w:tcPr>
          <w:p w14:paraId="551A44AB">
            <w:pPr>
              <w:spacing w:line="260" w:lineRule="exact"/>
              <w:jc w:val="center"/>
              <w:rPr>
                <w:rFonts w:ascii="宋体" w:hAnsi="宋体" w:cs="Arial"/>
                <w:b w:val="0"/>
                <w:szCs w:val="21"/>
              </w:rPr>
            </w:pPr>
            <w:r>
              <w:rPr>
                <w:rFonts w:hint="eastAsia" w:ascii="宋体" w:hAnsi="宋体" w:cs="Arial"/>
                <w:b w:val="0"/>
                <w:szCs w:val="21"/>
              </w:rPr>
              <w:t>13</w:t>
            </w:r>
          </w:p>
        </w:tc>
        <w:tc>
          <w:tcPr>
            <w:tcW w:w="4092" w:type="dxa"/>
            <w:vAlign w:val="center"/>
          </w:tcPr>
          <w:p w14:paraId="06B51BAE">
            <w:pPr>
              <w:spacing w:line="260" w:lineRule="exact"/>
              <w:rPr>
                <w:rFonts w:ascii="宋体" w:hAnsi="宋体" w:cs="Arial"/>
                <w:b w:val="0"/>
                <w:szCs w:val="21"/>
              </w:rPr>
            </w:pPr>
            <w:r>
              <w:rPr>
                <w:rFonts w:hint="eastAsia" w:ascii="宋体" w:hAnsi="宋体" w:cs="Arial"/>
                <w:b w:val="0"/>
                <w:szCs w:val="21"/>
              </w:rPr>
              <w:t>建筑物室外消火栓设计流量不低于《消防给水及消火栓系统技术规范》（GB50974-2014）中3.3.2确定</w:t>
            </w:r>
          </w:p>
        </w:tc>
        <w:tc>
          <w:tcPr>
            <w:tcW w:w="2043" w:type="dxa"/>
            <w:vAlign w:val="center"/>
          </w:tcPr>
          <w:p w14:paraId="2673B476">
            <w:pPr>
              <w:spacing w:line="260" w:lineRule="exact"/>
              <w:jc w:val="center"/>
              <w:rPr>
                <w:rFonts w:ascii="宋体" w:hAnsi="宋体"/>
                <w:b w:val="0"/>
                <w:szCs w:val="21"/>
              </w:rPr>
            </w:pPr>
            <w:r>
              <w:rPr>
                <w:rFonts w:hint="eastAsia" w:ascii="宋体" w:hAnsi="宋体"/>
                <w:b w:val="0"/>
                <w:szCs w:val="21"/>
              </w:rPr>
              <w:t>《建筑设计防火规范》2018版（GB50016-2014）、《消防给水及消火栓系统技术规范》（GB50974-2014）</w:t>
            </w:r>
          </w:p>
        </w:tc>
        <w:tc>
          <w:tcPr>
            <w:tcW w:w="855" w:type="dxa"/>
            <w:vAlign w:val="center"/>
          </w:tcPr>
          <w:p w14:paraId="0E85784A">
            <w:pPr>
              <w:spacing w:line="260" w:lineRule="exact"/>
              <w:jc w:val="center"/>
              <w:rPr>
                <w:rFonts w:ascii="宋体" w:hAnsi="宋体" w:cs="Arial"/>
                <w:b w:val="0"/>
                <w:szCs w:val="21"/>
              </w:rPr>
            </w:pPr>
            <w:r>
              <w:rPr>
                <w:rFonts w:hint="eastAsia" w:ascii="宋体" w:hAnsi="宋体" w:cs="Arial"/>
                <w:b w:val="0"/>
                <w:szCs w:val="21"/>
              </w:rPr>
              <w:t>合格</w:t>
            </w:r>
          </w:p>
        </w:tc>
        <w:tc>
          <w:tcPr>
            <w:tcW w:w="1801" w:type="dxa"/>
            <w:vAlign w:val="center"/>
          </w:tcPr>
          <w:p w14:paraId="54D48151">
            <w:pPr>
              <w:spacing w:line="260" w:lineRule="exact"/>
              <w:jc w:val="center"/>
              <w:rPr>
                <w:rFonts w:ascii="宋体" w:hAnsi="宋体" w:cs="Arial"/>
                <w:b w:val="0"/>
                <w:szCs w:val="21"/>
              </w:rPr>
            </w:pPr>
            <w:r>
              <w:rPr>
                <w:rFonts w:hint="eastAsia" w:ascii="宋体" w:hAnsi="宋体"/>
                <w:b w:val="0"/>
                <w:szCs w:val="21"/>
              </w:rPr>
              <w:t>可行性研究报告已提及或已明确</w:t>
            </w:r>
          </w:p>
        </w:tc>
      </w:tr>
    </w:tbl>
    <w:p w14:paraId="2BC6079A">
      <w:pPr>
        <w:keepNext/>
        <w:keepLines/>
        <w:spacing w:before="120" w:beforeLines="50" w:line="360" w:lineRule="auto"/>
        <w:outlineLvl w:val="1"/>
        <w:rPr>
          <w:rFonts w:ascii="黑体" w:hAnsi="宋体" w:eastAsia="黑体"/>
          <w:b w:val="0"/>
          <w:bCs/>
          <w:snapToGrid w:val="0"/>
          <w:sz w:val="30"/>
          <w:szCs w:val="30"/>
        </w:rPr>
      </w:pPr>
      <w:bookmarkStart w:id="250" w:name="_Toc205979650"/>
      <w:r>
        <w:rPr>
          <w:rFonts w:hint="eastAsia" w:ascii="黑体" w:hAnsi="宋体" w:eastAsia="黑体"/>
          <w:b w:val="0"/>
          <w:bCs/>
          <w:snapToGrid w:val="0"/>
          <w:sz w:val="30"/>
          <w:szCs w:val="30"/>
        </w:rPr>
        <w:t>5.2建设项目外部安全条件单元安全预评价</w:t>
      </w:r>
      <w:bookmarkEnd w:id="239"/>
      <w:bookmarkEnd w:id="240"/>
      <w:bookmarkEnd w:id="241"/>
      <w:bookmarkEnd w:id="242"/>
      <w:bookmarkEnd w:id="243"/>
      <w:bookmarkEnd w:id="244"/>
      <w:bookmarkEnd w:id="245"/>
      <w:bookmarkEnd w:id="246"/>
      <w:bookmarkEnd w:id="247"/>
      <w:bookmarkEnd w:id="248"/>
      <w:bookmarkEnd w:id="249"/>
      <w:bookmarkEnd w:id="250"/>
    </w:p>
    <w:p w14:paraId="407293EC">
      <w:pPr>
        <w:pStyle w:val="6"/>
        <w:rPr>
          <w:rFonts w:ascii="黑体" w:hAnsi="黑体" w:eastAsia="黑体" w:cs="宋体"/>
          <w:b w:val="0"/>
          <w:szCs w:val="28"/>
        </w:rPr>
      </w:pPr>
      <w:bookmarkStart w:id="251" w:name="_Toc165038814"/>
      <w:r>
        <w:rPr>
          <w:rFonts w:hint="eastAsia" w:ascii="黑体" w:hAnsi="黑体" w:eastAsia="黑体" w:cs="宋体"/>
          <w:b w:val="0"/>
          <w:szCs w:val="28"/>
        </w:rPr>
        <w:t>5.2.1建设项目外部条件概述</w:t>
      </w:r>
      <w:bookmarkEnd w:id="251"/>
    </w:p>
    <w:p w14:paraId="57B8E13C">
      <w:pPr>
        <w:adjustRightInd w:val="0"/>
        <w:snapToGrid w:val="0"/>
        <w:spacing w:line="360" w:lineRule="auto"/>
        <w:ind w:firstLine="560" w:firstLineChars="200"/>
        <w:rPr>
          <w:rFonts w:ascii="Arial" w:hAnsi="宋体" w:cs="Arial"/>
          <w:b w:val="0"/>
          <w:sz w:val="28"/>
          <w:szCs w:val="28"/>
        </w:rPr>
      </w:pPr>
      <w:r>
        <w:rPr>
          <w:rFonts w:hint="eastAsia" w:cs="Arial" w:asciiTheme="minorEastAsia" w:hAnsiTheme="minorEastAsia" w:eastAsiaTheme="minorEastAsia"/>
          <w:b w:val="0"/>
          <w:sz w:val="28"/>
          <w:szCs w:val="28"/>
        </w:rPr>
        <w:t>拟新建</w:t>
      </w:r>
      <w:r>
        <w:rPr>
          <w:rFonts w:cs="Arial" w:asciiTheme="minorEastAsia" w:hAnsiTheme="minorEastAsia" w:eastAsiaTheme="minorEastAsia"/>
          <w:b w:val="0"/>
          <w:sz w:val="28"/>
          <w:szCs w:val="28"/>
        </w:rPr>
        <w:t>库区位于</w:t>
      </w:r>
      <w:r>
        <w:rPr>
          <w:rFonts w:hint="eastAsia" w:cs="Arial" w:asciiTheme="minorEastAsia" w:hAnsiTheme="minorEastAsia" w:eastAsiaTheme="minorEastAsia"/>
          <w:b w:val="0"/>
          <w:sz w:val="28"/>
        </w:rPr>
        <w:t>黑龙江省大庆市肇州县新福乡新福村</w:t>
      </w:r>
      <w:r>
        <w:rPr>
          <w:rFonts w:cs="Arial" w:asciiTheme="minorEastAsia" w:hAnsiTheme="minorEastAsia" w:eastAsiaTheme="minorEastAsia"/>
          <w:b w:val="0"/>
          <w:sz w:val="28"/>
          <w:szCs w:val="28"/>
        </w:rPr>
        <w:t>。库</w:t>
      </w:r>
      <w:r>
        <w:rPr>
          <w:rFonts w:ascii="Arial" w:hAnsi="宋体" w:cs="Arial"/>
          <w:b w:val="0"/>
          <w:sz w:val="28"/>
          <w:szCs w:val="28"/>
        </w:rPr>
        <w:t>址远离城镇、学校，在安全允许距离范围内，无国家铁路和旅游景点、生态保护区以及重点保护的动、植物等。</w:t>
      </w:r>
    </w:p>
    <w:p w14:paraId="63F13CA4">
      <w:pPr>
        <w:jc w:val="center"/>
        <w:rPr>
          <w:rFonts w:ascii="黑体" w:hAnsi="黑体" w:eastAsia="黑体" w:cs="Arial"/>
          <w:b w:val="0"/>
          <w:sz w:val="24"/>
        </w:rPr>
      </w:pPr>
      <w:r>
        <w:rPr>
          <w:rFonts w:ascii="黑体" w:hAnsi="黑体" w:eastAsia="黑体" w:cs="Arial"/>
          <w:b w:val="0"/>
          <w:sz w:val="24"/>
        </w:rPr>
        <w:t>表5.</w:t>
      </w:r>
      <w:r>
        <w:rPr>
          <w:rFonts w:hint="eastAsia" w:ascii="黑体" w:hAnsi="黑体" w:eastAsia="黑体" w:cs="Arial"/>
          <w:b w:val="0"/>
          <w:sz w:val="24"/>
        </w:rPr>
        <w:t>2-1</w:t>
      </w:r>
      <w:r>
        <w:rPr>
          <w:rFonts w:ascii="黑体" w:hAnsi="黑体" w:eastAsia="黑体" w:cs="Arial"/>
          <w:b w:val="0"/>
          <w:sz w:val="24"/>
        </w:rPr>
        <w:t xml:space="preserve">  拟</w:t>
      </w:r>
      <w:r>
        <w:rPr>
          <w:rFonts w:hint="eastAsia" w:ascii="黑体" w:hAnsi="黑体" w:eastAsia="黑体" w:cs="Arial"/>
          <w:b w:val="0"/>
          <w:sz w:val="24"/>
        </w:rPr>
        <w:t>新</w:t>
      </w:r>
      <w:r>
        <w:rPr>
          <w:rFonts w:ascii="黑体" w:hAnsi="黑体" w:eastAsia="黑体" w:cs="Arial"/>
          <w:b w:val="0"/>
          <w:sz w:val="24"/>
        </w:rPr>
        <w:t>建仓库外部安全距离评价表</w:t>
      </w:r>
    </w:p>
    <w:tbl>
      <w:tblPr>
        <w:tblStyle w:val="49"/>
        <w:tblW w:w="90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692"/>
        <w:gridCol w:w="936"/>
        <w:gridCol w:w="2920"/>
        <w:gridCol w:w="744"/>
        <w:gridCol w:w="1581"/>
        <w:gridCol w:w="1134"/>
      </w:tblGrid>
      <w:tr w14:paraId="540B5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37" w:type="dxa"/>
            <w:shd w:val="clear" w:color="auto" w:fill="auto"/>
            <w:vAlign w:val="center"/>
          </w:tcPr>
          <w:p w14:paraId="36575A28">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仓库</w:t>
            </w:r>
          </w:p>
          <w:p w14:paraId="39C93C02">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名称</w:t>
            </w:r>
          </w:p>
        </w:tc>
        <w:tc>
          <w:tcPr>
            <w:tcW w:w="692" w:type="dxa"/>
            <w:shd w:val="clear" w:color="auto" w:fill="auto"/>
            <w:vAlign w:val="center"/>
          </w:tcPr>
          <w:p w14:paraId="1D27C10E">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危险等级</w:t>
            </w:r>
          </w:p>
        </w:tc>
        <w:tc>
          <w:tcPr>
            <w:tcW w:w="936" w:type="dxa"/>
            <w:shd w:val="clear" w:color="auto" w:fill="auto"/>
            <w:vAlign w:val="center"/>
          </w:tcPr>
          <w:p w14:paraId="7AA5F087">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拟定最大限存药量（t）</w:t>
            </w:r>
          </w:p>
        </w:tc>
        <w:tc>
          <w:tcPr>
            <w:tcW w:w="2920" w:type="dxa"/>
            <w:shd w:val="clear" w:color="auto" w:fill="auto"/>
            <w:vAlign w:val="center"/>
          </w:tcPr>
          <w:p w14:paraId="1DF24745">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周边建（构）筑物</w:t>
            </w:r>
          </w:p>
        </w:tc>
        <w:tc>
          <w:tcPr>
            <w:tcW w:w="744" w:type="dxa"/>
            <w:shd w:val="clear" w:color="auto" w:fill="auto"/>
            <w:vAlign w:val="center"/>
          </w:tcPr>
          <w:p w14:paraId="3F95B1D2">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标准要求（m）</w:t>
            </w:r>
          </w:p>
        </w:tc>
        <w:tc>
          <w:tcPr>
            <w:tcW w:w="1581" w:type="dxa"/>
            <w:shd w:val="clear" w:color="auto" w:fill="auto"/>
            <w:vAlign w:val="center"/>
          </w:tcPr>
          <w:p w14:paraId="418C96E4">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实际距离（m）</w:t>
            </w:r>
          </w:p>
        </w:tc>
        <w:tc>
          <w:tcPr>
            <w:tcW w:w="1134" w:type="dxa"/>
            <w:vAlign w:val="center"/>
          </w:tcPr>
          <w:p w14:paraId="7899B245">
            <w:pPr>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符合性</w:t>
            </w:r>
          </w:p>
        </w:tc>
      </w:tr>
      <w:tr w14:paraId="08B51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restart"/>
            <w:shd w:val="clear" w:color="auto" w:fill="auto"/>
            <w:vAlign w:val="center"/>
          </w:tcPr>
          <w:p w14:paraId="10C578B4">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1</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176E475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1.3</w:t>
            </w:r>
          </w:p>
        </w:tc>
        <w:tc>
          <w:tcPr>
            <w:tcW w:w="936" w:type="dxa"/>
            <w:vMerge w:val="restart"/>
            <w:shd w:val="clear" w:color="auto" w:fill="auto"/>
            <w:vAlign w:val="center"/>
          </w:tcPr>
          <w:p w14:paraId="14547B45">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11.16</w:t>
            </w:r>
          </w:p>
        </w:tc>
        <w:tc>
          <w:tcPr>
            <w:tcW w:w="2920" w:type="dxa"/>
            <w:shd w:val="clear" w:color="auto" w:fill="auto"/>
            <w:vAlign w:val="center"/>
          </w:tcPr>
          <w:p w14:paraId="107CE785">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445AD49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7161C12D">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w:t>
            </w:r>
            <w:r>
              <w:rPr>
                <w:rFonts w:asciiTheme="minorEastAsia" w:hAnsiTheme="minorEastAsia" w:eastAsiaTheme="minorEastAsia"/>
                <w:b w:val="0"/>
                <w:szCs w:val="21"/>
              </w:rPr>
              <w:t xml:space="preserve"> </w:t>
            </w:r>
          </w:p>
        </w:tc>
        <w:tc>
          <w:tcPr>
            <w:tcW w:w="1134" w:type="dxa"/>
            <w:vAlign w:val="center"/>
          </w:tcPr>
          <w:p w14:paraId="491ADEE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2C5C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2D6B0ED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692" w:type="dxa"/>
            <w:vMerge w:val="continue"/>
            <w:shd w:val="clear" w:color="auto" w:fill="auto"/>
            <w:vAlign w:val="center"/>
          </w:tcPr>
          <w:p w14:paraId="0059F907">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FD8AFD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E04994E">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33BFC1A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5626F366">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 xml:space="preserve">m范围内无本条款的所有控制项目 </w:t>
            </w:r>
          </w:p>
        </w:tc>
        <w:tc>
          <w:tcPr>
            <w:tcW w:w="1134" w:type="dxa"/>
            <w:vAlign w:val="center"/>
          </w:tcPr>
          <w:p w14:paraId="5C9F641F">
            <w:pPr>
              <w:spacing w:line="240" w:lineRule="exact"/>
              <w:jc w:val="center"/>
              <w:rPr>
                <w:rFonts w:asciiTheme="minorEastAsia" w:hAnsiTheme="minorEastAsia" w:eastAsiaTheme="minorEastAsia"/>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43F3A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0713BFB6">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692" w:type="dxa"/>
            <w:vMerge w:val="continue"/>
            <w:shd w:val="clear" w:color="auto" w:fill="auto"/>
            <w:vAlign w:val="center"/>
          </w:tcPr>
          <w:p w14:paraId="42BF5DA3">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136EE93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4E3E8344">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6B46CA1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4318EA50">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250m范围内无本条款的所有控制项目；</w:t>
            </w:r>
          </w:p>
        </w:tc>
        <w:tc>
          <w:tcPr>
            <w:tcW w:w="1134" w:type="dxa"/>
            <w:vAlign w:val="center"/>
          </w:tcPr>
          <w:p w14:paraId="5E1B9E2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7439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01CA39F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692" w:type="dxa"/>
            <w:vMerge w:val="continue"/>
            <w:shd w:val="clear" w:color="auto" w:fill="auto"/>
            <w:vAlign w:val="center"/>
          </w:tcPr>
          <w:p w14:paraId="1C1C5D7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D77139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3AE74D1">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73921BF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10406846">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134" w:type="dxa"/>
            <w:vAlign w:val="center"/>
          </w:tcPr>
          <w:p w14:paraId="0E7E5C8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207F6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1D98C5B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692" w:type="dxa"/>
            <w:vMerge w:val="continue"/>
            <w:shd w:val="clear" w:color="auto" w:fill="auto"/>
            <w:vAlign w:val="center"/>
          </w:tcPr>
          <w:p w14:paraId="3E9A5D1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59F8175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529B931B">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6D3111A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507041A7">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134" w:type="dxa"/>
            <w:vAlign w:val="center"/>
          </w:tcPr>
          <w:p w14:paraId="2D1E068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631C6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159C22A7">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692" w:type="dxa"/>
            <w:vMerge w:val="continue"/>
            <w:shd w:val="clear" w:color="auto" w:fill="auto"/>
            <w:vAlign w:val="center"/>
          </w:tcPr>
          <w:p w14:paraId="69957225">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4D74256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CB54DB6">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7B8E453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0E174F00">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134" w:type="dxa"/>
            <w:vAlign w:val="center"/>
          </w:tcPr>
          <w:p w14:paraId="511D1606">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571D0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restart"/>
            <w:shd w:val="clear" w:color="auto" w:fill="auto"/>
            <w:vAlign w:val="center"/>
          </w:tcPr>
          <w:p w14:paraId="0404800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asciiTheme="minorEastAsia" w:hAnsiTheme="minorEastAsia" w:eastAsiaTheme="minorEastAsia"/>
                <w:b w:val="0"/>
                <w:szCs w:val="21"/>
              </w:rPr>
              <w:t>2</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341EA1A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1.3</w:t>
            </w:r>
          </w:p>
        </w:tc>
        <w:tc>
          <w:tcPr>
            <w:tcW w:w="936" w:type="dxa"/>
            <w:vMerge w:val="restart"/>
            <w:shd w:val="clear" w:color="auto" w:fill="auto"/>
            <w:vAlign w:val="center"/>
          </w:tcPr>
          <w:p w14:paraId="701A2BF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268B882E">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12D0116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791A644C">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85m范围内无本条款的所有控制项目；西面1</w:t>
            </w:r>
            <w:r>
              <w:rPr>
                <w:rFonts w:asciiTheme="minorEastAsia" w:hAnsiTheme="minorEastAsia" w:eastAsiaTheme="minorEastAsia"/>
                <w:b w:val="0"/>
                <w:szCs w:val="21"/>
              </w:rPr>
              <w:t>20</w:t>
            </w:r>
            <w:r>
              <w:rPr>
                <w:rFonts w:hint="eastAsia" w:asciiTheme="minorEastAsia" w:hAnsiTheme="minorEastAsia" w:eastAsiaTheme="minorEastAsia"/>
                <w:b w:val="0"/>
                <w:szCs w:val="21"/>
              </w:rPr>
              <w:t>米处为本企业办公室</w:t>
            </w:r>
            <w:r>
              <w:rPr>
                <w:rFonts w:asciiTheme="minorEastAsia" w:hAnsiTheme="minorEastAsia" w:eastAsiaTheme="minorEastAsia"/>
                <w:b w:val="0"/>
                <w:szCs w:val="21"/>
              </w:rPr>
              <w:t xml:space="preserve"> </w:t>
            </w:r>
          </w:p>
        </w:tc>
        <w:tc>
          <w:tcPr>
            <w:tcW w:w="1134" w:type="dxa"/>
            <w:vAlign w:val="center"/>
          </w:tcPr>
          <w:p w14:paraId="1516027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3AB07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2EF64FCB">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53C08B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0D35AB2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C2FB467">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7C20569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371E848D">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p>
        </w:tc>
        <w:tc>
          <w:tcPr>
            <w:tcW w:w="1134" w:type="dxa"/>
            <w:vAlign w:val="center"/>
          </w:tcPr>
          <w:p w14:paraId="1E9C6EA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32E55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22237119">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56068C7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1A895753">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0AA23F2">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456DC97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35E42B18">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134" w:type="dxa"/>
            <w:vAlign w:val="center"/>
          </w:tcPr>
          <w:p w14:paraId="0E2DE606">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F991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0D01ABB9">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FDC560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23B0DFF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F81C5A3">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4C5A529E">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04CC45D6">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134" w:type="dxa"/>
            <w:vAlign w:val="center"/>
          </w:tcPr>
          <w:p w14:paraId="52BDA25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2D75D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4BA9BFFB">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0B6F8E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1FDF1A55">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66CC875">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1E76956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6D2DE47F">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134" w:type="dxa"/>
            <w:vAlign w:val="center"/>
          </w:tcPr>
          <w:p w14:paraId="53F8FF9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4E9E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4DAD69D4">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6F9431E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0B4BC3B3">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E73A3D6">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42CB0AF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5BFC46B6">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134" w:type="dxa"/>
            <w:vAlign w:val="center"/>
          </w:tcPr>
          <w:p w14:paraId="0CF8096C">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2E20A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restart"/>
            <w:shd w:val="clear" w:color="auto" w:fill="auto"/>
            <w:vAlign w:val="center"/>
          </w:tcPr>
          <w:p w14:paraId="07882F3E">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asciiTheme="minorEastAsia" w:hAnsiTheme="minorEastAsia" w:eastAsiaTheme="minorEastAsia"/>
                <w:b w:val="0"/>
                <w:szCs w:val="21"/>
              </w:rPr>
              <w:t>3#</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5EDBF53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6970E6D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7AF1ACDC">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683F35A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4957CBA7">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w:t>
            </w:r>
          </w:p>
        </w:tc>
        <w:tc>
          <w:tcPr>
            <w:tcW w:w="1134" w:type="dxa"/>
            <w:vAlign w:val="center"/>
          </w:tcPr>
          <w:p w14:paraId="0F49C30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64BAE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1CBA2458">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46C904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F34007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21290F3">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47DA540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0231FE55">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p>
        </w:tc>
        <w:tc>
          <w:tcPr>
            <w:tcW w:w="1134" w:type="dxa"/>
            <w:vAlign w:val="center"/>
          </w:tcPr>
          <w:p w14:paraId="2FD9CD0D">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4ED71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3A210A42">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674FEA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2111B7C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0836439">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5258455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7E42735B">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134" w:type="dxa"/>
            <w:vAlign w:val="center"/>
          </w:tcPr>
          <w:p w14:paraId="66137E8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1A9C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7A3D79E0">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616185E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B10D8B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62255000">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5B83E08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38F3BB31">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134" w:type="dxa"/>
            <w:vAlign w:val="center"/>
          </w:tcPr>
          <w:p w14:paraId="239A8F7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64DA7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271A195E">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D2E4DA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167F1D5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C63C154">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4024513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158C35EB">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134" w:type="dxa"/>
            <w:vAlign w:val="center"/>
          </w:tcPr>
          <w:p w14:paraId="3335022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027E4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2267AAC7">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54D1049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48D39BD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4CBFCBF4">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488CDCA4">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35554F0D">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134" w:type="dxa"/>
            <w:vAlign w:val="center"/>
          </w:tcPr>
          <w:p w14:paraId="49E40127">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224AD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restart"/>
            <w:shd w:val="clear" w:color="auto" w:fill="auto"/>
            <w:vAlign w:val="center"/>
          </w:tcPr>
          <w:p w14:paraId="54393273">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asciiTheme="minorEastAsia" w:hAnsiTheme="minorEastAsia" w:eastAsiaTheme="minorEastAsia"/>
                <w:b w:val="0"/>
                <w:szCs w:val="21"/>
              </w:rPr>
              <w:t>4#</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637DEB5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16AADF0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4A7D1E65">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52BDE29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6DD8D317">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w:t>
            </w:r>
          </w:p>
        </w:tc>
        <w:tc>
          <w:tcPr>
            <w:tcW w:w="1134" w:type="dxa"/>
            <w:vAlign w:val="center"/>
          </w:tcPr>
          <w:p w14:paraId="7E617BA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30527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3E257641">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21E0B7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22810BC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5E387506">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7D3DA126">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7F37311C">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p>
        </w:tc>
        <w:tc>
          <w:tcPr>
            <w:tcW w:w="1134" w:type="dxa"/>
            <w:vAlign w:val="center"/>
          </w:tcPr>
          <w:p w14:paraId="59C4F83E">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43615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7FE8561D">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EF8330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D4EC47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61D12E4E">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1F9FD58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7FDEE52E">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134" w:type="dxa"/>
            <w:vAlign w:val="center"/>
          </w:tcPr>
          <w:p w14:paraId="0112981E">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17045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77CA6C6A">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398D57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2C3F0C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5A02FFB">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04415CEE">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2EA7D4BC">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134" w:type="dxa"/>
            <w:vAlign w:val="center"/>
          </w:tcPr>
          <w:p w14:paraId="5C7F456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1C681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5AFB4257">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855244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0B5C775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BA39DAC">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75DEAD4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516AEA0A">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134" w:type="dxa"/>
            <w:vAlign w:val="center"/>
          </w:tcPr>
          <w:p w14:paraId="67E8BDA7">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FB56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05F3BE9B">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5A2BD3B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D46A74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4F80FB8E">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41B8DCB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16D94914">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134" w:type="dxa"/>
            <w:vAlign w:val="center"/>
          </w:tcPr>
          <w:p w14:paraId="58AE9E7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511A8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restart"/>
            <w:shd w:val="clear" w:color="auto" w:fill="auto"/>
            <w:vAlign w:val="center"/>
          </w:tcPr>
          <w:p w14:paraId="467E6C5D">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asciiTheme="minorEastAsia" w:hAnsiTheme="minorEastAsia" w:eastAsiaTheme="minorEastAsia"/>
                <w:b w:val="0"/>
                <w:szCs w:val="21"/>
              </w:rPr>
              <w:t>5#</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1615F706">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744B0FE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1180FC21">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6F5C879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676F9D8A">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w:t>
            </w:r>
          </w:p>
        </w:tc>
        <w:tc>
          <w:tcPr>
            <w:tcW w:w="1134" w:type="dxa"/>
            <w:vAlign w:val="center"/>
          </w:tcPr>
          <w:p w14:paraId="32C89CD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6155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1BF0C7BC">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D7BC215">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2C9EBA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6AB3B49">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47756D74">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718D38D0">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p>
        </w:tc>
        <w:tc>
          <w:tcPr>
            <w:tcW w:w="1134" w:type="dxa"/>
            <w:vAlign w:val="center"/>
          </w:tcPr>
          <w:p w14:paraId="6F76A96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2BC7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1CF94AAC">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D061C9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2D4A7B2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5793125">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4631AF3C">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3A8F5924">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134" w:type="dxa"/>
            <w:vAlign w:val="center"/>
          </w:tcPr>
          <w:p w14:paraId="16A87BD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CC16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1E97112A">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B532C2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07DB5BC9">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6ABDE8A">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26A2954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699CF50D">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134" w:type="dxa"/>
            <w:vAlign w:val="center"/>
          </w:tcPr>
          <w:p w14:paraId="7628688E">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0906E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16F9F2C2">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C5AF6D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D258BE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0FD3B9E">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5B4E698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0D24400B">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134" w:type="dxa"/>
            <w:vAlign w:val="center"/>
          </w:tcPr>
          <w:p w14:paraId="08F3459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6D98E0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1C4B01C9">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F86BF4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40DFE4D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3E420C6">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00B33BE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71A736B2">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134" w:type="dxa"/>
            <w:vAlign w:val="center"/>
          </w:tcPr>
          <w:p w14:paraId="7C00DFBE">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1AF6C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restart"/>
            <w:shd w:val="clear" w:color="auto" w:fill="auto"/>
            <w:vAlign w:val="center"/>
          </w:tcPr>
          <w:p w14:paraId="3CE7F808">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asciiTheme="minorEastAsia" w:hAnsiTheme="minorEastAsia" w:eastAsiaTheme="minorEastAsia"/>
                <w:b w:val="0"/>
                <w:szCs w:val="21"/>
              </w:rPr>
              <w:t>6#</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0AAC67A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155CE01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6D32C29B">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4268DA7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4BB9FEC0">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w:t>
            </w:r>
          </w:p>
        </w:tc>
        <w:tc>
          <w:tcPr>
            <w:tcW w:w="1134" w:type="dxa"/>
            <w:vAlign w:val="center"/>
          </w:tcPr>
          <w:p w14:paraId="789054E4">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0B962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19CCD66F">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802647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7E81CC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509FB8E1">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11C62C1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7B1A5544">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p>
        </w:tc>
        <w:tc>
          <w:tcPr>
            <w:tcW w:w="1134" w:type="dxa"/>
            <w:vAlign w:val="center"/>
          </w:tcPr>
          <w:p w14:paraId="736BB26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64B42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25D76A88">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44DB358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0F3FCBB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23E71FE">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7960EF5C">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0CD89A15">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134" w:type="dxa"/>
            <w:vAlign w:val="center"/>
          </w:tcPr>
          <w:p w14:paraId="6BC1F527">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FA77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6E5E2222">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4F7D03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7DC6DE7">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4A6B85CF">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03436DC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2796AC98">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134" w:type="dxa"/>
            <w:vAlign w:val="center"/>
          </w:tcPr>
          <w:p w14:paraId="1F80C6E9">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2299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5FFA9A10">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5E4E395">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4DB5258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D08A54D">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2E41AE44">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14FE5634">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134" w:type="dxa"/>
            <w:vAlign w:val="center"/>
          </w:tcPr>
          <w:p w14:paraId="3787FB6D">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2521D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608F3CB3">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542A5B7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01F782E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4D2B3080">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742CF8E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59CC94F6">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134" w:type="dxa"/>
            <w:vAlign w:val="center"/>
          </w:tcPr>
          <w:p w14:paraId="6864A5F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06D2B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restart"/>
            <w:shd w:val="clear" w:color="auto" w:fill="auto"/>
            <w:vAlign w:val="center"/>
          </w:tcPr>
          <w:p w14:paraId="59E05546">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asciiTheme="minorEastAsia" w:hAnsiTheme="minorEastAsia" w:eastAsiaTheme="minorEastAsia"/>
                <w:b w:val="0"/>
                <w:szCs w:val="21"/>
              </w:rPr>
              <w:t>7#</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1736CC32">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39B30F8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23D611A9">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2364FEA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319FD5E1">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w:t>
            </w:r>
          </w:p>
        </w:tc>
        <w:tc>
          <w:tcPr>
            <w:tcW w:w="1134" w:type="dxa"/>
            <w:vAlign w:val="center"/>
          </w:tcPr>
          <w:p w14:paraId="301217DE">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15AD8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47769248">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66E21123">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EFEF4A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C466593">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2882F82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4EFFD5B6">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p>
        </w:tc>
        <w:tc>
          <w:tcPr>
            <w:tcW w:w="1134" w:type="dxa"/>
            <w:vAlign w:val="center"/>
          </w:tcPr>
          <w:p w14:paraId="2D230D5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E15B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036CC21B">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1F7D09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F6FB2B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4CC7877">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732F3B7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58B10E53">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134" w:type="dxa"/>
            <w:vAlign w:val="center"/>
          </w:tcPr>
          <w:p w14:paraId="1C00AFD4">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09D7E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0E8BEF93">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946F897">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1CACB6D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8A838C1">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7F0698A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1899B635">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134" w:type="dxa"/>
            <w:vAlign w:val="center"/>
          </w:tcPr>
          <w:p w14:paraId="4522541D">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645D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405B9DCC">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222BFD7">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73CEDC6">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68C99DE">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22BA64FF">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36EF7898">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134" w:type="dxa"/>
            <w:vAlign w:val="center"/>
          </w:tcPr>
          <w:p w14:paraId="4CB336C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67F1B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668E084B">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585FF1B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21C6D29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2AFFB7EF">
            <w:pPr>
              <w:pStyle w:val="2"/>
              <w:spacing w:line="240" w:lineRule="exact"/>
              <w:rPr>
                <w:rFonts w:asciiTheme="minorEastAsia" w:hAnsiTheme="minorEastAsia" w:eastAsiaTheme="minorEastAsia"/>
                <w:sz w:val="21"/>
                <w:szCs w:val="21"/>
              </w:rPr>
            </w:pPr>
            <w:r>
              <w:rPr>
                <w:rFonts w:hint="eastAsia" w:asciiTheme="minorEastAsia" w:hAnsiTheme="minorEastAsia" w:eastAsiaTheme="minorEastAsia"/>
                <w:b w:val="0"/>
                <w:sz w:val="21"/>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5E1261E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38D3DD3B">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134" w:type="dxa"/>
            <w:vAlign w:val="center"/>
          </w:tcPr>
          <w:p w14:paraId="22DEB2EC">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2A7B6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restart"/>
            <w:shd w:val="clear" w:color="auto" w:fill="auto"/>
            <w:vAlign w:val="center"/>
          </w:tcPr>
          <w:p w14:paraId="312E289E">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asciiTheme="minorEastAsia" w:hAnsiTheme="minorEastAsia" w:eastAsiaTheme="minorEastAsia"/>
                <w:b w:val="0"/>
                <w:szCs w:val="21"/>
              </w:rPr>
              <w:t>8#</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3CA7187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025C2A6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cs="宋体" w:asciiTheme="minorEastAsia" w:hAnsiTheme="minorEastAsia" w:eastAsiaTheme="minorEastAsia"/>
                <w:b w:val="0"/>
                <w:snapToGrid w:val="0"/>
                <w:spacing w:val="-1"/>
                <w:kern w:val="0"/>
                <w:szCs w:val="21"/>
              </w:rPr>
              <w:t>19.8</w:t>
            </w:r>
          </w:p>
        </w:tc>
        <w:tc>
          <w:tcPr>
            <w:tcW w:w="2920" w:type="dxa"/>
            <w:shd w:val="clear" w:color="auto" w:fill="auto"/>
            <w:vAlign w:val="center"/>
          </w:tcPr>
          <w:p w14:paraId="27E686E4">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5103EC8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05014DB9">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85m范围内无本条款的所有控制项目；东面1</w:t>
            </w:r>
            <w:r>
              <w:rPr>
                <w:rFonts w:asciiTheme="minorEastAsia" w:hAnsiTheme="minorEastAsia" w:eastAsiaTheme="minorEastAsia"/>
                <w:b w:val="0"/>
                <w:szCs w:val="21"/>
              </w:rPr>
              <w:t>22.5</w:t>
            </w:r>
            <w:r>
              <w:rPr>
                <w:rFonts w:hint="eastAsia" w:asciiTheme="minorEastAsia" w:hAnsiTheme="minorEastAsia" w:eastAsiaTheme="minorEastAsia"/>
                <w:b w:val="0"/>
                <w:szCs w:val="21"/>
              </w:rPr>
              <w:t>米处有一处养猪场</w:t>
            </w:r>
          </w:p>
        </w:tc>
        <w:tc>
          <w:tcPr>
            <w:tcW w:w="1134" w:type="dxa"/>
            <w:vAlign w:val="center"/>
          </w:tcPr>
          <w:p w14:paraId="4E8FD8AD">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40B8B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466C2D86">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452DBF4F">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9B03B0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6D596B94">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7264354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16F2F5B5">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r>
              <w:rPr>
                <w:rFonts w:asciiTheme="minorEastAsia" w:hAnsiTheme="minorEastAsia" w:eastAsiaTheme="minorEastAsia"/>
                <w:b w:val="0"/>
                <w:szCs w:val="21"/>
              </w:rPr>
              <w:t xml:space="preserve"> </w:t>
            </w:r>
          </w:p>
        </w:tc>
        <w:tc>
          <w:tcPr>
            <w:tcW w:w="1134" w:type="dxa"/>
            <w:vAlign w:val="center"/>
          </w:tcPr>
          <w:p w14:paraId="5FBDFC4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16AF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2FC16A84">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5CD666F6">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C354155">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7DB1BD8">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4029DBF6">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25CF7957">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134" w:type="dxa"/>
            <w:vAlign w:val="center"/>
          </w:tcPr>
          <w:p w14:paraId="75B22416">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21F46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3FCEBA27">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0A41DF7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19592F3">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9D434CF">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5539AE61">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4CA5B86B">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134" w:type="dxa"/>
            <w:vAlign w:val="center"/>
          </w:tcPr>
          <w:p w14:paraId="631E06BC">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61169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53256257">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3CA96BA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554336E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AD6F863">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5664EBC4">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4DDD85ED">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134" w:type="dxa"/>
            <w:vAlign w:val="center"/>
          </w:tcPr>
          <w:p w14:paraId="30418C7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7F405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04A56167">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8AEBE7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49068343">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370B1C6D">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56C7ECDD">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6C3D7FC3">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134" w:type="dxa"/>
            <w:vAlign w:val="center"/>
          </w:tcPr>
          <w:p w14:paraId="44B40D32">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26AB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restart"/>
            <w:shd w:val="clear" w:color="auto" w:fill="auto"/>
            <w:vAlign w:val="center"/>
          </w:tcPr>
          <w:p w14:paraId="4D5774D6">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hint="eastAsia" w:asciiTheme="minorEastAsia" w:hAnsiTheme="minorEastAsia" w:eastAsiaTheme="minorEastAsia"/>
                <w:b w:val="0"/>
                <w:szCs w:val="21"/>
              </w:rPr>
              <w:t>9</w:t>
            </w:r>
            <w:r>
              <w:rPr>
                <w:rFonts w:asciiTheme="minorEastAsia" w:hAnsiTheme="minorEastAsia" w:eastAsiaTheme="minorEastAsia"/>
                <w:b w:val="0"/>
                <w:szCs w:val="21"/>
              </w:rPr>
              <w:t>#</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6ADC5026">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.3</w:t>
            </w:r>
          </w:p>
        </w:tc>
        <w:tc>
          <w:tcPr>
            <w:tcW w:w="936" w:type="dxa"/>
            <w:vMerge w:val="restart"/>
            <w:shd w:val="clear" w:color="auto" w:fill="auto"/>
            <w:vAlign w:val="center"/>
          </w:tcPr>
          <w:p w14:paraId="16B5448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8.48</w:t>
            </w:r>
          </w:p>
        </w:tc>
        <w:tc>
          <w:tcPr>
            <w:tcW w:w="2920" w:type="dxa"/>
            <w:shd w:val="clear" w:color="auto" w:fill="auto"/>
            <w:vAlign w:val="center"/>
          </w:tcPr>
          <w:p w14:paraId="4DB87B8A">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44" w:type="dxa"/>
            <w:shd w:val="clear" w:color="auto" w:fill="auto"/>
            <w:vAlign w:val="center"/>
          </w:tcPr>
          <w:p w14:paraId="2B3C361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85</w:t>
            </w:r>
          </w:p>
        </w:tc>
        <w:tc>
          <w:tcPr>
            <w:tcW w:w="1581" w:type="dxa"/>
            <w:shd w:val="clear" w:color="auto" w:fill="auto"/>
            <w:vAlign w:val="center"/>
          </w:tcPr>
          <w:p w14:paraId="50E3093B">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85m范围内无本条款的所有控制项目；东北面8</w:t>
            </w:r>
            <w:r>
              <w:rPr>
                <w:rFonts w:asciiTheme="minorEastAsia" w:hAnsiTheme="minorEastAsia" w:eastAsiaTheme="minorEastAsia"/>
                <w:b w:val="0"/>
                <w:szCs w:val="21"/>
              </w:rPr>
              <w:t>6.44</w:t>
            </w:r>
            <w:r>
              <w:rPr>
                <w:rFonts w:hint="eastAsia" w:asciiTheme="minorEastAsia" w:hAnsiTheme="minorEastAsia" w:eastAsiaTheme="minorEastAsia"/>
                <w:b w:val="0"/>
                <w:szCs w:val="21"/>
              </w:rPr>
              <w:t>米处有一处养猪场</w:t>
            </w:r>
          </w:p>
        </w:tc>
        <w:tc>
          <w:tcPr>
            <w:tcW w:w="1134" w:type="dxa"/>
            <w:vAlign w:val="center"/>
          </w:tcPr>
          <w:p w14:paraId="1135A48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7884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586470D6">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5CE7E107">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6FBD3657">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D96FAC3">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人数大于50人</w:t>
            </w:r>
            <w:r>
              <w:rPr>
                <w:rFonts w:hint="eastAsia" w:asciiTheme="minorEastAsia" w:hAnsiTheme="minorEastAsia" w:eastAsiaTheme="minorEastAsia"/>
                <w:b w:val="0"/>
                <w:szCs w:val="21"/>
              </w:rPr>
              <w:t>的居民点边缘、职工人数大于50人的企业围墙、有摘挂作业的铁路车站站界及建筑物边缘、110</w:t>
            </w:r>
            <w:r>
              <w:rPr>
                <w:rFonts w:asciiTheme="minorEastAsia" w:hAnsiTheme="minorEastAsia" w:eastAsiaTheme="minorEastAsia"/>
                <w:b w:val="0"/>
                <w:szCs w:val="21"/>
              </w:rPr>
              <w:t>kV</w:t>
            </w:r>
            <w:r>
              <w:rPr>
                <w:rFonts w:hint="eastAsia" w:asciiTheme="minorEastAsia" w:hAnsiTheme="minorEastAsia" w:eastAsiaTheme="minorEastAsia"/>
                <w:b w:val="0"/>
                <w:szCs w:val="21"/>
              </w:rPr>
              <w:t>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1E75215B">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140</w:t>
            </w:r>
          </w:p>
        </w:tc>
        <w:tc>
          <w:tcPr>
            <w:tcW w:w="1581" w:type="dxa"/>
            <w:shd w:val="clear" w:color="auto" w:fill="auto"/>
            <w:vAlign w:val="center"/>
          </w:tcPr>
          <w:p w14:paraId="7B4716D1">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140</w:t>
            </w:r>
            <w:r>
              <w:rPr>
                <w:rFonts w:hint="eastAsia" w:asciiTheme="minorEastAsia" w:hAnsiTheme="minorEastAsia" w:eastAsiaTheme="minorEastAsia"/>
                <w:b w:val="0"/>
                <w:szCs w:val="21"/>
              </w:rPr>
              <w:t>m范围内无本条款的所有控制项目；</w:t>
            </w:r>
            <w:r>
              <w:rPr>
                <w:rFonts w:asciiTheme="minorEastAsia" w:hAnsiTheme="minorEastAsia" w:eastAsiaTheme="minorEastAsia"/>
                <w:b w:val="0"/>
                <w:szCs w:val="21"/>
              </w:rPr>
              <w:t xml:space="preserve"> </w:t>
            </w:r>
          </w:p>
        </w:tc>
        <w:tc>
          <w:tcPr>
            <w:tcW w:w="1134" w:type="dxa"/>
            <w:vAlign w:val="center"/>
          </w:tcPr>
          <w:p w14:paraId="30B825A5">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039A0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73AC10C9">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432AE8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7B2DB5A7">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636F306E">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w:t>
            </w:r>
            <w:r>
              <w:rPr>
                <w:rFonts w:asciiTheme="minorEastAsia" w:hAnsiTheme="minorEastAsia" w:eastAsiaTheme="minorEastAsia"/>
                <w:b w:val="0"/>
                <w:szCs w:val="21"/>
              </w:rPr>
              <w:t>kV</w:t>
            </w:r>
            <w:r>
              <w:rPr>
                <w:rFonts w:hint="eastAsia" w:asciiTheme="minorEastAsia" w:hAnsiTheme="minorEastAsia" w:eastAsiaTheme="minorEastAsia"/>
                <w:b w:val="0"/>
                <w:szCs w:val="21"/>
              </w:rPr>
              <w:t>及以上的区域变电站围墙、220</w:t>
            </w:r>
            <w:r>
              <w:rPr>
                <w:rFonts w:asciiTheme="minorEastAsia" w:hAnsiTheme="minorEastAsia" w:eastAsiaTheme="minorEastAsia"/>
                <w:b w:val="0"/>
                <w:szCs w:val="21"/>
              </w:rPr>
              <w:t>kV</w:t>
            </w:r>
            <w:r>
              <w:rPr>
                <w:rFonts w:hint="eastAsia" w:asciiTheme="minorEastAsia" w:hAnsiTheme="minorEastAsia" w:eastAsiaTheme="minorEastAsia"/>
                <w:b w:val="0"/>
                <w:szCs w:val="21"/>
              </w:rPr>
              <w:t>以上的架空输电线路</w:t>
            </w:r>
          </w:p>
        </w:tc>
        <w:tc>
          <w:tcPr>
            <w:tcW w:w="744" w:type="dxa"/>
            <w:shd w:val="clear" w:color="auto" w:fill="auto"/>
            <w:vAlign w:val="center"/>
          </w:tcPr>
          <w:p w14:paraId="2D091D5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250</w:t>
            </w:r>
          </w:p>
        </w:tc>
        <w:tc>
          <w:tcPr>
            <w:tcW w:w="1581" w:type="dxa"/>
            <w:shd w:val="clear" w:color="auto" w:fill="auto"/>
            <w:vAlign w:val="center"/>
          </w:tcPr>
          <w:p w14:paraId="3C45A2FB">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 xml:space="preserve">250m范围内无本条款的所有控制项目 </w:t>
            </w:r>
          </w:p>
        </w:tc>
        <w:tc>
          <w:tcPr>
            <w:tcW w:w="1134" w:type="dxa"/>
            <w:vAlign w:val="center"/>
          </w:tcPr>
          <w:p w14:paraId="0ED57E86">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5402F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66A58711">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68E99E6">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1E7903FA">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5B3E0050">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1014F02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78DE951E">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70m范围内无本条款的所有控制项目；</w:t>
            </w:r>
          </w:p>
        </w:tc>
        <w:tc>
          <w:tcPr>
            <w:tcW w:w="1134" w:type="dxa"/>
            <w:vAlign w:val="center"/>
          </w:tcPr>
          <w:p w14:paraId="72ADDD3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22A7A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76C9AF36">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4C170A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59BDD4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B423C42">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w:t>
            </w:r>
            <w:r>
              <w:rPr>
                <w:rFonts w:asciiTheme="minorEastAsia" w:hAnsiTheme="minorEastAsia" w:eastAsiaTheme="minorEastAsia"/>
                <w:b w:val="0"/>
                <w:szCs w:val="21"/>
              </w:rPr>
              <w:t>kV</w:t>
            </w:r>
            <w:r>
              <w:rPr>
                <w:rFonts w:hint="eastAsia" w:asciiTheme="minorEastAsia" w:hAnsiTheme="minorEastAsia" w:eastAsiaTheme="minorEastAsia"/>
                <w:b w:val="0"/>
                <w:szCs w:val="21"/>
              </w:rPr>
              <w:t>架空输电线路</w:t>
            </w:r>
          </w:p>
        </w:tc>
        <w:tc>
          <w:tcPr>
            <w:tcW w:w="744" w:type="dxa"/>
            <w:shd w:val="clear" w:color="auto" w:fill="auto"/>
            <w:vAlign w:val="center"/>
          </w:tcPr>
          <w:p w14:paraId="31D1782E">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70</w:t>
            </w:r>
          </w:p>
        </w:tc>
        <w:tc>
          <w:tcPr>
            <w:tcW w:w="1581" w:type="dxa"/>
            <w:shd w:val="clear" w:color="auto" w:fill="auto"/>
            <w:vAlign w:val="center"/>
          </w:tcPr>
          <w:p w14:paraId="1DFD7E70">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70</w:t>
            </w:r>
            <w:r>
              <w:rPr>
                <w:rFonts w:hint="eastAsia" w:asciiTheme="minorEastAsia" w:hAnsiTheme="minorEastAsia" w:eastAsiaTheme="minorEastAsia"/>
                <w:b w:val="0"/>
                <w:szCs w:val="21"/>
              </w:rPr>
              <w:t>m范围内无本条款的所有控制项目</w:t>
            </w:r>
          </w:p>
        </w:tc>
        <w:tc>
          <w:tcPr>
            <w:tcW w:w="1134" w:type="dxa"/>
            <w:vAlign w:val="center"/>
          </w:tcPr>
          <w:p w14:paraId="52872B08">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3</w:t>
            </w:r>
            <w:r>
              <w:rPr>
                <w:rFonts w:hint="eastAsia" w:asciiTheme="minorEastAsia" w:hAnsiTheme="minorEastAsia" w:eastAsiaTheme="minorEastAsia"/>
                <w:b w:val="0"/>
                <w:szCs w:val="21"/>
              </w:rPr>
              <w:t>要求</w:t>
            </w:r>
          </w:p>
        </w:tc>
      </w:tr>
      <w:tr w14:paraId="3C415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1FC7B201">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8319020">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32CB88BE">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7AA1743">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tc>
        <w:tc>
          <w:tcPr>
            <w:tcW w:w="744" w:type="dxa"/>
            <w:shd w:val="clear" w:color="auto" w:fill="auto"/>
            <w:vAlign w:val="center"/>
          </w:tcPr>
          <w:p w14:paraId="450305A3">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100</w:t>
            </w:r>
          </w:p>
        </w:tc>
        <w:tc>
          <w:tcPr>
            <w:tcW w:w="1581" w:type="dxa"/>
            <w:shd w:val="clear" w:color="auto" w:fill="auto"/>
            <w:vAlign w:val="center"/>
          </w:tcPr>
          <w:p w14:paraId="45F71F05">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100m范围内无条款的所有控制项目</w:t>
            </w:r>
            <w:r>
              <w:rPr>
                <w:rFonts w:asciiTheme="minorEastAsia" w:hAnsiTheme="minorEastAsia" w:eastAsiaTheme="minorEastAsia"/>
                <w:b w:val="0"/>
                <w:szCs w:val="21"/>
              </w:rPr>
              <w:t xml:space="preserve"> </w:t>
            </w:r>
          </w:p>
        </w:tc>
        <w:tc>
          <w:tcPr>
            <w:tcW w:w="1134" w:type="dxa"/>
            <w:vAlign w:val="center"/>
          </w:tcPr>
          <w:p w14:paraId="32B0B094">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r w14:paraId="3A06F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restart"/>
            <w:shd w:val="clear" w:color="auto" w:fill="auto"/>
            <w:vAlign w:val="center"/>
          </w:tcPr>
          <w:p w14:paraId="60160DFE">
            <w:pPr>
              <w:widowControl/>
              <w:autoSpaceDE w:val="0"/>
              <w:autoSpaceDN w:val="0"/>
              <w:adjustRightInd w:val="0"/>
              <w:snapToGrid w:val="0"/>
              <w:spacing w:line="240" w:lineRule="exact"/>
              <w:jc w:val="center"/>
              <w:textAlignment w:val="baseline"/>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0#</w:t>
            </w:r>
            <w:r>
              <w:rPr>
                <w:rFonts w:hint="eastAsia" w:asciiTheme="minorEastAsia" w:hAnsiTheme="minorEastAsia" w:eastAsiaTheme="minorEastAsia"/>
                <w:b w:val="0"/>
                <w:szCs w:val="21"/>
              </w:rPr>
              <w:t>库房</w:t>
            </w:r>
          </w:p>
        </w:tc>
        <w:tc>
          <w:tcPr>
            <w:tcW w:w="692" w:type="dxa"/>
            <w:vMerge w:val="restart"/>
            <w:shd w:val="clear" w:color="auto" w:fill="auto"/>
            <w:vAlign w:val="center"/>
          </w:tcPr>
          <w:p w14:paraId="1D8DF16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rPr>
              <w:t>.1</w:t>
            </w:r>
            <w:r>
              <w:rPr>
                <w:rFonts w:cs="宋体" w:asciiTheme="minorEastAsia" w:hAnsiTheme="minorEastAsia" w:eastAsiaTheme="minorEastAsia"/>
                <w:b w:val="0"/>
                <w:snapToGrid w:val="0"/>
                <w:spacing w:val="-1"/>
                <w:kern w:val="0"/>
                <w:szCs w:val="21"/>
                <w:vertAlign w:val="superscript"/>
              </w:rPr>
              <w:t>-2</w:t>
            </w:r>
          </w:p>
        </w:tc>
        <w:tc>
          <w:tcPr>
            <w:tcW w:w="936" w:type="dxa"/>
            <w:vMerge w:val="restart"/>
            <w:shd w:val="clear" w:color="auto" w:fill="auto"/>
            <w:vAlign w:val="center"/>
          </w:tcPr>
          <w:p w14:paraId="29AC408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r>
              <w:rPr>
                <w:rFonts w:hint="eastAsia" w:cs="宋体" w:asciiTheme="minorEastAsia" w:hAnsiTheme="minorEastAsia" w:eastAsiaTheme="minorEastAsia"/>
                <w:b w:val="0"/>
                <w:snapToGrid w:val="0"/>
                <w:spacing w:val="-1"/>
                <w:kern w:val="0"/>
                <w:szCs w:val="21"/>
              </w:rPr>
              <w:t>2</w:t>
            </w:r>
            <w:r>
              <w:rPr>
                <w:rFonts w:cs="宋体" w:asciiTheme="minorEastAsia" w:hAnsiTheme="minorEastAsia" w:eastAsiaTheme="minorEastAsia"/>
                <w:b w:val="0"/>
                <w:snapToGrid w:val="0"/>
                <w:spacing w:val="-1"/>
                <w:kern w:val="0"/>
                <w:szCs w:val="21"/>
              </w:rPr>
              <w:t>.2</w:t>
            </w:r>
          </w:p>
        </w:tc>
        <w:tc>
          <w:tcPr>
            <w:tcW w:w="2920" w:type="dxa"/>
            <w:shd w:val="clear" w:color="auto" w:fill="auto"/>
            <w:vAlign w:val="center"/>
          </w:tcPr>
          <w:p w14:paraId="4A828D67">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人数小于或等于50人或户数小于或等于10户的零  散住户边缘、职工总数小于或等于50人的企业围墙、本企业生产区建(构)筑物  边缘、无摘挂作业铁路中间 站站界及建筑物边缘、110kV架空输电线路</w:t>
            </w:r>
          </w:p>
        </w:tc>
        <w:tc>
          <w:tcPr>
            <w:tcW w:w="744" w:type="dxa"/>
            <w:shd w:val="clear" w:color="auto" w:fill="auto"/>
            <w:vAlign w:val="center"/>
          </w:tcPr>
          <w:p w14:paraId="25BB99BB">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205</w:t>
            </w:r>
          </w:p>
        </w:tc>
        <w:tc>
          <w:tcPr>
            <w:tcW w:w="1581" w:type="dxa"/>
            <w:shd w:val="clear" w:color="auto" w:fill="auto"/>
            <w:vAlign w:val="center"/>
          </w:tcPr>
          <w:p w14:paraId="792FBA49">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205</w:t>
            </w:r>
            <w:r>
              <w:rPr>
                <w:rFonts w:hint="eastAsia" w:asciiTheme="minorEastAsia" w:hAnsiTheme="minorEastAsia" w:eastAsiaTheme="minorEastAsia"/>
                <w:b w:val="0"/>
                <w:szCs w:val="21"/>
              </w:rPr>
              <w:t>m范围内无本条款的所有控制项目</w:t>
            </w:r>
          </w:p>
        </w:tc>
        <w:tc>
          <w:tcPr>
            <w:tcW w:w="1134" w:type="dxa"/>
            <w:vAlign w:val="center"/>
          </w:tcPr>
          <w:p w14:paraId="24C5FF0A">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6A935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086B775E">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585A0E8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0792B5C4">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54F09097">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人数大于50人且小于或等于500人的居民点边缘、职工总数小于或等于500人的企业围墙、有摘挂作业的铁路车站站界及建筑物边缘</w:t>
            </w:r>
          </w:p>
        </w:tc>
        <w:tc>
          <w:tcPr>
            <w:tcW w:w="744" w:type="dxa"/>
            <w:shd w:val="clear" w:color="auto" w:fill="auto"/>
            <w:vAlign w:val="center"/>
          </w:tcPr>
          <w:p w14:paraId="26372959">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275</w:t>
            </w:r>
          </w:p>
        </w:tc>
        <w:tc>
          <w:tcPr>
            <w:tcW w:w="1581" w:type="dxa"/>
            <w:shd w:val="clear" w:color="auto" w:fill="auto"/>
            <w:vAlign w:val="center"/>
          </w:tcPr>
          <w:p w14:paraId="2AFDA75D">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275</w:t>
            </w:r>
            <w:r>
              <w:rPr>
                <w:rFonts w:hint="eastAsia" w:asciiTheme="minorEastAsia" w:hAnsiTheme="minorEastAsia" w:eastAsiaTheme="minorEastAsia"/>
                <w:b w:val="0"/>
                <w:szCs w:val="21"/>
              </w:rPr>
              <w:t>m范围内无本条款的所有控制项目；</w:t>
            </w:r>
            <w:r>
              <w:rPr>
                <w:rFonts w:asciiTheme="minorEastAsia" w:hAnsiTheme="minorEastAsia" w:eastAsiaTheme="minorEastAsia"/>
                <w:b w:val="0"/>
                <w:szCs w:val="21"/>
              </w:rPr>
              <w:t xml:space="preserve"> </w:t>
            </w:r>
          </w:p>
        </w:tc>
        <w:tc>
          <w:tcPr>
            <w:tcW w:w="1134" w:type="dxa"/>
          </w:tcPr>
          <w:p w14:paraId="4BD74F5C">
            <w:pPr>
              <w:spacing w:line="240" w:lineRule="exact"/>
              <w:jc w:val="cente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118FEC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243CC6D5">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4AC82EA7">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2A84CBD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0B602EC5">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人数大于500人且小于  或等于5000人的居民点边 缘、职工总数小于或等于 5000人的企业围墙</w:t>
            </w:r>
          </w:p>
        </w:tc>
        <w:tc>
          <w:tcPr>
            <w:tcW w:w="744" w:type="dxa"/>
            <w:shd w:val="clear" w:color="auto" w:fill="auto"/>
            <w:vAlign w:val="center"/>
          </w:tcPr>
          <w:p w14:paraId="577599B9">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300</w:t>
            </w:r>
          </w:p>
        </w:tc>
        <w:tc>
          <w:tcPr>
            <w:tcW w:w="1581" w:type="dxa"/>
            <w:shd w:val="clear" w:color="auto" w:fill="auto"/>
            <w:vAlign w:val="center"/>
          </w:tcPr>
          <w:p w14:paraId="578D387C">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30</w:t>
            </w:r>
            <w:r>
              <w:rPr>
                <w:rFonts w:hint="eastAsia" w:asciiTheme="minorEastAsia" w:hAnsiTheme="minorEastAsia" w:eastAsiaTheme="minorEastAsia"/>
                <w:b w:val="0"/>
                <w:szCs w:val="21"/>
              </w:rPr>
              <w:t>0m范围内无本条款的所有控制项目；</w:t>
            </w:r>
            <w:r>
              <w:rPr>
                <w:rFonts w:asciiTheme="minorEastAsia" w:hAnsiTheme="minorEastAsia" w:eastAsiaTheme="minorEastAsia"/>
                <w:b w:val="0"/>
                <w:szCs w:val="21"/>
              </w:rPr>
              <w:t xml:space="preserve"> </w:t>
            </w:r>
          </w:p>
        </w:tc>
        <w:tc>
          <w:tcPr>
            <w:tcW w:w="1134" w:type="dxa"/>
          </w:tcPr>
          <w:p w14:paraId="7831DE5F">
            <w:pPr>
              <w:spacing w:line="240" w:lineRule="exact"/>
              <w:jc w:val="cente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6EADD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6A6A6A0B">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7FEA1CB3">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21753A3C">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1FEEBC4D">
            <w:pPr>
              <w:spacing w:line="240" w:lineRule="exact"/>
              <w:jc w:val="left"/>
              <w:rPr>
                <w:rFonts w:asciiTheme="minorEastAsia" w:hAnsiTheme="minorEastAsia" w:eastAsiaTheme="minorEastAsia"/>
                <w:b w:val="0"/>
                <w:szCs w:val="21"/>
              </w:rPr>
            </w:pPr>
            <w:r>
              <w:rPr>
                <w:rFonts w:asciiTheme="minorEastAsia" w:hAnsiTheme="minorEastAsia" w:eastAsiaTheme="minorEastAsia"/>
                <w:b w:val="0"/>
                <w:szCs w:val="21"/>
              </w:rPr>
              <w:t>110kV区域变电站围墙， 220kV架空输电线路</w:t>
            </w:r>
          </w:p>
        </w:tc>
        <w:tc>
          <w:tcPr>
            <w:tcW w:w="744" w:type="dxa"/>
            <w:shd w:val="clear" w:color="auto" w:fill="auto"/>
            <w:vAlign w:val="center"/>
          </w:tcPr>
          <w:p w14:paraId="38BBB44E">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320</w:t>
            </w:r>
          </w:p>
        </w:tc>
        <w:tc>
          <w:tcPr>
            <w:tcW w:w="1581" w:type="dxa"/>
            <w:shd w:val="clear" w:color="auto" w:fill="auto"/>
            <w:vAlign w:val="center"/>
          </w:tcPr>
          <w:p w14:paraId="1DE8E639">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3</w:t>
            </w:r>
            <w:r>
              <w:rPr>
                <w:rFonts w:hint="eastAsia" w:asciiTheme="minorEastAsia" w:hAnsiTheme="minorEastAsia" w:eastAsiaTheme="minorEastAsia"/>
                <w:b w:val="0"/>
                <w:szCs w:val="21"/>
              </w:rPr>
              <w:t>20m范围内无本条款的所有控制项目</w:t>
            </w:r>
          </w:p>
        </w:tc>
        <w:tc>
          <w:tcPr>
            <w:tcW w:w="1134" w:type="dxa"/>
          </w:tcPr>
          <w:p w14:paraId="78387DBC">
            <w:pPr>
              <w:spacing w:line="240" w:lineRule="exact"/>
              <w:jc w:val="cente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153C5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4A6CE54C">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11F9756B">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18B433D1">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70B5CBFC">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城镇规划边缘、学校、220kV以上的区域变电站围墙，220kV以上架空输电线路</w:t>
            </w:r>
          </w:p>
        </w:tc>
        <w:tc>
          <w:tcPr>
            <w:tcW w:w="744" w:type="dxa"/>
            <w:shd w:val="clear" w:color="auto" w:fill="auto"/>
            <w:vAlign w:val="center"/>
          </w:tcPr>
          <w:p w14:paraId="313D8C2F">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480</w:t>
            </w:r>
          </w:p>
        </w:tc>
        <w:tc>
          <w:tcPr>
            <w:tcW w:w="1581" w:type="dxa"/>
            <w:shd w:val="clear" w:color="auto" w:fill="auto"/>
            <w:vAlign w:val="center"/>
          </w:tcPr>
          <w:p w14:paraId="298D23E4">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480</w:t>
            </w:r>
            <w:r>
              <w:rPr>
                <w:rFonts w:hint="eastAsia" w:asciiTheme="minorEastAsia" w:hAnsiTheme="minorEastAsia" w:eastAsiaTheme="minorEastAsia"/>
                <w:b w:val="0"/>
                <w:szCs w:val="21"/>
              </w:rPr>
              <w:t>m范围内无本条款的所有控制项目</w:t>
            </w:r>
          </w:p>
        </w:tc>
        <w:tc>
          <w:tcPr>
            <w:tcW w:w="1134" w:type="dxa"/>
          </w:tcPr>
          <w:p w14:paraId="379F278D">
            <w:pPr>
              <w:spacing w:line="240" w:lineRule="exact"/>
              <w:jc w:val="cente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61F9D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1CA82485">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6F25656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03379C9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4C6D3BD8">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国家铁路线、省级以上公路用地外缘、通航的河流航道边缘</w:t>
            </w:r>
          </w:p>
        </w:tc>
        <w:tc>
          <w:tcPr>
            <w:tcW w:w="744" w:type="dxa"/>
            <w:shd w:val="clear" w:color="auto" w:fill="auto"/>
            <w:vAlign w:val="center"/>
          </w:tcPr>
          <w:p w14:paraId="3F7575E3">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180</w:t>
            </w:r>
          </w:p>
        </w:tc>
        <w:tc>
          <w:tcPr>
            <w:tcW w:w="1581" w:type="dxa"/>
            <w:shd w:val="clear" w:color="auto" w:fill="auto"/>
            <w:vAlign w:val="center"/>
          </w:tcPr>
          <w:p w14:paraId="6F12857A">
            <w:pPr>
              <w:spacing w:line="240" w:lineRule="exact"/>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80</w:t>
            </w:r>
            <w:r>
              <w:rPr>
                <w:rFonts w:hint="eastAsia" w:asciiTheme="minorEastAsia" w:hAnsiTheme="minorEastAsia" w:eastAsiaTheme="minorEastAsia"/>
                <w:b w:val="0"/>
                <w:szCs w:val="21"/>
              </w:rPr>
              <w:t>m范围内无本条款的其它控制项目</w:t>
            </w:r>
          </w:p>
        </w:tc>
        <w:tc>
          <w:tcPr>
            <w:tcW w:w="1134" w:type="dxa"/>
          </w:tcPr>
          <w:p w14:paraId="3EAABD75">
            <w:pPr>
              <w:spacing w:line="240" w:lineRule="exact"/>
              <w:jc w:val="center"/>
            </w:pPr>
            <w:r>
              <w:rPr>
                <w:rFonts w:hint="eastAsia" w:asciiTheme="minorEastAsia" w:hAnsiTheme="minorEastAsia" w:eastAsiaTheme="minorEastAsia"/>
                <w:b w:val="0"/>
                <w:szCs w:val="21"/>
              </w:rPr>
              <w:t>符合GB50161表 4.3.</w:t>
            </w:r>
            <w:r>
              <w:rPr>
                <w:rFonts w:asciiTheme="minorEastAsia" w:hAnsiTheme="minorEastAsia" w:eastAsiaTheme="minorEastAsia"/>
                <w:b w:val="0"/>
                <w:szCs w:val="21"/>
              </w:rPr>
              <w:t>2</w:t>
            </w:r>
            <w:r>
              <w:rPr>
                <w:rFonts w:hint="eastAsia" w:asciiTheme="minorEastAsia" w:hAnsiTheme="minorEastAsia" w:eastAsiaTheme="minorEastAsia"/>
                <w:b w:val="0"/>
                <w:szCs w:val="21"/>
              </w:rPr>
              <w:t>要求</w:t>
            </w:r>
          </w:p>
        </w:tc>
      </w:tr>
      <w:tr w14:paraId="794C9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vMerge w:val="continue"/>
            <w:shd w:val="clear" w:color="auto" w:fill="auto"/>
            <w:vAlign w:val="center"/>
          </w:tcPr>
          <w:p w14:paraId="46A652C3">
            <w:pPr>
              <w:pStyle w:val="2"/>
              <w:spacing w:line="240" w:lineRule="exact"/>
              <w:ind w:firstLine="422"/>
              <w:rPr>
                <w:rFonts w:asciiTheme="minorEastAsia" w:hAnsiTheme="minorEastAsia" w:eastAsiaTheme="minorEastAsia"/>
                <w:sz w:val="21"/>
                <w:szCs w:val="21"/>
              </w:rPr>
            </w:pPr>
          </w:p>
        </w:tc>
        <w:tc>
          <w:tcPr>
            <w:tcW w:w="692" w:type="dxa"/>
            <w:vMerge w:val="continue"/>
            <w:shd w:val="clear" w:color="auto" w:fill="auto"/>
            <w:vAlign w:val="center"/>
          </w:tcPr>
          <w:p w14:paraId="26B99EA8">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936" w:type="dxa"/>
            <w:vMerge w:val="continue"/>
            <w:shd w:val="clear" w:color="auto" w:fill="auto"/>
            <w:vAlign w:val="center"/>
          </w:tcPr>
          <w:p w14:paraId="43E56C3D">
            <w:pPr>
              <w:widowControl/>
              <w:autoSpaceDE w:val="0"/>
              <w:autoSpaceDN w:val="0"/>
              <w:adjustRightInd w:val="0"/>
              <w:snapToGrid w:val="0"/>
              <w:spacing w:line="240" w:lineRule="exact"/>
              <w:jc w:val="center"/>
              <w:textAlignment w:val="baseline"/>
              <w:rPr>
                <w:rFonts w:cs="宋体" w:asciiTheme="minorEastAsia" w:hAnsiTheme="minorEastAsia" w:eastAsiaTheme="minorEastAsia"/>
                <w:b w:val="0"/>
                <w:snapToGrid w:val="0"/>
                <w:spacing w:val="-1"/>
                <w:kern w:val="0"/>
                <w:szCs w:val="21"/>
              </w:rPr>
            </w:pPr>
          </w:p>
        </w:tc>
        <w:tc>
          <w:tcPr>
            <w:tcW w:w="2920" w:type="dxa"/>
            <w:shd w:val="clear" w:color="auto" w:fill="auto"/>
            <w:vAlign w:val="center"/>
          </w:tcPr>
          <w:p w14:paraId="59147D08">
            <w:pPr>
              <w:spacing w:line="240" w:lineRule="exact"/>
              <w:jc w:val="left"/>
              <w:rPr>
                <w:rFonts w:asciiTheme="minorEastAsia" w:hAnsiTheme="minorEastAsia" w:eastAsiaTheme="minorEastAsia"/>
                <w:b w:val="0"/>
                <w:szCs w:val="21"/>
              </w:rPr>
            </w:pPr>
            <w:r>
              <w:rPr>
                <w:rFonts w:hint="eastAsia" w:asciiTheme="minorEastAsia" w:hAnsiTheme="minorEastAsia" w:eastAsiaTheme="minorEastAsia"/>
                <w:b w:val="0"/>
                <w:szCs w:val="21"/>
              </w:rPr>
              <w:t>非本厂的工厂铁路支线、县级公路用地外缘、35kV架空输电线路</w:t>
            </w:r>
          </w:p>
        </w:tc>
        <w:tc>
          <w:tcPr>
            <w:tcW w:w="744" w:type="dxa"/>
            <w:shd w:val="clear" w:color="auto" w:fill="auto"/>
            <w:vAlign w:val="center"/>
          </w:tcPr>
          <w:p w14:paraId="708DC4FD">
            <w:pPr>
              <w:spacing w:line="240" w:lineRule="exact"/>
              <w:jc w:val="center"/>
              <w:rPr>
                <w:rFonts w:asciiTheme="minorEastAsia" w:hAnsiTheme="minorEastAsia" w:eastAsiaTheme="minorEastAsia"/>
                <w:b w:val="0"/>
                <w:szCs w:val="21"/>
              </w:rPr>
            </w:pPr>
            <w:r>
              <w:rPr>
                <w:rFonts w:asciiTheme="minorEastAsia" w:hAnsiTheme="minorEastAsia" w:eastAsiaTheme="minorEastAsia"/>
                <w:b w:val="0"/>
                <w:szCs w:val="21"/>
              </w:rPr>
              <w:t>120</w:t>
            </w:r>
          </w:p>
        </w:tc>
        <w:tc>
          <w:tcPr>
            <w:tcW w:w="1581" w:type="dxa"/>
            <w:shd w:val="clear" w:color="auto" w:fill="auto"/>
            <w:vAlign w:val="center"/>
          </w:tcPr>
          <w:p w14:paraId="0153739E">
            <w:pPr>
              <w:spacing w:line="240" w:lineRule="exact"/>
              <w:rPr>
                <w:rFonts w:asciiTheme="minorEastAsia" w:hAnsiTheme="minorEastAsia" w:eastAsiaTheme="minorEastAsia"/>
                <w:b w:val="0"/>
                <w:szCs w:val="21"/>
              </w:rPr>
            </w:pPr>
            <w:r>
              <w:rPr>
                <w:rFonts w:asciiTheme="minorEastAsia" w:hAnsiTheme="minorEastAsia" w:eastAsiaTheme="minorEastAsia"/>
                <w:b w:val="0"/>
                <w:szCs w:val="21"/>
              </w:rPr>
              <w:t>120</w:t>
            </w:r>
            <w:r>
              <w:rPr>
                <w:rFonts w:hint="eastAsia" w:asciiTheme="minorEastAsia" w:hAnsiTheme="minorEastAsia" w:eastAsiaTheme="minorEastAsia"/>
                <w:b w:val="0"/>
                <w:szCs w:val="21"/>
              </w:rPr>
              <w:t>m范围内无本条款的所有控制项目</w:t>
            </w:r>
          </w:p>
        </w:tc>
        <w:tc>
          <w:tcPr>
            <w:tcW w:w="1134" w:type="dxa"/>
            <w:vAlign w:val="center"/>
          </w:tcPr>
          <w:p w14:paraId="189875E0">
            <w:pPr>
              <w:spacing w:line="240" w:lineRule="exact"/>
              <w:jc w:val="center"/>
              <w:rPr>
                <w:rFonts w:asciiTheme="minorEastAsia" w:hAnsiTheme="minorEastAsia" w:eastAsiaTheme="minorEastAsia"/>
                <w:b w:val="0"/>
                <w:szCs w:val="21"/>
              </w:rPr>
            </w:pPr>
            <w:r>
              <w:rPr>
                <w:rFonts w:hint="eastAsia" w:asciiTheme="minorEastAsia" w:hAnsiTheme="minorEastAsia" w:eastAsiaTheme="minorEastAsia"/>
                <w:b w:val="0"/>
                <w:szCs w:val="21"/>
              </w:rPr>
              <w:t>《公路安全保护条例》第十八条</w:t>
            </w:r>
          </w:p>
        </w:tc>
      </w:tr>
    </w:tbl>
    <w:p w14:paraId="6A58B91B">
      <w:pPr>
        <w:pStyle w:val="6"/>
        <w:spacing w:before="120" w:beforeLines="50"/>
        <w:rPr>
          <w:rFonts w:ascii="黑体" w:hAnsi="黑体" w:eastAsia="黑体" w:cs="宋体"/>
          <w:b w:val="0"/>
          <w:szCs w:val="28"/>
        </w:rPr>
      </w:pPr>
      <w:bookmarkStart w:id="252" w:name="_Toc165038815"/>
      <w:r>
        <w:rPr>
          <w:rFonts w:hint="eastAsia" w:ascii="黑体" w:hAnsi="黑体" w:eastAsia="黑体" w:cs="宋体"/>
          <w:b w:val="0"/>
          <w:szCs w:val="28"/>
        </w:rPr>
        <w:t>5.2.2建设项目外部安全条件单元安全评价结论</w:t>
      </w:r>
      <w:bookmarkEnd w:id="252"/>
    </w:p>
    <w:p w14:paraId="7E222B10">
      <w:pPr>
        <w:adjustRightInd w:val="0"/>
        <w:snapToGrid w:val="0"/>
        <w:spacing w:line="360" w:lineRule="auto"/>
        <w:ind w:firstLine="560" w:firstLineChars="200"/>
        <w:rPr>
          <w:rFonts w:ascii="宋体" w:hAnsi="宋体" w:cs="宋体"/>
          <w:b w:val="0"/>
          <w:sz w:val="28"/>
          <w:szCs w:val="28"/>
        </w:rPr>
      </w:pPr>
      <w:r>
        <w:rPr>
          <w:rFonts w:hint="eastAsia" w:ascii="宋体" w:hAnsi="宋体" w:cs="宋体"/>
          <w:b w:val="0"/>
          <w:sz w:val="28"/>
          <w:szCs w:val="28"/>
        </w:rPr>
        <w:t>根据表5.2-1检查表的检查结果得出，建设项目外部距离符合《烟花爆竹工程设计安全标准》（GB50161-2022）的标准要求。</w:t>
      </w:r>
    </w:p>
    <w:p w14:paraId="66146ED5">
      <w:pPr>
        <w:keepNext/>
        <w:keepLines/>
        <w:spacing w:before="120" w:beforeLines="50" w:after="120" w:afterLines="50" w:line="360" w:lineRule="auto"/>
        <w:outlineLvl w:val="1"/>
        <w:rPr>
          <w:rFonts w:ascii="黑体" w:hAnsi="宋体" w:eastAsia="黑体"/>
          <w:b w:val="0"/>
          <w:bCs/>
          <w:snapToGrid w:val="0"/>
          <w:sz w:val="30"/>
          <w:szCs w:val="30"/>
        </w:rPr>
      </w:pPr>
      <w:bookmarkStart w:id="253" w:name="_Toc364346100"/>
      <w:bookmarkStart w:id="254" w:name="_Toc205979651"/>
      <w:r>
        <w:rPr>
          <w:rFonts w:hint="eastAsia" w:ascii="黑体" w:hAnsi="宋体" w:eastAsia="黑体"/>
          <w:b w:val="0"/>
          <w:bCs/>
          <w:snapToGrid w:val="0"/>
          <w:sz w:val="30"/>
          <w:szCs w:val="30"/>
        </w:rPr>
        <w:t>5.3选址、总平面布局和内部距离单元安全预评价</w:t>
      </w:r>
      <w:bookmarkEnd w:id="253"/>
      <w:bookmarkEnd w:id="254"/>
    </w:p>
    <w:p w14:paraId="71BD3CF9">
      <w:pPr>
        <w:pStyle w:val="6"/>
        <w:rPr>
          <w:rFonts w:ascii="黑体" w:hAnsi="黑体" w:eastAsia="黑体" w:cs="宋体"/>
          <w:b w:val="0"/>
          <w:szCs w:val="28"/>
        </w:rPr>
      </w:pPr>
      <w:bookmarkStart w:id="255" w:name="_Toc165038817"/>
      <w:r>
        <w:rPr>
          <w:rFonts w:hint="eastAsia" w:ascii="黑体" w:hAnsi="黑体" w:eastAsia="黑体" w:cs="宋体"/>
          <w:b w:val="0"/>
          <w:szCs w:val="28"/>
        </w:rPr>
        <w:t>5.3.1选址、总体布局评价</w:t>
      </w:r>
      <w:bookmarkEnd w:id="255"/>
    </w:p>
    <w:p w14:paraId="6A0DAB5B">
      <w:pPr>
        <w:pStyle w:val="2"/>
        <w:ind w:firstLine="600"/>
        <w:rPr>
          <w:rFonts w:ascii="宋体" w:hAnsi="宋体" w:eastAsia="宋体" w:cs="宋体"/>
          <w:b w:val="0"/>
          <w:kern w:val="2"/>
          <w:szCs w:val="28"/>
          <w:lang w:val="zh-CN"/>
        </w:rPr>
      </w:pPr>
      <w:r>
        <w:rPr>
          <w:rFonts w:hint="eastAsia" w:cs="宋体" w:asciiTheme="minorEastAsia" w:hAnsiTheme="minorEastAsia" w:eastAsiaTheme="minorEastAsia"/>
          <w:b w:val="0"/>
          <w:bCs/>
          <w:spacing w:val="10"/>
          <w:kern w:val="24"/>
          <w:szCs w:val="28"/>
        </w:rPr>
        <w:t>黑龙江泰运烟花有限公司异地新建烟花爆竹库区项目</w:t>
      </w:r>
      <w:r>
        <w:rPr>
          <w:rFonts w:hint="eastAsia" w:cs="宋体" w:asciiTheme="minorEastAsia" w:hAnsiTheme="minorEastAsia" w:eastAsiaTheme="minorEastAsia"/>
          <w:b w:val="0"/>
          <w:spacing w:val="10"/>
          <w:kern w:val="24"/>
        </w:rPr>
        <w:t>位于黑龙江省大庆市肇州县新福乡新福村，库区总占地面积预计约</w:t>
      </w:r>
      <w:r>
        <w:rPr>
          <w:rFonts w:cs="宋体" w:asciiTheme="minorEastAsia" w:hAnsiTheme="minorEastAsia" w:eastAsiaTheme="minorEastAsia"/>
          <w:b w:val="0"/>
          <w:spacing w:val="10"/>
          <w:kern w:val="24"/>
        </w:rPr>
        <w:t>66000</w:t>
      </w:r>
      <w:r>
        <w:rPr>
          <w:rFonts w:hint="eastAsia" w:cs="宋体" w:asciiTheme="minorEastAsia" w:hAnsiTheme="minorEastAsia" w:eastAsiaTheme="minorEastAsia"/>
          <w:b w:val="0"/>
          <w:spacing w:val="10"/>
          <w:kern w:val="24"/>
        </w:rPr>
        <w:t>m²。</w:t>
      </w:r>
      <w:r>
        <w:rPr>
          <w:rFonts w:hint="eastAsia" w:ascii="宋体" w:hAnsi="宋体" w:eastAsia="宋体" w:cs="宋体"/>
          <w:b w:val="0"/>
          <w:kern w:val="2"/>
          <w:szCs w:val="28"/>
        </w:rPr>
        <w:t>建设项目库区布置按照由西向东依次布置，新建1</w:t>
      </w:r>
      <w:r>
        <w:rPr>
          <w:rFonts w:ascii="宋体" w:hAnsi="宋体" w:eastAsia="宋体" w:cs="宋体"/>
          <w:b w:val="0"/>
          <w:kern w:val="2"/>
          <w:szCs w:val="28"/>
        </w:rPr>
        <w:t>#</w:t>
      </w:r>
      <w:r>
        <w:rPr>
          <w:rFonts w:hint="eastAsia" w:ascii="宋体" w:hAnsi="宋体" w:eastAsia="宋体" w:cs="宋体"/>
          <w:b w:val="0"/>
          <w:kern w:val="2"/>
          <w:szCs w:val="28"/>
        </w:rPr>
        <w:t>库房位于库区东南面建筑面积5</w:t>
      </w:r>
      <w:r>
        <w:rPr>
          <w:rFonts w:ascii="宋体" w:hAnsi="宋体" w:eastAsia="宋体" w:cs="宋体"/>
          <w:b w:val="0"/>
          <w:kern w:val="2"/>
          <w:szCs w:val="28"/>
        </w:rPr>
        <w:t>58m</w:t>
      </w:r>
      <w:r>
        <w:rPr>
          <w:rFonts w:ascii="宋体" w:hAnsi="宋体" w:eastAsia="宋体" w:cs="宋体"/>
          <w:b w:val="0"/>
          <w:kern w:val="2"/>
          <w:szCs w:val="28"/>
          <w:vertAlign w:val="superscript"/>
        </w:rPr>
        <w:t>2</w:t>
      </w:r>
      <w:r>
        <w:rPr>
          <w:rFonts w:hint="eastAsia" w:ascii="宋体" w:hAnsi="宋体" w:eastAsia="宋体" w:cs="宋体"/>
          <w:b w:val="0"/>
          <w:kern w:val="2"/>
          <w:szCs w:val="28"/>
          <w:lang w:val="zh-CN"/>
        </w:rPr>
        <w:t>；2</w:t>
      </w:r>
      <w:r>
        <w:rPr>
          <w:rFonts w:ascii="宋体" w:hAnsi="宋体" w:eastAsia="宋体" w:cs="宋体"/>
          <w:b w:val="0"/>
          <w:kern w:val="2"/>
          <w:szCs w:val="28"/>
          <w:lang w:val="zh-CN"/>
        </w:rPr>
        <w:t>#</w:t>
      </w:r>
      <w:r>
        <w:rPr>
          <w:rFonts w:hint="eastAsia" w:ascii="宋体" w:hAnsi="宋体" w:eastAsia="宋体" w:cs="宋体"/>
          <w:b w:val="0"/>
          <w:kern w:val="2"/>
          <w:szCs w:val="28"/>
          <w:lang w:val="zh-CN"/>
        </w:rPr>
        <w:t>、4</w:t>
      </w:r>
      <w:r>
        <w:rPr>
          <w:rFonts w:ascii="宋体" w:hAnsi="宋体" w:eastAsia="宋体" w:cs="宋体"/>
          <w:b w:val="0"/>
          <w:kern w:val="2"/>
          <w:szCs w:val="28"/>
          <w:lang w:val="zh-CN"/>
        </w:rPr>
        <w:t>#</w:t>
      </w:r>
      <w:r>
        <w:rPr>
          <w:rFonts w:hint="eastAsia" w:ascii="宋体" w:hAnsi="宋体" w:eastAsia="宋体" w:cs="宋体"/>
          <w:b w:val="0"/>
          <w:kern w:val="2"/>
          <w:szCs w:val="28"/>
          <w:lang w:val="zh-CN"/>
        </w:rPr>
        <w:t>、6</w:t>
      </w:r>
      <w:r>
        <w:rPr>
          <w:rFonts w:ascii="宋体" w:hAnsi="宋体" w:eastAsia="宋体" w:cs="宋体"/>
          <w:b w:val="0"/>
          <w:kern w:val="2"/>
          <w:szCs w:val="28"/>
          <w:lang w:val="zh-CN"/>
        </w:rPr>
        <w:t>#</w:t>
      </w:r>
      <w:r>
        <w:rPr>
          <w:rFonts w:hint="eastAsia" w:ascii="宋体" w:hAnsi="宋体" w:eastAsia="宋体" w:cs="宋体"/>
          <w:b w:val="0"/>
          <w:kern w:val="2"/>
          <w:szCs w:val="28"/>
          <w:lang w:val="zh-CN"/>
        </w:rPr>
        <w:t>、8</w:t>
      </w:r>
      <w:r>
        <w:rPr>
          <w:rFonts w:ascii="宋体" w:hAnsi="宋体" w:eastAsia="宋体" w:cs="宋体"/>
          <w:b w:val="0"/>
          <w:kern w:val="2"/>
          <w:szCs w:val="28"/>
          <w:lang w:val="zh-CN"/>
        </w:rPr>
        <w:t>#</w:t>
      </w:r>
      <w:r>
        <w:rPr>
          <w:rFonts w:hint="eastAsia" w:ascii="宋体" w:hAnsi="宋体" w:eastAsia="宋体" w:cs="宋体"/>
          <w:b w:val="0"/>
          <w:kern w:val="2"/>
          <w:szCs w:val="28"/>
          <w:lang w:val="zh-CN"/>
        </w:rPr>
        <w:t>库房位于库区东北面建筑面积均为9</w:t>
      </w:r>
      <w:r>
        <w:rPr>
          <w:rFonts w:ascii="宋体" w:hAnsi="宋体" w:eastAsia="宋体" w:cs="宋体"/>
          <w:b w:val="0"/>
          <w:kern w:val="2"/>
          <w:szCs w:val="28"/>
          <w:lang w:val="zh-CN"/>
        </w:rPr>
        <w:t>90m</w:t>
      </w:r>
      <w:r>
        <w:rPr>
          <w:rFonts w:ascii="宋体" w:hAnsi="宋体" w:eastAsia="宋体" w:cs="宋体"/>
          <w:b w:val="0"/>
          <w:kern w:val="2"/>
          <w:szCs w:val="28"/>
          <w:vertAlign w:val="superscript"/>
          <w:lang w:val="zh-CN"/>
        </w:rPr>
        <w:t>2</w:t>
      </w:r>
      <w:r>
        <w:rPr>
          <w:rFonts w:ascii="宋体" w:hAnsi="宋体" w:eastAsia="宋体" w:cs="宋体"/>
          <w:b w:val="0"/>
          <w:kern w:val="2"/>
          <w:szCs w:val="28"/>
          <w:lang w:val="zh-CN"/>
        </w:rPr>
        <w:t>/</w:t>
      </w:r>
      <w:r>
        <w:rPr>
          <w:rFonts w:hint="eastAsia" w:ascii="宋体" w:hAnsi="宋体" w:eastAsia="宋体" w:cs="宋体"/>
          <w:b w:val="0"/>
          <w:kern w:val="2"/>
          <w:szCs w:val="28"/>
          <w:lang w:val="zh-CN"/>
        </w:rPr>
        <w:t>栋；3</w:t>
      </w:r>
      <w:r>
        <w:rPr>
          <w:rFonts w:ascii="宋体" w:hAnsi="宋体" w:eastAsia="宋体" w:cs="宋体"/>
          <w:b w:val="0"/>
          <w:kern w:val="2"/>
          <w:szCs w:val="28"/>
          <w:lang w:val="zh-CN"/>
        </w:rPr>
        <w:t>#</w:t>
      </w:r>
      <w:r>
        <w:rPr>
          <w:rFonts w:hint="eastAsia" w:ascii="宋体" w:hAnsi="宋体" w:eastAsia="宋体" w:cs="宋体"/>
          <w:b w:val="0"/>
          <w:kern w:val="2"/>
          <w:szCs w:val="28"/>
          <w:lang w:val="zh-CN"/>
        </w:rPr>
        <w:t>、</w:t>
      </w:r>
      <w:r>
        <w:rPr>
          <w:rFonts w:ascii="宋体" w:hAnsi="宋体" w:eastAsia="宋体" w:cs="宋体"/>
          <w:b w:val="0"/>
          <w:kern w:val="2"/>
          <w:szCs w:val="28"/>
          <w:lang w:val="zh-CN"/>
        </w:rPr>
        <w:t>5#</w:t>
      </w:r>
      <w:r>
        <w:rPr>
          <w:rFonts w:hint="eastAsia" w:ascii="宋体" w:hAnsi="宋体" w:eastAsia="宋体" w:cs="宋体"/>
          <w:b w:val="0"/>
          <w:kern w:val="2"/>
          <w:szCs w:val="28"/>
          <w:lang w:val="zh-CN"/>
        </w:rPr>
        <w:t>、7</w:t>
      </w:r>
      <w:r>
        <w:rPr>
          <w:rFonts w:ascii="宋体" w:hAnsi="宋体" w:eastAsia="宋体" w:cs="宋体"/>
          <w:b w:val="0"/>
          <w:kern w:val="2"/>
          <w:szCs w:val="28"/>
          <w:lang w:val="zh-CN"/>
        </w:rPr>
        <w:t>#</w:t>
      </w:r>
      <w:r>
        <w:rPr>
          <w:rFonts w:hint="eastAsia" w:ascii="宋体" w:hAnsi="宋体" w:eastAsia="宋体" w:cs="宋体"/>
          <w:b w:val="0"/>
          <w:kern w:val="2"/>
          <w:szCs w:val="28"/>
          <w:lang w:val="zh-CN"/>
        </w:rPr>
        <w:t>库房位于库区东南面建筑面积均为9</w:t>
      </w:r>
      <w:r>
        <w:rPr>
          <w:rFonts w:ascii="宋体" w:hAnsi="宋体" w:eastAsia="宋体" w:cs="宋体"/>
          <w:b w:val="0"/>
          <w:kern w:val="2"/>
          <w:szCs w:val="28"/>
          <w:lang w:val="zh-CN"/>
        </w:rPr>
        <w:t>90m</w:t>
      </w:r>
      <w:r>
        <w:rPr>
          <w:rFonts w:ascii="宋体" w:hAnsi="宋体" w:eastAsia="宋体" w:cs="宋体"/>
          <w:b w:val="0"/>
          <w:kern w:val="2"/>
          <w:szCs w:val="28"/>
          <w:vertAlign w:val="superscript"/>
          <w:lang w:val="zh-CN"/>
        </w:rPr>
        <w:t>2</w:t>
      </w:r>
      <w:r>
        <w:rPr>
          <w:rFonts w:ascii="宋体" w:hAnsi="宋体" w:eastAsia="宋体" w:cs="宋体"/>
          <w:b w:val="0"/>
          <w:kern w:val="2"/>
          <w:szCs w:val="28"/>
          <w:lang w:val="zh-CN"/>
        </w:rPr>
        <w:t>/</w:t>
      </w:r>
      <w:r>
        <w:rPr>
          <w:rFonts w:hint="eastAsia" w:ascii="宋体" w:hAnsi="宋体" w:eastAsia="宋体" w:cs="宋体"/>
          <w:b w:val="0"/>
          <w:kern w:val="2"/>
          <w:szCs w:val="28"/>
          <w:lang w:val="zh-CN"/>
        </w:rPr>
        <w:t>栋；9</w:t>
      </w:r>
      <w:r>
        <w:rPr>
          <w:rFonts w:ascii="宋体" w:hAnsi="宋体" w:eastAsia="宋体" w:cs="宋体"/>
          <w:b w:val="0"/>
          <w:kern w:val="2"/>
          <w:szCs w:val="28"/>
          <w:lang w:val="zh-CN"/>
        </w:rPr>
        <w:t>#</w:t>
      </w:r>
      <w:r>
        <w:rPr>
          <w:rFonts w:hint="eastAsia" w:ascii="宋体" w:hAnsi="宋体" w:eastAsia="宋体" w:cs="宋体"/>
          <w:b w:val="0"/>
          <w:kern w:val="2"/>
          <w:szCs w:val="28"/>
          <w:lang w:val="zh-CN"/>
        </w:rPr>
        <w:t>库房位于库区东南面建筑面积为9</w:t>
      </w:r>
      <w:r>
        <w:rPr>
          <w:rFonts w:ascii="宋体" w:hAnsi="宋体" w:eastAsia="宋体" w:cs="宋体"/>
          <w:b w:val="0"/>
          <w:kern w:val="2"/>
          <w:szCs w:val="28"/>
          <w:lang w:val="zh-CN"/>
        </w:rPr>
        <w:t>24m</w:t>
      </w:r>
      <w:r>
        <w:rPr>
          <w:rFonts w:ascii="宋体" w:hAnsi="宋体" w:eastAsia="宋体" w:cs="宋体"/>
          <w:b w:val="0"/>
          <w:kern w:val="2"/>
          <w:szCs w:val="28"/>
          <w:vertAlign w:val="superscript"/>
          <w:lang w:val="zh-CN"/>
        </w:rPr>
        <w:t>2</w:t>
      </w:r>
      <w:r>
        <w:rPr>
          <w:rFonts w:hint="eastAsia" w:ascii="宋体" w:hAnsi="宋体" w:eastAsia="宋体" w:cs="宋体"/>
          <w:b w:val="0"/>
          <w:kern w:val="2"/>
          <w:szCs w:val="28"/>
          <w:lang w:val="zh-CN"/>
        </w:rPr>
        <w:t>；1</w:t>
      </w:r>
      <w:r>
        <w:rPr>
          <w:rFonts w:ascii="宋体" w:hAnsi="宋体" w:eastAsia="宋体" w:cs="宋体"/>
          <w:b w:val="0"/>
          <w:kern w:val="2"/>
          <w:szCs w:val="28"/>
          <w:lang w:val="zh-CN"/>
        </w:rPr>
        <w:t>0#</w:t>
      </w:r>
      <w:r>
        <w:rPr>
          <w:rFonts w:hint="eastAsia" w:ascii="宋体" w:hAnsi="宋体" w:eastAsia="宋体" w:cs="宋体"/>
          <w:b w:val="0"/>
          <w:kern w:val="2"/>
          <w:szCs w:val="28"/>
          <w:lang w:val="zh-CN"/>
        </w:rPr>
        <w:t>库房位于库区东南面建筑面积为1</w:t>
      </w:r>
      <w:r>
        <w:rPr>
          <w:rFonts w:ascii="宋体" w:hAnsi="宋体" w:eastAsia="宋体" w:cs="宋体"/>
          <w:b w:val="0"/>
          <w:kern w:val="2"/>
          <w:szCs w:val="28"/>
          <w:lang w:val="zh-CN"/>
        </w:rPr>
        <w:t>10m</w:t>
      </w:r>
      <w:r>
        <w:rPr>
          <w:rFonts w:ascii="宋体" w:hAnsi="宋体" w:eastAsia="宋体" w:cs="宋体"/>
          <w:b w:val="0"/>
          <w:kern w:val="2"/>
          <w:szCs w:val="28"/>
          <w:vertAlign w:val="superscript"/>
          <w:lang w:val="zh-CN"/>
        </w:rPr>
        <w:t>2</w:t>
      </w:r>
      <w:r>
        <w:rPr>
          <w:rFonts w:hint="eastAsia" w:ascii="宋体" w:hAnsi="宋体" w:eastAsia="宋体" w:cs="宋体"/>
          <w:b w:val="0"/>
          <w:kern w:val="2"/>
          <w:szCs w:val="28"/>
          <w:lang w:val="zh-CN"/>
        </w:rPr>
        <w:t>；利旧2栋值班室分别位于库区入口处左右两边建筑面积均为4</w:t>
      </w:r>
      <w:r>
        <w:rPr>
          <w:rFonts w:ascii="宋体" w:hAnsi="宋体" w:eastAsia="宋体" w:cs="宋体"/>
          <w:b w:val="0"/>
          <w:kern w:val="2"/>
          <w:szCs w:val="28"/>
          <w:lang w:val="zh-CN"/>
        </w:rPr>
        <w:t>2m</w:t>
      </w:r>
      <w:r>
        <w:rPr>
          <w:rFonts w:ascii="宋体" w:hAnsi="宋体" w:eastAsia="宋体" w:cs="宋体"/>
          <w:b w:val="0"/>
          <w:kern w:val="2"/>
          <w:szCs w:val="28"/>
          <w:vertAlign w:val="superscript"/>
          <w:lang w:val="zh-CN"/>
        </w:rPr>
        <w:t>2</w:t>
      </w:r>
      <w:r>
        <w:rPr>
          <w:rFonts w:ascii="宋体" w:hAnsi="宋体" w:eastAsia="宋体" w:cs="宋体"/>
          <w:b w:val="0"/>
          <w:kern w:val="2"/>
          <w:szCs w:val="28"/>
          <w:lang w:val="zh-CN"/>
        </w:rPr>
        <w:t>/</w:t>
      </w:r>
      <w:r>
        <w:rPr>
          <w:rFonts w:hint="eastAsia" w:ascii="宋体" w:hAnsi="宋体" w:eastAsia="宋体" w:cs="宋体"/>
          <w:b w:val="0"/>
          <w:kern w:val="2"/>
          <w:szCs w:val="28"/>
          <w:lang w:val="zh-CN"/>
        </w:rPr>
        <w:t>栋；新建综合办公室1栋，建筑面积为7</w:t>
      </w:r>
      <w:r>
        <w:rPr>
          <w:rFonts w:ascii="宋体" w:hAnsi="宋体" w:eastAsia="宋体" w:cs="宋体"/>
          <w:b w:val="0"/>
          <w:kern w:val="2"/>
          <w:szCs w:val="28"/>
          <w:lang w:val="zh-CN"/>
        </w:rPr>
        <w:t>17.6m</w:t>
      </w:r>
      <w:r>
        <w:rPr>
          <w:rFonts w:ascii="宋体" w:hAnsi="宋体" w:eastAsia="宋体" w:cs="宋体"/>
          <w:b w:val="0"/>
          <w:kern w:val="2"/>
          <w:szCs w:val="28"/>
          <w:vertAlign w:val="superscript"/>
          <w:lang w:val="zh-CN"/>
        </w:rPr>
        <w:t>2</w:t>
      </w:r>
      <w:r>
        <w:rPr>
          <w:rFonts w:hint="eastAsia" w:ascii="宋体" w:hAnsi="宋体" w:eastAsia="宋体" w:cs="宋体"/>
          <w:b w:val="0"/>
          <w:kern w:val="2"/>
          <w:szCs w:val="28"/>
          <w:lang w:val="zh-CN"/>
        </w:rPr>
        <w:t>（内含样品室、销售厅、办公室、业务市），位于库区西北面；消防泵房位于库区东南面建筑面积为2</w:t>
      </w:r>
      <w:r>
        <w:rPr>
          <w:rFonts w:ascii="宋体" w:hAnsi="宋体" w:eastAsia="宋体" w:cs="宋体"/>
          <w:b w:val="0"/>
          <w:kern w:val="2"/>
          <w:szCs w:val="28"/>
          <w:lang w:val="zh-CN"/>
        </w:rPr>
        <w:t>64.62m</w:t>
      </w:r>
      <w:r>
        <w:rPr>
          <w:rFonts w:ascii="宋体" w:hAnsi="宋体" w:eastAsia="宋体" w:cs="宋体"/>
          <w:b w:val="0"/>
          <w:kern w:val="2"/>
          <w:szCs w:val="28"/>
          <w:vertAlign w:val="superscript"/>
          <w:lang w:val="zh-CN"/>
        </w:rPr>
        <w:t>2</w:t>
      </w:r>
      <w:r>
        <w:rPr>
          <w:rFonts w:hint="eastAsia" w:ascii="宋体" w:hAnsi="宋体" w:eastAsia="宋体" w:cs="宋体"/>
          <w:b w:val="0"/>
          <w:kern w:val="2"/>
          <w:szCs w:val="28"/>
          <w:lang w:val="zh-CN"/>
        </w:rPr>
        <w:t>（内设消防水池），消防水池有效容积为3</w:t>
      </w:r>
      <w:r>
        <w:rPr>
          <w:rFonts w:ascii="宋体" w:hAnsi="宋体" w:eastAsia="宋体" w:cs="宋体"/>
          <w:b w:val="0"/>
          <w:kern w:val="2"/>
          <w:szCs w:val="28"/>
          <w:lang w:val="zh-CN"/>
        </w:rPr>
        <w:t>00m</w:t>
      </w:r>
      <w:r>
        <w:rPr>
          <w:rFonts w:ascii="宋体" w:hAnsi="宋体" w:eastAsia="宋体" w:cs="宋体"/>
          <w:b w:val="0"/>
          <w:kern w:val="2"/>
          <w:szCs w:val="28"/>
          <w:vertAlign w:val="superscript"/>
          <w:lang w:val="zh-CN"/>
        </w:rPr>
        <w:t>3</w:t>
      </w:r>
      <w:r>
        <w:rPr>
          <w:rFonts w:hint="eastAsia" w:ascii="宋体" w:hAnsi="宋体" w:eastAsia="宋体" w:cs="宋体"/>
          <w:b w:val="0"/>
          <w:kern w:val="2"/>
          <w:szCs w:val="28"/>
          <w:lang w:val="zh-CN"/>
        </w:rPr>
        <w:t>。</w:t>
      </w:r>
    </w:p>
    <w:p w14:paraId="0EA96504">
      <w:pPr>
        <w:pStyle w:val="2"/>
        <w:ind w:firstLine="560"/>
        <w:rPr>
          <w:rFonts w:ascii="宋体" w:hAnsi="宋体" w:eastAsia="宋体" w:cs="宋体"/>
          <w:b w:val="0"/>
          <w:kern w:val="2"/>
          <w:szCs w:val="28"/>
        </w:rPr>
      </w:pPr>
      <w:r>
        <w:rPr>
          <w:rFonts w:hint="eastAsia" w:ascii="宋体" w:hAnsi="宋体" w:eastAsia="宋体" w:cs="宋体"/>
          <w:b w:val="0"/>
          <w:kern w:val="2"/>
          <w:szCs w:val="28"/>
        </w:rPr>
        <w:t>拟新建的库区拟设置高度≥</w:t>
      </w:r>
      <w:r>
        <w:rPr>
          <w:rFonts w:ascii="宋体" w:hAnsi="宋体" w:eastAsia="宋体" w:cs="宋体"/>
          <w:b w:val="0"/>
          <w:kern w:val="2"/>
          <w:szCs w:val="28"/>
        </w:rPr>
        <w:t>2</w:t>
      </w:r>
      <w:r>
        <w:rPr>
          <w:rFonts w:hint="eastAsia" w:ascii="宋体" w:hAnsi="宋体" w:eastAsia="宋体" w:cs="宋体"/>
          <w:b w:val="0"/>
          <w:kern w:val="2"/>
          <w:szCs w:val="28"/>
        </w:rPr>
        <w:t>米的密砌围墙；建筑物距围墙之间的距离≥5m。距离危险性建、构筑物外墙四周5m内设置防火隔离带。项目位置远离居民点、企业、城镇等，仓库的选址符合烟花爆竹工程设计安全标准》（GB50161-2022）的要求。</w:t>
      </w:r>
    </w:p>
    <w:p w14:paraId="1B3FCFF9">
      <w:pPr>
        <w:pStyle w:val="6"/>
        <w:rPr>
          <w:rFonts w:ascii="黑体" w:hAnsi="黑体" w:eastAsia="黑体" w:cs="宋体"/>
          <w:b w:val="0"/>
          <w:szCs w:val="28"/>
        </w:rPr>
      </w:pPr>
      <w:bookmarkStart w:id="256" w:name="_Toc165038818"/>
      <w:r>
        <w:rPr>
          <w:rFonts w:hint="eastAsia" w:ascii="黑体" w:hAnsi="黑体" w:eastAsia="黑体" w:cs="宋体"/>
          <w:b w:val="0"/>
          <w:szCs w:val="28"/>
        </w:rPr>
        <w:t>5.3.2内部距离安全评价</w:t>
      </w:r>
      <w:bookmarkEnd w:id="256"/>
    </w:p>
    <w:p w14:paraId="4641BA9E">
      <w:pPr>
        <w:spacing w:line="360" w:lineRule="auto"/>
        <w:ind w:firstLine="600" w:firstLineChars="200"/>
        <w:rPr>
          <w:rFonts w:ascii="宋体" w:hAnsi="宋体" w:cs="宋体"/>
          <w:b w:val="0"/>
          <w:spacing w:val="10"/>
          <w:kern w:val="24"/>
          <w:sz w:val="28"/>
          <w:szCs w:val="28"/>
        </w:rPr>
      </w:pPr>
      <w:r>
        <w:rPr>
          <w:rFonts w:hint="eastAsia" w:ascii="Arial" w:hAnsi="Arial" w:cs="Arial"/>
          <w:b w:val="0"/>
          <w:spacing w:val="10"/>
          <w:kern w:val="24"/>
          <w:sz w:val="28"/>
          <w:szCs w:val="28"/>
        </w:rPr>
        <w:t>依</w:t>
      </w:r>
      <w:r>
        <w:rPr>
          <w:rFonts w:hint="eastAsia" w:ascii="宋体" w:hAnsi="宋体" w:cs="宋体"/>
          <w:b w:val="0"/>
          <w:spacing w:val="10"/>
          <w:sz w:val="28"/>
          <w:szCs w:val="28"/>
        </w:rPr>
        <w:t>据表2.6</w:t>
      </w:r>
      <w:r>
        <w:rPr>
          <w:rFonts w:ascii="宋体" w:hAnsi="宋体" w:cs="宋体"/>
          <w:b w:val="0"/>
          <w:spacing w:val="10"/>
          <w:sz w:val="28"/>
          <w:szCs w:val="28"/>
        </w:rPr>
        <w:t>.</w:t>
      </w:r>
      <w:r>
        <w:rPr>
          <w:rFonts w:hint="eastAsia" w:ascii="宋体" w:hAnsi="宋体" w:cs="宋体"/>
          <w:b w:val="0"/>
          <w:spacing w:val="10"/>
          <w:sz w:val="28"/>
          <w:szCs w:val="28"/>
        </w:rPr>
        <w:t>2检</w:t>
      </w:r>
      <w:r>
        <w:rPr>
          <w:rFonts w:hint="eastAsia" w:ascii="宋体" w:hAnsi="宋体" w:cs="宋体"/>
          <w:b w:val="0"/>
          <w:spacing w:val="10"/>
          <w:kern w:val="24"/>
          <w:sz w:val="28"/>
          <w:szCs w:val="28"/>
        </w:rPr>
        <w:t>查结果得出，拟新建库区内各建筑物的内部距离均满足《烟花爆竹工程设计安全标准》（GB50161-2022）的要求。</w:t>
      </w:r>
    </w:p>
    <w:p w14:paraId="25FCB45A">
      <w:pPr>
        <w:pStyle w:val="6"/>
        <w:rPr>
          <w:rFonts w:ascii="黑体" w:hAnsi="黑体" w:eastAsia="黑体" w:cs="宋体"/>
          <w:b w:val="0"/>
          <w:szCs w:val="28"/>
        </w:rPr>
      </w:pPr>
      <w:bookmarkStart w:id="257" w:name="_Toc165038819"/>
      <w:r>
        <w:rPr>
          <w:rFonts w:hint="eastAsia" w:ascii="黑体" w:hAnsi="黑体" w:eastAsia="黑体" w:cs="宋体"/>
          <w:b w:val="0"/>
          <w:szCs w:val="28"/>
        </w:rPr>
        <w:t>5.3.3选址、总平面布置和内部安全距离安全评价结论</w:t>
      </w:r>
      <w:bookmarkEnd w:id="257"/>
    </w:p>
    <w:p w14:paraId="49C796DE">
      <w:pPr>
        <w:adjustRightInd w:val="0"/>
        <w:snapToGrid w:val="0"/>
        <w:spacing w:line="360" w:lineRule="auto"/>
        <w:ind w:firstLine="560" w:firstLineChars="200"/>
        <w:rPr>
          <w:rFonts w:ascii="宋体" w:hAnsi="宋体" w:cs="宋体"/>
          <w:b w:val="0"/>
          <w:sz w:val="28"/>
          <w:szCs w:val="28"/>
        </w:rPr>
      </w:pPr>
      <w:r>
        <w:rPr>
          <w:rFonts w:hint="eastAsia" w:ascii="宋体" w:hAnsi="宋体" w:cs="宋体"/>
          <w:b w:val="0"/>
          <w:sz w:val="28"/>
          <w:szCs w:val="28"/>
        </w:rPr>
        <w:t>根据以上检查表的检查结果得出，建设项目选址、总平面布置和内部安全距离满足《烟花爆竹工程设计安全标准》（GB50161-2022）的标准要求。</w:t>
      </w:r>
    </w:p>
    <w:p w14:paraId="3B337B1E">
      <w:pPr>
        <w:keepNext/>
        <w:keepLines/>
        <w:spacing w:before="120" w:beforeLines="50" w:after="120" w:afterLines="50" w:line="360" w:lineRule="auto"/>
        <w:outlineLvl w:val="1"/>
        <w:rPr>
          <w:rFonts w:ascii="黑体" w:hAnsi="宋体" w:eastAsia="黑体"/>
          <w:b w:val="0"/>
          <w:bCs/>
          <w:snapToGrid w:val="0"/>
          <w:sz w:val="30"/>
          <w:szCs w:val="30"/>
        </w:rPr>
      </w:pPr>
      <w:bookmarkStart w:id="258" w:name="_Toc235865640"/>
      <w:bookmarkStart w:id="259" w:name="_Toc235352377"/>
      <w:bookmarkStart w:id="260" w:name="_Toc211769702"/>
      <w:bookmarkStart w:id="261" w:name="_Toc235862398"/>
      <w:bookmarkStart w:id="262" w:name="_Toc235865729"/>
      <w:bookmarkStart w:id="263" w:name="_Toc364346101"/>
      <w:bookmarkStart w:id="264" w:name="_Toc235352281"/>
      <w:bookmarkStart w:id="265" w:name="_Toc221454631"/>
      <w:bookmarkStart w:id="266" w:name="_Toc205979652"/>
      <w:r>
        <w:rPr>
          <w:rFonts w:hint="eastAsia" w:ascii="黑体" w:hAnsi="宋体" w:eastAsia="黑体"/>
          <w:b w:val="0"/>
          <w:bCs/>
          <w:snapToGrid w:val="0"/>
          <w:sz w:val="30"/>
          <w:szCs w:val="30"/>
        </w:rPr>
        <w:t>5.</w:t>
      </w:r>
      <w:bookmarkEnd w:id="258"/>
      <w:bookmarkEnd w:id="259"/>
      <w:bookmarkEnd w:id="260"/>
      <w:bookmarkEnd w:id="261"/>
      <w:bookmarkEnd w:id="262"/>
      <w:bookmarkEnd w:id="263"/>
      <w:bookmarkEnd w:id="264"/>
      <w:bookmarkEnd w:id="265"/>
      <w:r>
        <w:rPr>
          <w:rFonts w:hint="eastAsia" w:ascii="黑体" w:hAnsi="宋体" w:eastAsia="黑体"/>
          <w:b w:val="0"/>
          <w:bCs/>
          <w:snapToGrid w:val="0"/>
          <w:sz w:val="30"/>
          <w:szCs w:val="30"/>
        </w:rPr>
        <w:t>4安全设施单元安全预评价</w:t>
      </w:r>
      <w:bookmarkEnd w:id="266"/>
    </w:p>
    <w:p w14:paraId="731FEF9E">
      <w:pPr>
        <w:pStyle w:val="6"/>
        <w:rPr>
          <w:rFonts w:ascii="黑体" w:hAnsi="黑体" w:eastAsia="黑体" w:cs="宋体"/>
          <w:b w:val="0"/>
          <w:szCs w:val="28"/>
        </w:rPr>
      </w:pPr>
      <w:bookmarkStart w:id="267" w:name="_Toc165038821"/>
      <w:r>
        <w:rPr>
          <w:rFonts w:hint="eastAsia" w:ascii="黑体" w:hAnsi="黑体" w:eastAsia="黑体" w:cs="宋体"/>
          <w:b w:val="0"/>
          <w:szCs w:val="28"/>
        </w:rPr>
        <w:t>5.4.1建筑评价单元</w:t>
      </w:r>
      <w:bookmarkEnd w:id="267"/>
    </w:p>
    <w:p w14:paraId="1C9E0699">
      <w:pPr>
        <w:widowControl/>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根据可行性研究报告所知，该项目位于黑龙江省大庆市肇州县新福乡新福村，拟新建的</w:t>
      </w:r>
      <w:r>
        <w:rPr>
          <w:rFonts w:ascii="宋体" w:hAnsi="宋体" w:cs="宋体"/>
          <w:b w:val="0"/>
          <w:spacing w:val="10"/>
          <w:kern w:val="24"/>
          <w:sz w:val="28"/>
          <w:szCs w:val="28"/>
        </w:rPr>
        <w:t>10</w:t>
      </w:r>
      <w:r>
        <w:rPr>
          <w:rFonts w:hint="eastAsia" w:ascii="宋体" w:hAnsi="宋体" w:cs="宋体"/>
          <w:b w:val="0"/>
          <w:spacing w:val="10"/>
          <w:kern w:val="24"/>
          <w:sz w:val="28"/>
          <w:szCs w:val="28"/>
        </w:rPr>
        <w:t>栋库房应采用钢筋混凝土框架结构（砖混框架）；</w:t>
      </w:r>
      <w:r>
        <w:rPr>
          <w:rFonts w:hint="eastAsia" w:ascii="宋体" w:hAnsi="宋体" w:cs="宋体"/>
          <w:b w:val="0"/>
          <w:sz w:val="28"/>
          <w:szCs w:val="28"/>
        </w:rPr>
        <w:t>采用</w:t>
      </w:r>
      <w:r>
        <w:rPr>
          <w:rFonts w:hint="eastAsia" w:ascii="宋体" w:hAnsi="宋体" w:cs="宋体"/>
          <w:b w:val="0"/>
          <w:sz w:val="28"/>
          <w:szCs w:val="28"/>
          <w:lang w:val="en-GB"/>
        </w:rPr>
        <w:t>轻质泄压屋盖（彩色复合压型钢板）</w:t>
      </w:r>
      <w:r>
        <w:rPr>
          <w:rFonts w:hint="eastAsia" w:ascii="宋体" w:hAnsi="宋体" w:cs="宋体"/>
          <w:b w:val="0"/>
          <w:sz w:val="28"/>
          <w:szCs w:val="28"/>
        </w:rPr>
        <w:t>，新建后的仓库耐火等级不应低于二级，净空不应小于3m，墙体应采用厚度≥240mm的</w:t>
      </w:r>
      <w:r>
        <w:rPr>
          <w:rFonts w:hint="eastAsia" w:ascii="宋体" w:hAnsi="宋体" w:cs="宋体"/>
          <w:b w:val="0"/>
          <w:spacing w:val="10"/>
          <w:kern w:val="24"/>
          <w:sz w:val="28"/>
          <w:szCs w:val="28"/>
        </w:rPr>
        <w:t>密砌实体墙</w:t>
      </w:r>
      <w:r>
        <w:rPr>
          <w:rFonts w:hint="eastAsia" w:ascii="宋体" w:hAnsi="宋体" w:cs="宋体"/>
          <w:b w:val="0"/>
          <w:sz w:val="28"/>
          <w:szCs w:val="28"/>
        </w:rPr>
        <w:t>；拟新建的9栋1</w:t>
      </w:r>
      <w:r>
        <w:rPr>
          <w:rFonts w:ascii="宋体" w:hAnsi="宋体" w:cs="宋体"/>
          <w:b w:val="0"/>
          <w:sz w:val="28"/>
          <w:szCs w:val="28"/>
        </w:rPr>
        <w:t>.3</w:t>
      </w:r>
      <w:r>
        <w:rPr>
          <w:rFonts w:hint="eastAsia" w:ascii="宋体" w:hAnsi="宋体" w:cs="宋体"/>
          <w:b w:val="0"/>
          <w:sz w:val="28"/>
          <w:szCs w:val="28"/>
        </w:rPr>
        <w:t>级库房应每栋设2个防火分区，保证每个防火分区面积不大于5</w:t>
      </w:r>
      <w:r>
        <w:rPr>
          <w:rFonts w:ascii="宋体" w:hAnsi="宋体" w:cs="宋体"/>
          <w:b w:val="0"/>
          <w:sz w:val="28"/>
          <w:szCs w:val="28"/>
        </w:rPr>
        <w:t>00m</w:t>
      </w:r>
      <w:r>
        <w:rPr>
          <w:rFonts w:ascii="宋体" w:hAnsi="宋体" w:cs="宋体"/>
          <w:b w:val="0"/>
          <w:sz w:val="28"/>
          <w:szCs w:val="28"/>
          <w:vertAlign w:val="superscript"/>
        </w:rPr>
        <w:t>2</w:t>
      </w:r>
      <w:r>
        <w:rPr>
          <w:rFonts w:hint="eastAsia" w:ascii="宋体" w:hAnsi="宋体" w:cs="宋体"/>
          <w:b w:val="0"/>
          <w:sz w:val="28"/>
          <w:szCs w:val="28"/>
        </w:rPr>
        <w:t>；拟新建的9栋1</w:t>
      </w:r>
      <w:r>
        <w:rPr>
          <w:rFonts w:ascii="宋体" w:hAnsi="宋体" w:cs="宋体"/>
          <w:b w:val="0"/>
          <w:sz w:val="28"/>
          <w:szCs w:val="28"/>
        </w:rPr>
        <w:t>.3</w:t>
      </w:r>
      <w:r>
        <w:rPr>
          <w:rFonts w:hint="eastAsia" w:ascii="宋体" w:hAnsi="宋体" w:cs="宋体"/>
          <w:b w:val="0"/>
          <w:sz w:val="28"/>
          <w:szCs w:val="28"/>
        </w:rPr>
        <w:t>级库房应每栋设计</w:t>
      </w:r>
      <w:r>
        <w:rPr>
          <w:rFonts w:ascii="宋体" w:hAnsi="宋体" w:cs="宋体"/>
          <w:b w:val="0"/>
          <w:sz w:val="28"/>
          <w:szCs w:val="28"/>
        </w:rPr>
        <w:t>4</w:t>
      </w:r>
      <w:r>
        <w:rPr>
          <w:rFonts w:hint="eastAsia" w:ascii="宋体" w:hAnsi="宋体" w:cs="宋体"/>
          <w:b w:val="0"/>
          <w:sz w:val="28"/>
          <w:szCs w:val="28"/>
        </w:rPr>
        <w:t>个或以上的安全出口，拟新建的1</w:t>
      </w:r>
      <w:r>
        <w:rPr>
          <w:rFonts w:ascii="宋体" w:hAnsi="宋体" w:cs="宋体"/>
          <w:b w:val="0"/>
          <w:sz w:val="28"/>
          <w:szCs w:val="28"/>
        </w:rPr>
        <w:t>0#1.1</w:t>
      </w:r>
      <w:r>
        <w:rPr>
          <w:rFonts w:ascii="宋体" w:hAnsi="宋体" w:cs="宋体"/>
          <w:b w:val="0"/>
          <w:sz w:val="28"/>
          <w:szCs w:val="28"/>
          <w:vertAlign w:val="superscript"/>
        </w:rPr>
        <w:t>-2</w:t>
      </w:r>
      <w:r>
        <w:rPr>
          <w:rFonts w:hint="eastAsia" w:ascii="宋体" w:hAnsi="宋体" w:cs="宋体"/>
          <w:b w:val="0"/>
          <w:sz w:val="28"/>
          <w:szCs w:val="28"/>
        </w:rPr>
        <w:t>级应设计2个或以上的安全出口（门洞宽度需大于1.5m，平开门），保证仓库内任一点至安全出口的距离不应大于15m。拟新建的1</w:t>
      </w:r>
      <w:r>
        <w:rPr>
          <w:rFonts w:ascii="宋体" w:hAnsi="宋体" w:cs="宋体"/>
          <w:b w:val="0"/>
          <w:sz w:val="28"/>
          <w:szCs w:val="28"/>
        </w:rPr>
        <w:t>0#1.1</w:t>
      </w:r>
      <w:r>
        <w:rPr>
          <w:rFonts w:ascii="宋体" w:hAnsi="宋体" w:cs="宋体"/>
          <w:b w:val="0"/>
          <w:sz w:val="28"/>
          <w:szCs w:val="28"/>
          <w:vertAlign w:val="superscript"/>
        </w:rPr>
        <w:t>-2</w:t>
      </w:r>
      <w:r>
        <w:rPr>
          <w:rFonts w:hint="eastAsia" w:ascii="宋体" w:hAnsi="宋体" w:cs="宋体"/>
          <w:b w:val="0"/>
          <w:sz w:val="28"/>
          <w:szCs w:val="28"/>
        </w:rPr>
        <w:t>级库房应设置防护屏障。</w:t>
      </w:r>
    </w:p>
    <w:p w14:paraId="7E70EBFE">
      <w:pPr>
        <w:pStyle w:val="6"/>
        <w:rPr>
          <w:rFonts w:ascii="黑体" w:hAnsi="黑体" w:eastAsia="黑体" w:cs="宋体"/>
          <w:b w:val="0"/>
          <w:szCs w:val="28"/>
        </w:rPr>
      </w:pPr>
      <w:bookmarkStart w:id="268" w:name="_Toc165038822"/>
      <w:r>
        <w:rPr>
          <w:rFonts w:hint="eastAsia" w:ascii="黑体" w:hAnsi="黑体" w:eastAsia="黑体" w:cs="宋体"/>
          <w:b w:val="0"/>
          <w:szCs w:val="28"/>
        </w:rPr>
        <w:t>5.4.2消防评价单元</w:t>
      </w:r>
      <w:bookmarkEnd w:id="268"/>
    </w:p>
    <w:p w14:paraId="51ACF369">
      <w:pPr>
        <w:wordWrap w:val="0"/>
        <w:spacing w:line="360" w:lineRule="auto"/>
        <w:ind w:firstLine="560" w:firstLineChars="200"/>
        <w:rPr>
          <w:rFonts w:ascii="宋体" w:hAnsi="宋体" w:cs="宋体"/>
          <w:b w:val="0"/>
          <w:sz w:val="28"/>
          <w:szCs w:val="28"/>
        </w:rPr>
      </w:pPr>
      <w:r>
        <w:rPr>
          <w:rFonts w:hint="eastAsia" w:ascii="宋体" w:hAnsi="宋体" w:cs="宋体"/>
          <w:b w:val="0"/>
          <w:sz w:val="28"/>
          <w:szCs w:val="28"/>
        </w:rPr>
        <w:t>根据可行性研究报告所知，该项目库区拟新建一座消防水池，有效容积为3</w:t>
      </w:r>
      <w:r>
        <w:rPr>
          <w:rFonts w:ascii="宋体" w:hAnsi="宋体" w:cs="宋体"/>
          <w:b w:val="0"/>
          <w:sz w:val="28"/>
          <w:szCs w:val="28"/>
        </w:rPr>
        <w:t>00m</w:t>
      </w:r>
      <w:r>
        <w:rPr>
          <w:rFonts w:ascii="宋体" w:hAnsi="宋体" w:cs="宋体"/>
          <w:b w:val="0"/>
          <w:sz w:val="28"/>
          <w:szCs w:val="28"/>
          <w:vertAlign w:val="superscript"/>
        </w:rPr>
        <w:t>3</w:t>
      </w:r>
      <w:r>
        <w:rPr>
          <w:rFonts w:hint="eastAsia" w:ascii="宋体" w:hAnsi="宋体" w:cs="宋体"/>
          <w:b w:val="0"/>
          <w:sz w:val="28"/>
          <w:szCs w:val="28"/>
        </w:rPr>
        <w:t>，并配有两台消防水泵，消防水经消防水加压站加压后输往各装置，各单元供消防使用的独立系统。详见“2.5.1节消防设施”。</w:t>
      </w:r>
    </w:p>
    <w:p w14:paraId="1710342C">
      <w:pPr>
        <w:pStyle w:val="6"/>
        <w:rPr>
          <w:rFonts w:ascii="黑体" w:hAnsi="黑体" w:eastAsia="黑体" w:cs="宋体"/>
          <w:b w:val="0"/>
          <w:szCs w:val="28"/>
        </w:rPr>
      </w:pPr>
      <w:bookmarkStart w:id="269" w:name="_Toc165038823"/>
      <w:r>
        <w:rPr>
          <w:rFonts w:hint="eastAsia" w:ascii="黑体" w:hAnsi="黑体" w:eastAsia="黑体" w:cs="宋体"/>
          <w:b w:val="0"/>
          <w:szCs w:val="28"/>
        </w:rPr>
        <w:t>5.4.3防雷接地评价单元</w:t>
      </w:r>
      <w:bookmarkEnd w:id="269"/>
    </w:p>
    <w:p w14:paraId="058CEB1B">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该项目拟新建的</w:t>
      </w:r>
      <w:r>
        <w:rPr>
          <w:rFonts w:ascii="宋体" w:hAnsi="宋体" w:cs="宋体"/>
          <w:b w:val="0"/>
          <w:bCs/>
          <w:sz w:val="28"/>
          <w:szCs w:val="28"/>
        </w:rPr>
        <w:t>1#</w:t>
      </w:r>
      <w:r>
        <w:rPr>
          <w:rFonts w:hint="eastAsia" w:ascii="宋体" w:hAnsi="宋体" w:cs="宋体"/>
          <w:b w:val="0"/>
          <w:bCs/>
          <w:sz w:val="28"/>
          <w:szCs w:val="28"/>
        </w:rPr>
        <w:t>、2</w:t>
      </w:r>
      <w:r>
        <w:rPr>
          <w:rFonts w:ascii="宋体" w:hAnsi="宋体" w:cs="宋体"/>
          <w:b w:val="0"/>
          <w:bCs/>
          <w:sz w:val="28"/>
          <w:szCs w:val="28"/>
        </w:rPr>
        <w:t>#</w:t>
      </w:r>
      <w:r>
        <w:rPr>
          <w:rFonts w:hint="eastAsia" w:ascii="宋体" w:hAnsi="宋体" w:cs="宋体"/>
          <w:b w:val="0"/>
          <w:bCs/>
          <w:sz w:val="28"/>
          <w:szCs w:val="28"/>
        </w:rPr>
        <w:t>、3</w:t>
      </w:r>
      <w:r>
        <w:rPr>
          <w:rFonts w:ascii="宋体" w:hAnsi="宋体" w:cs="宋体"/>
          <w:b w:val="0"/>
          <w:bCs/>
          <w:sz w:val="28"/>
          <w:szCs w:val="28"/>
        </w:rPr>
        <w:t>#</w:t>
      </w:r>
      <w:r>
        <w:rPr>
          <w:rFonts w:hint="eastAsia" w:ascii="宋体" w:hAnsi="宋体" w:cs="宋体"/>
          <w:b w:val="0"/>
          <w:bCs/>
          <w:sz w:val="28"/>
          <w:szCs w:val="28"/>
        </w:rPr>
        <w:t>、4</w:t>
      </w:r>
      <w:r>
        <w:rPr>
          <w:rFonts w:ascii="宋体" w:hAnsi="宋体" w:cs="宋体"/>
          <w:b w:val="0"/>
          <w:bCs/>
          <w:sz w:val="28"/>
          <w:szCs w:val="28"/>
        </w:rPr>
        <w:t>#</w:t>
      </w:r>
      <w:r>
        <w:rPr>
          <w:rFonts w:hint="eastAsia" w:ascii="宋体" w:hAnsi="宋体" w:cs="宋体"/>
          <w:b w:val="0"/>
          <w:bCs/>
          <w:sz w:val="28"/>
          <w:szCs w:val="28"/>
        </w:rPr>
        <w:t>、5</w:t>
      </w:r>
      <w:r>
        <w:rPr>
          <w:rFonts w:ascii="宋体" w:hAnsi="宋体" w:cs="宋体"/>
          <w:b w:val="0"/>
          <w:bCs/>
          <w:sz w:val="28"/>
          <w:szCs w:val="28"/>
        </w:rPr>
        <w:t>#</w:t>
      </w:r>
      <w:r>
        <w:rPr>
          <w:rFonts w:hint="eastAsia" w:ascii="宋体" w:hAnsi="宋体" w:cs="宋体"/>
          <w:b w:val="0"/>
          <w:bCs/>
          <w:sz w:val="28"/>
          <w:szCs w:val="28"/>
        </w:rPr>
        <w:t>、6</w:t>
      </w:r>
      <w:r>
        <w:rPr>
          <w:rFonts w:ascii="宋体" w:hAnsi="宋体" w:cs="宋体"/>
          <w:b w:val="0"/>
          <w:bCs/>
          <w:sz w:val="28"/>
          <w:szCs w:val="28"/>
        </w:rPr>
        <w:t>#</w:t>
      </w:r>
      <w:r>
        <w:rPr>
          <w:rFonts w:hint="eastAsia" w:ascii="宋体" w:hAnsi="宋体" w:cs="宋体"/>
          <w:b w:val="0"/>
          <w:bCs/>
          <w:sz w:val="28"/>
          <w:szCs w:val="28"/>
        </w:rPr>
        <w:t>、7</w:t>
      </w:r>
      <w:r>
        <w:rPr>
          <w:rFonts w:ascii="宋体" w:hAnsi="宋体" w:cs="宋体"/>
          <w:b w:val="0"/>
          <w:bCs/>
          <w:sz w:val="28"/>
          <w:szCs w:val="28"/>
        </w:rPr>
        <w:t>#</w:t>
      </w:r>
      <w:r>
        <w:rPr>
          <w:rFonts w:hint="eastAsia" w:ascii="宋体" w:hAnsi="宋体" w:cs="宋体"/>
          <w:b w:val="0"/>
          <w:bCs/>
          <w:sz w:val="28"/>
          <w:szCs w:val="28"/>
        </w:rPr>
        <w:t>、8</w:t>
      </w:r>
      <w:r>
        <w:rPr>
          <w:rFonts w:ascii="宋体" w:hAnsi="宋体" w:cs="宋体"/>
          <w:b w:val="0"/>
          <w:bCs/>
          <w:sz w:val="28"/>
          <w:szCs w:val="28"/>
        </w:rPr>
        <w:t>#</w:t>
      </w:r>
      <w:r>
        <w:rPr>
          <w:rFonts w:hint="eastAsia" w:ascii="宋体" w:hAnsi="宋体" w:cs="宋体"/>
          <w:b w:val="0"/>
          <w:bCs/>
          <w:sz w:val="28"/>
          <w:szCs w:val="28"/>
        </w:rPr>
        <w:t>、9</w:t>
      </w:r>
      <w:r>
        <w:rPr>
          <w:rFonts w:ascii="宋体" w:hAnsi="宋体" w:cs="宋体"/>
          <w:b w:val="0"/>
          <w:bCs/>
          <w:sz w:val="28"/>
          <w:szCs w:val="28"/>
        </w:rPr>
        <w:t>#1.3</w:t>
      </w:r>
      <w:r>
        <w:rPr>
          <w:rFonts w:hint="eastAsia" w:ascii="宋体" w:hAnsi="宋体" w:cs="宋体"/>
          <w:b w:val="0"/>
          <w:bCs/>
          <w:sz w:val="28"/>
          <w:szCs w:val="28"/>
        </w:rPr>
        <w:t>级库房</w:t>
      </w:r>
      <w:r>
        <w:rPr>
          <w:rFonts w:hint="eastAsia" w:ascii="宋体" w:hAnsi="宋体" w:cs="宋体"/>
          <w:b w:val="0"/>
          <w:spacing w:val="10"/>
          <w:kern w:val="24"/>
          <w:sz w:val="28"/>
          <w:szCs w:val="28"/>
        </w:rPr>
        <w:t>应采取二类防雷措施；拟新建1</w:t>
      </w:r>
      <w:r>
        <w:rPr>
          <w:rFonts w:ascii="宋体" w:hAnsi="宋体" w:cs="宋体"/>
          <w:b w:val="0"/>
          <w:spacing w:val="10"/>
          <w:kern w:val="24"/>
          <w:sz w:val="28"/>
          <w:szCs w:val="28"/>
        </w:rPr>
        <w:t>0#1.1</w:t>
      </w:r>
      <w:r>
        <w:rPr>
          <w:rFonts w:ascii="宋体" w:hAnsi="宋体" w:cs="宋体"/>
          <w:b w:val="0"/>
          <w:spacing w:val="10"/>
          <w:kern w:val="24"/>
          <w:sz w:val="28"/>
          <w:szCs w:val="28"/>
          <w:vertAlign w:val="superscript"/>
        </w:rPr>
        <w:t>-2</w:t>
      </w:r>
      <w:r>
        <w:rPr>
          <w:rFonts w:hint="eastAsia" w:ascii="宋体" w:hAnsi="宋体" w:cs="宋体"/>
          <w:b w:val="0"/>
          <w:spacing w:val="10"/>
          <w:kern w:val="24"/>
          <w:sz w:val="28"/>
          <w:szCs w:val="28"/>
        </w:rPr>
        <w:t>级库房应采取一类防雷措施。防雷设计应符合现行国家标准《建筑物防雷设计规范》GB50057的有关规定。</w:t>
      </w:r>
    </w:p>
    <w:p w14:paraId="2707044F">
      <w:pPr>
        <w:pStyle w:val="6"/>
        <w:rPr>
          <w:rFonts w:ascii="黑体" w:hAnsi="黑体" w:eastAsia="黑体" w:cs="宋体"/>
          <w:b w:val="0"/>
          <w:szCs w:val="28"/>
        </w:rPr>
      </w:pPr>
      <w:bookmarkStart w:id="270" w:name="_Toc165038824"/>
      <w:r>
        <w:rPr>
          <w:rFonts w:hint="eastAsia" w:ascii="黑体" w:hAnsi="黑体" w:eastAsia="黑体" w:cs="宋体"/>
          <w:b w:val="0"/>
          <w:szCs w:val="28"/>
        </w:rPr>
        <w:t>5.4.4监控措施评价单元</w:t>
      </w:r>
      <w:bookmarkEnd w:id="270"/>
    </w:p>
    <w:p w14:paraId="716211A4">
      <w:pPr>
        <w:spacing w:line="360" w:lineRule="auto"/>
        <w:ind w:firstLine="600" w:firstLineChars="200"/>
        <w:rPr>
          <w:rFonts w:ascii="宋体" w:hAnsi="宋体" w:cs="宋体"/>
          <w:b w:val="0"/>
          <w:spacing w:val="10"/>
          <w:kern w:val="24"/>
          <w:sz w:val="28"/>
          <w:szCs w:val="28"/>
        </w:rPr>
      </w:pPr>
      <w:bookmarkStart w:id="271" w:name="_Toc165038825"/>
      <w:r>
        <w:rPr>
          <w:rFonts w:hint="eastAsia" w:ascii="宋体" w:hAnsi="宋体" w:cs="宋体"/>
          <w:b w:val="0"/>
          <w:spacing w:val="10"/>
          <w:kern w:val="24"/>
          <w:sz w:val="28"/>
          <w:szCs w:val="28"/>
        </w:rPr>
        <w:t>根据可行性行研究报告所知，本项目</w:t>
      </w:r>
      <w:r>
        <w:rPr>
          <w:rFonts w:hint="eastAsia" w:ascii="宋体" w:hAnsi="宋体" w:cs="宋体"/>
          <w:b w:val="0"/>
          <w:bCs/>
          <w:sz w:val="28"/>
          <w:szCs w:val="28"/>
        </w:rPr>
        <w:t>配备视频监控系统、入侵报警系统，视频监控系统对拟新建仓库、大门等重点部位进行监控，监控范围100%，并在值班室里拟配置有视频信号显示器和视频信息储存装置</w:t>
      </w:r>
      <w:r>
        <w:rPr>
          <w:rFonts w:hint="eastAsia" w:ascii="宋体" w:hAnsi="宋体" w:cs="宋体"/>
          <w:b w:val="0"/>
          <w:spacing w:val="10"/>
          <w:kern w:val="24"/>
          <w:sz w:val="28"/>
          <w:szCs w:val="28"/>
        </w:rPr>
        <w:t>。</w:t>
      </w:r>
    </w:p>
    <w:p w14:paraId="1F03BD75">
      <w:pPr>
        <w:pStyle w:val="6"/>
        <w:rPr>
          <w:rFonts w:ascii="黑体" w:hAnsi="黑体" w:eastAsia="黑体" w:cs="宋体"/>
          <w:b w:val="0"/>
          <w:szCs w:val="28"/>
        </w:rPr>
      </w:pPr>
      <w:r>
        <w:rPr>
          <w:rFonts w:hint="eastAsia" w:ascii="黑体" w:hAnsi="黑体" w:eastAsia="黑体" w:cs="宋体"/>
          <w:b w:val="0"/>
          <w:szCs w:val="28"/>
        </w:rPr>
        <w:t>5.4.5防护屏障评价单元</w:t>
      </w:r>
      <w:bookmarkEnd w:id="271"/>
    </w:p>
    <w:p w14:paraId="40657142">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根据《烟花爆竹工程设计安全标准》（GB50161-2022）5.4.2规定：</w:t>
      </w:r>
      <w:r>
        <w:rPr>
          <w:rFonts w:ascii="宋体" w:hAnsi="宋体" w:cs="宋体"/>
          <w:b w:val="0"/>
          <w:spacing w:val="10"/>
          <w:kern w:val="24"/>
          <w:sz w:val="28"/>
          <w:szCs w:val="28"/>
        </w:rPr>
        <w:t>1.1级建(构)筑物应设置防护屏障</w:t>
      </w:r>
      <w:r>
        <w:rPr>
          <w:rFonts w:hint="eastAsia" w:ascii="宋体" w:hAnsi="宋体" w:cs="宋体"/>
          <w:b w:val="0"/>
          <w:spacing w:val="10"/>
          <w:kern w:val="24"/>
          <w:sz w:val="28"/>
          <w:szCs w:val="28"/>
        </w:rPr>
        <w:t>；本项目拟新建的1</w:t>
      </w:r>
      <w:r>
        <w:rPr>
          <w:rFonts w:ascii="宋体" w:hAnsi="宋体" w:cs="宋体"/>
          <w:b w:val="0"/>
          <w:spacing w:val="10"/>
          <w:kern w:val="24"/>
          <w:sz w:val="28"/>
          <w:szCs w:val="28"/>
        </w:rPr>
        <w:t>0#</w:t>
      </w:r>
      <w:r>
        <w:rPr>
          <w:rFonts w:hint="eastAsia" w:ascii="宋体" w:hAnsi="宋体" w:cs="宋体"/>
          <w:b w:val="0"/>
          <w:spacing w:val="10"/>
          <w:kern w:val="24"/>
          <w:sz w:val="28"/>
          <w:szCs w:val="28"/>
        </w:rPr>
        <w:t>库房危险等级为</w:t>
      </w:r>
      <w:r>
        <w:rPr>
          <w:rFonts w:ascii="宋体" w:hAnsi="宋体" w:cs="宋体"/>
          <w:b w:val="0"/>
          <w:spacing w:val="10"/>
          <w:kern w:val="24"/>
          <w:sz w:val="28"/>
          <w:szCs w:val="28"/>
        </w:rPr>
        <w:t>1.1</w:t>
      </w:r>
      <w:r>
        <w:rPr>
          <w:rFonts w:ascii="宋体" w:hAnsi="宋体" w:cs="宋体"/>
          <w:b w:val="0"/>
          <w:spacing w:val="10"/>
          <w:kern w:val="24"/>
          <w:sz w:val="28"/>
          <w:szCs w:val="28"/>
          <w:vertAlign w:val="superscript"/>
        </w:rPr>
        <w:t>-2</w:t>
      </w:r>
      <w:r>
        <w:rPr>
          <w:rFonts w:hint="eastAsia" w:ascii="宋体" w:hAnsi="宋体" w:cs="宋体"/>
          <w:b w:val="0"/>
          <w:spacing w:val="10"/>
          <w:kern w:val="24"/>
          <w:sz w:val="28"/>
          <w:szCs w:val="28"/>
        </w:rPr>
        <w:t>级，需设置防护屏障，</w:t>
      </w:r>
      <w:r>
        <w:rPr>
          <w:rFonts w:ascii="宋体" w:hAnsi="宋体" w:cs="宋体"/>
          <w:b w:val="0"/>
          <w:spacing w:val="10"/>
          <w:kern w:val="24"/>
          <w:sz w:val="28"/>
          <w:szCs w:val="28"/>
        </w:rPr>
        <w:t>防护屏障的高度不应低于防护屏障内危险性建筑物侧墙顶部与被保护建筑屋檐或道路中心线上3.7m处之间连线的高度</w:t>
      </w:r>
      <w:r>
        <w:rPr>
          <w:rFonts w:hint="eastAsia" w:ascii="宋体" w:hAnsi="宋体" w:cs="宋体"/>
          <w:b w:val="0"/>
          <w:spacing w:val="10"/>
          <w:kern w:val="24"/>
          <w:sz w:val="28"/>
          <w:szCs w:val="28"/>
        </w:rPr>
        <w:t>。</w:t>
      </w:r>
    </w:p>
    <w:p w14:paraId="0DCAAF94">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本项目拟新建的</w:t>
      </w:r>
      <w:r>
        <w:rPr>
          <w:rFonts w:ascii="宋体" w:hAnsi="宋体" w:cs="宋体"/>
          <w:b w:val="0"/>
          <w:bCs/>
          <w:sz w:val="28"/>
          <w:szCs w:val="28"/>
        </w:rPr>
        <w:t>1#</w:t>
      </w:r>
      <w:r>
        <w:rPr>
          <w:rFonts w:hint="eastAsia" w:ascii="宋体" w:hAnsi="宋体" w:cs="宋体"/>
          <w:b w:val="0"/>
          <w:bCs/>
          <w:sz w:val="28"/>
          <w:szCs w:val="28"/>
        </w:rPr>
        <w:t>、2</w:t>
      </w:r>
      <w:r>
        <w:rPr>
          <w:rFonts w:ascii="宋体" w:hAnsi="宋体" w:cs="宋体"/>
          <w:b w:val="0"/>
          <w:bCs/>
          <w:sz w:val="28"/>
          <w:szCs w:val="28"/>
        </w:rPr>
        <w:t>#</w:t>
      </w:r>
      <w:r>
        <w:rPr>
          <w:rFonts w:hint="eastAsia" w:ascii="宋体" w:hAnsi="宋体" w:cs="宋体"/>
          <w:b w:val="0"/>
          <w:bCs/>
          <w:sz w:val="28"/>
          <w:szCs w:val="28"/>
        </w:rPr>
        <w:t>、3</w:t>
      </w:r>
      <w:r>
        <w:rPr>
          <w:rFonts w:ascii="宋体" w:hAnsi="宋体" w:cs="宋体"/>
          <w:b w:val="0"/>
          <w:bCs/>
          <w:sz w:val="28"/>
          <w:szCs w:val="28"/>
        </w:rPr>
        <w:t>#</w:t>
      </w:r>
      <w:r>
        <w:rPr>
          <w:rFonts w:hint="eastAsia" w:ascii="宋体" w:hAnsi="宋体" w:cs="宋体"/>
          <w:b w:val="0"/>
          <w:bCs/>
          <w:sz w:val="28"/>
          <w:szCs w:val="28"/>
        </w:rPr>
        <w:t>、4</w:t>
      </w:r>
      <w:r>
        <w:rPr>
          <w:rFonts w:ascii="宋体" w:hAnsi="宋体" w:cs="宋体"/>
          <w:b w:val="0"/>
          <w:bCs/>
          <w:sz w:val="28"/>
          <w:szCs w:val="28"/>
        </w:rPr>
        <w:t>#</w:t>
      </w:r>
      <w:r>
        <w:rPr>
          <w:rFonts w:hint="eastAsia" w:ascii="宋体" w:hAnsi="宋体" w:cs="宋体"/>
          <w:b w:val="0"/>
          <w:bCs/>
          <w:sz w:val="28"/>
          <w:szCs w:val="28"/>
        </w:rPr>
        <w:t>、5</w:t>
      </w:r>
      <w:r>
        <w:rPr>
          <w:rFonts w:ascii="宋体" w:hAnsi="宋体" w:cs="宋体"/>
          <w:b w:val="0"/>
          <w:bCs/>
          <w:sz w:val="28"/>
          <w:szCs w:val="28"/>
        </w:rPr>
        <w:t>#</w:t>
      </w:r>
      <w:r>
        <w:rPr>
          <w:rFonts w:hint="eastAsia" w:ascii="宋体" w:hAnsi="宋体" w:cs="宋体"/>
          <w:b w:val="0"/>
          <w:bCs/>
          <w:sz w:val="28"/>
          <w:szCs w:val="28"/>
        </w:rPr>
        <w:t>、6</w:t>
      </w:r>
      <w:r>
        <w:rPr>
          <w:rFonts w:ascii="宋体" w:hAnsi="宋体" w:cs="宋体"/>
          <w:b w:val="0"/>
          <w:bCs/>
          <w:sz w:val="28"/>
          <w:szCs w:val="28"/>
        </w:rPr>
        <w:t>#</w:t>
      </w:r>
      <w:r>
        <w:rPr>
          <w:rFonts w:hint="eastAsia" w:ascii="宋体" w:hAnsi="宋体" w:cs="宋体"/>
          <w:b w:val="0"/>
          <w:bCs/>
          <w:sz w:val="28"/>
          <w:szCs w:val="28"/>
        </w:rPr>
        <w:t>、7</w:t>
      </w:r>
      <w:r>
        <w:rPr>
          <w:rFonts w:ascii="宋体" w:hAnsi="宋体" w:cs="宋体"/>
          <w:b w:val="0"/>
          <w:bCs/>
          <w:sz w:val="28"/>
          <w:szCs w:val="28"/>
        </w:rPr>
        <w:t>#</w:t>
      </w:r>
      <w:r>
        <w:rPr>
          <w:rFonts w:hint="eastAsia" w:ascii="宋体" w:hAnsi="宋体" w:cs="宋体"/>
          <w:b w:val="0"/>
          <w:bCs/>
          <w:sz w:val="28"/>
          <w:szCs w:val="28"/>
        </w:rPr>
        <w:t>、8</w:t>
      </w:r>
      <w:r>
        <w:rPr>
          <w:rFonts w:ascii="宋体" w:hAnsi="宋体" w:cs="宋体"/>
          <w:b w:val="0"/>
          <w:bCs/>
          <w:sz w:val="28"/>
          <w:szCs w:val="28"/>
        </w:rPr>
        <w:t>#</w:t>
      </w:r>
      <w:r>
        <w:rPr>
          <w:rFonts w:hint="eastAsia" w:ascii="宋体" w:hAnsi="宋体" w:cs="宋体"/>
          <w:b w:val="0"/>
          <w:bCs/>
          <w:sz w:val="28"/>
          <w:szCs w:val="28"/>
        </w:rPr>
        <w:t>、9</w:t>
      </w:r>
      <w:r>
        <w:rPr>
          <w:rFonts w:ascii="宋体" w:hAnsi="宋体" w:cs="宋体"/>
          <w:b w:val="0"/>
          <w:bCs/>
          <w:sz w:val="28"/>
          <w:szCs w:val="28"/>
        </w:rPr>
        <w:t>#</w:t>
      </w:r>
      <w:r>
        <w:rPr>
          <w:rFonts w:hint="eastAsia" w:ascii="宋体" w:hAnsi="宋体" w:cs="宋体"/>
          <w:b w:val="0"/>
          <w:spacing w:val="10"/>
          <w:kern w:val="24"/>
          <w:sz w:val="28"/>
          <w:szCs w:val="28"/>
        </w:rPr>
        <w:t>库房危险等级为1</w:t>
      </w:r>
      <w:r>
        <w:rPr>
          <w:rFonts w:ascii="宋体" w:hAnsi="宋体" w:cs="宋体"/>
          <w:b w:val="0"/>
          <w:spacing w:val="10"/>
          <w:kern w:val="24"/>
          <w:sz w:val="28"/>
          <w:szCs w:val="28"/>
        </w:rPr>
        <w:t>.3</w:t>
      </w:r>
      <w:r>
        <w:rPr>
          <w:rFonts w:hint="eastAsia" w:ascii="宋体" w:hAnsi="宋体" w:cs="宋体"/>
          <w:b w:val="0"/>
          <w:spacing w:val="10"/>
          <w:kern w:val="24"/>
          <w:sz w:val="28"/>
          <w:szCs w:val="28"/>
        </w:rPr>
        <w:t>级，故无需设置</w:t>
      </w:r>
      <w:r>
        <w:rPr>
          <w:rFonts w:ascii="宋体" w:hAnsi="宋体" w:cs="宋体"/>
          <w:b w:val="0"/>
          <w:spacing w:val="10"/>
          <w:kern w:val="24"/>
          <w:sz w:val="28"/>
          <w:szCs w:val="28"/>
        </w:rPr>
        <w:t>防护屏障</w:t>
      </w:r>
      <w:r>
        <w:rPr>
          <w:rFonts w:hint="eastAsia" w:ascii="宋体" w:hAnsi="宋体" w:cs="宋体"/>
          <w:b w:val="0"/>
          <w:spacing w:val="10"/>
          <w:kern w:val="24"/>
          <w:sz w:val="28"/>
          <w:szCs w:val="28"/>
        </w:rPr>
        <w:t>。</w:t>
      </w:r>
    </w:p>
    <w:p w14:paraId="39154D99">
      <w:pPr>
        <w:pStyle w:val="6"/>
        <w:rPr>
          <w:rFonts w:ascii="黑体" w:hAnsi="黑体" w:eastAsia="黑体" w:cs="宋体"/>
          <w:b w:val="0"/>
          <w:szCs w:val="28"/>
        </w:rPr>
      </w:pPr>
      <w:bookmarkStart w:id="272" w:name="_Toc165038826"/>
      <w:r>
        <w:rPr>
          <w:rFonts w:hint="eastAsia" w:ascii="黑体" w:hAnsi="黑体" w:eastAsia="黑体" w:cs="宋体"/>
          <w:b w:val="0"/>
          <w:szCs w:val="28"/>
        </w:rPr>
        <w:t>5.4.6电器、机械、工具安全特性评价单元</w:t>
      </w:r>
      <w:bookmarkEnd w:id="272"/>
    </w:p>
    <w:p w14:paraId="64F9AF7D">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1）电气设备</w:t>
      </w:r>
    </w:p>
    <w:p w14:paraId="5A32A452">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（1）针对仓库内电气设备可能产生电火花和静电等危险性，本项目库房内不设置照明，但应设疏散照明和疏散指示标志。应急照明照度值不低于该场所正常照明照度值的10%，应急时间不小于30min。</w:t>
      </w:r>
    </w:p>
    <w:p w14:paraId="79ABE3B5">
      <w:pPr>
        <w:adjustRightInd w:val="0"/>
        <w:snapToGrid w:val="0"/>
        <w:spacing w:line="360" w:lineRule="auto"/>
        <w:ind w:firstLine="600" w:firstLineChars="200"/>
        <w:rPr>
          <w:rFonts w:ascii="宋体" w:hAnsi="宋体" w:cs="宋体"/>
          <w:b w:val="0"/>
          <w:sz w:val="28"/>
          <w:szCs w:val="28"/>
        </w:rPr>
      </w:pPr>
      <w:r>
        <w:rPr>
          <w:rFonts w:hint="eastAsia" w:ascii="宋体" w:hAnsi="宋体" w:cs="宋体"/>
          <w:b w:val="0"/>
          <w:spacing w:val="10"/>
          <w:kern w:val="24"/>
          <w:sz w:val="28"/>
          <w:szCs w:val="28"/>
        </w:rPr>
        <w:t>（2）</w:t>
      </w:r>
      <w:r>
        <w:rPr>
          <w:rFonts w:hint="eastAsia" w:ascii="宋体" w:hAnsi="宋体" w:cs="宋体"/>
          <w:b w:val="0"/>
          <w:sz w:val="28"/>
          <w:szCs w:val="28"/>
        </w:rPr>
        <w:t>库区电气线路由当地1</w:t>
      </w:r>
      <w:r>
        <w:rPr>
          <w:rFonts w:ascii="宋体" w:hAnsi="宋体" w:cs="宋体"/>
          <w:b w:val="0"/>
          <w:sz w:val="28"/>
          <w:szCs w:val="28"/>
        </w:rPr>
        <w:t>0kv</w:t>
      </w:r>
      <w:r>
        <w:rPr>
          <w:rFonts w:hint="eastAsia" w:ascii="宋体" w:hAnsi="宋体" w:cs="宋体"/>
          <w:b w:val="0"/>
          <w:sz w:val="28"/>
          <w:szCs w:val="28"/>
        </w:rPr>
        <w:t>供电管网，经3</w:t>
      </w:r>
      <w:r>
        <w:rPr>
          <w:rFonts w:ascii="宋体" w:hAnsi="宋体" w:cs="宋体"/>
          <w:b w:val="0"/>
          <w:sz w:val="28"/>
          <w:szCs w:val="28"/>
        </w:rPr>
        <w:t>15kv</w:t>
      </w:r>
      <w:r>
        <w:rPr>
          <w:rFonts w:hint="eastAsia" w:ascii="宋体" w:hAnsi="宋体" w:cs="宋体"/>
          <w:b w:val="0"/>
          <w:sz w:val="28"/>
          <w:szCs w:val="28"/>
        </w:rPr>
        <w:t>架空变压器降压至0</w:t>
      </w:r>
      <w:r>
        <w:rPr>
          <w:rFonts w:ascii="宋体" w:hAnsi="宋体" w:cs="宋体"/>
          <w:b w:val="0"/>
          <w:sz w:val="28"/>
          <w:szCs w:val="28"/>
        </w:rPr>
        <w:t>.4kv</w:t>
      </w:r>
      <w:r>
        <w:rPr>
          <w:rFonts w:hint="eastAsia" w:ascii="宋体" w:hAnsi="宋体" w:cs="宋体"/>
          <w:b w:val="0"/>
          <w:sz w:val="28"/>
          <w:szCs w:val="28"/>
        </w:rPr>
        <w:t>后引入库区配电室。在配电室低压侧配置集中自动补偿装置，补偿容量按变压器容量的3</w:t>
      </w:r>
      <w:r>
        <w:rPr>
          <w:rFonts w:ascii="宋体" w:hAnsi="宋体" w:cs="宋体"/>
          <w:b w:val="0"/>
          <w:sz w:val="28"/>
          <w:szCs w:val="28"/>
        </w:rPr>
        <w:t>0%</w:t>
      </w:r>
      <w:r>
        <w:rPr>
          <w:rFonts w:hint="eastAsia" w:ascii="宋体" w:hAnsi="宋体" w:cs="宋体"/>
          <w:b w:val="0"/>
          <w:sz w:val="28"/>
          <w:szCs w:val="28"/>
        </w:rPr>
        <w:t>设置，采用智能型无功自动补偿装置（具备分相补偿功能），补偿后的功率因数不低于0.9</w:t>
      </w:r>
      <w:r>
        <w:rPr>
          <w:rFonts w:ascii="宋体" w:hAnsi="宋体" w:cs="宋体"/>
          <w:b w:val="0"/>
          <w:sz w:val="28"/>
          <w:szCs w:val="28"/>
        </w:rPr>
        <w:t>5</w:t>
      </w:r>
      <w:r>
        <w:rPr>
          <w:rFonts w:hint="eastAsia" w:ascii="宋体" w:hAnsi="宋体" w:cs="宋体"/>
          <w:b w:val="0"/>
          <w:sz w:val="28"/>
          <w:szCs w:val="28"/>
        </w:rPr>
        <w:t>。配电系统采用放射式配至各库房就地控制。</w:t>
      </w:r>
    </w:p>
    <w:p w14:paraId="170EDFC5">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（3）新建仓库内电气线路应</w:t>
      </w:r>
      <w:r>
        <w:rPr>
          <w:rFonts w:ascii="宋体" w:hAnsi="宋体" w:cs="宋体"/>
          <w:b w:val="0"/>
          <w:spacing w:val="10"/>
          <w:kern w:val="24"/>
          <w:sz w:val="28"/>
          <w:szCs w:val="28"/>
        </w:rPr>
        <w:t>采用</w:t>
      </w:r>
      <w:r>
        <w:rPr>
          <w:rFonts w:hint="eastAsia" w:ascii="宋体" w:hAnsi="宋体" w:cs="宋体"/>
          <w:b w:val="0"/>
          <w:spacing w:val="10"/>
          <w:kern w:val="24"/>
          <w:sz w:val="28"/>
          <w:szCs w:val="28"/>
        </w:rPr>
        <w:t>铜芯阻燃绝缘电线或铜芯阻燃电缆。电线和电</w:t>
      </w:r>
      <w:r>
        <w:rPr>
          <w:rFonts w:ascii="宋体" w:hAnsi="宋体" w:cs="宋体"/>
          <w:b w:val="0"/>
          <w:spacing w:val="10"/>
          <w:kern w:val="24"/>
          <w:sz w:val="28"/>
          <w:szCs w:val="28"/>
        </w:rPr>
        <w:t>缆的</w:t>
      </w:r>
      <w:r>
        <w:rPr>
          <w:rFonts w:hint="eastAsia" w:ascii="宋体" w:hAnsi="宋体" w:cs="宋体"/>
          <w:b w:val="0"/>
          <w:spacing w:val="10"/>
          <w:kern w:val="24"/>
          <w:sz w:val="28"/>
          <w:szCs w:val="28"/>
        </w:rPr>
        <w:t>额定电压不低于450V/750V</w:t>
      </w:r>
      <w:r>
        <w:rPr>
          <w:rFonts w:ascii="宋体" w:hAnsi="宋体" w:cs="宋体"/>
          <w:b w:val="0"/>
          <w:spacing w:val="10"/>
          <w:kern w:val="24"/>
          <w:sz w:val="28"/>
          <w:szCs w:val="28"/>
        </w:rPr>
        <w:t>；通讯导线的</w:t>
      </w:r>
      <w:r>
        <w:rPr>
          <w:rFonts w:hint="eastAsia" w:ascii="宋体" w:hAnsi="宋体" w:cs="宋体"/>
          <w:b w:val="0"/>
          <w:spacing w:val="10"/>
          <w:kern w:val="24"/>
          <w:sz w:val="28"/>
          <w:szCs w:val="28"/>
        </w:rPr>
        <w:t>额定电压不低于300V/</w:t>
      </w:r>
      <w:r>
        <w:rPr>
          <w:rFonts w:ascii="宋体" w:hAnsi="宋体" w:cs="宋体"/>
          <w:b w:val="0"/>
          <w:spacing w:val="10"/>
          <w:kern w:val="24"/>
          <w:sz w:val="28"/>
          <w:szCs w:val="28"/>
        </w:rPr>
        <w:t>5</w:t>
      </w:r>
      <w:r>
        <w:rPr>
          <w:rFonts w:hint="eastAsia" w:ascii="宋体" w:hAnsi="宋体" w:cs="宋体"/>
          <w:b w:val="0"/>
          <w:spacing w:val="10"/>
          <w:kern w:val="24"/>
          <w:sz w:val="28"/>
          <w:szCs w:val="28"/>
        </w:rPr>
        <w:t>0</w:t>
      </w:r>
      <w:r>
        <w:rPr>
          <w:rFonts w:ascii="宋体" w:hAnsi="宋体" w:cs="宋体"/>
          <w:b w:val="0"/>
          <w:spacing w:val="10"/>
          <w:kern w:val="24"/>
          <w:sz w:val="28"/>
          <w:szCs w:val="28"/>
        </w:rPr>
        <w:t>0V。</w:t>
      </w:r>
    </w:p>
    <w:p w14:paraId="76339B3F">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（4）室外电气线路：从库区室外输电线路，拟采用380V/220V架空明线，距离仓库房需大于1.5倍杆距。</w:t>
      </w:r>
    </w:p>
    <w:p w14:paraId="0954F557">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w:t>
      </w:r>
      <w:r>
        <w:rPr>
          <w:rFonts w:ascii="宋体" w:hAnsi="宋体" w:cs="宋体"/>
          <w:b w:val="0"/>
          <w:spacing w:val="10"/>
          <w:kern w:val="24"/>
          <w:sz w:val="28"/>
          <w:szCs w:val="28"/>
        </w:rPr>
        <w:t>5</w:t>
      </w:r>
      <w:r>
        <w:rPr>
          <w:rFonts w:hint="eastAsia" w:ascii="宋体" w:hAnsi="宋体" w:cs="宋体"/>
          <w:b w:val="0"/>
          <w:spacing w:val="10"/>
          <w:kern w:val="24"/>
          <w:sz w:val="28"/>
          <w:szCs w:val="28"/>
        </w:rPr>
        <w:t>）按照建设项目监控通用规范进行设计安装，所有线路视为电气线路。</w:t>
      </w:r>
    </w:p>
    <w:p w14:paraId="4B771803">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2）机械设备</w:t>
      </w:r>
    </w:p>
    <w:p w14:paraId="6E0D6EDB">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库房装卸作业均拟采用人工作业，主要使用的机械设备拟采用手推车。</w:t>
      </w:r>
    </w:p>
    <w:p w14:paraId="7BE298AA">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3）运输设备</w:t>
      </w:r>
    </w:p>
    <w:p w14:paraId="16FFEC07">
      <w:pPr>
        <w:spacing w:line="360" w:lineRule="auto"/>
        <w:ind w:firstLine="600" w:firstLineChars="200"/>
        <w:rPr>
          <w:rFonts w:ascii="宋体" w:hAnsi="宋体" w:cs="宋体"/>
          <w:b w:val="0"/>
          <w:spacing w:val="10"/>
          <w:kern w:val="24"/>
          <w:sz w:val="28"/>
          <w:szCs w:val="28"/>
        </w:rPr>
      </w:pPr>
      <w:r>
        <w:rPr>
          <w:rFonts w:hint="eastAsia" w:ascii="宋体" w:hAnsi="宋体" w:cs="宋体"/>
          <w:b w:val="0"/>
          <w:spacing w:val="10"/>
          <w:kern w:val="24"/>
          <w:sz w:val="28"/>
          <w:szCs w:val="28"/>
        </w:rPr>
        <w:t>黑龙江泰运烟花有限公司负责配送的运输车辆必须具备危险货物运输资质，从事烟花爆竹产品运输人员必须持有道路危险货物押运人员、道路货物运输驾驶员资格证。</w:t>
      </w:r>
    </w:p>
    <w:p w14:paraId="6FF7BBC3">
      <w:pPr>
        <w:pStyle w:val="6"/>
        <w:rPr>
          <w:rFonts w:ascii="黑体" w:hAnsi="黑体" w:eastAsia="黑体" w:cs="宋体"/>
          <w:b w:val="0"/>
          <w:szCs w:val="28"/>
        </w:rPr>
      </w:pPr>
      <w:bookmarkStart w:id="273" w:name="_Toc165038827"/>
      <w:r>
        <w:rPr>
          <w:rFonts w:hint="eastAsia" w:ascii="黑体" w:hAnsi="黑体" w:eastAsia="黑体" w:cs="宋体"/>
          <w:b w:val="0"/>
          <w:szCs w:val="28"/>
        </w:rPr>
        <w:t>5.4.7安全设施单元安全评价结论</w:t>
      </w:r>
      <w:bookmarkEnd w:id="273"/>
    </w:p>
    <w:p w14:paraId="65DF964C">
      <w:pPr>
        <w:adjustRightInd w:val="0"/>
        <w:snapToGrid w:val="0"/>
        <w:spacing w:line="360" w:lineRule="auto"/>
        <w:ind w:firstLine="560" w:firstLineChars="200"/>
        <w:rPr>
          <w:rFonts w:ascii="宋体" w:hAnsi="宋体" w:cs="宋体"/>
          <w:b w:val="0"/>
          <w:sz w:val="28"/>
          <w:szCs w:val="28"/>
        </w:rPr>
      </w:pPr>
      <w:r>
        <w:rPr>
          <w:rFonts w:hint="eastAsia" w:ascii="宋体" w:hAnsi="宋体" w:cs="宋体"/>
          <w:b w:val="0"/>
          <w:sz w:val="28"/>
          <w:szCs w:val="28"/>
        </w:rPr>
        <w:t>根据表5.1.2检查表的检查结果得出，安全设施单元基本符合《烟花爆竹工程设计安全标准》（GB50161-2022）的标准要求。</w:t>
      </w:r>
    </w:p>
    <w:p w14:paraId="4DE86760">
      <w:pPr>
        <w:keepNext/>
        <w:keepLines/>
        <w:spacing w:before="120" w:beforeLines="50" w:after="120" w:afterLines="50" w:line="360" w:lineRule="auto"/>
        <w:outlineLvl w:val="1"/>
        <w:rPr>
          <w:rFonts w:ascii="黑体" w:hAnsi="宋体" w:eastAsia="黑体"/>
          <w:b w:val="0"/>
          <w:bCs/>
          <w:snapToGrid w:val="0"/>
          <w:sz w:val="30"/>
          <w:szCs w:val="30"/>
        </w:rPr>
      </w:pPr>
      <w:bookmarkStart w:id="274" w:name="_Toc233449800"/>
      <w:bookmarkStart w:id="275" w:name="_Toc205979653"/>
      <w:r>
        <w:rPr>
          <w:rFonts w:hint="eastAsia" w:ascii="黑体" w:hAnsi="宋体" w:eastAsia="黑体"/>
          <w:b w:val="0"/>
          <w:bCs/>
          <w:snapToGrid w:val="0"/>
          <w:sz w:val="30"/>
          <w:szCs w:val="30"/>
        </w:rPr>
        <w:t>5.</w:t>
      </w:r>
      <w:bookmarkEnd w:id="274"/>
      <w:r>
        <w:rPr>
          <w:rFonts w:hint="eastAsia" w:ascii="黑体" w:hAnsi="宋体" w:eastAsia="黑体"/>
          <w:b w:val="0"/>
          <w:bCs/>
          <w:snapToGrid w:val="0"/>
          <w:sz w:val="30"/>
          <w:szCs w:val="30"/>
        </w:rPr>
        <w:t>5预先危险性分析法（PHA）</w:t>
      </w:r>
      <w:bookmarkEnd w:id="275"/>
    </w:p>
    <w:p w14:paraId="619DCB77">
      <w:pPr>
        <w:pStyle w:val="6"/>
        <w:rPr>
          <w:rFonts w:ascii="黑体" w:hAnsi="黑体" w:eastAsia="黑体" w:cs="宋体"/>
          <w:b w:val="0"/>
          <w:szCs w:val="28"/>
        </w:rPr>
      </w:pPr>
      <w:bookmarkStart w:id="276" w:name="_Toc165038829"/>
      <w:bookmarkStart w:id="277" w:name="_Toc233449801"/>
      <w:r>
        <w:rPr>
          <w:rFonts w:hint="eastAsia" w:ascii="黑体" w:hAnsi="黑体" w:eastAsia="黑体" w:cs="宋体"/>
          <w:b w:val="0"/>
          <w:szCs w:val="28"/>
        </w:rPr>
        <w:t>5.5.1单元概况</w:t>
      </w:r>
      <w:bookmarkEnd w:id="276"/>
      <w:bookmarkEnd w:id="277"/>
    </w:p>
    <w:p w14:paraId="2B58F6AB">
      <w:pPr>
        <w:spacing w:line="360" w:lineRule="auto"/>
        <w:ind w:firstLine="527"/>
        <w:rPr>
          <w:rFonts w:ascii="Times New Roman" w:hAnsi="Times New Roman"/>
          <w:b w:val="0"/>
          <w:sz w:val="28"/>
          <w:szCs w:val="28"/>
        </w:rPr>
      </w:pPr>
      <w:r>
        <w:rPr>
          <w:rFonts w:hint="eastAsia" w:ascii="宋体" w:hAnsi="宋体" w:cs="宋体"/>
          <w:b w:val="0"/>
          <w:sz w:val="28"/>
          <w:szCs w:val="28"/>
        </w:rPr>
        <w:t>新建库区主要有仓库主体工程、消防设施、围墙、运输通道、值班室等。仓库建筑主要考虑建筑材料、防火等级、内外部间距、围墙高度和间距、运输通道宽度和坡度等是否符合规定。</w:t>
      </w:r>
    </w:p>
    <w:p w14:paraId="7F0EDDB7">
      <w:pPr>
        <w:pStyle w:val="6"/>
        <w:rPr>
          <w:rFonts w:ascii="黑体" w:hAnsi="黑体" w:eastAsia="黑体" w:cs="宋体"/>
          <w:b w:val="0"/>
          <w:szCs w:val="28"/>
        </w:rPr>
      </w:pPr>
      <w:bookmarkStart w:id="278" w:name="_Toc165038830"/>
      <w:bookmarkStart w:id="279" w:name="_Toc233449802"/>
      <w:r>
        <w:rPr>
          <w:rFonts w:hint="eastAsia" w:ascii="黑体" w:hAnsi="黑体" w:eastAsia="黑体" w:cs="宋体"/>
          <w:b w:val="0"/>
          <w:szCs w:val="28"/>
        </w:rPr>
        <w:t>5.5.2预先危险性分析法（PHA）</w:t>
      </w:r>
      <w:bookmarkEnd w:id="278"/>
      <w:bookmarkEnd w:id="279"/>
    </w:p>
    <w:p w14:paraId="3974B347">
      <w:pPr>
        <w:spacing w:line="360" w:lineRule="auto"/>
        <w:ind w:firstLine="560" w:firstLineChars="200"/>
        <w:rPr>
          <w:rFonts w:ascii="宋体" w:hAnsi="宋体" w:cs="宋体"/>
          <w:b w:val="0"/>
          <w:sz w:val="28"/>
          <w:szCs w:val="28"/>
        </w:rPr>
      </w:pPr>
      <w:r>
        <w:rPr>
          <w:rFonts w:hint="eastAsia" w:ascii="宋体" w:hAnsi="宋体" w:cs="宋体"/>
          <w:b w:val="0"/>
          <w:sz w:val="28"/>
          <w:szCs w:val="28"/>
        </w:rPr>
        <w:t>预先危险性等级划分，见表5.5.2-1。</w:t>
      </w:r>
    </w:p>
    <w:p w14:paraId="149A05CA">
      <w:pPr>
        <w:widowControl/>
        <w:jc w:val="left"/>
        <w:rPr>
          <w:rFonts w:ascii="黑体" w:hAnsi="黑体" w:eastAsia="黑体" w:cs="Arial"/>
          <w:b w:val="0"/>
          <w:sz w:val="24"/>
        </w:rPr>
      </w:pPr>
      <w:r>
        <w:rPr>
          <w:rFonts w:ascii="黑体" w:hAnsi="黑体" w:eastAsia="黑体" w:cs="Arial"/>
          <w:b w:val="0"/>
          <w:sz w:val="24"/>
        </w:rPr>
        <w:br w:type="page"/>
      </w:r>
    </w:p>
    <w:p w14:paraId="0C30976A">
      <w:pPr>
        <w:jc w:val="center"/>
        <w:rPr>
          <w:rFonts w:ascii="黑体" w:hAnsi="黑体" w:eastAsia="黑体" w:cs="Arial"/>
          <w:b w:val="0"/>
          <w:sz w:val="24"/>
        </w:rPr>
      </w:pPr>
      <w:r>
        <w:rPr>
          <w:rFonts w:ascii="黑体" w:hAnsi="黑体" w:eastAsia="黑体" w:cs="Arial"/>
          <w:b w:val="0"/>
          <w:sz w:val="24"/>
        </w:rPr>
        <w:t>表5.</w:t>
      </w:r>
      <w:r>
        <w:rPr>
          <w:rFonts w:hint="eastAsia" w:ascii="黑体" w:hAnsi="黑体" w:eastAsia="黑体" w:cs="Arial"/>
          <w:b w:val="0"/>
          <w:sz w:val="24"/>
        </w:rPr>
        <w:t>5</w:t>
      </w:r>
      <w:r>
        <w:rPr>
          <w:rFonts w:ascii="黑体" w:hAnsi="黑体" w:eastAsia="黑体" w:cs="Arial"/>
          <w:b w:val="0"/>
          <w:sz w:val="24"/>
        </w:rPr>
        <w:t>.2</w:t>
      </w:r>
      <w:r>
        <w:rPr>
          <w:rFonts w:hint="eastAsia" w:ascii="黑体" w:hAnsi="黑体" w:eastAsia="黑体" w:cs="Arial"/>
          <w:b w:val="0"/>
          <w:sz w:val="24"/>
        </w:rPr>
        <w:t>-1</w:t>
      </w:r>
      <w:r>
        <w:rPr>
          <w:rFonts w:ascii="黑体" w:hAnsi="黑体" w:eastAsia="黑体" w:cs="Arial"/>
          <w:b w:val="0"/>
          <w:sz w:val="24"/>
        </w:rPr>
        <w:t xml:space="preserve">  危险、有害因素的危险程度等级划分表</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201"/>
        <w:gridCol w:w="1424"/>
        <w:gridCol w:w="5615"/>
      </w:tblGrid>
      <w:tr w14:paraId="5E96F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8" w:type="dxa"/>
            <w:vAlign w:val="center"/>
          </w:tcPr>
          <w:p w14:paraId="0E7C0960">
            <w:pPr>
              <w:spacing w:line="240" w:lineRule="atLeast"/>
              <w:jc w:val="center"/>
              <w:rPr>
                <w:rFonts w:ascii="宋体" w:hAnsi="宋体" w:cs="Arial"/>
                <w:bCs/>
                <w:szCs w:val="21"/>
              </w:rPr>
            </w:pPr>
            <w:r>
              <w:rPr>
                <w:rFonts w:ascii="宋体" w:hAnsi="宋体" w:cs="Arial"/>
                <w:bCs/>
                <w:szCs w:val="21"/>
              </w:rPr>
              <w:t>级别</w:t>
            </w:r>
          </w:p>
        </w:tc>
        <w:tc>
          <w:tcPr>
            <w:tcW w:w="1201" w:type="dxa"/>
            <w:vAlign w:val="center"/>
          </w:tcPr>
          <w:p w14:paraId="6D4443F9">
            <w:pPr>
              <w:spacing w:line="240" w:lineRule="atLeast"/>
              <w:jc w:val="center"/>
              <w:rPr>
                <w:rFonts w:ascii="宋体" w:hAnsi="宋体" w:cs="Arial"/>
                <w:bCs/>
                <w:szCs w:val="21"/>
              </w:rPr>
            </w:pPr>
            <w:r>
              <w:rPr>
                <w:rFonts w:ascii="宋体" w:hAnsi="宋体" w:cs="Arial"/>
                <w:bCs/>
                <w:szCs w:val="21"/>
              </w:rPr>
              <w:t>等级系数</w:t>
            </w:r>
          </w:p>
        </w:tc>
        <w:tc>
          <w:tcPr>
            <w:tcW w:w="1424" w:type="dxa"/>
            <w:vAlign w:val="center"/>
          </w:tcPr>
          <w:p w14:paraId="52076E78">
            <w:pPr>
              <w:spacing w:line="240" w:lineRule="atLeast"/>
              <w:jc w:val="center"/>
              <w:rPr>
                <w:rFonts w:ascii="宋体" w:hAnsi="宋体" w:cs="Arial"/>
                <w:bCs/>
                <w:szCs w:val="21"/>
              </w:rPr>
            </w:pPr>
            <w:r>
              <w:rPr>
                <w:rFonts w:ascii="宋体" w:hAnsi="宋体" w:cs="Arial"/>
                <w:bCs/>
                <w:szCs w:val="21"/>
              </w:rPr>
              <w:t>危险程度</w:t>
            </w:r>
          </w:p>
        </w:tc>
        <w:tc>
          <w:tcPr>
            <w:tcW w:w="5615" w:type="dxa"/>
            <w:vAlign w:val="center"/>
          </w:tcPr>
          <w:p w14:paraId="1595F9E6">
            <w:pPr>
              <w:spacing w:line="240" w:lineRule="atLeast"/>
              <w:jc w:val="center"/>
              <w:rPr>
                <w:rFonts w:ascii="宋体" w:hAnsi="宋体" w:cs="Arial"/>
                <w:bCs/>
                <w:szCs w:val="21"/>
              </w:rPr>
            </w:pPr>
            <w:r>
              <w:rPr>
                <w:rFonts w:ascii="宋体" w:hAnsi="宋体" w:cs="Arial"/>
                <w:bCs/>
                <w:szCs w:val="21"/>
              </w:rPr>
              <w:t>可能导致的事故后果</w:t>
            </w:r>
          </w:p>
        </w:tc>
      </w:tr>
      <w:tr w14:paraId="58E8E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8" w:type="dxa"/>
            <w:vAlign w:val="center"/>
          </w:tcPr>
          <w:p w14:paraId="582E84FA">
            <w:pPr>
              <w:adjustRightInd w:val="0"/>
              <w:snapToGrid w:val="0"/>
              <w:spacing w:line="360" w:lineRule="auto"/>
              <w:jc w:val="center"/>
              <w:rPr>
                <w:rFonts w:ascii="宋体" w:hAnsi="宋体" w:cs="Arial"/>
                <w:b w:val="0"/>
                <w:szCs w:val="21"/>
              </w:rPr>
            </w:pPr>
            <w:r>
              <w:rPr>
                <w:rFonts w:ascii="宋体" w:hAnsi="宋体" w:cs="Arial"/>
                <w:b w:val="0"/>
                <w:kern w:val="0"/>
                <w:szCs w:val="21"/>
              </w:rPr>
              <w:t>I</w:t>
            </w:r>
          </w:p>
        </w:tc>
        <w:tc>
          <w:tcPr>
            <w:tcW w:w="1201" w:type="dxa"/>
            <w:vAlign w:val="center"/>
          </w:tcPr>
          <w:p w14:paraId="064DAEE0">
            <w:pPr>
              <w:spacing w:line="240" w:lineRule="atLeast"/>
              <w:jc w:val="center"/>
              <w:rPr>
                <w:rFonts w:ascii="宋体" w:hAnsi="宋体" w:cs="Arial"/>
                <w:b w:val="0"/>
                <w:szCs w:val="21"/>
              </w:rPr>
            </w:pPr>
            <w:r>
              <w:rPr>
                <w:rFonts w:ascii="宋体" w:hAnsi="宋体" w:cs="Arial"/>
                <w:b w:val="0"/>
                <w:szCs w:val="21"/>
              </w:rPr>
              <w:t>1</w:t>
            </w:r>
          </w:p>
        </w:tc>
        <w:tc>
          <w:tcPr>
            <w:tcW w:w="1424" w:type="dxa"/>
            <w:vAlign w:val="center"/>
          </w:tcPr>
          <w:p w14:paraId="1AD5E262">
            <w:pPr>
              <w:spacing w:line="240" w:lineRule="atLeast"/>
              <w:jc w:val="center"/>
              <w:rPr>
                <w:rFonts w:ascii="宋体" w:hAnsi="宋体" w:cs="Arial"/>
                <w:b w:val="0"/>
                <w:szCs w:val="21"/>
              </w:rPr>
            </w:pPr>
            <w:r>
              <w:rPr>
                <w:rFonts w:ascii="宋体" w:hAnsi="宋体" w:cs="Arial"/>
                <w:b w:val="0"/>
                <w:szCs w:val="21"/>
              </w:rPr>
              <w:t>安全的</w:t>
            </w:r>
          </w:p>
        </w:tc>
        <w:tc>
          <w:tcPr>
            <w:tcW w:w="5615" w:type="dxa"/>
            <w:vAlign w:val="center"/>
          </w:tcPr>
          <w:p w14:paraId="59077A6E">
            <w:pPr>
              <w:spacing w:line="240" w:lineRule="atLeast"/>
              <w:jc w:val="center"/>
              <w:rPr>
                <w:rFonts w:ascii="宋体" w:hAnsi="宋体" w:cs="Arial"/>
                <w:b w:val="0"/>
                <w:szCs w:val="21"/>
              </w:rPr>
            </w:pPr>
            <w:r>
              <w:rPr>
                <w:rFonts w:ascii="宋体" w:hAnsi="宋体" w:cs="Arial"/>
                <w:b w:val="0"/>
                <w:szCs w:val="21"/>
              </w:rPr>
              <w:t>不会造成人员伤害及系统损坏</w:t>
            </w:r>
          </w:p>
        </w:tc>
      </w:tr>
      <w:tr w14:paraId="4E7C0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8" w:type="dxa"/>
            <w:vAlign w:val="center"/>
          </w:tcPr>
          <w:p w14:paraId="59CFE4BA">
            <w:pPr>
              <w:adjustRightInd w:val="0"/>
              <w:snapToGrid w:val="0"/>
              <w:spacing w:line="360" w:lineRule="auto"/>
              <w:jc w:val="center"/>
              <w:rPr>
                <w:rFonts w:ascii="宋体" w:hAnsi="宋体" w:cs="Arial"/>
                <w:b w:val="0"/>
                <w:szCs w:val="21"/>
              </w:rPr>
            </w:pPr>
            <w:r>
              <w:rPr>
                <w:rFonts w:ascii="宋体" w:hAnsi="宋体" w:cs="Arial"/>
                <w:b w:val="0"/>
                <w:kern w:val="0"/>
                <w:szCs w:val="21"/>
              </w:rPr>
              <w:t>II</w:t>
            </w:r>
          </w:p>
        </w:tc>
        <w:tc>
          <w:tcPr>
            <w:tcW w:w="1201" w:type="dxa"/>
            <w:vAlign w:val="center"/>
          </w:tcPr>
          <w:p w14:paraId="50456AA2">
            <w:pPr>
              <w:spacing w:line="240" w:lineRule="atLeast"/>
              <w:jc w:val="center"/>
              <w:rPr>
                <w:rFonts w:ascii="宋体" w:hAnsi="宋体" w:cs="Arial"/>
                <w:b w:val="0"/>
                <w:szCs w:val="21"/>
              </w:rPr>
            </w:pPr>
            <w:r>
              <w:rPr>
                <w:rFonts w:ascii="宋体" w:hAnsi="宋体" w:cs="Arial"/>
                <w:b w:val="0"/>
                <w:szCs w:val="21"/>
              </w:rPr>
              <w:t>2</w:t>
            </w:r>
          </w:p>
        </w:tc>
        <w:tc>
          <w:tcPr>
            <w:tcW w:w="1424" w:type="dxa"/>
            <w:vAlign w:val="center"/>
          </w:tcPr>
          <w:p w14:paraId="772F3DBE">
            <w:pPr>
              <w:spacing w:line="240" w:lineRule="atLeast"/>
              <w:jc w:val="center"/>
              <w:rPr>
                <w:rFonts w:ascii="宋体" w:hAnsi="宋体" w:cs="Arial"/>
                <w:b w:val="0"/>
                <w:szCs w:val="21"/>
              </w:rPr>
            </w:pPr>
            <w:r>
              <w:rPr>
                <w:rFonts w:ascii="宋体" w:hAnsi="宋体" w:cs="Arial"/>
                <w:b w:val="0"/>
                <w:szCs w:val="21"/>
              </w:rPr>
              <w:t>临界的</w:t>
            </w:r>
          </w:p>
        </w:tc>
        <w:tc>
          <w:tcPr>
            <w:tcW w:w="5615" w:type="dxa"/>
            <w:vAlign w:val="center"/>
          </w:tcPr>
          <w:p w14:paraId="4AE3B8E4">
            <w:pPr>
              <w:spacing w:line="240" w:lineRule="atLeast"/>
              <w:jc w:val="center"/>
              <w:rPr>
                <w:rFonts w:ascii="宋体" w:hAnsi="宋体" w:cs="Arial"/>
                <w:b w:val="0"/>
                <w:szCs w:val="21"/>
              </w:rPr>
            </w:pPr>
            <w:r>
              <w:rPr>
                <w:rFonts w:ascii="宋体" w:hAnsi="宋体" w:cs="Arial"/>
                <w:b w:val="0"/>
                <w:szCs w:val="21"/>
              </w:rPr>
              <w:t>处于事故的边缘状态，暂时不会造成人员伤亡、系统损坏或降低系统性能，但应予以排除或采取控制措施</w:t>
            </w:r>
          </w:p>
        </w:tc>
      </w:tr>
      <w:tr w14:paraId="1297B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8" w:type="dxa"/>
            <w:vAlign w:val="center"/>
          </w:tcPr>
          <w:p w14:paraId="5ECBF819">
            <w:pPr>
              <w:adjustRightInd w:val="0"/>
              <w:snapToGrid w:val="0"/>
              <w:spacing w:line="360" w:lineRule="auto"/>
              <w:jc w:val="center"/>
              <w:rPr>
                <w:rFonts w:ascii="宋体" w:hAnsi="宋体" w:cs="Arial"/>
                <w:b w:val="0"/>
                <w:szCs w:val="21"/>
              </w:rPr>
            </w:pPr>
            <w:r>
              <w:rPr>
                <w:rFonts w:ascii="宋体" w:hAnsi="宋体" w:cs="Arial"/>
                <w:b w:val="0"/>
                <w:kern w:val="0"/>
                <w:szCs w:val="21"/>
              </w:rPr>
              <w:t>Ⅲ</w:t>
            </w:r>
          </w:p>
        </w:tc>
        <w:tc>
          <w:tcPr>
            <w:tcW w:w="1201" w:type="dxa"/>
            <w:vAlign w:val="center"/>
          </w:tcPr>
          <w:p w14:paraId="7859A31F">
            <w:pPr>
              <w:spacing w:line="240" w:lineRule="atLeast"/>
              <w:jc w:val="center"/>
              <w:rPr>
                <w:rFonts w:ascii="宋体" w:hAnsi="宋体" w:cs="Arial"/>
                <w:b w:val="0"/>
                <w:szCs w:val="21"/>
              </w:rPr>
            </w:pPr>
            <w:r>
              <w:rPr>
                <w:rFonts w:ascii="宋体" w:hAnsi="宋体" w:cs="Arial"/>
                <w:b w:val="0"/>
                <w:szCs w:val="21"/>
              </w:rPr>
              <w:t>4</w:t>
            </w:r>
          </w:p>
        </w:tc>
        <w:tc>
          <w:tcPr>
            <w:tcW w:w="1424" w:type="dxa"/>
            <w:vAlign w:val="center"/>
          </w:tcPr>
          <w:p w14:paraId="63F1FDD4">
            <w:pPr>
              <w:spacing w:line="240" w:lineRule="atLeast"/>
              <w:jc w:val="center"/>
              <w:rPr>
                <w:rFonts w:ascii="宋体" w:hAnsi="宋体" w:cs="Arial"/>
                <w:b w:val="0"/>
                <w:szCs w:val="21"/>
              </w:rPr>
            </w:pPr>
            <w:r>
              <w:rPr>
                <w:rFonts w:ascii="宋体" w:hAnsi="宋体" w:cs="Arial"/>
                <w:b w:val="0"/>
                <w:szCs w:val="21"/>
              </w:rPr>
              <w:t>危险的</w:t>
            </w:r>
          </w:p>
        </w:tc>
        <w:tc>
          <w:tcPr>
            <w:tcW w:w="5615" w:type="dxa"/>
            <w:vAlign w:val="center"/>
          </w:tcPr>
          <w:p w14:paraId="42A0D25D">
            <w:pPr>
              <w:spacing w:line="240" w:lineRule="atLeast"/>
              <w:jc w:val="center"/>
              <w:rPr>
                <w:rFonts w:ascii="宋体" w:hAnsi="宋体" w:cs="Arial"/>
                <w:b w:val="0"/>
                <w:szCs w:val="21"/>
              </w:rPr>
            </w:pPr>
            <w:r>
              <w:rPr>
                <w:rFonts w:ascii="宋体" w:hAnsi="宋体" w:cs="Arial"/>
                <w:b w:val="0"/>
                <w:szCs w:val="21"/>
              </w:rPr>
              <w:t>会造成人员伤害及系统损坏，要立即采取防范对策措施</w:t>
            </w:r>
          </w:p>
        </w:tc>
      </w:tr>
      <w:tr w14:paraId="5AADC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8" w:type="dxa"/>
            <w:vAlign w:val="center"/>
          </w:tcPr>
          <w:p w14:paraId="1400F4C7">
            <w:pPr>
              <w:adjustRightInd w:val="0"/>
              <w:snapToGrid w:val="0"/>
              <w:spacing w:line="360" w:lineRule="auto"/>
              <w:jc w:val="center"/>
              <w:rPr>
                <w:rFonts w:ascii="宋体" w:hAnsi="宋体" w:cs="Arial"/>
                <w:b w:val="0"/>
                <w:szCs w:val="21"/>
              </w:rPr>
            </w:pPr>
            <w:r>
              <w:rPr>
                <w:rFonts w:ascii="宋体" w:hAnsi="宋体" w:cs="Arial"/>
                <w:b w:val="0"/>
                <w:kern w:val="0"/>
                <w:szCs w:val="21"/>
              </w:rPr>
              <w:t>Ⅳ</w:t>
            </w:r>
          </w:p>
        </w:tc>
        <w:tc>
          <w:tcPr>
            <w:tcW w:w="1201" w:type="dxa"/>
            <w:vAlign w:val="center"/>
          </w:tcPr>
          <w:p w14:paraId="28273B64">
            <w:pPr>
              <w:spacing w:line="240" w:lineRule="atLeast"/>
              <w:jc w:val="center"/>
              <w:rPr>
                <w:rFonts w:ascii="宋体" w:hAnsi="宋体" w:cs="Arial"/>
                <w:b w:val="0"/>
                <w:szCs w:val="21"/>
              </w:rPr>
            </w:pPr>
            <w:r>
              <w:rPr>
                <w:rFonts w:ascii="宋体" w:hAnsi="宋体" w:cs="Arial"/>
                <w:b w:val="0"/>
                <w:szCs w:val="21"/>
              </w:rPr>
              <w:t>8</w:t>
            </w:r>
          </w:p>
        </w:tc>
        <w:tc>
          <w:tcPr>
            <w:tcW w:w="1424" w:type="dxa"/>
            <w:vAlign w:val="center"/>
          </w:tcPr>
          <w:p w14:paraId="65E3A78C">
            <w:pPr>
              <w:spacing w:line="240" w:lineRule="atLeast"/>
              <w:jc w:val="center"/>
              <w:rPr>
                <w:rFonts w:ascii="宋体" w:hAnsi="宋体" w:cs="Arial"/>
                <w:b w:val="0"/>
                <w:szCs w:val="21"/>
              </w:rPr>
            </w:pPr>
            <w:r>
              <w:rPr>
                <w:rFonts w:ascii="宋体" w:hAnsi="宋体" w:cs="Arial"/>
                <w:b w:val="0"/>
                <w:szCs w:val="21"/>
              </w:rPr>
              <w:t>灾难性的</w:t>
            </w:r>
          </w:p>
        </w:tc>
        <w:tc>
          <w:tcPr>
            <w:tcW w:w="5615" w:type="dxa"/>
            <w:vAlign w:val="center"/>
          </w:tcPr>
          <w:p w14:paraId="7B190AE5">
            <w:pPr>
              <w:spacing w:line="240" w:lineRule="atLeast"/>
              <w:jc w:val="center"/>
              <w:rPr>
                <w:rFonts w:ascii="宋体" w:hAnsi="宋体" w:cs="Arial"/>
                <w:b w:val="0"/>
                <w:szCs w:val="21"/>
              </w:rPr>
            </w:pPr>
            <w:r>
              <w:rPr>
                <w:rFonts w:ascii="宋体" w:hAnsi="宋体" w:cs="Arial"/>
                <w:b w:val="0"/>
                <w:szCs w:val="21"/>
              </w:rPr>
              <w:t>造成人员重大伤亡及系统严重破坏的灾难性事故，必须予以果断排除并进行重点防范</w:t>
            </w:r>
          </w:p>
        </w:tc>
      </w:tr>
    </w:tbl>
    <w:p w14:paraId="24F98D9B">
      <w:pPr>
        <w:spacing w:before="120" w:beforeLines="50" w:line="360" w:lineRule="auto"/>
        <w:ind w:firstLine="560" w:firstLineChars="200"/>
        <w:rPr>
          <w:rFonts w:ascii="宋体" w:hAnsi="宋体" w:cs="宋体"/>
          <w:b w:val="0"/>
          <w:sz w:val="28"/>
          <w:szCs w:val="28"/>
        </w:rPr>
      </w:pPr>
      <w:r>
        <w:rPr>
          <w:rFonts w:hint="eastAsia" w:ascii="宋体" w:hAnsi="宋体" w:cs="宋体"/>
          <w:b w:val="0"/>
          <w:sz w:val="28"/>
          <w:szCs w:val="28"/>
        </w:rPr>
        <w:t>事故发生可能性等级的划分见表5.5.2-2。</w:t>
      </w:r>
    </w:p>
    <w:p w14:paraId="04014C91">
      <w:pPr>
        <w:jc w:val="center"/>
        <w:rPr>
          <w:rFonts w:ascii="黑体" w:hAnsi="黑体" w:eastAsia="黑体" w:cs="Arial"/>
          <w:b w:val="0"/>
          <w:sz w:val="24"/>
        </w:rPr>
      </w:pPr>
      <w:r>
        <w:rPr>
          <w:rFonts w:ascii="黑体" w:hAnsi="黑体" w:eastAsia="黑体" w:cs="Arial"/>
          <w:b w:val="0"/>
          <w:sz w:val="24"/>
        </w:rPr>
        <w:t>表5.</w:t>
      </w:r>
      <w:r>
        <w:rPr>
          <w:rFonts w:hint="eastAsia" w:ascii="黑体" w:hAnsi="黑体" w:eastAsia="黑体" w:cs="Arial"/>
          <w:b w:val="0"/>
          <w:sz w:val="24"/>
        </w:rPr>
        <w:t>5</w:t>
      </w:r>
      <w:r>
        <w:rPr>
          <w:rFonts w:ascii="黑体" w:hAnsi="黑体" w:eastAsia="黑体" w:cs="Arial"/>
          <w:b w:val="0"/>
          <w:sz w:val="24"/>
        </w:rPr>
        <w:t>.2</w:t>
      </w:r>
      <w:r>
        <w:rPr>
          <w:rFonts w:hint="eastAsia" w:ascii="黑体" w:hAnsi="黑体" w:eastAsia="黑体" w:cs="Arial"/>
          <w:b w:val="0"/>
          <w:sz w:val="24"/>
        </w:rPr>
        <w:t>-2</w:t>
      </w:r>
      <w:r>
        <w:rPr>
          <w:rFonts w:ascii="黑体" w:hAnsi="黑体" w:eastAsia="黑体" w:cs="Arial"/>
          <w:b w:val="0"/>
          <w:sz w:val="24"/>
        </w:rPr>
        <w:t xml:space="preserve"> </w:t>
      </w:r>
      <w:r>
        <w:rPr>
          <w:rFonts w:hint="eastAsia" w:ascii="黑体" w:hAnsi="黑体" w:eastAsia="黑体" w:cs="Arial"/>
          <w:b w:val="0"/>
          <w:sz w:val="24"/>
        </w:rPr>
        <w:t xml:space="preserve"> </w:t>
      </w:r>
      <w:r>
        <w:rPr>
          <w:rFonts w:ascii="黑体" w:hAnsi="黑体" w:eastAsia="黑体" w:cs="Arial"/>
          <w:b w:val="0"/>
          <w:sz w:val="24"/>
        </w:rPr>
        <w:t>事</w:t>
      </w:r>
      <w:r>
        <w:rPr>
          <w:rFonts w:hint="eastAsia" w:ascii="黑体" w:hAnsi="黑体" w:eastAsia="黑体" w:cs="Arial"/>
          <w:b w:val="0"/>
          <w:sz w:val="24"/>
        </w:rPr>
        <w:t>故</w:t>
      </w:r>
      <w:r>
        <w:rPr>
          <w:rFonts w:ascii="黑体" w:hAnsi="黑体" w:eastAsia="黑体" w:cs="Arial"/>
          <w:b w:val="0"/>
          <w:sz w:val="24"/>
        </w:rPr>
        <w:t>可能性等级</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51"/>
        <w:gridCol w:w="1752"/>
        <w:gridCol w:w="5856"/>
      </w:tblGrid>
      <w:tr w14:paraId="48F9BE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51" w:type="dxa"/>
            <w:vAlign w:val="center"/>
          </w:tcPr>
          <w:p w14:paraId="78150540">
            <w:pPr>
              <w:adjustRightInd w:val="0"/>
              <w:snapToGrid w:val="0"/>
              <w:jc w:val="center"/>
              <w:rPr>
                <w:rFonts w:ascii="Arial" w:hAnsi="Arial" w:cs="Arial"/>
                <w:bCs/>
                <w:szCs w:val="21"/>
              </w:rPr>
            </w:pPr>
            <w:r>
              <w:rPr>
                <w:rFonts w:ascii="Arial" w:hAnsi="宋体" w:cs="Arial"/>
                <w:bCs/>
                <w:kern w:val="0"/>
                <w:szCs w:val="21"/>
              </w:rPr>
              <w:t>级别</w:t>
            </w:r>
          </w:p>
        </w:tc>
        <w:tc>
          <w:tcPr>
            <w:tcW w:w="1752" w:type="dxa"/>
            <w:vAlign w:val="center"/>
          </w:tcPr>
          <w:p w14:paraId="4E4B167F">
            <w:pPr>
              <w:adjustRightInd w:val="0"/>
              <w:snapToGrid w:val="0"/>
              <w:jc w:val="center"/>
              <w:rPr>
                <w:rFonts w:ascii="Arial" w:hAnsi="Arial" w:cs="Arial"/>
                <w:bCs/>
                <w:szCs w:val="21"/>
              </w:rPr>
            </w:pPr>
            <w:r>
              <w:rPr>
                <w:rFonts w:ascii="Arial" w:hAnsi="宋体" w:cs="Arial"/>
                <w:bCs/>
                <w:kern w:val="0"/>
                <w:szCs w:val="21"/>
              </w:rPr>
              <w:t>概率系数</w:t>
            </w:r>
          </w:p>
        </w:tc>
        <w:tc>
          <w:tcPr>
            <w:tcW w:w="5856" w:type="dxa"/>
            <w:vAlign w:val="center"/>
          </w:tcPr>
          <w:p w14:paraId="3828E9CD">
            <w:pPr>
              <w:adjustRightInd w:val="0"/>
              <w:snapToGrid w:val="0"/>
              <w:jc w:val="center"/>
              <w:rPr>
                <w:rFonts w:ascii="Arial" w:hAnsi="Arial" w:cs="Arial"/>
                <w:bCs/>
                <w:szCs w:val="21"/>
              </w:rPr>
            </w:pPr>
            <w:r>
              <w:rPr>
                <w:rFonts w:ascii="Arial" w:hAnsi="宋体" w:cs="Arial"/>
                <w:bCs/>
                <w:kern w:val="0"/>
                <w:szCs w:val="21"/>
              </w:rPr>
              <w:t>发生概率</w:t>
            </w:r>
          </w:p>
        </w:tc>
      </w:tr>
      <w:tr w14:paraId="3888A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51" w:type="dxa"/>
            <w:vAlign w:val="center"/>
          </w:tcPr>
          <w:p w14:paraId="66549E05">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A</w:t>
            </w:r>
          </w:p>
        </w:tc>
        <w:tc>
          <w:tcPr>
            <w:tcW w:w="1752" w:type="dxa"/>
            <w:vAlign w:val="center"/>
          </w:tcPr>
          <w:p w14:paraId="47FAB1FE">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0</w:t>
            </w:r>
            <w:r>
              <w:rPr>
                <w:rFonts w:cs="Arial" w:asciiTheme="minorEastAsia" w:hAnsiTheme="minorEastAsia" w:eastAsiaTheme="minorEastAsia"/>
                <w:b w:val="0"/>
                <w:szCs w:val="21"/>
              </w:rPr>
              <w:t>.</w:t>
            </w:r>
            <w:r>
              <w:rPr>
                <w:rFonts w:cs="Arial" w:asciiTheme="minorEastAsia" w:hAnsiTheme="minorEastAsia" w:eastAsiaTheme="minorEastAsia"/>
                <w:b w:val="0"/>
                <w:kern w:val="0"/>
                <w:szCs w:val="21"/>
              </w:rPr>
              <w:t>05</w:t>
            </w:r>
          </w:p>
        </w:tc>
        <w:tc>
          <w:tcPr>
            <w:tcW w:w="5856" w:type="dxa"/>
            <w:vAlign w:val="center"/>
          </w:tcPr>
          <w:p w14:paraId="2E248D0F">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在设备使用期内几乎不发生。</w:t>
            </w:r>
          </w:p>
        </w:tc>
      </w:tr>
      <w:tr w14:paraId="46F988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51" w:type="dxa"/>
            <w:vAlign w:val="center"/>
          </w:tcPr>
          <w:p w14:paraId="4472F5C5">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B</w:t>
            </w:r>
          </w:p>
        </w:tc>
        <w:tc>
          <w:tcPr>
            <w:tcW w:w="1752" w:type="dxa"/>
            <w:vAlign w:val="center"/>
          </w:tcPr>
          <w:p w14:paraId="12D7ACF4">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0</w:t>
            </w:r>
            <w:r>
              <w:rPr>
                <w:rFonts w:cs="Arial" w:asciiTheme="minorEastAsia" w:hAnsiTheme="minorEastAsia" w:eastAsiaTheme="minorEastAsia"/>
                <w:b w:val="0"/>
                <w:szCs w:val="21"/>
              </w:rPr>
              <w:t>.</w:t>
            </w:r>
            <w:r>
              <w:rPr>
                <w:rFonts w:cs="Arial" w:asciiTheme="minorEastAsia" w:hAnsiTheme="minorEastAsia" w:eastAsiaTheme="minorEastAsia"/>
                <w:b w:val="0"/>
                <w:kern w:val="0"/>
                <w:szCs w:val="21"/>
              </w:rPr>
              <w:t>10</w:t>
            </w:r>
          </w:p>
        </w:tc>
        <w:tc>
          <w:tcPr>
            <w:tcW w:w="5856" w:type="dxa"/>
            <w:vAlign w:val="center"/>
          </w:tcPr>
          <w:p w14:paraId="0D61CD7F">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很少发生。</w:t>
            </w:r>
          </w:p>
        </w:tc>
      </w:tr>
      <w:tr w14:paraId="6A294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51" w:type="dxa"/>
            <w:vAlign w:val="center"/>
          </w:tcPr>
          <w:p w14:paraId="0D192B6D">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C</w:t>
            </w:r>
          </w:p>
        </w:tc>
        <w:tc>
          <w:tcPr>
            <w:tcW w:w="1752" w:type="dxa"/>
            <w:vAlign w:val="center"/>
          </w:tcPr>
          <w:p w14:paraId="4574B098">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0</w:t>
            </w:r>
            <w:r>
              <w:rPr>
                <w:rFonts w:cs="Arial" w:asciiTheme="minorEastAsia" w:hAnsiTheme="minorEastAsia" w:eastAsiaTheme="minorEastAsia"/>
                <w:b w:val="0"/>
                <w:szCs w:val="21"/>
              </w:rPr>
              <w:t>.</w:t>
            </w:r>
            <w:r>
              <w:rPr>
                <w:rFonts w:cs="Arial" w:asciiTheme="minorEastAsia" w:hAnsiTheme="minorEastAsia" w:eastAsiaTheme="minorEastAsia"/>
                <w:b w:val="0"/>
                <w:kern w:val="0"/>
                <w:szCs w:val="21"/>
              </w:rPr>
              <w:t>20</w:t>
            </w:r>
          </w:p>
        </w:tc>
        <w:tc>
          <w:tcPr>
            <w:tcW w:w="5856" w:type="dxa"/>
            <w:vAlign w:val="center"/>
          </w:tcPr>
          <w:p w14:paraId="47F99309">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容易发生或偶然发生。</w:t>
            </w:r>
          </w:p>
        </w:tc>
      </w:tr>
      <w:tr w14:paraId="47B49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51" w:type="dxa"/>
            <w:vAlign w:val="center"/>
          </w:tcPr>
          <w:p w14:paraId="4B38712D">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D</w:t>
            </w:r>
          </w:p>
        </w:tc>
        <w:tc>
          <w:tcPr>
            <w:tcW w:w="1752" w:type="dxa"/>
            <w:vAlign w:val="center"/>
          </w:tcPr>
          <w:p w14:paraId="5DDF4889">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0</w:t>
            </w:r>
            <w:r>
              <w:rPr>
                <w:rFonts w:cs="Arial" w:asciiTheme="minorEastAsia" w:hAnsiTheme="minorEastAsia" w:eastAsiaTheme="minorEastAsia"/>
                <w:b w:val="0"/>
                <w:szCs w:val="21"/>
              </w:rPr>
              <w:t>.</w:t>
            </w:r>
            <w:r>
              <w:rPr>
                <w:rFonts w:cs="Arial" w:asciiTheme="minorEastAsia" w:hAnsiTheme="minorEastAsia" w:eastAsiaTheme="minorEastAsia"/>
                <w:b w:val="0"/>
                <w:kern w:val="0"/>
                <w:szCs w:val="21"/>
              </w:rPr>
              <w:t>30</w:t>
            </w:r>
          </w:p>
        </w:tc>
        <w:tc>
          <w:tcPr>
            <w:tcW w:w="5856" w:type="dxa"/>
            <w:vAlign w:val="center"/>
          </w:tcPr>
          <w:p w14:paraId="520AED8A">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很容易发生，相当可能发生。</w:t>
            </w:r>
          </w:p>
        </w:tc>
      </w:tr>
      <w:tr w14:paraId="3B64E5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51" w:type="dxa"/>
            <w:vAlign w:val="center"/>
          </w:tcPr>
          <w:p w14:paraId="549C84D4">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E</w:t>
            </w:r>
          </w:p>
        </w:tc>
        <w:tc>
          <w:tcPr>
            <w:tcW w:w="1752" w:type="dxa"/>
            <w:vAlign w:val="center"/>
          </w:tcPr>
          <w:p w14:paraId="067C8833">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0</w:t>
            </w:r>
            <w:r>
              <w:rPr>
                <w:rFonts w:cs="Arial" w:asciiTheme="minorEastAsia" w:hAnsiTheme="minorEastAsia" w:eastAsiaTheme="minorEastAsia"/>
                <w:b w:val="0"/>
                <w:szCs w:val="21"/>
              </w:rPr>
              <w:t>.</w:t>
            </w:r>
            <w:r>
              <w:rPr>
                <w:rFonts w:cs="Arial" w:asciiTheme="minorEastAsia" w:hAnsiTheme="minorEastAsia" w:eastAsiaTheme="minorEastAsia"/>
                <w:b w:val="0"/>
                <w:kern w:val="0"/>
                <w:szCs w:val="21"/>
              </w:rPr>
              <w:t>35</w:t>
            </w:r>
          </w:p>
        </w:tc>
        <w:tc>
          <w:tcPr>
            <w:tcW w:w="5856" w:type="dxa"/>
            <w:vAlign w:val="center"/>
          </w:tcPr>
          <w:p w14:paraId="602DF95C">
            <w:pPr>
              <w:adjustRightInd w:val="0"/>
              <w:snapToGrid w:val="0"/>
              <w:jc w:val="center"/>
              <w:rPr>
                <w:rFonts w:cs="Arial" w:asciiTheme="minorEastAsia" w:hAnsiTheme="minorEastAsia" w:eastAsiaTheme="minorEastAsia"/>
                <w:b w:val="0"/>
                <w:szCs w:val="21"/>
              </w:rPr>
            </w:pPr>
            <w:r>
              <w:rPr>
                <w:rFonts w:cs="Arial" w:asciiTheme="minorEastAsia" w:hAnsiTheme="minorEastAsia" w:eastAsiaTheme="minorEastAsia"/>
                <w:b w:val="0"/>
                <w:kern w:val="0"/>
                <w:szCs w:val="21"/>
              </w:rPr>
              <w:t>频繁发生、经常发生。</w:t>
            </w:r>
          </w:p>
        </w:tc>
      </w:tr>
    </w:tbl>
    <w:p w14:paraId="561D27A5">
      <w:pPr>
        <w:spacing w:line="520" w:lineRule="exact"/>
        <w:ind w:firstLine="560" w:firstLineChars="200"/>
        <w:rPr>
          <w:rFonts w:ascii="Arial" w:hAnsi="宋体" w:cs="Arial"/>
          <w:b w:val="0"/>
          <w:sz w:val="28"/>
          <w:szCs w:val="28"/>
        </w:rPr>
      </w:pPr>
      <w:r>
        <w:rPr>
          <w:rFonts w:hint="eastAsia" w:ascii="Arial" w:hAnsi="宋体" w:cs="Arial"/>
          <w:b w:val="0"/>
          <w:sz w:val="28"/>
          <w:szCs w:val="28"/>
        </w:rPr>
        <w:t>系统预先危险性等级的确定按下式：</w:t>
      </w:r>
    </w:p>
    <w:p w14:paraId="69F1FE2C">
      <w:pPr>
        <w:spacing w:line="360" w:lineRule="auto"/>
        <w:ind w:firstLine="274"/>
        <w:jc w:val="center"/>
        <w:rPr>
          <w:rFonts w:ascii="宋体" w:hAnsi="宋体"/>
          <w:b w:val="0"/>
          <w:sz w:val="28"/>
          <w:szCs w:val="28"/>
        </w:rPr>
      </w:pPr>
      <w:r>
        <w:rPr>
          <w:rFonts w:ascii="宋体" w:hAnsi="宋体"/>
          <w:b w:val="0"/>
          <w:position w:val="-32"/>
          <w:sz w:val="28"/>
          <w:szCs w:val="28"/>
        </w:rPr>
        <w:object>
          <v:shape id="_x0000_i1025" o:spt="75" type="#_x0000_t75" style="height:34.5pt;width:64.5pt;" o:ole="t" filled="f" coordsize="21600,21600">
            <v:path/>
            <v:fill on="f" focussize="0,0"/>
            <v:stroke/>
            <v:imagedata r:id="rId27" o:title=""/>
            <o:lock v:ext="edit" aspectratio="t"/>
            <w10:wrap type="none"/>
            <w10:anchorlock/>
          </v:shape>
          <o:OLEObject Type="Embed" ProgID="Equation.2" ShapeID="_x0000_i1025" DrawAspect="Content" ObjectID="_1468075725" r:id="rId26">
            <o:LockedField>false</o:LockedField>
          </o:OLEObject>
        </w:object>
      </w:r>
    </w:p>
    <w:p w14:paraId="3A960E0E">
      <w:pPr>
        <w:spacing w:line="360" w:lineRule="auto"/>
        <w:ind w:firstLine="560" w:firstLineChars="200"/>
        <w:rPr>
          <w:rFonts w:ascii="宋体" w:hAnsi="宋体" w:cs="宋体"/>
          <w:b w:val="0"/>
          <w:sz w:val="28"/>
          <w:szCs w:val="28"/>
        </w:rPr>
      </w:pPr>
      <w:r>
        <w:rPr>
          <w:rFonts w:hint="eastAsia" w:ascii="宋体" w:hAnsi="宋体" w:cs="宋体"/>
          <w:b w:val="0"/>
          <w:sz w:val="28"/>
          <w:szCs w:val="28"/>
        </w:rPr>
        <w:t>式中：系统预先危险性等级系数划分：安全级1≤W&lt;1.5，比较安全级1.5≤W&lt;3，危险级3≤W&lt;6，灾难级6&lt;W≤8；</w:t>
      </w:r>
    </w:p>
    <w:p w14:paraId="54A8412A">
      <w:pPr>
        <w:spacing w:line="360" w:lineRule="auto"/>
        <w:ind w:firstLine="274"/>
        <w:rPr>
          <w:rFonts w:ascii="宋体" w:hAnsi="宋体" w:cs="宋体"/>
          <w:b w:val="0"/>
          <w:sz w:val="28"/>
          <w:szCs w:val="28"/>
        </w:rPr>
      </w:pPr>
      <w:r>
        <w:rPr>
          <w:rFonts w:hint="eastAsia" w:ascii="宋体" w:hAnsi="宋体" w:cs="宋体"/>
          <w:b w:val="0"/>
          <w:sz w:val="28"/>
          <w:szCs w:val="28"/>
        </w:rPr>
        <w:t xml:space="preserve">         </w:t>
      </w:r>
      <w:r>
        <w:rPr>
          <w:rFonts w:hint="eastAsia" w:ascii="宋体" w:hAnsi="宋体" w:cs="宋体"/>
          <w:b w:val="0"/>
          <w:i/>
          <w:sz w:val="28"/>
          <w:szCs w:val="28"/>
        </w:rPr>
        <w:t>P</w:t>
      </w:r>
      <w:r>
        <w:rPr>
          <w:rFonts w:hint="eastAsia" w:ascii="宋体" w:hAnsi="宋体" w:cs="宋体"/>
          <w:b w:val="0"/>
          <w:sz w:val="28"/>
          <w:szCs w:val="28"/>
        </w:rPr>
        <w:t>——分析项目的危险性等级系数；</w:t>
      </w:r>
    </w:p>
    <w:p w14:paraId="72B2B375">
      <w:pPr>
        <w:spacing w:line="360" w:lineRule="auto"/>
        <w:ind w:firstLine="274"/>
        <w:rPr>
          <w:rFonts w:ascii="宋体" w:hAnsi="宋体" w:cs="宋体"/>
          <w:b w:val="0"/>
          <w:sz w:val="28"/>
          <w:szCs w:val="28"/>
        </w:rPr>
      </w:pPr>
      <w:r>
        <w:rPr>
          <w:rFonts w:hint="eastAsia" w:ascii="宋体" w:hAnsi="宋体" w:cs="宋体"/>
          <w:b w:val="0"/>
          <w:sz w:val="28"/>
          <w:szCs w:val="28"/>
        </w:rPr>
        <w:t xml:space="preserve">         </w:t>
      </w:r>
      <w:r>
        <w:rPr>
          <w:rFonts w:hint="eastAsia" w:ascii="宋体" w:hAnsi="宋体" w:cs="宋体"/>
          <w:b w:val="0"/>
          <w:i/>
          <w:sz w:val="28"/>
          <w:szCs w:val="28"/>
        </w:rPr>
        <w:t>K</w:t>
      </w:r>
      <w:r>
        <w:rPr>
          <w:rFonts w:hint="eastAsia" w:ascii="宋体" w:hAnsi="宋体" w:cs="宋体"/>
          <w:b w:val="0"/>
          <w:sz w:val="28"/>
          <w:szCs w:val="28"/>
        </w:rPr>
        <w:t>——分析项目发生事故的概率等级系数。</w:t>
      </w:r>
    </w:p>
    <w:p w14:paraId="38FB81A2">
      <w:pPr>
        <w:spacing w:line="360" w:lineRule="auto"/>
        <w:ind w:firstLine="560" w:firstLineChars="200"/>
        <w:rPr>
          <w:rFonts w:ascii="宋体" w:hAnsi="宋体" w:cs="宋体"/>
          <w:b w:val="0"/>
          <w:sz w:val="28"/>
        </w:rPr>
      </w:pPr>
      <w:r>
        <w:rPr>
          <w:rFonts w:hint="eastAsia" w:ascii="宋体" w:hAnsi="宋体" w:cs="宋体"/>
          <w:b w:val="0"/>
          <w:sz w:val="28"/>
          <w:szCs w:val="28"/>
        </w:rPr>
        <w:t>预先危险性分析法重点对</w:t>
      </w:r>
      <w:r>
        <w:rPr>
          <w:rFonts w:hint="eastAsia" w:ascii="宋体" w:hAnsi="宋体" w:cs="宋体"/>
          <w:b w:val="0"/>
          <w:sz w:val="28"/>
        </w:rPr>
        <w:t>储存单元进行分析。根据本项目的特点，对其主要危险性作如下分析见表5.5.2-3。</w:t>
      </w:r>
    </w:p>
    <w:p w14:paraId="012FEED1">
      <w:pPr>
        <w:jc w:val="center"/>
        <w:rPr>
          <w:rFonts w:ascii="黑体" w:hAnsi="黑体" w:eastAsia="黑体" w:cs="Arial"/>
          <w:b w:val="0"/>
          <w:sz w:val="24"/>
        </w:rPr>
      </w:pPr>
      <w:r>
        <w:rPr>
          <w:rFonts w:hint="eastAsia" w:ascii="黑体" w:hAnsi="黑体" w:eastAsia="黑体" w:cs="Arial"/>
          <w:b w:val="0"/>
          <w:sz w:val="24"/>
        </w:rPr>
        <w:t>表5.5.2-3 储存单元预先危险性分析表</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6"/>
        <w:gridCol w:w="725"/>
        <w:gridCol w:w="833"/>
        <w:gridCol w:w="2513"/>
        <w:gridCol w:w="681"/>
        <w:gridCol w:w="834"/>
        <w:gridCol w:w="691"/>
        <w:gridCol w:w="2628"/>
      </w:tblGrid>
      <w:tr w14:paraId="2FCB7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36" w:type="dxa"/>
            <w:vAlign w:val="center"/>
          </w:tcPr>
          <w:p w14:paraId="1054EEC3">
            <w:pPr>
              <w:spacing w:line="280" w:lineRule="exact"/>
              <w:jc w:val="center"/>
              <w:rPr>
                <w:rFonts w:ascii="Arial" w:hAnsi="Arial" w:cs="Arial"/>
                <w:szCs w:val="21"/>
              </w:rPr>
            </w:pPr>
            <w:r>
              <w:rPr>
                <w:rFonts w:ascii="Arial" w:hAnsi="Arial" w:cs="Arial"/>
                <w:szCs w:val="21"/>
              </w:rPr>
              <w:t>事故</w:t>
            </w:r>
          </w:p>
        </w:tc>
        <w:tc>
          <w:tcPr>
            <w:tcW w:w="725" w:type="dxa"/>
            <w:vAlign w:val="center"/>
          </w:tcPr>
          <w:p w14:paraId="4099A9C8">
            <w:pPr>
              <w:spacing w:line="280" w:lineRule="exact"/>
              <w:jc w:val="center"/>
              <w:rPr>
                <w:rFonts w:ascii="Arial" w:hAnsi="Arial" w:cs="Arial"/>
                <w:szCs w:val="21"/>
              </w:rPr>
            </w:pPr>
            <w:r>
              <w:rPr>
                <w:rFonts w:ascii="Arial" w:hAnsi="Arial" w:cs="Arial"/>
                <w:szCs w:val="21"/>
              </w:rPr>
              <w:t>场所</w:t>
            </w:r>
          </w:p>
        </w:tc>
        <w:tc>
          <w:tcPr>
            <w:tcW w:w="833" w:type="dxa"/>
            <w:vAlign w:val="center"/>
          </w:tcPr>
          <w:p w14:paraId="5BDAD3D2">
            <w:pPr>
              <w:spacing w:line="280" w:lineRule="exact"/>
              <w:jc w:val="center"/>
              <w:rPr>
                <w:rFonts w:ascii="Arial" w:hAnsi="Arial" w:cs="Arial"/>
                <w:szCs w:val="21"/>
              </w:rPr>
            </w:pPr>
            <w:r>
              <w:rPr>
                <w:rFonts w:ascii="Arial" w:hAnsi="Arial" w:cs="Arial"/>
                <w:szCs w:val="21"/>
              </w:rPr>
              <w:t>触发</w:t>
            </w:r>
          </w:p>
          <w:p w14:paraId="0A851349">
            <w:pPr>
              <w:spacing w:line="280" w:lineRule="exact"/>
              <w:jc w:val="center"/>
              <w:rPr>
                <w:rFonts w:ascii="Arial" w:hAnsi="Arial" w:cs="Arial"/>
                <w:szCs w:val="21"/>
              </w:rPr>
            </w:pPr>
            <w:r>
              <w:rPr>
                <w:rFonts w:ascii="Arial" w:hAnsi="Arial" w:cs="Arial"/>
                <w:szCs w:val="21"/>
              </w:rPr>
              <w:t>事件</w:t>
            </w:r>
          </w:p>
        </w:tc>
        <w:tc>
          <w:tcPr>
            <w:tcW w:w="2513" w:type="dxa"/>
            <w:vAlign w:val="center"/>
          </w:tcPr>
          <w:p w14:paraId="254F11DF">
            <w:pPr>
              <w:spacing w:line="280" w:lineRule="exact"/>
              <w:jc w:val="center"/>
              <w:rPr>
                <w:rFonts w:ascii="Arial" w:hAnsi="Arial" w:cs="Arial"/>
                <w:szCs w:val="21"/>
              </w:rPr>
            </w:pPr>
            <w:r>
              <w:rPr>
                <w:rFonts w:ascii="Arial" w:hAnsi="Arial" w:cs="Arial"/>
                <w:szCs w:val="21"/>
              </w:rPr>
              <w:t>形成事故的原因</w:t>
            </w:r>
          </w:p>
        </w:tc>
        <w:tc>
          <w:tcPr>
            <w:tcW w:w="681" w:type="dxa"/>
            <w:vAlign w:val="center"/>
          </w:tcPr>
          <w:p w14:paraId="3750CB67">
            <w:pPr>
              <w:spacing w:line="280" w:lineRule="exact"/>
              <w:jc w:val="center"/>
              <w:rPr>
                <w:rFonts w:ascii="Arial" w:hAnsi="Arial" w:cs="Arial"/>
                <w:szCs w:val="21"/>
              </w:rPr>
            </w:pPr>
            <w:r>
              <w:rPr>
                <w:rFonts w:ascii="Arial" w:hAnsi="Arial" w:cs="Arial"/>
                <w:szCs w:val="21"/>
              </w:rPr>
              <w:t>事故</w:t>
            </w:r>
          </w:p>
          <w:p w14:paraId="01E3509C">
            <w:pPr>
              <w:spacing w:line="280" w:lineRule="exact"/>
              <w:jc w:val="center"/>
              <w:rPr>
                <w:rFonts w:ascii="Arial" w:hAnsi="Arial" w:cs="Arial"/>
                <w:szCs w:val="21"/>
              </w:rPr>
            </w:pPr>
            <w:r>
              <w:rPr>
                <w:rFonts w:ascii="Arial" w:hAnsi="Arial" w:cs="Arial"/>
                <w:szCs w:val="21"/>
              </w:rPr>
              <w:t>后果</w:t>
            </w:r>
          </w:p>
        </w:tc>
        <w:tc>
          <w:tcPr>
            <w:tcW w:w="834" w:type="dxa"/>
            <w:vAlign w:val="center"/>
          </w:tcPr>
          <w:p w14:paraId="7133EF14">
            <w:pPr>
              <w:spacing w:line="280" w:lineRule="exact"/>
              <w:jc w:val="center"/>
              <w:rPr>
                <w:rFonts w:ascii="Arial" w:hAnsi="Arial" w:cs="Arial"/>
                <w:szCs w:val="21"/>
              </w:rPr>
            </w:pPr>
            <w:r>
              <w:rPr>
                <w:rFonts w:ascii="Arial" w:hAnsi="Arial" w:cs="Arial"/>
                <w:szCs w:val="21"/>
              </w:rPr>
              <w:t>危险等级</w:t>
            </w:r>
          </w:p>
        </w:tc>
        <w:tc>
          <w:tcPr>
            <w:tcW w:w="691" w:type="dxa"/>
            <w:vAlign w:val="center"/>
          </w:tcPr>
          <w:p w14:paraId="7320C8B3">
            <w:pPr>
              <w:spacing w:line="280" w:lineRule="exact"/>
              <w:jc w:val="center"/>
              <w:rPr>
                <w:rFonts w:ascii="Arial" w:hAnsi="Arial" w:cs="Arial"/>
                <w:szCs w:val="21"/>
              </w:rPr>
            </w:pPr>
            <w:r>
              <w:rPr>
                <w:rFonts w:ascii="Arial" w:hAnsi="Arial" w:cs="Arial"/>
                <w:szCs w:val="21"/>
              </w:rPr>
              <w:t>发生</w:t>
            </w:r>
          </w:p>
          <w:p w14:paraId="57DA714D">
            <w:pPr>
              <w:spacing w:line="280" w:lineRule="exact"/>
              <w:jc w:val="center"/>
              <w:rPr>
                <w:rFonts w:ascii="Arial" w:hAnsi="Arial" w:cs="Arial"/>
                <w:szCs w:val="21"/>
              </w:rPr>
            </w:pPr>
            <w:r>
              <w:rPr>
                <w:rFonts w:ascii="Arial" w:hAnsi="Arial" w:cs="Arial"/>
                <w:szCs w:val="21"/>
              </w:rPr>
              <w:t>概率</w:t>
            </w:r>
          </w:p>
        </w:tc>
        <w:tc>
          <w:tcPr>
            <w:tcW w:w="2628" w:type="dxa"/>
            <w:vAlign w:val="center"/>
          </w:tcPr>
          <w:p w14:paraId="2A2FBCA5">
            <w:pPr>
              <w:spacing w:line="280" w:lineRule="exact"/>
              <w:jc w:val="center"/>
              <w:rPr>
                <w:rFonts w:ascii="Arial" w:hAnsi="Arial" w:cs="Arial"/>
                <w:szCs w:val="21"/>
              </w:rPr>
            </w:pPr>
            <w:r>
              <w:rPr>
                <w:rFonts w:ascii="Arial" w:hAnsi="Arial" w:cs="Arial"/>
                <w:szCs w:val="21"/>
              </w:rPr>
              <w:t>预防措施</w:t>
            </w:r>
          </w:p>
        </w:tc>
      </w:tr>
      <w:tr w14:paraId="4D860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vAlign w:val="center"/>
          </w:tcPr>
          <w:p w14:paraId="760F3A99">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火</w:t>
            </w:r>
          </w:p>
          <w:p w14:paraId="078AA4FD">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灾</w:t>
            </w:r>
          </w:p>
          <w:p w14:paraId="2EE24246">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爆</w:t>
            </w:r>
          </w:p>
          <w:p w14:paraId="081C34A9">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炸</w:t>
            </w:r>
          </w:p>
        </w:tc>
        <w:tc>
          <w:tcPr>
            <w:tcW w:w="725" w:type="dxa"/>
            <w:vAlign w:val="center"/>
          </w:tcPr>
          <w:p w14:paraId="2DED1DA2">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仓库</w:t>
            </w:r>
          </w:p>
        </w:tc>
        <w:tc>
          <w:tcPr>
            <w:tcW w:w="833" w:type="dxa"/>
            <w:vAlign w:val="center"/>
          </w:tcPr>
          <w:p w14:paraId="7142573B">
            <w:pPr>
              <w:spacing w:line="280" w:lineRule="exact"/>
              <w:jc w:val="center"/>
              <w:rPr>
                <w:rFonts w:cs="Arial" w:asciiTheme="minorEastAsia" w:hAnsiTheme="minorEastAsia" w:eastAsiaTheme="minorEastAsia"/>
                <w:b w:val="0"/>
                <w:spacing w:val="-12"/>
                <w:szCs w:val="21"/>
              </w:rPr>
            </w:pPr>
            <w:r>
              <w:rPr>
                <w:rFonts w:cs="Arial" w:asciiTheme="minorEastAsia" w:hAnsiTheme="minorEastAsia" w:eastAsiaTheme="minorEastAsia"/>
                <w:b w:val="0"/>
                <w:spacing w:val="-12"/>
                <w:szCs w:val="21"/>
              </w:rPr>
              <w:t>1.吸烟明火</w:t>
            </w:r>
          </w:p>
          <w:p w14:paraId="3B245747">
            <w:pPr>
              <w:spacing w:line="280" w:lineRule="exact"/>
              <w:jc w:val="center"/>
              <w:rPr>
                <w:rFonts w:cs="Arial" w:asciiTheme="minorEastAsia" w:hAnsiTheme="minorEastAsia" w:eastAsiaTheme="minorEastAsia"/>
                <w:b w:val="0"/>
                <w:spacing w:val="-12"/>
                <w:szCs w:val="21"/>
              </w:rPr>
            </w:pPr>
            <w:r>
              <w:rPr>
                <w:rFonts w:cs="Arial" w:asciiTheme="minorEastAsia" w:hAnsiTheme="minorEastAsia" w:eastAsiaTheme="minorEastAsia"/>
                <w:b w:val="0"/>
                <w:spacing w:val="-12"/>
                <w:szCs w:val="21"/>
              </w:rPr>
              <w:t>2.静电火花</w:t>
            </w:r>
          </w:p>
          <w:p w14:paraId="0A441C50">
            <w:pPr>
              <w:spacing w:line="280" w:lineRule="exact"/>
              <w:jc w:val="center"/>
              <w:rPr>
                <w:rFonts w:cs="Arial" w:asciiTheme="minorEastAsia" w:hAnsiTheme="minorEastAsia" w:eastAsiaTheme="minorEastAsia"/>
                <w:b w:val="0"/>
                <w:spacing w:val="-12"/>
                <w:szCs w:val="21"/>
              </w:rPr>
            </w:pPr>
            <w:r>
              <w:rPr>
                <w:rFonts w:cs="Arial" w:asciiTheme="minorEastAsia" w:hAnsiTheme="minorEastAsia" w:eastAsiaTheme="minorEastAsia"/>
                <w:b w:val="0"/>
                <w:spacing w:val="-12"/>
                <w:szCs w:val="21"/>
              </w:rPr>
              <w:t>3.雷击</w:t>
            </w:r>
          </w:p>
          <w:p w14:paraId="44ACEA0B">
            <w:pPr>
              <w:spacing w:line="280" w:lineRule="exact"/>
              <w:jc w:val="center"/>
              <w:rPr>
                <w:rFonts w:cs="Arial" w:asciiTheme="minorEastAsia" w:hAnsiTheme="minorEastAsia" w:eastAsiaTheme="minorEastAsia"/>
                <w:b w:val="0"/>
                <w:spacing w:val="-12"/>
                <w:szCs w:val="21"/>
              </w:rPr>
            </w:pPr>
            <w:r>
              <w:rPr>
                <w:rFonts w:cs="Arial" w:asciiTheme="minorEastAsia" w:hAnsiTheme="minorEastAsia" w:eastAsiaTheme="minorEastAsia"/>
                <w:b w:val="0"/>
                <w:spacing w:val="-12"/>
                <w:szCs w:val="21"/>
              </w:rPr>
              <w:t>4.外来明火入库</w:t>
            </w:r>
          </w:p>
          <w:p w14:paraId="564DB2ED">
            <w:pPr>
              <w:spacing w:line="280" w:lineRule="exact"/>
              <w:jc w:val="center"/>
              <w:rPr>
                <w:rFonts w:cs="Arial" w:asciiTheme="minorEastAsia" w:hAnsiTheme="minorEastAsia" w:eastAsiaTheme="minorEastAsia"/>
                <w:b w:val="0"/>
                <w:spacing w:val="-12"/>
                <w:szCs w:val="21"/>
              </w:rPr>
            </w:pPr>
            <w:r>
              <w:rPr>
                <w:rFonts w:cs="Arial" w:asciiTheme="minorEastAsia" w:hAnsiTheme="minorEastAsia" w:eastAsiaTheme="minorEastAsia"/>
                <w:b w:val="0"/>
                <w:spacing w:val="-12"/>
                <w:szCs w:val="21"/>
              </w:rPr>
              <w:t>5.高温或潮湿</w:t>
            </w:r>
          </w:p>
          <w:p w14:paraId="578CF20A">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spacing w:val="-12"/>
                <w:szCs w:val="21"/>
              </w:rPr>
              <w:t>6.其他明火</w:t>
            </w:r>
          </w:p>
        </w:tc>
        <w:tc>
          <w:tcPr>
            <w:tcW w:w="2513" w:type="dxa"/>
            <w:vAlign w:val="center"/>
          </w:tcPr>
          <w:p w14:paraId="2EB89C06">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1.仓库地面不平整,有金属杂质；</w:t>
            </w:r>
          </w:p>
          <w:p w14:paraId="0FA7E170">
            <w:pPr>
              <w:spacing w:line="280" w:lineRule="exact"/>
              <w:rPr>
                <w:rFonts w:cs="Arial" w:asciiTheme="minorEastAsia" w:hAnsiTheme="minorEastAsia" w:eastAsiaTheme="minorEastAsia"/>
                <w:b w:val="0"/>
                <w:bCs/>
                <w:szCs w:val="21"/>
              </w:rPr>
            </w:pPr>
            <w:r>
              <w:rPr>
                <w:rFonts w:hint="eastAsia" w:cs="Arial" w:asciiTheme="minorEastAsia" w:hAnsiTheme="minorEastAsia" w:eastAsiaTheme="minorEastAsia"/>
                <w:b w:val="0"/>
                <w:bCs/>
                <w:szCs w:val="21"/>
              </w:rPr>
              <w:t>2</w:t>
            </w:r>
            <w:r>
              <w:rPr>
                <w:rFonts w:cs="Arial" w:asciiTheme="minorEastAsia" w:hAnsiTheme="minorEastAsia" w:eastAsiaTheme="minorEastAsia"/>
                <w:b w:val="0"/>
                <w:bCs/>
                <w:szCs w:val="21"/>
              </w:rPr>
              <w:t>.违规库区吸烟；</w:t>
            </w:r>
          </w:p>
          <w:p w14:paraId="746EF04C">
            <w:pPr>
              <w:spacing w:line="280" w:lineRule="exact"/>
              <w:rPr>
                <w:rFonts w:cs="Arial" w:asciiTheme="minorEastAsia" w:hAnsiTheme="minorEastAsia" w:eastAsiaTheme="minorEastAsia"/>
                <w:b w:val="0"/>
                <w:bCs/>
                <w:szCs w:val="21"/>
              </w:rPr>
            </w:pPr>
            <w:r>
              <w:rPr>
                <w:rFonts w:hint="eastAsia" w:cs="Arial" w:asciiTheme="minorEastAsia" w:hAnsiTheme="minorEastAsia" w:eastAsiaTheme="minorEastAsia"/>
                <w:b w:val="0"/>
                <w:bCs/>
                <w:szCs w:val="21"/>
              </w:rPr>
              <w:t>3</w:t>
            </w:r>
            <w:r>
              <w:rPr>
                <w:rFonts w:cs="Arial" w:asciiTheme="minorEastAsia" w:hAnsiTheme="minorEastAsia" w:eastAsiaTheme="minorEastAsia"/>
                <w:b w:val="0"/>
                <w:bCs/>
                <w:szCs w:val="21"/>
              </w:rPr>
              <w:t>.未穿防静电服或未设消除静电装置；</w:t>
            </w:r>
          </w:p>
          <w:p w14:paraId="6D514B45">
            <w:pPr>
              <w:spacing w:line="280" w:lineRule="exact"/>
              <w:rPr>
                <w:rFonts w:cs="Arial" w:asciiTheme="minorEastAsia" w:hAnsiTheme="minorEastAsia" w:eastAsiaTheme="minorEastAsia"/>
                <w:b w:val="0"/>
                <w:bCs/>
                <w:szCs w:val="21"/>
              </w:rPr>
            </w:pPr>
            <w:r>
              <w:rPr>
                <w:rFonts w:hint="eastAsia" w:cs="Arial" w:asciiTheme="minorEastAsia" w:hAnsiTheme="minorEastAsia" w:eastAsiaTheme="minorEastAsia"/>
                <w:b w:val="0"/>
                <w:bCs/>
                <w:szCs w:val="21"/>
              </w:rPr>
              <w:t>4</w:t>
            </w:r>
            <w:r>
              <w:rPr>
                <w:rFonts w:cs="Arial" w:asciiTheme="minorEastAsia" w:hAnsiTheme="minorEastAsia" w:eastAsiaTheme="minorEastAsia"/>
                <w:b w:val="0"/>
                <w:bCs/>
                <w:szCs w:val="21"/>
              </w:rPr>
              <w:t>.未安装防雷避雷设施或检测不合格；</w:t>
            </w:r>
          </w:p>
          <w:p w14:paraId="12093DDE">
            <w:pPr>
              <w:spacing w:line="280" w:lineRule="exact"/>
              <w:rPr>
                <w:rFonts w:cs="Arial" w:asciiTheme="minorEastAsia" w:hAnsiTheme="minorEastAsia" w:eastAsiaTheme="minorEastAsia"/>
                <w:b w:val="0"/>
                <w:bCs/>
                <w:szCs w:val="21"/>
              </w:rPr>
            </w:pPr>
            <w:r>
              <w:rPr>
                <w:rFonts w:hint="eastAsia" w:cs="Arial" w:asciiTheme="minorEastAsia" w:hAnsiTheme="minorEastAsia" w:eastAsiaTheme="minorEastAsia"/>
                <w:b w:val="0"/>
                <w:bCs/>
                <w:szCs w:val="21"/>
              </w:rPr>
              <w:t>5</w:t>
            </w:r>
            <w:r>
              <w:rPr>
                <w:rFonts w:cs="Arial" w:asciiTheme="minorEastAsia" w:hAnsiTheme="minorEastAsia" w:eastAsiaTheme="minorEastAsia"/>
                <w:b w:val="0"/>
                <w:bCs/>
                <w:szCs w:val="21"/>
              </w:rPr>
              <w:t>.未设置高窗和通风窗，通风效果不好，仓库温度过高；</w:t>
            </w:r>
          </w:p>
          <w:p w14:paraId="7ABB2CA9">
            <w:pPr>
              <w:spacing w:line="280" w:lineRule="exact"/>
              <w:rPr>
                <w:rFonts w:cs="Arial" w:asciiTheme="minorEastAsia" w:hAnsiTheme="minorEastAsia" w:eastAsiaTheme="minorEastAsia"/>
                <w:b w:val="0"/>
                <w:bCs/>
                <w:szCs w:val="21"/>
              </w:rPr>
            </w:pPr>
            <w:r>
              <w:rPr>
                <w:rFonts w:hint="eastAsia" w:cs="Arial" w:asciiTheme="minorEastAsia" w:hAnsiTheme="minorEastAsia" w:eastAsiaTheme="minorEastAsia"/>
                <w:b w:val="0"/>
                <w:bCs/>
                <w:szCs w:val="21"/>
              </w:rPr>
              <w:t>6</w:t>
            </w:r>
            <w:r>
              <w:rPr>
                <w:rFonts w:cs="Arial" w:asciiTheme="minorEastAsia" w:hAnsiTheme="minorEastAsia" w:eastAsiaTheme="minorEastAsia"/>
                <w:b w:val="0"/>
                <w:bCs/>
                <w:szCs w:val="21"/>
              </w:rPr>
              <w:t>.未设置防潮措施,产品自燃。</w:t>
            </w:r>
          </w:p>
        </w:tc>
        <w:tc>
          <w:tcPr>
            <w:tcW w:w="681" w:type="dxa"/>
            <w:vAlign w:val="center"/>
          </w:tcPr>
          <w:p w14:paraId="0666F8BB">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人员伤亡</w:t>
            </w:r>
          </w:p>
        </w:tc>
        <w:tc>
          <w:tcPr>
            <w:tcW w:w="834" w:type="dxa"/>
            <w:vAlign w:val="center"/>
          </w:tcPr>
          <w:p w14:paraId="180FF1A7">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Ⅲ</w:t>
            </w:r>
          </w:p>
        </w:tc>
        <w:tc>
          <w:tcPr>
            <w:tcW w:w="691" w:type="dxa"/>
            <w:vAlign w:val="center"/>
          </w:tcPr>
          <w:p w14:paraId="57C9D3C0">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C</w:t>
            </w:r>
          </w:p>
        </w:tc>
        <w:tc>
          <w:tcPr>
            <w:tcW w:w="2628" w:type="dxa"/>
            <w:vAlign w:val="center"/>
          </w:tcPr>
          <w:p w14:paraId="2BE90693">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1.保持仓库地面平整,无金属杂质或尖锐突起；</w:t>
            </w:r>
          </w:p>
          <w:p w14:paraId="5F7CBDC5">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2. 仓库安装电气设备为防爆型；</w:t>
            </w:r>
          </w:p>
          <w:p w14:paraId="3A4BB814">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3.禁止库区内吸烟；</w:t>
            </w:r>
          </w:p>
          <w:p w14:paraId="281666C4">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4.防雷防静电设施安装并检测合格；</w:t>
            </w:r>
          </w:p>
          <w:p w14:paraId="45E7FA71">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5.库房设置防潮措施；</w:t>
            </w:r>
          </w:p>
          <w:p w14:paraId="25E6CA9A">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6. 需设置高窗和通风窗，保证通风效果良好；</w:t>
            </w:r>
          </w:p>
          <w:p w14:paraId="20FBCA48">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7. 烟花储存间与爆竹储存间隔绝严密；</w:t>
            </w:r>
          </w:p>
          <w:p w14:paraId="28D158C0">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8.作业人员佩戴劳动防护用品。</w:t>
            </w:r>
          </w:p>
        </w:tc>
      </w:tr>
      <w:tr w14:paraId="3EA0F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vAlign w:val="center"/>
          </w:tcPr>
          <w:p w14:paraId="78789978">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触电</w:t>
            </w:r>
          </w:p>
        </w:tc>
        <w:tc>
          <w:tcPr>
            <w:tcW w:w="725" w:type="dxa"/>
            <w:vAlign w:val="center"/>
          </w:tcPr>
          <w:p w14:paraId="5883D141">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值班室</w:t>
            </w:r>
            <w:r>
              <w:rPr>
                <w:rFonts w:hint="eastAsia" w:cs="Arial" w:asciiTheme="minorEastAsia" w:hAnsiTheme="minorEastAsia" w:eastAsiaTheme="minorEastAsia"/>
                <w:b w:val="0"/>
                <w:bCs/>
                <w:szCs w:val="21"/>
              </w:rPr>
              <w:t>/配电柜</w:t>
            </w:r>
          </w:p>
        </w:tc>
        <w:tc>
          <w:tcPr>
            <w:tcW w:w="833" w:type="dxa"/>
            <w:vAlign w:val="center"/>
          </w:tcPr>
          <w:p w14:paraId="152EDF3B">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人员误接触裸线或电器设备漏电</w:t>
            </w:r>
          </w:p>
        </w:tc>
        <w:tc>
          <w:tcPr>
            <w:tcW w:w="2513" w:type="dxa"/>
            <w:vAlign w:val="center"/>
          </w:tcPr>
          <w:p w14:paraId="438C44BD">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1.值班室电气线路有裸露现象；</w:t>
            </w:r>
          </w:p>
          <w:p w14:paraId="600F3C65">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2.电气设备不合格或未接地有漏电现象。</w:t>
            </w:r>
          </w:p>
        </w:tc>
        <w:tc>
          <w:tcPr>
            <w:tcW w:w="681" w:type="dxa"/>
            <w:vAlign w:val="center"/>
          </w:tcPr>
          <w:p w14:paraId="5CB53AF5">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人员伤亡</w:t>
            </w:r>
          </w:p>
        </w:tc>
        <w:tc>
          <w:tcPr>
            <w:tcW w:w="834" w:type="dxa"/>
            <w:vAlign w:val="center"/>
          </w:tcPr>
          <w:p w14:paraId="2FD0F011">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Ⅱ</w:t>
            </w:r>
          </w:p>
        </w:tc>
        <w:tc>
          <w:tcPr>
            <w:tcW w:w="691" w:type="dxa"/>
            <w:vAlign w:val="center"/>
          </w:tcPr>
          <w:p w14:paraId="04C0277E">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B</w:t>
            </w:r>
          </w:p>
        </w:tc>
        <w:tc>
          <w:tcPr>
            <w:tcW w:w="2628" w:type="dxa"/>
            <w:vAlign w:val="center"/>
          </w:tcPr>
          <w:p w14:paraId="5755E4F1">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1.检查电气线路，避免裸露；</w:t>
            </w:r>
          </w:p>
          <w:p w14:paraId="4D9C2DBC">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2.设有防漏电保护装置。</w:t>
            </w:r>
          </w:p>
        </w:tc>
      </w:tr>
      <w:tr w14:paraId="0D98D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vAlign w:val="center"/>
          </w:tcPr>
          <w:p w14:paraId="73FEA387">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高处坠落</w:t>
            </w:r>
          </w:p>
        </w:tc>
        <w:tc>
          <w:tcPr>
            <w:tcW w:w="725" w:type="dxa"/>
            <w:vAlign w:val="center"/>
          </w:tcPr>
          <w:p w14:paraId="616706D1">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仓库</w:t>
            </w:r>
          </w:p>
        </w:tc>
        <w:tc>
          <w:tcPr>
            <w:tcW w:w="833" w:type="dxa"/>
            <w:vAlign w:val="center"/>
          </w:tcPr>
          <w:p w14:paraId="07DFB726">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高处</w:t>
            </w:r>
          </w:p>
          <w:p w14:paraId="016A4B60">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检修</w:t>
            </w:r>
          </w:p>
        </w:tc>
        <w:tc>
          <w:tcPr>
            <w:tcW w:w="2513" w:type="dxa"/>
            <w:vAlign w:val="center"/>
          </w:tcPr>
          <w:p w14:paraId="31F571B7">
            <w:pPr>
              <w:spacing w:line="280" w:lineRule="exact"/>
              <w:rPr>
                <w:rFonts w:cs="Arial" w:asciiTheme="minorEastAsia" w:hAnsiTheme="minorEastAsia" w:eastAsiaTheme="minorEastAsia"/>
                <w:b w:val="0"/>
                <w:bCs/>
                <w:szCs w:val="21"/>
              </w:rPr>
            </w:pPr>
            <w:r>
              <w:rPr>
                <w:rFonts w:hint="eastAsia" w:cs="Arial" w:asciiTheme="minorEastAsia" w:hAnsiTheme="minorEastAsia" w:eastAsiaTheme="minorEastAsia"/>
                <w:b w:val="0"/>
                <w:bCs/>
                <w:szCs w:val="21"/>
              </w:rPr>
              <w:t>带电检维修、漏电</w:t>
            </w:r>
            <w:r>
              <w:rPr>
                <w:rFonts w:cs="Arial" w:asciiTheme="minorEastAsia" w:hAnsiTheme="minorEastAsia" w:eastAsiaTheme="minorEastAsia"/>
                <w:b w:val="0"/>
                <w:bCs/>
                <w:szCs w:val="21"/>
              </w:rPr>
              <w:t>,使人员坠落</w:t>
            </w:r>
          </w:p>
        </w:tc>
        <w:tc>
          <w:tcPr>
            <w:tcW w:w="681" w:type="dxa"/>
            <w:vAlign w:val="center"/>
          </w:tcPr>
          <w:p w14:paraId="6861F9E3">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人员伤亡</w:t>
            </w:r>
          </w:p>
        </w:tc>
        <w:tc>
          <w:tcPr>
            <w:tcW w:w="834" w:type="dxa"/>
            <w:vAlign w:val="center"/>
          </w:tcPr>
          <w:p w14:paraId="328FE1B5">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Ⅱ</w:t>
            </w:r>
          </w:p>
        </w:tc>
        <w:tc>
          <w:tcPr>
            <w:tcW w:w="691" w:type="dxa"/>
            <w:vAlign w:val="center"/>
          </w:tcPr>
          <w:p w14:paraId="442712D7">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B</w:t>
            </w:r>
          </w:p>
        </w:tc>
        <w:tc>
          <w:tcPr>
            <w:tcW w:w="2628" w:type="dxa"/>
            <w:vAlign w:val="center"/>
          </w:tcPr>
          <w:p w14:paraId="45B6A113">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高处作业应有防护措施</w:t>
            </w:r>
          </w:p>
        </w:tc>
      </w:tr>
      <w:tr w14:paraId="2584A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vAlign w:val="center"/>
          </w:tcPr>
          <w:p w14:paraId="3E41E154">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淹溺</w:t>
            </w:r>
          </w:p>
        </w:tc>
        <w:tc>
          <w:tcPr>
            <w:tcW w:w="725" w:type="dxa"/>
            <w:vAlign w:val="center"/>
          </w:tcPr>
          <w:p w14:paraId="5ACFB09C">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消防池</w:t>
            </w:r>
          </w:p>
        </w:tc>
        <w:tc>
          <w:tcPr>
            <w:tcW w:w="833" w:type="dxa"/>
            <w:vAlign w:val="center"/>
          </w:tcPr>
          <w:p w14:paraId="6ACE7FB3">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消防池维修或取水</w:t>
            </w:r>
          </w:p>
        </w:tc>
        <w:tc>
          <w:tcPr>
            <w:tcW w:w="2513" w:type="dxa"/>
            <w:vAlign w:val="center"/>
          </w:tcPr>
          <w:p w14:paraId="4FC6B603">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消防水池四周未设置防护措施（防护栏、安全警示标志）</w:t>
            </w:r>
          </w:p>
        </w:tc>
        <w:tc>
          <w:tcPr>
            <w:tcW w:w="681" w:type="dxa"/>
            <w:vAlign w:val="center"/>
          </w:tcPr>
          <w:p w14:paraId="7D363F90">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人员伤亡</w:t>
            </w:r>
          </w:p>
        </w:tc>
        <w:tc>
          <w:tcPr>
            <w:tcW w:w="834" w:type="dxa"/>
            <w:vAlign w:val="center"/>
          </w:tcPr>
          <w:p w14:paraId="517E891D">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Ⅱ</w:t>
            </w:r>
          </w:p>
        </w:tc>
        <w:tc>
          <w:tcPr>
            <w:tcW w:w="691" w:type="dxa"/>
            <w:vAlign w:val="center"/>
          </w:tcPr>
          <w:p w14:paraId="71643D0D">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B</w:t>
            </w:r>
          </w:p>
        </w:tc>
        <w:tc>
          <w:tcPr>
            <w:tcW w:w="2628" w:type="dxa"/>
            <w:vAlign w:val="center"/>
          </w:tcPr>
          <w:p w14:paraId="2A0C285B">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消防水池四周应设置防护措施（防护栏、安全警示标志）。</w:t>
            </w:r>
          </w:p>
        </w:tc>
      </w:tr>
      <w:tr w14:paraId="71CB4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vAlign w:val="center"/>
          </w:tcPr>
          <w:p w14:paraId="0581713D">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物体打击</w:t>
            </w:r>
          </w:p>
        </w:tc>
        <w:tc>
          <w:tcPr>
            <w:tcW w:w="725" w:type="dxa"/>
            <w:vAlign w:val="center"/>
          </w:tcPr>
          <w:p w14:paraId="4970F303">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仓库</w:t>
            </w:r>
          </w:p>
        </w:tc>
        <w:tc>
          <w:tcPr>
            <w:tcW w:w="833" w:type="dxa"/>
            <w:vAlign w:val="center"/>
          </w:tcPr>
          <w:p w14:paraId="2A922DC7">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货物</w:t>
            </w:r>
          </w:p>
          <w:p w14:paraId="62555E69">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坠落</w:t>
            </w:r>
          </w:p>
        </w:tc>
        <w:tc>
          <w:tcPr>
            <w:tcW w:w="2513" w:type="dxa"/>
            <w:vAlign w:val="center"/>
          </w:tcPr>
          <w:p w14:paraId="5F5518FF">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1.货物堆放拥挤超高；</w:t>
            </w:r>
          </w:p>
          <w:p w14:paraId="190FEE05">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2.产品外包装不符合要求。</w:t>
            </w:r>
          </w:p>
        </w:tc>
        <w:tc>
          <w:tcPr>
            <w:tcW w:w="681" w:type="dxa"/>
            <w:vAlign w:val="center"/>
          </w:tcPr>
          <w:p w14:paraId="675193EE">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人员伤亡</w:t>
            </w:r>
          </w:p>
        </w:tc>
        <w:tc>
          <w:tcPr>
            <w:tcW w:w="834" w:type="dxa"/>
            <w:vAlign w:val="center"/>
          </w:tcPr>
          <w:p w14:paraId="31C3667B">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Ⅱ</w:t>
            </w:r>
          </w:p>
        </w:tc>
        <w:tc>
          <w:tcPr>
            <w:tcW w:w="691" w:type="dxa"/>
            <w:vAlign w:val="center"/>
          </w:tcPr>
          <w:p w14:paraId="1B874682">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C</w:t>
            </w:r>
          </w:p>
        </w:tc>
        <w:tc>
          <w:tcPr>
            <w:tcW w:w="2628" w:type="dxa"/>
            <w:vAlign w:val="center"/>
          </w:tcPr>
          <w:p w14:paraId="5DB0CAC0">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1.禁止超高超量存房,留足通道；</w:t>
            </w:r>
          </w:p>
          <w:p w14:paraId="61BA55B8">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2.严禁购买外包装不符合要求的产品。</w:t>
            </w:r>
          </w:p>
        </w:tc>
      </w:tr>
      <w:tr w14:paraId="659F9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vAlign w:val="center"/>
          </w:tcPr>
          <w:p w14:paraId="7107ED53">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车辆伤害</w:t>
            </w:r>
          </w:p>
        </w:tc>
        <w:tc>
          <w:tcPr>
            <w:tcW w:w="725" w:type="dxa"/>
            <w:vAlign w:val="center"/>
          </w:tcPr>
          <w:p w14:paraId="362D8FCA">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运输道路</w:t>
            </w:r>
          </w:p>
        </w:tc>
        <w:tc>
          <w:tcPr>
            <w:tcW w:w="833" w:type="dxa"/>
            <w:vAlign w:val="center"/>
          </w:tcPr>
          <w:p w14:paraId="4A6D3346">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运输车辆通过库区</w:t>
            </w:r>
          </w:p>
        </w:tc>
        <w:tc>
          <w:tcPr>
            <w:tcW w:w="2513" w:type="dxa"/>
            <w:vAlign w:val="center"/>
          </w:tcPr>
          <w:p w14:paraId="2FC73E1E">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1.通道狭窄；</w:t>
            </w:r>
          </w:p>
          <w:p w14:paraId="27D3D751">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2.倒车无引导或指示；</w:t>
            </w:r>
          </w:p>
          <w:p w14:paraId="75E34992">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3.车速过快；</w:t>
            </w:r>
          </w:p>
          <w:p w14:paraId="5D929882">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4.运输道路坡度过大。</w:t>
            </w:r>
          </w:p>
        </w:tc>
        <w:tc>
          <w:tcPr>
            <w:tcW w:w="681" w:type="dxa"/>
            <w:vAlign w:val="center"/>
          </w:tcPr>
          <w:p w14:paraId="1454A74D">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人员伤亡</w:t>
            </w:r>
          </w:p>
        </w:tc>
        <w:tc>
          <w:tcPr>
            <w:tcW w:w="834" w:type="dxa"/>
            <w:vAlign w:val="center"/>
          </w:tcPr>
          <w:p w14:paraId="6C351932">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Ⅱ</w:t>
            </w:r>
          </w:p>
        </w:tc>
        <w:tc>
          <w:tcPr>
            <w:tcW w:w="691" w:type="dxa"/>
            <w:vAlign w:val="center"/>
          </w:tcPr>
          <w:p w14:paraId="1D203D86">
            <w:pPr>
              <w:spacing w:line="280" w:lineRule="exact"/>
              <w:jc w:val="center"/>
              <w:rPr>
                <w:rFonts w:cs="Arial" w:asciiTheme="minorEastAsia" w:hAnsiTheme="minorEastAsia" w:eastAsiaTheme="minorEastAsia"/>
                <w:b w:val="0"/>
                <w:bCs/>
                <w:szCs w:val="21"/>
              </w:rPr>
            </w:pPr>
            <w:r>
              <w:rPr>
                <w:rFonts w:cs="Arial" w:asciiTheme="minorEastAsia" w:hAnsiTheme="minorEastAsia" w:eastAsiaTheme="minorEastAsia"/>
                <w:b w:val="0"/>
                <w:bCs/>
                <w:szCs w:val="21"/>
              </w:rPr>
              <w:t>B</w:t>
            </w:r>
          </w:p>
        </w:tc>
        <w:tc>
          <w:tcPr>
            <w:tcW w:w="2628" w:type="dxa"/>
            <w:vAlign w:val="center"/>
          </w:tcPr>
          <w:p w14:paraId="59DC97B6">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1.保证通道畅通；</w:t>
            </w:r>
          </w:p>
          <w:p w14:paraId="019A7B15">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2.进入库区车辆限速行驶；</w:t>
            </w:r>
          </w:p>
          <w:p w14:paraId="7B51F400">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3.倒车时应有专人引导；</w:t>
            </w:r>
          </w:p>
          <w:p w14:paraId="04213995">
            <w:pPr>
              <w:spacing w:line="280" w:lineRule="exact"/>
              <w:rPr>
                <w:rFonts w:cs="Arial" w:asciiTheme="minorEastAsia" w:hAnsiTheme="minorEastAsia" w:eastAsiaTheme="minorEastAsia"/>
                <w:b w:val="0"/>
                <w:bCs/>
                <w:szCs w:val="21"/>
              </w:rPr>
            </w:pPr>
            <w:r>
              <w:rPr>
                <w:rFonts w:cs="Arial" w:asciiTheme="minorEastAsia" w:hAnsiTheme="minorEastAsia" w:eastAsiaTheme="minorEastAsia"/>
                <w:b w:val="0"/>
                <w:bCs/>
                <w:szCs w:val="21"/>
              </w:rPr>
              <w:t>4.运输道路坡度不宜过大。</w:t>
            </w:r>
          </w:p>
        </w:tc>
      </w:tr>
    </w:tbl>
    <w:p w14:paraId="2C8AEF2D">
      <w:pPr>
        <w:spacing w:before="120" w:beforeLines="50" w:line="360" w:lineRule="auto"/>
        <w:ind w:firstLine="560" w:firstLineChars="200"/>
        <w:rPr>
          <w:rFonts w:ascii="宋体" w:hAnsi="宋体" w:cs="宋体"/>
          <w:b w:val="0"/>
          <w:sz w:val="28"/>
          <w:szCs w:val="28"/>
        </w:rPr>
      </w:pPr>
      <w:bookmarkStart w:id="280" w:name="_Toc233449803"/>
      <w:r>
        <w:rPr>
          <w:rFonts w:hint="eastAsia" w:ascii="宋体" w:hAnsi="宋体" w:cs="宋体"/>
          <w:b w:val="0"/>
          <w:sz w:val="28"/>
          <w:szCs w:val="28"/>
        </w:rPr>
        <w:t>根据以上分析：</w:t>
      </w:r>
    </w:p>
    <w:p w14:paraId="52AA57A1">
      <w:pPr>
        <w:spacing w:line="360" w:lineRule="auto"/>
        <w:ind w:firstLine="560" w:firstLineChars="200"/>
        <w:rPr>
          <w:rFonts w:ascii="宋体" w:hAnsi="宋体" w:cs="宋体"/>
          <w:b w:val="0"/>
          <w:sz w:val="28"/>
          <w:szCs w:val="28"/>
        </w:rPr>
      </w:pPr>
      <w:r>
        <w:rPr>
          <w:rFonts w:hint="eastAsia" w:ascii="宋体" w:hAnsi="宋体" w:cs="宋体"/>
          <w:b w:val="0"/>
          <w:i/>
          <w:sz w:val="28"/>
          <w:szCs w:val="28"/>
        </w:rPr>
        <w:t>P</w:t>
      </w:r>
      <w:r>
        <w:rPr>
          <w:rFonts w:hint="eastAsia" w:ascii="宋体" w:hAnsi="宋体" w:cs="宋体"/>
          <w:b w:val="0"/>
          <w:sz w:val="28"/>
          <w:szCs w:val="28"/>
        </w:rPr>
        <w:t>值为：4、2、2、2、2、2</w:t>
      </w:r>
    </w:p>
    <w:p w14:paraId="6F576F05">
      <w:pPr>
        <w:spacing w:line="360" w:lineRule="auto"/>
        <w:ind w:firstLine="560" w:firstLineChars="200"/>
        <w:rPr>
          <w:rFonts w:ascii="宋体" w:hAnsi="宋体" w:cs="宋体"/>
          <w:b w:val="0"/>
          <w:sz w:val="28"/>
          <w:szCs w:val="28"/>
        </w:rPr>
      </w:pPr>
      <w:r>
        <w:rPr>
          <w:rFonts w:hint="eastAsia" w:ascii="宋体" w:hAnsi="宋体" w:cs="宋体"/>
          <w:b w:val="0"/>
          <w:i/>
          <w:sz w:val="28"/>
          <w:szCs w:val="28"/>
        </w:rPr>
        <w:t>K</w:t>
      </w:r>
      <w:r>
        <w:rPr>
          <w:rFonts w:hint="eastAsia" w:ascii="宋体" w:hAnsi="宋体" w:cs="宋体"/>
          <w:b w:val="0"/>
          <w:sz w:val="28"/>
          <w:szCs w:val="28"/>
        </w:rPr>
        <w:t>值为：0.2、0.1、0.1、0.1、0.2、0.1</w:t>
      </w:r>
    </w:p>
    <w:p w14:paraId="2D4275F2">
      <w:pPr>
        <w:spacing w:line="360" w:lineRule="auto"/>
        <w:ind w:firstLine="560" w:firstLineChars="200"/>
        <w:rPr>
          <w:rFonts w:ascii="宋体" w:hAnsi="宋体" w:cs="宋体"/>
          <w:b w:val="0"/>
          <w:sz w:val="28"/>
          <w:szCs w:val="28"/>
        </w:rPr>
      </w:pPr>
      <w:r>
        <w:rPr>
          <w:rFonts w:hint="eastAsia" w:ascii="宋体" w:hAnsi="宋体" w:cs="宋体"/>
          <w:b w:val="0"/>
          <w:sz w:val="28"/>
          <w:szCs w:val="28"/>
        </w:rPr>
        <w:t xml:space="preserve">=4×0.2+2×0.1+2×0.1+2×0.1+2×0.2+2×0.1/0.2+0.1+0.1+0.1+0.2+0.1 = 2.5 </w:t>
      </w:r>
    </w:p>
    <w:p w14:paraId="72512A87">
      <w:pPr>
        <w:spacing w:line="360" w:lineRule="auto"/>
        <w:ind w:firstLine="560" w:firstLineChars="200"/>
        <w:rPr>
          <w:rFonts w:ascii="宋体" w:hAnsi="宋体" w:cs="宋体"/>
          <w:b w:val="0"/>
          <w:sz w:val="28"/>
          <w:szCs w:val="28"/>
        </w:rPr>
      </w:pPr>
      <w:r>
        <w:rPr>
          <w:rFonts w:hint="eastAsia" w:ascii="宋体" w:hAnsi="宋体" w:cs="宋体"/>
          <w:b w:val="0"/>
          <w:sz w:val="28"/>
          <w:szCs w:val="28"/>
        </w:rPr>
        <w:t xml:space="preserve"> 则   1.5 ≤ </w:t>
      </w:r>
      <w:r>
        <w:rPr>
          <w:rFonts w:hint="eastAsia" w:ascii="宋体" w:hAnsi="宋体" w:cs="宋体"/>
          <w:b w:val="0"/>
          <w:i/>
          <w:sz w:val="28"/>
          <w:szCs w:val="28"/>
        </w:rPr>
        <w:t>W</w:t>
      </w:r>
      <w:r>
        <w:rPr>
          <w:rFonts w:hint="eastAsia" w:ascii="宋体" w:hAnsi="宋体" w:cs="宋体"/>
          <w:b w:val="0"/>
          <w:sz w:val="28"/>
          <w:szCs w:val="28"/>
        </w:rPr>
        <w:t>＜3</w:t>
      </w:r>
    </w:p>
    <w:p w14:paraId="2B289920">
      <w:pPr>
        <w:spacing w:line="360" w:lineRule="auto"/>
        <w:ind w:firstLine="560" w:firstLineChars="200"/>
        <w:rPr>
          <w:rFonts w:ascii="宋体" w:hAnsi="宋体" w:cs="宋体"/>
          <w:b w:val="0"/>
          <w:sz w:val="28"/>
          <w:szCs w:val="28"/>
        </w:rPr>
      </w:pPr>
      <w:r>
        <w:rPr>
          <w:rFonts w:hint="eastAsia" w:ascii="宋体" w:hAnsi="宋体" w:cs="宋体"/>
          <w:b w:val="0"/>
          <w:sz w:val="28"/>
          <w:szCs w:val="28"/>
        </w:rPr>
        <w:t>故本单元为比较安全级。</w:t>
      </w:r>
    </w:p>
    <w:p w14:paraId="49C2A2D5">
      <w:pPr>
        <w:keepNext/>
        <w:keepLines/>
        <w:spacing w:before="120" w:beforeLines="50" w:after="120" w:afterLines="50" w:line="360" w:lineRule="auto"/>
        <w:outlineLvl w:val="1"/>
        <w:rPr>
          <w:rFonts w:ascii="黑体" w:hAnsi="宋体" w:eastAsia="黑体"/>
          <w:b w:val="0"/>
          <w:bCs/>
          <w:snapToGrid w:val="0"/>
          <w:sz w:val="30"/>
          <w:szCs w:val="30"/>
        </w:rPr>
      </w:pPr>
      <w:bookmarkStart w:id="281" w:name="_Toc205979654"/>
      <w:r>
        <w:rPr>
          <w:rFonts w:hint="eastAsia" w:ascii="黑体" w:hAnsi="宋体" w:eastAsia="黑体"/>
          <w:b w:val="0"/>
          <w:bCs/>
          <w:snapToGrid w:val="0"/>
          <w:sz w:val="30"/>
          <w:szCs w:val="30"/>
        </w:rPr>
        <w:t>5.6事故树分析法</w:t>
      </w:r>
      <w:bookmarkEnd w:id="281"/>
    </w:p>
    <w:p w14:paraId="23EB073D">
      <w:pPr>
        <w:adjustRightInd w:val="0"/>
        <w:snapToGrid w:val="0"/>
        <w:spacing w:line="360" w:lineRule="auto"/>
        <w:ind w:firstLine="560" w:firstLineChars="200"/>
        <w:rPr>
          <w:rFonts w:ascii="宋体" w:hAnsi="宋体" w:cs="宋体"/>
          <w:b w:val="0"/>
          <w:sz w:val="28"/>
          <w:szCs w:val="28"/>
        </w:rPr>
      </w:pPr>
      <w:r>
        <w:rPr>
          <w:rFonts w:hint="eastAsia" w:ascii="宋体" w:hAnsi="宋体" w:cs="宋体"/>
          <w:b w:val="0"/>
          <w:sz w:val="28"/>
          <w:szCs w:val="28"/>
        </w:rPr>
        <w:t>烟花爆竹储存过程中，燃烧和爆炸是最主要的事故类型，因此，对燃烧、爆炸事故进行事故树分析。烟花爆竹储存过程中燃烧、爆炸事故树如图5.6所示。</w:t>
      </w:r>
    </w:p>
    <w:p w14:paraId="1C3766FF">
      <w:pPr>
        <w:adjustRightInd w:val="0"/>
        <w:snapToGrid w:val="0"/>
        <w:spacing w:line="360" w:lineRule="auto"/>
        <w:ind w:firstLine="560" w:firstLineChars="200"/>
        <w:rPr>
          <w:rFonts w:ascii="宋体" w:hAnsi="宋体" w:cs="宋体"/>
          <w:b w:val="0"/>
          <w:sz w:val="28"/>
          <w:szCs w:val="28"/>
        </w:rPr>
      </w:pPr>
      <w:r>
        <w:rPr>
          <w:rFonts w:hint="eastAsia" w:ascii="宋体" w:hAnsi="宋体" w:cs="宋体"/>
          <w:b w:val="0"/>
          <w:sz w:val="28"/>
          <w:szCs w:val="28"/>
        </w:rPr>
        <w:t>由事故树分析结果可知，可能导致烟火药在储存过程中发生燃烧、爆炸的因素为：电火花、违章烟火、外来火源、穿非导静电鞋、穿化纤制品衣服、空气湿度过低、未装防雷设施、防雷设施故障、手机、发射源、无防潮设施、阳光直晒、用普通玻璃窗、通风不良、运输道路缺陷、建筑物倒塌、违规操作、操作失误等。</w:t>
      </w:r>
    </w:p>
    <w:p w14:paraId="0604C758">
      <w:pPr>
        <w:widowControl/>
        <w:spacing w:line="360" w:lineRule="auto"/>
        <w:jc w:val="center"/>
        <w:rPr>
          <w:rFonts w:ascii="Arial" w:hAnsi="Arial" w:eastAsia="黑体" w:cs="Arial"/>
          <w:b w:val="0"/>
          <w:sz w:val="24"/>
        </w:rPr>
      </w:pPr>
      <w:r>
        <w:rPr>
          <w:rFonts w:ascii="Arial" w:hAnsi="Arial" w:eastAsia="黑体" w:cs="Arial"/>
          <w:b w:val="0"/>
          <w:sz w:val="24"/>
        </w:rPr>
        <w:br w:type="page"/>
      </w:r>
      <w:r>
        <w:rPr>
          <w:rFonts w:hint="eastAsia" w:ascii="Times New Roman" w:hAnsi="Times New Roman"/>
          <w:b w:val="0"/>
        </w:rPr>
        <w:drawing>
          <wp:anchor distT="0" distB="0" distL="114300" distR="114300" simplePos="0" relativeHeight="251660288" behindDoc="1" locked="0" layoutInCell="1" allowOverlap="1">
            <wp:simplePos x="0" y="0"/>
            <wp:positionH relativeFrom="column">
              <wp:posOffset>220980</wp:posOffset>
            </wp:positionH>
            <wp:positionV relativeFrom="paragraph">
              <wp:posOffset>163830</wp:posOffset>
            </wp:positionV>
            <wp:extent cx="4962525" cy="8310245"/>
            <wp:effectExtent l="0" t="0" r="9525" b="0"/>
            <wp:wrapNone/>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62525" cy="8310245"/>
                    </a:xfrm>
                    <a:prstGeom prst="rect">
                      <a:avLst/>
                    </a:prstGeom>
                    <a:noFill/>
                    <a:ln>
                      <a:noFill/>
                    </a:ln>
                    <a:effectLst/>
                  </pic:spPr>
                </pic:pic>
              </a:graphicData>
            </a:graphic>
          </wp:anchor>
        </w:drawing>
      </w:r>
      <w:r>
        <w:rPr>
          <w:rFonts w:hint="eastAsia" w:ascii="Arial" w:hAnsi="Arial" w:eastAsia="黑体" w:cs="Arial"/>
          <w:b w:val="0"/>
          <w:sz w:val="24"/>
        </w:rPr>
        <w:t>图</w:t>
      </w:r>
      <w:r>
        <w:rPr>
          <w:rFonts w:ascii="Arial" w:hAnsi="Arial" w:eastAsia="黑体" w:cs="Arial"/>
          <w:b w:val="0"/>
          <w:sz w:val="24"/>
        </w:rPr>
        <w:t>5.</w:t>
      </w:r>
      <w:r>
        <w:rPr>
          <w:rFonts w:hint="eastAsia" w:ascii="Arial" w:hAnsi="Arial" w:eastAsia="黑体" w:cs="Arial"/>
          <w:b w:val="0"/>
          <w:sz w:val="24"/>
        </w:rPr>
        <w:t>6</w:t>
      </w:r>
      <w:r>
        <w:rPr>
          <w:rFonts w:ascii="Arial" w:hAnsi="Arial" w:eastAsia="黑体" w:cs="Arial"/>
          <w:b w:val="0"/>
          <w:sz w:val="24"/>
        </w:rPr>
        <w:t xml:space="preserve">  事故树分析法</w:t>
      </w:r>
    </w:p>
    <w:p w14:paraId="746E3E15">
      <w:pPr>
        <w:spacing w:line="520" w:lineRule="exact"/>
        <w:ind w:firstLine="560" w:firstLineChars="200"/>
        <w:rPr>
          <w:rFonts w:ascii="Arial" w:hAnsi="宋体" w:cs="Arial"/>
          <w:b w:val="0"/>
          <w:sz w:val="28"/>
          <w:szCs w:val="28"/>
        </w:rPr>
        <w:sectPr>
          <w:pgSz w:w="11906" w:h="16838"/>
          <w:pgMar w:top="1440" w:right="1800" w:bottom="1440" w:left="1800" w:header="851" w:footer="863" w:gutter="0"/>
          <w:cols w:space="720" w:num="1"/>
          <w:docGrid w:linePitch="312" w:charSpace="0"/>
        </w:sectPr>
      </w:pPr>
    </w:p>
    <w:bookmarkEnd w:id="233"/>
    <w:bookmarkEnd w:id="234"/>
    <w:bookmarkEnd w:id="235"/>
    <w:bookmarkEnd w:id="236"/>
    <w:bookmarkEnd w:id="237"/>
    <w:bookmarkEnd w:id="280"/>
    <w:p w14:paraId="02387F38">
      <w:pPr>
        <w:keepNext/>
        <w:pageBreakBefore/>
        <w:widowControl/>
        <w:spacing w:before="120" w:beforeLines="50" w:line="360" w:lineRule="auto"/>
        <w:jc w:val="center"/>
        <w:outlineLvl w:val="0"/>
        <w:rPr>
          <w:rFonts w:ascii="黑体" w:hAnsi="宋体" w:eastAsia="黑体"/>
          <w:b w:val="0"/>
          <w:sz w:val="32"/>
          <w:szCs w:val="32"/>
        </w:rPr>
      </w:pPr>
      <w:bookmarkStart w:id="282" w:name="_Toc110569913"/>
      <w:bookmarkStart w:id="283" w:name="_Toc233449812"/>
      <w:bookmarkStart w:id="284" w:name="_Toc205979655"/>
      <w:r>
        <w:rPr>
          <w:rFonts w:hint="eastAsia" w:ascii="黑体" w:hAnsi="宋体" w:eastAsia="黑体"/>
          <w:b w:val="0"/>
          <w:sz w:val="32"/>
          <w:szCs w:val="32"/>
        </w:rPr>
        <w:t>第六章 安全对策措施建议</w:t>
      </w:r>
      <w:bookmarkEnd w:id="282"/>
      <w:bookmarkEnd w:id="283"/>
      <w:bookmarkEnd w:id="284"/>
    </w:p>
    <w:p w14:paraId="1B391DC3">
      <w:pPr>
        <w:keepNext/>
        <w:keepLines/>
        <w:spacing w:before="120" w:beforeLines="50" w:after="120" w:afterLines="50" w:line="360" w:lineRule="auto"/>
        <w:outlineLvl w:val="1"/>
        <w:rPr>
          <w:rFonts w:ascii="黑体" w:hAnsi="宋体" w:eastAsia="黑体"/>
          <w:b w:val="0"/>
          <w:bCs/>
          <w:snapToGrid w:val="0"/>
          <w:sz w:val="30"/>
          <w:szCs w:val="30"/>
        </w:rPr>
      </w:pPr>
      <w:bookmarkStart w:id="285" w:name="_Toc205979656"/>
      <w:bookmarkStart w:id="286" w:name="_Toc233449813"/>
      <w:r>
        <w:rPr>
          <w:rFonts w:hint="eastAsia" w:ascii="黑体" w:hAnsi="宋体" w:eastAsia="黑体"/>
          <w:b w:val="0"/>
          <w:bCs/>
          <w:snapToGrid w:val="0"/>
          <w:sz w:val="30"/>
          <w:szCs w:val="30"/>
        </w:rPr>
        <w:t>6.1安全措施建议的依据</w:t>
      </w:r>
      <w:bookmarkEnd w:id="285"/>
      <w:bookmarkEnd w:id="286"/>
    </w:p>
    <w:p w14:paraId="18A721AB">
      <w:pPr>
        <w:spacing w:line="360" w:lineRule="auto"/>
        <w:ind w:firstLine="560" w:firstLineChars="200"/>
        <w:rPr>
          <w:rFonts w:ascii="宋体" w:hAnsi="宋体"/>
          <w:b w:val="0"/>
          <w:sz w:val="28"/>
        </w:rPr>
      </w:pPr>
      <w:r>
        <w:rPr>
          <w:rFonts w:hint="eastAsia" w:ascii="宋体" w:hAnsi="宋体"/>
          <w:b w:val="0"/>
          <w:sz w:val="28"/>
        </w:rPr>
        <w:t>安全对策措施及建议主要依据国家相关法律、法规及烟花爆竹有关行业标准规范。</w:t>
      </w:r>
    </w:p>
    <w:p w14:paraId="6A0DEC76">
      <w:pPr>
        <w:keepNext/>
        <w:keepLines/>
        <w:spacing w:before="120" w:beforeLines="50" w:after="120" w:afterLines="50" w:line="360" w:lineRule="auto"/>
        <w:outlineLvl w:val="1"/>
        <w:rPr>
          <w:rFonts w:ascii="黑体" w:hAnsi="宋体" w:eastAsia="黑体"/>
          <w:b w:val="0"/>
          <w:bCs/>
          <w:snapToGrid w:val="0"/>
          <w:sz w:val="30"/>
          <w:szCs w:val="30"/>
        </w:rPr>
      </w:pPr>
      <w:bookmarkStart w:id="287" w:name="_Toc205979657"/>
      <w:bookmarkStart w:id="288" w:name="_Toc233449814"/>
      <w:r>
        <w:rPr>
          <w:rFonts w:hint="eastAsia" w:ascii="黑体" w:hAnsi="宋体" w:eastAsia="黑体"/>
          <w:b w:val="0"/>
          <w:bCs/>
          <w:snapToGrid w:val="0"/>
          <w:sz w:val="30"/>
          <w:szCs w:val="30"/>
        </w:rPr>
        <w:t>6.2安全对策措施建议的原则</w:t>
      </w:r>
      <w:bookmarkEnd w:id="287"/>
      <w:bookmarkEnd w:id="288"/>
    </w:p>
    <w:p w14:paraId="7EBC7EFB">
      <w:pPr>
        <w:spacing w:line="360" w:lineRule="auto"/>
        <w:ind w:firstLine="599" w:firstLineChars="214"/>
        <w:rPr>
          <w:rFonts w:ascii="Arial" w:hAnsi="Arial" w:cs="Arial"/>
          <w:b w:val="0"/>
          <w:sz w:val="28"/>
        </w:rPr>
      </w:pPr>
      <w:bookmarkStart w:id="289" w:name="_Toc233449815"/>
      <w:r>
        <w:rPr>
          <w:rFonts w:ascii="Arial" w:hAnsi="Times New Roman" w:cs="Arial"/>
          <w:b w:val="0"/>
          <w:sz w:val="28"/>
        </w:rPr>
        <w:t>安全对策措施及建议的原则主要根据风险水平和控制风险的顺序决定。一般根据风险水平采取的措施。</w:t>
      </w:r>
    </w:p>
    <w:p w14:paraId="50D0BCAC">
      <w:pPr>
        <w:jc w:val="center"/>
        <w:rPr>
          <w:rFonts w:ascii="黑体" w:hAnsi="黑体" w:eastAsia="黑体" w:cs="Arial"/>
          <w:b w:val="0"/>
          <w:sz w:val="24"/>
        </w:rPr>
      </w:pPr>
      <w:r>
        <w:rPr>
          <w:rFonts w:ascii="黑体" w:hAnsi="黑体" w:eastAsia="黑体" w:cs="Arial"/>
          <w:b w:val="0"/>
          <w:sz w:val="24"/>
        </w:rPr>
        <w:t>表6-1  根据风险水平采取的安全对策措施及建议</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7296"/>
      </w:tblGrid>
      <w:tr w14:paraId="04B16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2074" w:type="dxa"/>
            <w:vAlign w:val="center"/>
          </w:tcPr>
          <w:p w14:paraId="4BFC616B">
            <w:pPr>
              <w:adjustRightInd w:val="0"/>
              <w:snapToGrid w:val="0"/>
              <w:jc w:val="center"/>
              <w:rPr>
                <w:rFonts w:ascii="Arial" w:hAnsi="Arial"/>
                <w:bCs/>
                <w:szCs w:val="21"/>
              </w:rPr>
            </w:pPr>
            <w:r>
              <w:rPr>
                <w:rFonts w:ascii="Arial" w:hAnsi="宋体"/>
                <w:bCs/>
                <w:szCs w:val="21"/>
              </w:rPr>
              <w:t>风险水平</w:t>
            </w:r>
          </w:p>
        </w:tc>
        <w:tc>
          <w:tcPr>
            <w:tcW w:w="7296" w:type="dxa"/>
            <w:vAlign w:val="center"/>
          </w:tcPr>
          <w:p w14:paraId="4D6D0325">
            <w:pPr>
              <w:adjustRightInd w:val="0"/>
              <w:snapToGrid w:val="0"/>
              <w:jc w:val="center"/>
              <w:rPr>
                <w:rFonts w:ascii="Arial" w:hAnsi="Arial"/>
                <w:bCs/>
                <w:szCs w:val="21"/>
              </w:rPr>
            </w:pPr>
            <w:r>
              <w:rPr>
                <w:rFonts w:ascii="Arial" w:hAnsi="宋体"/>
                <w:bCs/>
                <w:szCs w:val="21"/>
              </w:rPr>
              <w:t>安全对策措施及建议</w:t>
            </w:r>
          </w:p>
        </w:tc>
      </w:tr>
      <w:tr w14:paraId="2DF3E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74" w:type="dxa"/>
            <w:vAlign w:val="center"/>
          </w:tcPr>
          <w:p w14:paraId="0E0C3A7C">
            <w:pPr>
              <w:adjustRightInd w:val="0"/>
              <w:snapToGrid w:val="0"/>
              <w:jc w:val="center"/>
              <w:rPr>
                <w:rFonts w:ascii="Arial" w:hAnsi="Arial"/>
                <w:b w:val="0"/>
                <w:szCs w:val="21"/>
              </w:rPr>
            </w:pPr>
            <w:r>
              <w:rPr>
                <w:rFonts w:ascii="Arial" w:hAnsi="宋体"/>
                <w:b w:val="0"/>
                <w:szCs w:val="21"/>
              </w:rPr>
              <w:t>可忽视风险</w:t>
            </w:r>
          </w:p>
        </w:tc>
        <w:tc>
          <w:tcPr>
            <w:tcW w:w="7296" w:type="dxa"/>
            <w:vAlign w:val="center"/>
          </w:tcPr>
          <w:p w14:paraId="4A62C839">
            <w:pPr>
              <w:adjustRightInd w:val="0"/>
              <w:snapToGrid w:val="0"/>
              <w:jc w:val="center"/>
              <w:rPr>
                <w:rFonts w:ascii="Arial" w:hAnsi="Arial"/>
                <w:b w:val="0"/>
                <w:szCs w:val="21"/>
              </w:rPr>
            </w:pPr>
            <w:r>
              <w:rPr>
                <w:rFonts w:ascii="Arial" w:hAnsi="宋体"/>
                <w:b w:val="0"/>
                <w:szCs w:val="21"/>
              </w:rPr>
              <w:t>无须采取措施且不必保持记录</w:t>
            </w:r>
          </w:p>
        </w:tc>
      </w:tr>
      <w:tr w14:paraId="04583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74" w:type="dxa"/>
            <w:vAlign w:val="center"/>
          </w:tcPr>
          <w:p w14:paraId="50FCE601">
            <w:pPr>
              <w:adjustRightInd w:val="0"/>
              <w:snapToGrid w:val="0"/>
              <w:jc w:val="center"/>
              <w:rPr>
                <w:rFonts w:ascii="Arial" w:hAnsi="Arial"/>
                <w:b w:val="0"/>
                <w:szCs w:val="21"/>
              </w:rPr>
            </w:pPr>
            <w:r>
              <w:rPr>
                <w:rFonts w:ascii="Arial" w:hAnsi="宋体"/>
                <w:b w:val="0"/>
                <w:szCs w:val="21"/>
              </w:rPr>
              <w:t>可承受风险</w:t>
            </w:r>
          </w:p>
        </w:tc>
        <w:tc>
          <w:tcPr>
            <w:tcW w:w="7296" w:type="dxa"/>
            <w:vAlign w:val="center"/>
          </w:tcPr>
          <w:p w14:paraId="65CB142D">
            <w:pPr>
              <w:adjustRightInd w:val="0"/>
              <w:snapToGrid w:val="0"/>
              <w:jc w:val="center"/>
              <w:rPr>
                <w:rFonts w:ascii="Arial" w:hAnsi="Arial"/>
                <w:b w:val="0"/>
                <w:szCs w:val="21"/>
              </w:rPr>
            </w:pPr>
            <w:r>
              <w:rPr>
                <w:rFonts w:ascii="Arial" w:hAnsi="宋体"/>
                <w:b w:val="0"/>
                <w:szCs w:val="21"/>
              </w:rPr>
              <w:t>不需另外的控制措施，需要监测来确保控制措施得以维持</w:t>
            </w:r>
          </w:p>
        </w:tc>
      </w:tr>
      <w:tr w14:paraId="38480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74" w:type="dxa"/>
            <w:vAlign w:val="center"/>
          </w:tcPr>
          <w:p w14:paraId="2996C478">
            <w:pPr>
              <w:adjustRightInd w:val="0"/>
              <w:snapToGrid w:val="0"/>
              <w:jc w:val="center"/>
              <w:rPr>
                <w:rFonts w:ascii="Arial" w:hAnsi="Arial"/>
                <w:b w:val="0"/>
                <w:szCs w:val="21"/>
              </w:rPr>
            </w:pPr>
            <w:r>
              <w:rPr>
                <w:rFonts w:ascii="Arial" w:hAnsi="宋体"/>
                <w:b w:val="0"/>
                <w:szCs w:val="21"/>
              </w:rPr>
              <w:t>中度风险</w:t>
            </w:r>
          </w:p>
        </w:tc>
        <w:tc>
          <w:tcPr>
            <w:tcW w:w="7296" w:type="dxa"/>
            <w:vAlign w:val="center"/>
          </w:tcPr>
          <w:p w14:paraId="469F287E">
            <w:pPr>
              <w:adjustRightInd w:val="0"/>
              <w:snapToGrid w:val="0"/>
              <w:jc w:val="center"/>
              <w:rPr>
                <w:rFonts w:ascii="Arial" w:hAnsi="Arial"/>
                <w:b w:val="0"/>
                <w:szCs w:val="21"/>
              </w:rPr>
            </w:pPr>
            <w:r>
              <w:rPr>
                <w:rFonts w:ascii="Arial" w:hAnsi="宋体"/>
                <w:b w:val="0"/>
                <w:szCs w:val="21"/>
              </w:rPr>
              <w:t>努力降低风险，但要符合成本</w:t>
            </w:r>
            <w:r>
              <w:rPr>
                <w:rFonts w:ascii="Arial" w:hAnsi="Arial"/>
                <w:b w:val="0"/>
                <w:szCs w:val="21"/>
              </w:rPr>
              <w:t>---</w:t>
            </w:r>
            <w:r>
              <w:rPr>
                <w:rFonts w:ascii="Arial" w:hAnsi="宋体"/>
                <w:b w:val="0"/>
                <w:szCs w:val="21"/>
              </w:rPr>
              <w:t>有效性原则</w:t>
            </w:r>
          </w:p>
        </w:tc>
      </w:tr>
      <w:tr w14:paraId="042A0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74" w:type="dxa"/>
            <w:vAlign w:val="center"/>
          </w:tcPr>
          <w:p w14:paraId="3E87847E">
            <w:pPr>
              <w:adjustRightInd w:val="0"/>
              <w:snapToGrid w:val="0"/>
              <w:jc w:val="center"/>
              <w:rPr>
                <w:rFonts w:ascii="Arial" w:hAnsi="Arial"/>
                <w:b w:val="0"/>
                <w:szCs w:val="21"/>
              </w:rPr>
            </w:pPr>
            <w:r>
              <w:rPr>
                <w:rFonts w:ascii="Arial" w:hAnsi="宋体"/>
                <w:b w:val="0"/>
                <w:szCs w:val="21"/>
              </w:rPr>
              <w:t>重大风险</w:t>
            </w:r>
          </w:p>
        </w:tc>
        <w:tc>
          <w:tcPr>
            <w:tcW w:w="7296" w:type="dxa"/>
            <w:vAlign w:val="center"/>
          </w:tcPr>
          <w:p w14:paraId="1916BEEB">
            <w:pPr>
              <w:adjustRightInd w:val="0"/>
              <w:snapToGrid w:val="0"/>
              <w:jc w:val="center"/>
              <w:rPr>
                <w:rFonts w:ascii="Arial" w:hAnsi="Arial"/>
                <w:b w:val="0"/>
                <w:szCs w:val="21"/>
              </w:rPr>
            </w:pPr>
            <w:r>
              <w:rPr>
                <w:rFonts w:ascii="Arial" w:hAnsi="宋体"/>
                <w:b w:val="0"/>
                <w:szCs w:val="21"/>
              </w:rPr>
              <w:t>紧急行动降低风险</w:t>
            </w:r>
          </w:p>
        </w:tc>
      </w:tr>
      <w:tr w14:paraId="0EA65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74" w:type="dxa"/>
            <w:vAlign w:val="center"/>
          </w:tcPr>
          <w:p w14:paraId="58534E40">
            <w:pPr>
              <w:adjustRightInd w:val="0"/>
              <w:snapToGrid w:val="0"/>
              <w:jc w:val="center"/>
              <w:rPr>
                <w:rFonts w:ascii="Arial" w:hAnsi="Arial"/>
                <w:b w:val="0"/>
                <w:szCs w:val="21"/>
              </w:rPr>
            </w:pPr>
            <w:r>
              <w:rPr>
                <w:rFonts w:ascii="Arial" w:hAnsi="宋体"/>
                <w:b w:val="0"/>
                <w:szCs w:val="21"/>
              </w:rPr>
              <w:t>不可承受风险</w:t>
            </w:r>
          </w:p>
        </w:tc>
        <w:tc>
          <w:tcPr>
            <w:tcW w:w="7296" w:type="dxa"/>
            <w:vAlign w:val="center"/>
          </w:tcPr>
          <w:p w14:paraId="6764FB8D">
            <w:pPr>
              <w:adjustRightInd w:val="0"/>
              <w:snapToGrid w:val="0"/>
              <w:jc w:val="center"/>
              <w:rPr>
                <w:rFonts w:ascii="Arial" w:hAnsi="Arial"/>
                <w:b w:val="0"/>
                <w:szCs w:val="21"/>
              </w:rPr>
            </w:pPr>
            <w:r>
              <w:rPr>
                <w:rFonts w:ascii="Arial" w:hAnsi="宋体"/>
                <w:b w:val="0"/>
                <w:szCs w:val="21"/>
              </w:rPr>
              <w:t>只有当风险已降低时，才能开始或继续工作，为降低危险不限成本。若即使以无限资源投入也不能降低风险，应停止工作。</w:t>
            </w:r>
          </w:p>
        </w:tc>
      </w:tr>
    </w:tbl>
    <w:p w14:paraId="31EE0D9C">
      <w:pPr>
        <w:spacing w:line="560" w:lineRule="exact"/>
        <w:ind w:firstLine="599" w:firstLineChars="214"/>
        <w:rPr>
          <w:rFonts w:ascii="Times New Roman" w:hAnsi="Times New Roman"/>
          <w:b w:val="0"/>
          <w:sz w:val="28"/>
        </w:rPr>
      </w:pPr>
      <w:r>
        <w:rPr>
          <w:rFonts w:ascii="Times New Roman" w:hAnsi="Times New Roman"/>
          <w:b w:val="0"/>
          <w:sz w:val="28"/>
        </w:rPr>
        <w:t>选择风险控制措施时的优先顺序：</w:t>
      </w:r>
      <w:r>
        <w:rPr>
          <w:rFonts w:hint="eastAsia" w:ascii="Times New Roman" w:hAnsi="Times New Roman"/>
          <w:b w:val="0"/>
          <w:sz w:val="28"/>
        </w:rPr>
        <w:t>消除危害→降低风险→个体防护。</w:t>
      </w:r>
    </w:p>
    <w:p w14:paraId="4B8FA098">
      <w:pPr>
        <w:keepNext/>
        <w:keepLines/>
        <w:spacing w:before="120" w:beforeLines="50" w:after="120" w:afterLines="50" w:line="360" w:lineRule="auto"/>
        <w:outlineLvl w:val="1"/>
        <w:rPr>
          <w:rFonts w:ascii="黑体" w:hAnsi="宋体" w:eastAsia="黑体"/>
          <w:b w:val="0"/>
          <w:bCs/>
          <w:snapToGrid w:val="0"/>
          <w:sz w:val="30"/>
          <w:szCs w:val="30"/>
        </w:rPr>
      </w:pPr>
      <w:bookmarkStart w:id="290" w:name="_Toc205979658"/>
      <w:r>
        <w:rPr>
          <w:rFonts w:hint="eastAsia" w:ascii="黑体" w:hAnsi="宋体" w:eastAsia="黑体"/>
          <w:b w:val="0"/>
          <w:bCs/>
          <w:snapToGrid w:val="0"/>
          <w:sz w:val="30"/>
          <w:szCs w:val="30"/>
        </w:rPr>
        <w:t>6.3安全对策措施</w:t>
      </w:r>
      <w:bookmarkEnd w:id="289"/>
      <w:bookmarkEnd w:id="290"/>
    </w:p>
    <w:p w14:paraId="358B2E79">
      <w:pPr>
        <w:pStyle w:val="6"/>
        <w:rPr>
          <w:rFonts w:ascii="黑体" w:hAnsi="黑体" w:eastAsia="黑体" w:cs="宋体"/>
          <w:b w:val="0"/>
          <w:szCs w:val="28"/>
        </w:rPr>
      </w:pPr>
      <w:bookmarkStart w:id="291" w:name="_Toc233449816"/>
      <w:bookmarkStart w:id="292" w:name="_Toc165038836"/>
      <w:r>
        <w:rPr>
          <w:rFonts w:hint="eastAsia" w:ascii="黑体" w:hAnsi="黑体" w:eastAsia="黑体" w:cs="宋体"/>
          <w:b w:val="0"/>
          <w:szCs w:val="28"/>
        </w:rPr>
        <w:t>6.3.1安全技术方面安全措施</w:t>
      </w:r>
      <w:bookmarkEnd w:id="291"/>
      <w:bookmarkEnd w:id="292"/>
    </w:p>
    <w:p w14:paraId="261CE9B6">
      <w:pPr>
        <w:tabs>
          <w:tab w:val="left" w:pos="900"/>
        </w:tabs>
        <w:spacing w:line="560" w:lineRule="exact"/>
        <w:ind w:firstLine="560" w:firstLineChars="200"/>
        <w:rPr>
          <w:rFonts w:ascii="宋体" w:hAnsi="宋体" w:cs="宋体"/>
          <w:b w:val="0"/>
          <w:sz w:val="28"/>
          <w:szCs w:val="28"/>
        </w:rPr>
      </w:pPr>
      <w:bookmarkStart w:id="293" w:name="_Toc371951637"/>
      <w:bookmarkStart w:id="294" w:name="_Toc233449817"/>
      <w:bookmarkStart w:id="295" w:name="_Toc176863173"/>
      <w:r>
        <w:rPr>
          <w:rFonts w:hint="eastAsia" w:ascii="宋体" w:hAnsi="宋体" w:cs="宋体"/>
          <w:b w:val="0"/>
          <w:sz w:val="28"/>
          <w:szCs w:val="28"/>
        </w:rPr>
        <w:t>1）总平面布置安全措施</w:t>
      </w:r>
      <w:bookmarkEnd w:id="293"/>
    </w:p>
    <w:p w14:paraId="4E6C9DD4">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①根据仓库的危险等级和计算药量结合地形布置。</w:t>
      </w:r>
    </w:p>
    <w:p w14:paraId="544EDF65">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②比较危险或计算药量较大的危险品仓库，布置在库区出入口的附近。</w:t>
      </w:r>
    </w:p>
    <w:p w14:paraId="2AE80079">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③同一危险等级的仓库宜集中布置；计算药量大或危险性大的仓库宜布置在总仓库区的边缘或其他有利于安全的地形处。</w:t>
      </w:r>
    </w:p>
    <w:p w14:paraId="5F87D4CB">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④项目应设计的围墙高度为≥2m密砌围墙；</w:t>
      </w:r>
      <w:r>
        <w:rPr>
          <w:rFonts w:hint="eastAsia" w:ascii="宋体" w:hAnsi="宋体" w:cs="宋体"/>
          <w:bCs/>
          <w:sz w:val="28"/>
          <w:szCs w:val="28"/>
        </w:rPr>
        <w:t>且围墙与拟新建</w:t>
      </w:r>
      <w:r>
        <w:rPr>
          <w:rFonts w:ascii="宋体" w:hAnsi="宋体" w:cs="宋体"/>
          <w:bCs/>
          <w:sz w:val="28"/>
          <w:szCs w:val="28"/>
        </w:rPr>
        <w:t>1#</w:t>
      </w:r>
      <w:r>
        <w:rPr>
          <w:rFonts w:hint="eastAsia" w:ascii="宋体" w:hAnsi="宋体" w:cs="宋体"/>
          <w:bCs/>
          <w:sz w:val="28"/>
          <w:szCs w:val="28"/>
        </w:rPr>
        <w:t>、2</w:t>
      </w:r>
      <w:r>
        <w:rPr>
          <w:rFonts w:ascii="宋体" w:hAnsi="宋体" w:cs="宋体"/>
          <w:bCs/>
          <w:sz w:val="28"/>
          <w:szCs w:val="28"/>
        </w:rPr>
        <w:t>#</w:t>
      </w:r>
      <w:r>
        <w:rPr>
          <w:rFonts w:hint="eastAsia" w:ascii="宋体" w:hAnsi="宋体" w:cs="宋体"/>
          <w:bCs/>
          <w:sz w:val="28"/>
          <w:szCs w:val="28"/>
        </w:rPr>
        <w:t>、3</w:t>
      </w:r>
      <w:r>
        <w:rPr>
          <w:rFonts w:ascii="宋体" w:hAnsi="宋体" w:cs="宋体"/>
          <w:bCs/>
          <w:sz w:val="28"/>
          <w:szCs w:val="28"/>
        </w:rPr>
        <w:t>#</w:t>
      </w:r>
      <w:r>
        <w:rPr>
          <w:rFonts w:hint="eastAsia" w:ascii="宋体" w:hAnsi="宋体" w:cs="宋体"/>
          <w:bCs/>
          <w:sz w:val="28"/>
          <w:szCs w:val="28"/>
        </w:rPr>
        <w:t>、4</w:t>
      </w:r>
      <w:r>
        <w:rPr>
          <w:rFonts w:ascii="宋体" w:hAnsi="宋体" w:cs="宋体"/>
          <w:bCs/>
          <w:sz w:val="28"/>
          <w:szCs w:val="28"/>
        </w:rPr>
        <w:t>#</w:t>
      </w:r>
      <w:r>
        <w:rPr>
          <w:rFonts w:hint="eastAsia" w:ascii="宋体" w:hAnsi="宋体" w:cs="宋体"/>
          <w:bCs/>
          <w:sz w:val="28"/>
          <w:szCs w:val="28"/>
        </w:rPr>
        <w:t>、5</w:t>
      </w:r>
      <w:r>
        <w:rPr>
          <w:rFonts w:ascii="宋体" w:hAnsi="宋体" w:cs="宋体"/>
          <w:bCs/>
          <w:sz w:val="28"/>
          <w:szCs w:val="28"/>
        </w:rPr>
        <w:t>#</w:t>
      </w:r>
      <w:r>
        <w:rPr>
          <w:rFonts w:hint="eastAsia" w:ascii="宋体" w:hAnsi="宋体" w:cs="宋体"/>
          <w:bCs/>
          <w:sz w:val="28"/>
          <w:szCs w:val="28"/>
        </w:rPr>
        <w:t>、6</w:t>
      </w:r>
      <w:r>
        <w:rPr>
          <w:rFonts w:ascii="宋体" w:hAnsi="宋体" w:cs="宋体"/>
          <w:bCs/>
          <w:sz w:val="28"/>
          <w:szCs w:val="28"/>
        </w:rPr>
        <w:t>#</w:t>
      </w:r>
      <w:r>
        <w:rPr>
          <w:rFonts w:hint="eastAsia" w:ascii="宋体" w:hAnsi="宋体" w:cs="宋体"/>
          <w:bCs/>
          <w:sz w:val="28"/>
          <w:szCs w:val="28"/>
        </w:rPr>
        <w:t>、7</w:t>
      </w:r>
      <w:r>
        <w:rPr>
          <w:rFonts w:ascii="宋体" w:hAnsi="宋体" w:cs="宋体"/>
          <w:bCs/>
          <w:sz w:val="28"/>
          <w:szCs w:val="28"/>
        </w:rPr>
        <w:t>#</w:t>
      </w:r>
      <w:r>
        <w:rPr>
          <w:rFonts w:hint="eastAsia" w:ascii="宋体" w:hAnsi="宋体" w:cs="宋体"/>
          <w:bCs/>
          <w:sz w:val="28"/>
          <w:szCs w:val="28"/>
        </w:rPr>
        <w:t>、8</w:t>
      </w:r>
      <w:r>
        <w:rPr>
          <w:rFonts w:ascii="宋体" w:hAnsi="宋体" w:cs="宋体"/>
          <w:bCs/>
          <w:sz w:val="28"/>
          <w:szCs w:val="28"/>
        </w:rPr>
        <w:t>#</w:t>
      </w:r>
      <w:r>
        <w:rPr>
          <w:rFonts w:hint="eastAsia" w:ascii="宋体" w:hAnsi="宋体" w:cs="宋体"/>
          <w:bCs/>
          <w:sz w:val="28"/>
          <w:szCs w:val="28"/>
        </w:rPr>
        <w:t>、9</w:t>
      </w:r>
      <w:r>
        <w:rPr>
          <w:rFonts w:ascii="宋体" w:hAnsi="宋体" w:cs="宋体"/>
          <w:bCs/>
          <w:sz w:val="28"/>
          <w:szCs w:val="28"/>
        </w:rPr>
        <w:t>#</w:t>
      </w:r>
      <w:r>
        <w:rPr>
          <w:rFonts w:hint="eastAsia" w:ascii="宋体" w:hAnsi="宋体" w:cs="宋体"/>
          <w:bCs/>
          <w:sz w:val="28"/>
          <w:szCs w:val="28"/>
        </w:rPr>
        <w:t>、1</w:t>
      </w:r>
      <w:r>
        <w:rPr>
          <w:rFonts w:ascii="宋体" w:hAnsi="宋体" w:cs="宋体"/>
          <w:bCs/>
          <w:sz w:val="28"/>
          <w:szCs w:val="28"/>
        </w:rPr>
        <w:t>0#</w:t>
      </w:r>
      <w:r>
        <w:rPr>
          <w:rFonts w:hint="eastAsia" w:ascii="宋体" w:hAnsi="宋体" w:cs="宋体"/>
          <w:bCs/>
          <w:sz w:val="28"/>
          <w:szCs w:val="28"/>
        </w:rPr>
        <w:t>库房之间的距离需大于5m</w:t>
      </w:r>
      <w:r>
        <w:rPr>
          <w:rFonts w:hint="eastAsia" w:ascii="宋体" w:hAnsi="宋体" w:cs="宋体"/>
          <w:b w:val="0"/>
          <w:sz w:val="28"/>
          <w:szCs w:val="28"/>
        </w:rPr>
        <w:t>，同时应清理围墙外5米的防火隔离带。</w:t>
      </w:r>
    </w:p>
    <w:p w14:paraId="0575E430">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⑤仓库应根据地形条件，宜布置为矩形。</w:t>
      </w:r>
    </w:p>
    <w:p w14:paraId="115D710D">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⑥仓库与仓库之间不宜长面相对。</w:t>
      </w:r>
    </w:p>
    <w:p w14:paraId="6B42B532">
      <w:pPr>
        <w:pStyle w:val="2"/>
        <w:spacing w:line="560" w:lineRule="exact"/>
        <w:ind w:firstLine="560"/>
        <w:rPr>
          <w:rFonts w:asciiTheme="minorEastAsia" w:hAnsiTheme="minorEastAsia" w:eastAsiaTheme="minorEastAsia"/>
          <w:b w:val="0"/>
          <w:bCs/>
        </w:rPr>
      </w:pPr>
      <w:r>
        <w:rPr>
          <w:rFonts w:hint="eastAsia" w:ascii="宋体" w:hAnsi="宋体" w:eastAsia="宋体"/>
          <w:b w:val="0"/>
          <w:bCs/>
        </w:rPr>
        <w:t>⑦拟新建1</w:t>
      </w:r>
      <w:r>
        <w:rPr>
          <w:rFonts w:ascii="宋体" w:hAnsi="宋体" w:eastAsia="宋体"/>
          <w:b w:val="0"/>
          <w:bCs/>
        </w:rPr>
        <w:t>0#1.1</w:t>
      </w:r>
      <w:r>
        <w:rPr>
          <w:rFonts w:ascii="宋体" w:hAnsi="宋体" w:eastAsia="宋体"/>
          <w:b w:val="0"/>
          <w:bCs/>
          <w:vertAlign w:val="superscript"/>
        </w:rPr>
        <w:t>-2</w:t>
      </w:r>
      <w:r>
        <w:rPr>
          <w:rFonts w:hint="eastAsia" w:ascii="宋体" w:hAnsi="宋体" w:eastAsia="宋体"/>
          <w:b w:val="0"/>
          <w:bCs/>
        </w:rPr>
        <w:t>级库房应设置防护屏障，</w:t>
      </w:r>
      <w:r>
        <w:rPr>
          <w:rFonts w:cs="宋体" w:asciiTheme="minorEastAsia" w:hAnsiTheme="minorEastAsia" w:eastAsiaTheme="minorEastAsia"/>
          <w:b w:val="0"/>
          <w:spacing w:val="10"/>
          <w:kern w:val="24"/>
          <w:szCs w:val="28"/>
        </w:rPr>
        <w:t>防护屏障的高度不应低于防护屏障内危险性建筑物侧墙顶部与被保护建筑屋檐或道路中心线上3.7m处之间连线的高度</w:t>
      </w:r>
      <w:r>
        <w:rPr>
          <w:rFonts w:hint="eastAsia" w:cs="宋体" w:asciiTheme="minorEastAsia" w:hAnsiTheme="minorEastAsia" w:eastAsiaTheme="minorEastAsia"/>
          <w:b w:val="0"/>
          <w:spacing w:val="10"/>
          <w:kern w:val="24"/>
          <w:szCs w:val="28"/>
        </w:rPr>
        <w:t>。</w:t>
      </w:r>
    </w:p>
    <w:p w14:paraId="158478F3">
      <w:pPr>
        <w:tabs>
          <w:tab w:val="left" w:pos="900"/>
        </w:tabs>
        <w:spacing w:line="560" w:lineRule="exact"/>
        <w:ind w:firstLine="560" w:firstLineChars="200"/>
        <w:rPr>
          <w:rFonts w:ascii="宋体" w:hAnsi="宋体" w:cs="宋体"/>
          <w:b w:val="0"/>
          <w:sz w:val="28"/>
          <w:szCs w:val="28"/>
        </w:rPr>
      </w:pPr>
      <w:bookmarkStart w:id="296" w:name="_Toc371951638"/>
      <w:r>
        <w:rPr>
          <w:rFonts w:hint="eastAsia" w:ascii="宋体" w:hAnsi="宋体" w:cs="宋体"/>
          <w:b w:val="0"/>
          <w:sz w:val="28"/>
          <w:szCs w:val="28"/>
        </w:rPr>
        <w:t>（2）建筑结构安全措施</w:t>
      </w:r>
      <w:bookmarkEnd w:id="296"/>
    </w:p>
    <w:p w14:paraId="37BE8F35">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①拟新建</w:t>
      </w:r>
      <w:r>
        <w:rPr>
          <w:rFonts w:ascii="宋体" w:hAnsi="宋体" w:cs="宋体"/>
          <w:b w:val="0"/>
          <w:sz w:val="28"/>
          <w:szCs w:val="28"/>
        </w:rPr>
        <w:t>1#</w:t>
      </w:r>
      <w:r>
        <w:rPr>
          <w:rFonts w:hint="eastAsia" w:ascii="宋体" w:hAnsi="宋体" w:cs="宋体"/>
          <w:b w:val="0"/>
          <w:sz w:val="28"/>
          <w:szCs w:val="28"/>
        </w:rPr>
        <w:t>、2</w:t>
      </w:r>
      <w:r>
        <w:rPr>
          <w:rFonts w:ascii="宋体" w:hAnsi="宋体" w:cs="宋体"/>
          <w:b w:val="0"/>
          <w:sz w:val="28"/>
          <w:szCs w:val="28"/>
        </w:rPr>
        <w:t>#</w:t>
      </w:r>
      <w:r>
        <w:rPr>
          <w:rFonts w:hint="eastAsia" w:ascii="宋体" w:hAnsi="宋体" w:cs="宋体"/>
          <w:b w:val="0"/>
          <w:sz w:val="28"/>
          <w:szCs w:val="28"/>
        </w:rPr>
        <w:t>、3</w:t>
      </w:r>
      <w:r>
        <w:rPr>
          <w:rFonts w:ascii="宋体" w:hAnsi="宋体" w:cs="宋体"/>
          <w:b w:val="0"/>
          <w:sz w:val="28"/>
          <w:szCs w:val="28"/>
        </w:rPr>
        <w:t>#</w:t>
      </w:r>
      <w:r>
        <w:rPr>
          <w:rFonts w:hint="eastAsia" w:ascii="宋体" w:hAnsi="宋体" w:cs="宋体"/>
          <w:b w:val="0"/>
          <w:sz w:val="28"/>
          <w:szCs w:val="28"/>
        </w:rPr>
        <w:t>、4</w:t>
      </w:r>
      <w:r>
        <w:rPr>
          <w:rFonts w:ascii="宋体" w:hAnsi="宋体" w:cs="宋体"/>
          <w:b w:val="0"/>
          <w:sz w:val="28"/>
          <w:szCs w:val="28"/>
        </w:rPr>
        <w:t>#</w:t>
      </w:r>
      <w:r>
        <w:rPr>
          <w:rFonts w:hint="eastAsia" w:ascii="宋体" w:hAnsi="宋体" w:cs="宋体"/>
          <w:b w:val="0"/>
          <w:sz w:val="28"/>
          <w:szCs w:val="28"/>
        </w:rPr>
        <w:t>、5</w:t>
      </w:r>
      <w:r>
        <w:rPr>
          <w:rFonts w:ascii="宋体" w:hAnsi="宋体" w:cs="宋体"/>
          <w:b w:val="0"/>
          <w:sz w:val="28"/>
          <w:szCs w:val="28"/>
        </w:rPr>
        <w:t>#</w:t>
      </w:r>
      <w:r>
        <w:rPr>
          <w:rFonts w:hint="eastAsia" w:ascii="宋体" w:hAnsi="宋体" w:cs="宋体"/>
          <w:b w:val="0"/>
          <w:sz w:val="28"/>
          <w:szCs w:val="28"/>
        </w:rPr>
        <w:t>、6</w:t>
      </w:r>
      <w:r>
        <w:rPr>
          <w:rFonts w:ascii="宋体" w:hAnsi="宋体" w:cs="宋体"/>
          <w:b w:val="0"/>
          <w:sz w:val="28"/>
          <w:szCs w:val="28"/>
        </w:rPr>
        <w:t>#</w:t>
      </w:r>
      <w:r>
        <w:rPr>
          <w:rFonts w:hint="eastAsia" w:ascii="宋体" w:hAnsi="宋体" w:cs="宋体"/>
          <w:b w:val="0"/>
          <w:sz w:val="28"/>
          <w:szCs w:val="28"/>
        </w:rPr>
        <w:t>、7</w:t>
      </w:r>
      <w:r>
        <w:rPr>
          <w:rFonts w:ascii="宋体" w:hAnsi="宋体" w:cs="宋体"/>
          <w:b w:val="0"/>
          <w:sz w:val="28"/>
          <w:szCs w:val="28"/>
        </w:rPr>
        <w:t>#</w:t>
      </w:r>
      <w:r>
        <w:rPr>
          <w:rFonts w:hint="eastAsia" w:ascii="宋体" w:hAnsi="宋体" w:cs="宋体"/>
          <w:b w:val="0"/>
          <w:sz w:val="28"/>
          <w:szCs w:val="28"/>
        </w:rPr>
        <w:t>、8</w:t>
      </w:r>
      <w:r>
        <w:rPr>
          <w:rFonts w:ascii="宋体" w:hAnsi="宋体" w:cs="宋体"/>
          <w:b w:val="0"/>
          <w:sz w:val="28"/>
          <w:szCs w:val="28"/>
        </w:rPr>
        <w:t>#</w:t>
      </w:r>
      <w:r>
        <w:rPr>
          <w:rFonts w:hint="eastAsia" w:ascii="宋体" w:hAnsi="宋体" w:cs="宋体"/>
          <w:b w:val="0"/>
          <w:sz w:val="28"/>
          <w:szCs w:val="28"/>
        </w:rPr>
        <w:t>、9</w:t>
      </w:r>
      <w:r>
        <w:rPr>
          <w:rFonts w:ascii="宋体" w:hAnsi="宋体" w:cs="宋体"/>
          <w:b w:val="0"/>
          <w:sz w:val="28"/>
          <w:szCs w:val="28"/>
        </w:rPr>
        <w:t>#</w:t>
      </w:r>
      <w:r>
        <w:rPr>
          <w:rFonts w:hint="eastAsia" w:ascii="宋体" w:hAnsi="宋体" w:cs="宋体"/>
          <w:b w:val="0"/>
          <w:sz w:val="28"/>
          <w:szCs w:val="28"/>
        </w:rPr>
        <w:t>、1</w:t>
      </w:r>
      <w:r>
        <w:rPr>
          <w:rFonts w:ascii="宋体" w:hAnsi="宋体" w:cs="宋体"/>
          <w:b w:val="0"/>
          <w:sz w:val="28"/>
          <w:szCs w:val="28"/>
        </w:rPr>
        <w:t>0#</w:t>
      </w:r>
      <w:r>
        <w:rPr>
          <w:rFonts w:hint="eastAsia" w:ascii="宋体" w:hAnsi="宋体" w:cs="宋体"/>
          <w:b w:val="0"/>
          <w:sz w:val="28"/>
          <w:szCs w:val="28"/>
        </w:rPr>
        <w:t>库房根据当地气候和存放物品的需求，采取防潮、隔热、通风、防小动物等措施。</w:t>
      </w:r>
    </w:p>
    <w:p w14:paraId="0F7ED000">
      <w:pPr>
        <w:pStyle w:val="160"/>
        <w:spacing w:after="0" w:line="560" w:lineRule="exact"/>
        <w:ind w:firstLine="600"/>
        <w:rPr>
          <w:rFonts w:ascii="宋体" w:hAnsi="宋体" w:eastAsia="宋体" w:cs="宋体"/>
          <w:b w:val="0"/>
          <w:szCs w:val="28"/>
        </w:rPr>
      </w:pPr>
      <w:r>
        <w:rPr>
          <w:rFonts w:hint="eastAsia" w:cs="宋体" w:asciiTheme="minorEastAsia" w:hAnsiTheme="minorEastAsia" w:eastAsiaTheme="minorEastAsia"/>
          <w:b w:val="0"/>
          <w:spacing w:val="10"/>
          <w:kern w:val="24"/>
          <w:szCs w:val="28"/>
        </w:rPr>
        <w:t>②拟</w:t>
      </w:r>
      <w:r>
        <w:rPr>
          <w:rFonts w:hint="eastAsia" w:cs="宋体" w:asciiTheme="minorEastAsia" w:hAnsiTheme="minorEastAsia" w:eastAsiaTheme="minorEastAsia"/>
          <w:b w:val="0"/>
          <w:szCs w:val="28"/>
        </w:rPr>
        <w:t>新建</w:t>
      </w:r>
      <w:r>
        <w:rPr>
          <w:rFonts w:cs="宋体" w:asciiTheme="minorEastAsia" w:hAnsiTheme="minorEastAsia" w:eastAsiaTheme="minorEastAsia"/>
          <w:b w:val="0"/>
          <w:szCs w:val="28"/>
        </w:rPr>
        <w:t>1#</w:t>
      </w:r>
      <w:r>
        <w:rPr>
          <w:rFonts w:hint="eastAsia" w:cs="宋体" w:asciiTheme="minorEastAsia" w:hAnsiTheme="minorEastAsia" w:eastAsiaTheme="minorEastAsia"/>
          <w:b w:val="0"/>
          <w:szCs w:val="28"/>
        </w:rPr>
        <w:t>、2</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、3</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、4</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、5</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、6</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、7</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、8</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、9</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、1</w:t>
      </w:r>
      <w:r>
        <w:rPr>
          <w:rFonts w:cs="宋体" w:asciiTheme="minorEastAsia" w:hAnsiTheme="minorEastAsia" w:eastAsiaTheme="minorEastAsia"/>
          <w:b w:val="0"/>
          <w:szCs w:val="28"/>
        </w:rPr>
        <w:t>0#</w:t>
      </w:r>
      <w:r>
        <w:rPr>
          <w:rFonts w:hint="eastAsia" w:cs="宋体" w:asciiTheme="minorEastAsia" w:hAnsiTheme="minorEastAsia" w:eastAsiaTheme="minorEastAsia"/>
          <w:b w:val="0"/>
          <w:szCs w:val="28"/>
        </w:rPr>
        <w:t>库房净空</w:t>
      </w:r>
      <w:r>
        <w:rPr>
          <w:rFonts w:hint="eastAsia" w:ascii="宋体" w:hAnsi="宋体" w:eastAsia="宋体" w:cs="宋体"/>
          <w:b w:val="0"/>
          <w:szCs w:val="28"/>
        </w:rPr>
        <w:t>高度不低于</w:t>
      </w:r>
      <w:r>
        <w:rPr>
          <w:rFonts w:ascii="宋体" w:hAnsi="宋体" w:eastAsia="宋体" w:cs="宋体"/>
          <w:b w:val="0"/>
          <w:szCs w:val="28"/>
        </w:rPr>
        <w:t>3</w:t>
      </w:r>
      <w:r>
        <w:rPr>
          <w:rFonts w:hint="eastAsia" w:ascii="宋体" w:hAnsi="宋体" w:eastAsia="宋体" w:cs="宋体"/>
          <w:b w:val="0"/>
          <w:szCs w:val="28"/>
        </w:rPr>
        <w:t>m，新建仓库应采用钢筋混凝土框架结构，屋盖应采用轻质泄压（彩钢）屋盖，</w:t>
      </w:r>
      <w:r>
        <w:rPr>
          <w:rFonts w:hint="eastAsia" w:ascii="宋体" w:hAnsi="宋体" w:eastAsia="宋体" w:cs="宋体"/>
          <w:b w:val="0"/>
          <w:spacing w:val="10"/>
          <w:kern w:val="24"/>
          <w:szCs w:val="28"/>
        </w:rPr>
        <w:t>墙体厚度≥240mm的实心砖</w:t>
      </w:r>
      <w:r>
        <w:rPr>
          <w:rFonts w:hint="eastAsia" w:ascii="宋体" w:hAnsi="宋体" w:eastAsia="宋体" w:cs="宋体"/>
          <w:b w:val="0"/>
          <w:szCs w:val="28"/>
        </w:rPr>
        <w:t>。</w:t>
      </w:r>
    </w:p>
    <w:p w14:paraId="5C41231C">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③拟</w:t>
      </w:r>
      <w:r>
        <w:rPr>
          <w:rFonts w:hint="eastAsia" w:ascii="宋体" w:hAnsi="宋体" w:cs="宋体"/>
          <w:b w:val="0"/>
          <w:spacing w:val="10"/>
          <w:kern w:val="24"/>
          <w:sz w:val="28"/>
          <w:szCs w:val="28"/>
        </w:rPr>
        <w:t>新建的</w:t>
      </w:r>
      <w:r>
        <w:rPr>
          <w:rFonts w:ascii="宋体" w:hAnsi="宋体" w:cs="宋体"/>
          <w:b w:val="0"/>
          <w:sz w:val="28"/>
          <w:szCs w:val="28"/>
        </w:rPr>
        <w:t>1#</w:t>
      </w:r>
      <w:r>
        <w:rPr>
          <w:rFonts w:hint="eastAsia" w:ascii="宋体" w:hAnsi="宋体" w:cs="宋体"/>
          <w:b w:val="0"/>
          <w:sz w:val="28"/>
          <w:szCs w:val="28"/>
        </w:rPr>
        <w:t>、2</w:t>
      </w:r>
      <w:r>
        <w:rPr>
          <w:rFonts w:ascii="宋体" w:hAnsi="宋体" w:cs="宋体"/>
          <w:b w:val="0"/>
          <w:sz w:val="28"/>
          <w:szCs w:val="28"/>
        </w:rPr>
        <w:t>#</w:t>
      </w:r>
      <w:r>
        <w:rPr>
          <w:rFonts w:hint="eastAsia" w:ascii="宋体" w:hAnsi="宋体" w:cs="宋体"/>
          <w:b w:val="0"/>
          <w:sz w:val="28"/>
          <w:szCs w:val="28"/>
        </w:rPr>
        <w:t>、3</w:t>
      </w:r>
      <w:r>
        <w:rPr>
          <w:rFonts w:ascii="宋体" w:hAnsi="宋体" w:cs="宋体"/>
          <w:b w:val="0"/>
          <w:sz w:val="28"/>
          <w:szCs w:val="28"/>
        </w:rPr>
        <w:t>#</w:t>
      </w:r>
      <w:r>
        <w:rPr>
          <w:rFonts w:hint="eastAsia" w:ascii="宋体" w:hAnsi="宋体" w:cs="宋体"/>
          <w:b w:val="0"/>
          <w:sz w:val="28"/>
          <w:szCs w:val="28"/>
        </w:rPr>
        <w:t>、4</w:t>
      </w:r>
      <w:r>
        <w:rPr>
          <w:rFonts w:ascii="宋体" w:hAnsi="宋体" w:cs="宋体"/>
          <w:b w:val="0"/>
          <w:sz w:val="28"/>
          <w:szCs w:val="28"/>
        </w:rPr>
        <w:t>#</w:t>
      </w:r>
      <w:r>
        <w:rPr>
          <w:rFonts w:hint="eastAsia" w:ascii="宋体" w:hAnsi="宋体" w:cs="宋体"/>
          <w:b w:val="0"/>
          <w:sz w:val="28"/>
          <w:szCs w:val="28"/>
        </w:rPr>
        <w:t>、5</w:t>
      </w:r>
      <w:r>
        <w:rPr>
          <w:rFonts w:ascii="宋体" w:hAnsi="宋体" w:cs="宋体"/>
          <w:b w:val="0"/>
          <w:sz w:val="28"/>
          <w:szCs w:val="28"/>
        </w:rPr>
        <w:t>#</w:t>
      </w:r>
      <w:r>
        <w:rPr>
          <w:rFonts w:hint="eastAsia" w:ascii="宋体" w:hAnsi="宋体" w:cs="宋体"/>
          <w:b w:val="0"/>
          <w:sz w:val="28"/>
          <w:szCs w:val="28"/>
        </w:rPr>
        <w:t>、6</w:t>
      </w:r>
      <w:r>
        <w:rPr>
          <w:rFonts w:ascii="宋体" w:hAnsi="宋体" w:cs="宋体"/>
          <w:b w:val="0"/>
          <w:sz w:val="28"/>
          <w:szCs w:val="28"/>
        </w:rPr>
        <w:t>#</w:t>
      </w:r>
      <w:r>
        <w:rPr>
          <w:rFonts w:hint="eastAsia" w:ascii="宋体" w:hAnsi="宋体" w:cs="宋体"/>
          <w:b w:val="0"/>
          <w:sz w:val="28"/>
          <w:szCs w:val="28"/>
        </w:rPr>
        <w:t>、7</w:t>
      </w:r>
      <w:r>
        <w:rPr>
          <w:rFonts w:ascii="宋体" w:hAnsi="宋体" w:cs="宋体"/>
          <w:b w:val="0"/>
          <w:sz w:val="28"/>
          <w:szCs w:val="28"/>
        </w:rPr>
        <w:t>#</w:t>
      </w:r>
      <w:r>
        <w:rPr>
          <w:rFonts w:hint="eastAsia" w:ascii="宋体" w:hAnsi="宋体" w:cs="宋体"/>
          <w:b w:val="0"/>
          <w:sz w:val="28"/>
          <w:szCs w:val="28"/>
        </w:rPr>
        <w:t>、8</w:t>
      </w:r>
      <w:r>
        <w:rPr>
          <w:rFonts w:ascii="宋体" w:hAnsi="宋体" w:cs="宋体"/>
          <w:b w:val="0"/>
          <w:sz w:val="28"/>
          <w:szCs w:val="28"/>
        </w:rPr>
        <w:t>#</w:t>
      </w:r>
      <w:r>
        <w:rPr>
          <w:rFonts w:hint="eastAsia" w:ascii="宋体" w:hAnsi="宋体" w:cs="宋体"/>
          <w:b w:val="0"/>
          <w:sz w:val="28"/>
          <w:szCs w:val="28"/>
        </w:rPr>
        <w:t>、9</w:t>
      </w:r>
      <w:r>
        <w:rPr>
          <w:rFonts w:ascii="宋体" w:hAnsi="宋体" w:cs="宋体"/>
          <w:b w:val="0"/>
          <w:sz w:val="28"/>
          <w:szCs w:val="28"/>
        </w:rPr>
        <w:t>#</w:t>
      </w:r>
      <w:r>
        <w:rPr>
          <w:rFonts w:hint="eastAsia" w:ascii="宋体" w:hAnsi="宋体" w:cs="宋体"/>
          <w:b w:val="0"/>
          <w:sz w:val="28"/>
          <w:szCs w:val="28"/>
        </w:rPr>
        <w:t>库房</w:t>
      </w:r>
      <w:r>
        <w:rPr>
          <w:rFonts w:hint="eastAsia" w:ascii="宋体" w:hAnsi="宋体" w:cs="宋体"/>
          <w:b w:val="0"/>
          <w:spacing w:val="10"/>
          <w:kern w:val="24"/>
          <w:sz w:val="28"/>
          <w:szCs w:val="28"/>
        </w:rPr>
        <w:t>设计应均有</w:t>
      </w:r>
      <w:r>
        <w:rPr>
          <w:rFonts w:ascii="宋体" w:hAnsi="宋体" w:cs="宋体"/>
          <w:b w:val="0"/>
          <w:spacing w:val="10"/>
          <w:kern w:val="24"/>
          <w:sz w:val="28"/>
          <w:szCs w:val="28"/>
        </w:rPr>
        <w:t>4</w:t>
      </w:r>
      <w:r>
        <w:rPr>
          <w:rFonts w:hint="eastAsia" w:ascii="宋体" w:hAnsi="宋体" w:cs="宋体"/>
          <w:b w:val="0"/>
          <w:spacing w:val="10"/>
          <w:kern w:val="24"/>
          <w:sz w:val="28"/>
          <w:szCs w:val="28"/>
        </w:rPr>
        <w:t>个或以上的安全出口，拟新建的1</w:t>
      </w:r>
      <w:r>
        <w:rPr>
          <w:rFonts w:ascii="宋体" w:hAnsi="宋体" w:cs="宋体"/>
          <w:b w:val="0"/>
          <w:spacing w:val="10"/>
          <w:kern w:val="24"/>
          <w:sz w:val="28"/>
          <w:szCs w:val="28"/>
        </w:rPr>
        <w:t>0#</w:t>
      </w:r>
      <w:r>
        <w:rPr>
          <w:rFonts w:hint="eastAsia" w:ascii="宋体" w:hAnsi="宋体" w:cs="宋体"/>
          <w:b w:val="0"/>
          <w:spacing w:val="10"/>
          <w:kern w:val="24"/>
          <w:sz w:val="28"/>
          <w:szCs w:val="28"/>
        </w:rPr>
        <w:t>库房设计应有2个或以上的安全出口（门洞宽度需大于1.5m，平开门），保证仓库内任一点至安全出口的距离不应大于15m</w:t>
      </w:r>
      <w:r>
        <w:rPr>
          <w:rFonts w:hint="eastAsia" w:ascii="宋体" w:hAnsi="宋体" w:cs="宋体"/>
          <w:b w:val="0"/>
          <w:sz w:val="28"/>
          <w:szCs w:val="28"/>
        </w:rPr>
        <w:t>。。</w:t>
      </w:r>
    </w:p>
    <w:p w14:paraId="6ABA8895">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④拟新建的</w:t>
      </w:r>
      <w:r>
        <w:rPr>
          <w:rFonts w:ascii="宋体" w:hAnsi="宋体" w:cs="宋体"/>
          <w:b w:val="0"/>
          <w:sz w:val="28"/>
          <w:szCs w:val="28"/>
        </w:rPr>
        <w:t>1#</w:t>
      </w:r>
      <w:r>
        <w:rPr>
          <w:rFonts w:hint="eastAsia" w:ascii="宋体" w:hAnsi="宋体" w:cs="宋体"/>
          <w:b w:val="0"/>
          <w:sz w:val="28"/>
          <w:szCs w:val="28"/>
        </w:rPr>
        <w:t>、2</w:t>
      </w:r>
      <w:r>
        <w:rPr>
          <w:rFonts w:ascii="宋体" w:hAnsi="宋体" w:cs="宋体"/>
          <w:b w:val="0"/>
          <w:sz w:val="28"/>
          <w:szCs w:val="28"/>
        </w:rPr>
        <w:t>#</w:t>
      </w:r>
      <w:r>
        <w:rPr>
          <w:rFonts w:hint="eastAsia" w:ascii="宋体" w:hAnsi="宋体" w:cs="宋体"/>
          <w:b w:val="0"/>
          <w:sz w:val="28"/>
          <w:szCs w:val="28"/>
        </w:rPr>
        <w:t>、3</w:t>
      </w:r>
      <w:r>
        <w:rPr>
          <w:rFonts w:ascii="宋体" w:hAnsi="宋体" w:cs="宋体"/>
          <w:b w:val="0"/>
          <w:sz w:val="28"/>
          <w:szCs w:val="28"/>
        </w:rPr>
        <w:t>#</w:t>
      </w:r>
      <w:r>
        <w:rPr>
          <w:rFonts w:hint="eastAsia" w:ascii="宋体" w:hAnsi="宋体" w:cs="宋体"/>
          <w:b w:val="0"/>
          <w:sz w:val="28"/>
          <w:szCs w:val="28"/>
        </w:rPr>
        <w:t>、4</w:t>
      </w:r>
      <w:r>
        <w:rPr>
          <w:rFonts w:ascii="宋体" w:hAnsi="宋体" w:cs="宋体"/>
          <w:b w:val="0"/>
          <w:sz w:val="28"/>
          <w:szCs w:val="28"/>
        </w:rPr>
        <w:t>#</w:t>
      </w:r>
      <w:r>
        <w:rPr>
          <w:rFonts w:hint="eastAsia" w:ascii="宋体" w:hAnsi="宋体" w:cs="宋体"/>
          <w:b w:val="0"/>
          <w:sz w:val="28"/>
          <w:szCs w:val="28"/>
        </w:rPr>
        <w:t>、5</w:t>
      </w:r>
      <w:r>
        <w:rPr>
          <w:rFonts w:ascii="宋体" w:hAnsi="宋体" w:cs="宋体"/>
          <w:b w:val="0"/>
          <w:sz w:val="28"/>
          <w:szCs w:val="28"/>
        </w:rPr>
        <w:t>#</w:t>
      </w:r>
      <w:r>
        <w:rPr>
          <w:rFonts w:hint="eastAsia" w:ascii="宋体" w:hAnsi="宋体" w:cs="宋体"/>
          <w:b w:val="0"/>
          <w:sz w:val="28"/>
          <w:szCs w:val="28"/>
        </w:rPr>
        <w:t>、6</w:t>
      </w:r>
      <w:r>
        <w:rPr>
          <w:rFonts w:ascii="宋体" w:hAnsi="宋体" w:cs="宋体"/>
          <w:b w:val="0"/>
          <w:sz w:val="28"/>
          <w:szCs w:val="28"/>
        </w:rPr>
        <w:t>#</w:t>
      </w:r>
      <w:r>
        <w:rPr>
          <w:rFonts w:hint="eastAsia" w:ascii="宋体" w:hAnsi="宋体" w:cs="宋体"/>
          <w:b w:val="0"/>
          <w:sz w:val="28"/>
          <w:szCs w:val="28"/>
        </w:rPr>
        <w:t>、7</w:t>
      </w:r>
      <w:r>
        <w:rPr>
          <w:rFonts w:ascii="宋体" w:hAnsi="宋体" w:cs="宋体"/>
          <w:b w:val="0"/>
          <w:sz w:val="28"/>
          <w:szCs w:val="28"/>
        </w:rPr>
        <w:t>#</w:t>
      </w:r>
      <w:r>
        <w:rPr>
          <w:rFonts w:hint="eastAsia" w:ascii="宋体" w:hAnsi="宋体" w:cs="宋体"/>
          <w:b w:val="0"/>
          <w:sz w:val="28"/>
          <w:szCs w:val="28"/>
        </w:rPr>
        <w:t>、8</w:t>
      </w:r>
      <w:r>
        <w:rPr>
          <w:rFonts w:ascii="宋体" w:hAnsi="宋体" w:cs="宋体"/>
          <w:b w:val="0"/>
          <w:sz w:val="28"/>
          <w:szCs w:val="28"/>
        </w:rPr>
        <w:t>#</w:t>
      </w:r>
      <w:r>
        <w:rPr>
          <w:rFonts w:hint="eastAsia" w:ascii="宋体" w:hAnsi="宋体" w:cs="宋体"/>
          <w:b w:val="0"/>
          <w:sz w:val="28"/>
          <w:szCs w:val="28"/>
        </w:rPr>
        <w:t>、9</w:t>
      </w:r>
      <w:r>
        <w:rPr>
          <w:rFonts w:ascii="宋体" w:hAnsi="宋体" w:cs="宋体"/>
          <w:b w:val="0"/>
          <w:sz w:val="28"/>
          <w:szCs w:val="28"/>
        </w:rPr>
        <w:t>#</w:t>
      </w:r>
      <w:r>
        <w:rPr>
          <w:rFonts w:hint="eastAsia" w:ascii="宋体" w:hAnsi="宋体" w:cs="宋体"/>
          <w:b w:val="0"/>
          <w:sz w:val="28"/>
          <w:szCs w:val="28"/>
        </w:rPr>
        <w:t>、1</w:t>
      </w:r>
      <w:r>
        <w:rPr>
          <w:rFonts w:ascii="宋体" w:hAnsi="宋体" w:cs="宋体"/>
          <w:b w:val="0"/>
          <w:sz w:val="28"/>
          <w:szCs w:val="28"/>
        </w:rPr>
        <w:t>0#</w:t>
      </w:r>
      <w:r>
        <w:rPr>
          <w:rFonts w:hint="eastAsia" w:ascii="宋体" w:hAnsi="宋体" w:cs="宋体"/>
          <w:b w:val="0"/>
          <w:sz w:val="28"/>
          <w:szCs w:val="28"/>
        </w:rPr>
        <w:t>库房耐火等级不低于二级，危险品储存库的梁耐火极限不低于1.5h。</w:t>
      </w:r>
    </w:p>
    <w:p w14:paraId="01CE48BC">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⑤当危险品仓库设计门斗时，拟设双层门，内层为通风门，外层为防火门，且内、外两层门均应向外开启，通风门应有防小动物进入的措施。</w:t>
      </w:r>
    </w:p>
    <w:p w14:paraId="43A99735">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⑥拟新建的</w:t>
      </w:r>
      <w:r>
        <w:rPr>
          <w:rFonts w:ascii="宋体" w:hAnsi="宋体" w:cs="宋体"/>
          <w:b w:val="0"/>
          <w:sz w:val="28"/>
          <w:szCs w:val="28"/>
        </w:rPr>
        <w:t>1#</w:t>
      </w:r>
      <w:r>
        <w:rPr>
          <w:rFonts w:hint="eastAsia" w:ascii="宋体" w:hAnsi="宋体" w:cs="宋体"/>
          <w:b w:val="0"/>
          <w:sz w:val="28"/>
          <w:szCs w:val="28"/>
        </w:rPr>
        <w:t>、2</w:t>
      </w:r>
      <w:r>
        <w:rPr>
          <w:rFonts w:ascii="宋体" w:hAnsi="宋体" w:cs="宋体"/>
          <w:b w:val="0"/>
          <w:sz w:val="28"/>
          <w:szCs w:val="28"/>
        </w:rPr>
        <w:t>#</w:t>
      </w:r>
      <w:r>
        <w:rPr>
          <w:rFonts w:hint="eastAsia" w:ascii="宋体" w:hAnsi="宋体" w:cs="宋体"/>
          <w:b w:val="0"/>
          <w:sz w:val="28"/>
          <w:szCs w:val="28"/>
        </w:rPr>
        <w:t>、3</w:t>
      </w:r>
      <w:r>
        <w:rPr>
          <w:rFonts w:ascii="宋体" w:hAnsi="宋体" w:cs="宋体"/>
          <w:b w:val="0"/>
          <w:sz w:val="28"/>
          <w:szCs w:val="28"/>
        </w:rPr>
        <w:t>#</w:t>
      </w:r>
      <w:r>
        <w:rPr>
          <w:rFonts w:hint="eastAsia" w:ascii="宋体" w:hAnsi="宋体" w:cs="宋体"/>
          <w:b w:val="0"/>
          <w:sz w:val="28"/>
          <w:szCs w:val="28"/>
        </w:rPr>
        <w:t>、4</w:t>
      </w:r>
      <w:r>
        <w:rPr>
          <w:rFonts w:ascii="宋体" w:hAnsi="宋体" w:cs="宋体"/>
          <w:b w:val="0"/>
          <w:sz w:val="28"/>
          <w:szCs w:val="28"/>
        </w:rPr>
        <w:t>#</w:t>
      </w:r>
      <w:r>
        <w:rPr>
          <w:rFonts w:hint="eastAsia" w:ascii="宋体" w:hAnsi="宋体" w:cs="宋体"/>
          <w:b w:val="0"/>
          <w:sz w:val="28"/>
          <w:szCs w:val="28"/>
        </w:rPr>
        <w:t>、5</w:t>
      </w:r>
      <w:r>
        <w:rPr>
          <w:rFonts w:ascii="宋体" w:hAnsi="宋体" w:cs="宋体"/>
          <w:b w:val="0"/>
          <w:sz w:val="28"/>
          <w:szCs w:val="28"/>
        </w:rPr>
        <w:t>#</w:t>
      </w:r>
      <w:r>
        <w:rPr>
          <w:rFonts w:hint="eastAsia" w:ascii="宋体" w:hAnsi="宋体" w:cs="宋体"/>
          <w:b w:val="0"/>
          <w:sz w:val="28"/>
          <w:szCs w:val="28"/>
        </w:rPr>
        <w:t>、6</w:t>
      </w:r>
      <w:r>
        <w:rPr>
          <w:rFonts w:ascii="宋体" w:hAnsi="宋体" w:cs="宋体"/>
          <w:b w:val="0"/>
          <w:sz w:val="28"/>
          <w:szCs w:val="28"/>
        </w:rPr>
        <w:t>#</w:t>
      </w:r>
      <w:r>
        <w:rPr>
          <w:rFonts w:hint="eastAsia" w:ascii="宋体" w:hAnsi="宋体" w:cs="宋体"/>
          <w:b w:val="0"/>
          <w:sz w:val="28"/>
          <w:szCs w:val="28"/>
        </w:rPr>
        <w:t>、7</w:t>
      </w:r>
      <w:r>
        <w:rPr>
          <w:rFonts w:ascii="宋体" w:hAnsi="宋体" w:cs="宋体"/>
          <w:b w:val="0"/>
          <w:sz w:val="28"/>
          <w:szCs w:val="28"/>
        </w:rPr>
        <w:t>#</w:t>
      </w:r>
      <w:r>
        <w:rPr>
          <w:rFonts w:hint="eastAsia" w:ascii="宋体" w:hAnsi="宋体" w:cs="宋体"/>
          <w:b w:val="0"/>
          <w:sz w:val="28"/>
          <w:szCs w:val="28"/>
        </w:rPr>
        <w:t>、8</w:t>
      </w:r>
      <w:r>
        <w:rPr>
          <w:rFonts w:ascii="宋体" w:hAnsi="宋体" w:cs="宋体"/>
          <w:b w:val="0"/>
          <w:sz w:val="28"/>
          <w:szCs w:val="28"/>
        </w:rPr>
        <w:t>#</w:t>
      </w:r>
      <w:r>
        <w:rPr>
          <w:rFonts w:hint="eastAsia" w:ascii="宋体" w:hAnsi="宋体" w:cs="宋体"/>
          <w:b w:val="0"/>
          <w:sz w:val="28"/>
          <w:szCs w:val="28"/>
        </w:rPr>
        <w:t>、9</w:t>
      </w:r>
      <w:r>
        <w:rPr>
          <w:rFonts w:ascii="宋体" w:hAnsi="宋体" w:cs="宋体"/>
          <w:b w:val="0"/>
          <w:sz w:val="28"/>
          <w:szCs w:val="28"/>
        </w:rPr>
        <w:t>#</w:t>
      </w:r>
      <w:r>
        <w:rPr>
          <w:rFonts w:hint="eastAsia" w:ascii="宋体" w:hAnsi="宋体" w:cs="宋体"/>
          <w:b w:val="0"/>
          <w:sz w:val="28"/>
          <w:szCs w:val="28"/>
        </w:rPr>
        <w:t>、1</w:t>
      </w:r>
      <w:r>
        <w:rPr>
          <w:rFonts w:ascii="宋体" w:hAnsi="宋体" w:cs="宋体"/>
          <w:b w:val="0"/>
          <w:sz w:val="28"/>
          <w:szCs w:val="28"/>
        </w:rPr>
        <w:t>0#</w:t>
      </w:r>
      <w:r>
        <w:rPr>
          <w:rFonts w:hint="eastAsia" w:ascii="宋体" w:hAnsi="宋体" w:cs="宋体"/>
          <w:b w:val="0"/>
          <w:sz w:val="28"/>
          <w:szCs w:val="28"/>
        </w:rPr>
        <w:t>库房的窗设置可开启的高窗，并配置铁栅和金属网。在勒脚处设置可开关的活动百叶窗或带活动防护板的固定百叶窗，窗设置有防小动物进入的措施。</w:t>
      </w:r>
    </w:p>
    <w:p w14:paraId="3C725191">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⑦拟新建的</w:t>
      </w:r>
      <w:r>
        <w:rPr>
          <w:rFonts w:ascii="宋体" w:hAnsi="宋体" w:cs="宋体"/>
          <w:b w:val="0"/>
          <w:sz w:val="28"/>
          <w:szCs w:val="28"/>
        </w:rPr>
        <w:t>1#</w:t>
      </w:r>
      <w:r>
        <w:rPr>
          <w:rFonts w:hint="eastAsia" w:ascii="宋体" w:hAnsi="宋体" w:cs="宋体"/>
          <w:b w:val="0"/>
          <w:sz w:val="28"/>
          <w:szCs w:val="28"/>
        </w:rPr>
        <w:t>、2</w:t>
      </w:r>
      <w:r>
        <w:rPr>
          <w:rFonts w:ascii="宋体" w:hAnsi="宋体" w:cs="宋体"/>
          <w:b w:val="0"/>
          <w:sz w:val="28"/>
          <w:szCs w:val="28"/>
        </w:rPr>
        <w:t>#</w:t>
      </w:r>
      <w:r>
        <w:rPr>
          <w:rFonts w:hint="eastAsia" w:ascii="宋体" w:hAnsi="宋体" w:cs="宋体"/>
          <w:b w:val="0"/>
          <w:sz w:val="28"/>
          <w:szCs w:val="28"/>
        </w:rPr>
        <w:t>、3</w:t>
      </w:r>
      <w:r>
        <w:rPr>
          <w:rFonts w:ascii="宋体" w:hAnsi="宋体" w:cs="宋体"/>
          <w:b w:val="0"/>
          <w:sz w:val="28"/>
          <w:szCs w:val="28"/>
        </w:rPr>
        <w:t>#</w:t>
      </w:r>
      <w:r>
        <w:rPr>
          <w:rFonts w:hint="eastAsia" w:ascii="宋体" w:hAnsi="宋体" w:cs="宋体"/>
          <w:b w:val="0"/>
          <w:sz w:val="28"/>
          <w:szCs w:val="28"/>
        </w:rPr>
        <w:t>、4</w:t>
      </w:r>
      <w:r>
        <w:rPr>
          <w:rFonts w:ascii="宋体" w:hAnsi="宋体" w:cs="宋体"/>
          <w:b w:val="0"/>
          <w:sz w:val="28"/>
          <w:szCs w:val="28"/>
        </w:rPr>
        <w:t>#</w:t>
      </w:r>
      <w:r>
        <w:rPr>
          <w:rFonts w:hint="eastAsia" w:ascii="宋体" w:hAnsi="宋体" w:cs="宋体"/>
          <w:b w:val="0"/>
          <w:sz w:val="28"/>
          <w:szCs w:val="28"/>
        </w:rPr>
        <w:t>、5</w:t>
      </w:r>
      <w:r>
        <w:rPr>
          <w:rFonts w:ascii="宋体" w:hAnsi="宋体" w:cs="宋体"/>
          <w:b w:val="0"/>
          <w:sz w:val="28"/>
          <w:szCs w:val="28"/>
        </w:rPr>
        <w:t>#</w:t>
      </w:r>
      <w:r>
        <w:rPr>
          <w:rFonts w:hint="eastAsia" w:ascii="宋体" w:hAnsi="宋体" w:cs="宋体"/>
          <w:b w:val="0"/>
          <w:sz w:val="28"/>
          <w:szCs w:val="28"/>
        </w:rPr>
        <w:t>、6</w:t>
      </w:r>
      <w:r>
        <w:rPr>
          <w:rFonts w:ascii="宋体" w:hAnsi="宋体" w:cs="宋体"/>
          <w:b w:val="0"/>
          <w:sz w:val="28"/>
          <w:szCs w:val="28"/>
        </w:rPr>
        <w:t>#</w:t>
      </w:r>
      <w:r>
        <w:rPr>
          <w:rFonts w:hint="eastAsia" w:ascii="宋体" w:hAnsi="宋体" w:cs="宋体"/>
          <w:b w:val="0"/>
          <w:sz w:val="28"/>
          <w:szCs w:val="28"/>
        </w:rPr>
        <w:t>、7</w:t>
      </w:r>
      <w:r>
        <w:rPr>
          <w:rFonts w:ascii="宋体" w:hAnsi="宋体" w:cs="宋体"/>
          <w:b w:val="0"/>
          <w:sz w:val="28"/>
          <w:szCs w:val="28"/>
        </w:rPr>
        <w:t>#</w:t>
      </w:r>
      <w:r>
        <w:rPr>
          <w:rFonts w:hint="eastAsia" w:ascii="宋体" w:hAnsi="宋体" w:cs="宋体"/>
          <w:b w:val="0"/>
          <w:sz w:val="28"/>
          <w:szCs w:val="28"/>
        </w:rPr>
        <w:t>、8</w:t>
      </w:r>
      <w:r>
        <w:rPr>
          <w:rFonts w:ascii="宋体" w:hAnsi="宋体" w:cs="宋体"/>
          <w:b w:val="0"/>
          <w:sz w:val="28"/>
          <w:szCs w:val="28"/>
        </w:rPr>
        <w:t>#</w:t>
      </w:r>
      <w:r>
        <w:rPr>
          <w:rFonts w:hint="eastAsia" w:ascii="宋体" w:hAnsi="宋体" w:cs="宋体"/>
          <w:b w:val="0"/>
          <w:sz w:val="28"/>
          <w:szCs w:val="28"/>
        </w:rPr>
        <w:t>、9</w:t>
      </w:r>
      <w:r>
        <w:rPr>
          <w:rFonts w:ascii="宋体" w:hAnsi="宋体" w:cs="宋体"/>
          <w:b w:val="0"/>
          <w:sz w:val="28"/>
          <w:szCs w:val="28"/>
        </w:rPr>
        <w:t>#</w:t>
      </w:r>
      <w:r>
        <w:rPr>
          <w:rFonts w:hint="eastAsia" w:ascii="宋体" w:hAnsi="宋体" w:cs="宋体"/>
          <w:b w:val="0"/>
          <w:sz w:val="28"/>
          <w:szCs w:val="28"/>
        </w:rPr>
        <w:t>、1</w:t>
      </w:r>
      <w:r>
        <w:rPr>
          <w:rFonts w:ascii="宋体" w:hAnsi="宋体" w:cs="宋体"/>
          <w:b w:val="0"/>
          <w:sz w:val="28"/>
          <w:szCs w:val="28"/>
        </w:rPr>
        <w:t>0#</w:t>
      </w:r>
      <w:r>
        <w:rPr>
          <w:rFonts w:hint="eastAsia" w:ascii="宋体" w:hAnsi="宋体" w:cs="宋体"/>
          <w:b w:val="0"/>
          <w:sz w:val="28"/>
          <w:szCs w:val="28"/>
        </w:rPr>
        <w:t>库房地面，可采用一般地面，并进行防潮处理。</w:t>
      </w:r>
    </w:p>
    <w:p w14:paraId="75CDC9BD">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⑧拟新建的</w:t>
      </w:r>
      <w:r>
        <w:rPr>
          <w:rFonts w:ascii="宋体" w:hAnsi="宋体" w:cs="宋体"/>
          <w:b w:val="0"/>
          <w:sz w:val="28"/>
          <w:szCs w:val="28"/>
        </w:rPr>
        <w:t>1#</w:t>
      </w:r>
      <w:r>
        <w:rPr>
          <w:rFonts w:hint="eastAsia" w:ascii="宋体" w:hAnsi="宋体" w:cs="宋体"/>
          <w:b w:val="0"/>
          <w:sz w:val="28"/>
          <w:szCs w:val="28"/>
        </w:rPr>
        <w:t>、2</w:t>
      </w:r>
      <w:r>
        <w:rPr>
          <w:rFonts w:ascii="宋体" w:hAnsi="宋体" w:cs="宋体"/>
          <w:b w:val="0"/>
          <w:sz w:val="28"/>
          <w:szCs w:val="28"/>
        </w:rPr>
        <w:t>#</w:t>
      </w:r>
      <w:r>
        <w:rPr>
          <w:rFonts w:hint="eastAsia" w:ascii="宋体" w:hAnsi="宋体" w:cs="宋体"/>
          <w:b w:val="0"/>
          <w:sz w:val="28"/>
          <w:szCs w:val="28"/>
        </w:rPr>
        <w:t>、3</w:t>
      </w:r>
      <w:r>
        <w:rPr>
          <w:rFonts w:ascii="宋体" w:hAnsi="宋体" w:cs="宋体"/>
          <w:b w:val="0"/>
          <w:sz w:val="28"/>
          <w:szCs w:val="28"/>
        </w:rPr>
        <w:t>#</w:t>
      </w:r>
      <w:r>
        <w:rPr>
          <w:rFonts w:hint="eastAsia" w:ascii="宋体" w:hAnsi="宋体" w:cs="宋体"/>
          <w:b w:val="0"/>
          <w:sz w:val="28"/>
          <w:szCs w:val="28"/>
        </w:rPr>
        <w:t>、4</w:t>
      </w:r>
      <w:r>
        <w:rPr>
          <w:rFonts w:ascii="宋体" w:hAnsi="宋体" w:cs="宋体"/>
          <w:b w:val="0"/>
          <w:sz w:val="28"/>
          <w:szCs w:val="28"/>
        </w:rPr>
        <w:t>#</w:t>
      </w:r>
      <w:r>
        <w:rPr>
          <w:rFonts w:hint="eastAsia" w:ascii="宋体" w:hAnsi="宋体" w:cs="宋体"/>
          <w:b w:val="0"/>
          <w:sz w:val="28"/>
          <w:szCs w:val="28"/>
        </w:rPr>
        <w:t>、5</w:t>
      </w:r>
      <w:r>
        <w:rPr>
          <w:rFonts w:ascii="宋体" w:hAnsi="宋体" w:cs="宋体"/>
          <w:b w:val="0"/>
          <w:sz w:val="28"/>
          <w:szCs w:val="28"/>
        </w:rPr>
        <w:t>#</w:t>
      </w:r>
      <w:r>
        <w:rPr>
          <w:rFonts w:hint="eastAsia" w:ascii="宋体" w:hAnsi="宋体" w:cs="宋体"/>
          <w:b w:val="0"/>
          <w:sz w:val="28"/>
          <w:szCs w:val="28"/>
        </w:rPr>
        <w:t>、6</w:t>
      </w:r>
      <w:r>
        <w:rPr>
          <w:rFonts w:ascii="宋体" w:hAnsi="宋体" w:cs="宋体"/>
          <w:b w:val="0"/>
          <w:sz w:val="28"/>
          <w:szCs w:val="28"/>
        </w:rPr>
        <w:t>#</w:t>
      </w:r>
      <w:r>
        <w:rPr>
          <w:rFonts w:hint="eastAsia" w:ascii="宋体" w:hAnsi="宋体" w:cs="宋体"/>
          <w:b w:val="0"/>
          <w:sz w:val="28"/>
          <w:szCs w:val="28"/>
        </w:rPr>
        <w:t>、7</w:t>
      </w:r>
      <w:r>
        <w:rPr>
          <w:rFonts w:ascii="宋体" w:hAnsi="宋体" w:cs="宋体"/>
          <w:b w:val="0"/>
          <w:sz w:val="28"/>
          <w:szCs w:val="28"/>
        </w:rPr>
        <w:t>#</w:t>
      </w:r>
      <w:r>
        <w:rPr>
          <w:rFonts w:hint="eastAsia" w:ascii="宋体" w:hAnsi="宋体" w:cs="宋体"/>
          <w:b w:val="0"/>
          <w:sz w:val="28"/>
          <w:szCs w:val="28"/>
        </w:rPr>
        <w:t>、8</w:t>
      </w:r>
      <w:r>
        <w:rPr>
          <w:rFonts w:ascii="宋体" w:hAnsi="宋体" w:cs="宋体"/>
          <w:b w:val="0"/>
          <w:sz w:val="28"/>
          <w:szCs w:val="28"/>
        </w:rPr>
        <w:t>#</w:t>
      </w:r>
      <w:r>
        <w:rPr>
          <w:rFonts w:hint="eastAsia" w:ascii="宋体" w:hAnsi="宋体" w:cs="宋体"/>
          <w:b w:val="0"/>
          <w:sz w:val="28"/>
          <w:szCs w:val="28"/>
        </w:rPr>
        <w:t>、9</w:t>
      </w:r>
      <w:r>
        <w:rPr>
          <w:rFonts w:ascii="宋体" w:hAnsi="宋体" w:cs="宋体"/>
          <w:b w:val="0"/>
          <w:sz w:val="28"/>
          <w:szCs w:val="28"/>
        </w:rPr>
        <w:t>#</w:t>
      </w:r>
      <w:r>
        <w:rPr>
          <w:rFonts w:hint="eastAsia" w:ascii="宋体" w:hAnsi="宋体" w:cs="宋体"/>
          <w:b w:val="0"/>
          <w:sz w:val="28"/>
          <w:szCs w:val="28"/>
        </w:rPr>
        <w:t>、1</w:t>
      </w:r>
      <w:r>
        <w:rPr>
          <w:rFonts w:ascii="宋体" w:hAnsi="宋体" w:cs="宋体"/>
          <w:b w:val="0"/>
          <w:sz w:val="28"/>
          <w:szCs w:val="28"/>
        </w:rPr>
        <w:t>0#</w:t>
      </w:r>
      <w:r>
        <w:rPr>
          <w:rFonts w:hint="eastAsia" w:ascii="宋体" w:hAnsi="宋体" w:cs="宋体"/>
          <w:b w:val="0"/>
          <w:sz w:val="28"/>
          <w:szCs w:val="28"/>
        </w:rPr>
        <w:t>库房内外墙面应用水泥砂浆抹面，保持墙面平整。</w:t>
      </w:r>
    </w:p>
    <w:p w14:paraId="54A040F0">
      <w:pPr>
        <w:pStyle w:val="2"/>
        <w:spacing w:line="560" w:lineRule="exact"/>
        <w:ind w:firstLine="560"/>
        <w:rPr>
          <w:rFonts w:asciiTheme="minorEastAsia" w:hAnsiTheme="minorEastAsia" w:eastAsiaTheme="minorEastAsia"/>
          <w:b w:val="0"/>
        </w:rPr>
      </w:pPr>
      <w:r>
        <w:rPr>
          <w:rFonts w:hint="eastAsia" w:ascii="宋体" w:hAnsi="宋体" w:cs="宋体"/>
          <w:b w:val="0"/>
          <w:szCs w:val="28"/>
        </w:rPr>
        <w:t>⑨</w:t>
      </w:r>
      <w:r>
        <w:rPr>
          <w:rFonts w:hint="eastAsia" w:cs="宋体" w:asciiTheme="minorEastAsia" w:hAnsiTheme="minorEastAsia" w:eastAsiaTheme="minorEastAsia"/>
          <w:b w:val="0"/>
          <w:szCs w:val="28"/>
        </w:rPr>
        <w:t>拟</w:t>
      </w:r>
      <w:bookmarkStart w:id="297" w:name="_Toc371951639"/>
      <w:r>
        <w:rPr>
          <w:rFonts w:hint="eastAsia" w:cs="宋体" w:asciiTheme="minorEastAsia" w:hAnsiTheme="minorEastAsia" w:eastAsiaTheme="minorEastAsia"/>
          <w:b w:val="0"/>
          <w:szCs w:val="28"/>
        </w:rPr>
        <w:t>新建的</w:t>
      </w:r>
      <w:r>
        <w:rPr>
          <w:rFonts w:cs="宋体" w:asciiTheme="minorEastAsia" w:hAnsiTheme="minorEastAsia" w:eastAsiaTheme="minorEastAsia"/>
          <w:b w:val="0"/>
          <w:szCs w:val="28"/>
        </w:rPr>
        <w:t>1#</w:t>
      </w:r>
      <w:r>
        <w:rPr>
          <w:rFonts w:hint="eastAsia" w:cs="宋体" w:asciiTheme="minorEastAsia" w:hAnsiTheme="minorEastAsia" w:eastAsiaTheme="minorEastAsia"/>
          <w:b w:val="0"/>
          <w:szCs w:val="28"/>
        </w:rPr>
        <w:t>、2</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、3</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、4</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、5</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、6</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、7</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、8</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、9</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库房设计应有2个或以上的防火分区，</w:t>
      </w:r>
      <w:r>
        <w:rPr>
          <w:rFonts w:hint="eastAsia" w:asciiTheme="minorEastAsia" w:hAnsiTheme="minorEastAsia" w:eastAsiaTheme="minorEastAsia"/>
          <w:b w:val="0"/>
        </w:rPr>
        <w:t>保证每个防火分区面积不超过5</w:t>
      </w:r>
      <w:r>
        <w:rPr>
          <w:rFonts w:asciiTheme="minorEastAsia" w:hAnsiTheme="minorEastAsia" w:eastAsiaTheme="minorEastAsia"/>
          <w:b w:val="0"/>
        </w:rPr>
        <w:t>00m</w:t>
      </w:r>
      <w:r>
        <w:rPr>
          <w:rFonts w:asciiTheme="minorEastAsia" w:hAnsiTheme="minorEastAsia" w:eastAsiaTheme="minorEastAsia"/>
          <w:b w:val="0"/>
          <w:vertAlign w:val="superscript"/>
        </w:rPr>
        <w:t>2</w:t>
      </w:r>
      <w:r>
        <w:rPr>
          <w:rFonts w:hint="eastAsia" w:asciiTheme="minorEastAsia" w:hAnsiTheme="minorEastAsia" w:eastAsiaTheme="minorEastAsia"/>
          <w:b w:val="0"/>
        </w:rPr>
        <w:t>。</w:t>
      </w:r>
    </w:p>
    <w:p w14:paraId="510FABDD">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（3）危险品储存、运输安全措施</w:t>
      </w:r>
      <w:bookmarkEnd w:id="297"/>
    </w:p>
    <w:p w14:paraId="3A73996B">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①拟新建仓库内烟花爆竹成品堆垛间应留有检查、清点、装运的通道。堆垛之间的距离不小于0.7m，堆垛距内墙壁距离不宜少于0.45m；搬运通道的宽度不宜小于1.5m。</w:t>
      </w:r>
    </w:p>
    <w:p w14:paraId="657A7AFF">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②成箱成品堆垛的高度不应超过2.5m。</w:t>
      </w:r>
    </w:p>
    <w:p w14:paraId="424E096B">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③危险品的运输应采用符合安全要求并带有防火罩的汽车运输。</w:t>
      </w:r>
    </w:p>
    <w:p w14:paraId="3463381E">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④危险品总仓库区运输危险品的主干道中心线，与各级危险性建筑物的距离不应小于10m。</w:t>
      </w:r>
    </w:p>
    <w:p w14:paraId="3F505B90">
      <w:pPr>
        <w:tabs>
          <w:tab w:val="left" w:pos="900"/>
        </w:tabs>
        <w:spacing w:line="560" w:lineRule="exact"/>
        <w:ind w:firstLine="560" w:firstLineChars="200"/>
        <w:rPr>
          <w:rFonts w:ascii="宋体" w:hAnsi="宋体" w:cs="宋体"/>
          <w:b w:val="0"/>
          <w:sz w:val="28"/>
          <w:szCs w:val="28"/>
        </w:rPr>
      </w:pPr>
      <w:bookmarkStart w:id="298" w:name="_Toc371951640"/>
      <w:r>
        <w:rPr>
          <w:rFonts w:hint="eastAsia" w:ascii="宋体" w:hAnsi="宋体" w:cs="宋体"/>
          <w:b w:val="0"/>
          <w:sz w:val="28"/>
          <w:szCs w:val="28"/>
        </w:rPr>
        <w:t>（4）消防安全措施</w:t>
      </w:r>
      <w:bookmarkEnd w:id="298"/>
    </w:p>
    <w:p w14:paraId="6DF6A3F6">
      <w:pPr>
        <w:tabs>
          <w:tab w:val="left" w:pos="900"/>
        </w:tabs>
        <w:spacing w:line="560" w:lineRule="exact"/>
        <w:ind w:firstLine="560" w:firstLineChars="200"/>
        <w:rPr>
          <w:rFonts w:cs="宋体" w:asciiTheme="minorEastAsia" w:hAnsiTheme="minorEastAsia" w:eastAsiaTheme="minorEastAsia"/>
          <w:b w:val="0"/>
          <w:sz w:val="28"/>
          <w:szCs w:val="28"/>
        </w:rPr>
      </w:pPr>
      <w:bookmarkStart w:id="299" w:name="_Toc371951641"/>
      <w:r>
        <w:rPr>
          <w:rFonts w:hint="eastAsia" w:cs="宋体" w:asciiTheme="minorEastAsia" w:hAnsiTheme="minorEastAsia" w:eastAsiaTheme="minorEastAsia"/>
          <w:b w:val="0"/>
          <w:sz w:val="28"/>
          <w:szCs w:val="28"/>
        </w:rPr>
        <w:t>①拟新建仓库应设计的消防给水系统，且根据灭火器配置场所的种类、危险等级等因素选择相应等级的灭火器。</w:t>
      </w:r>
    </w:p>
    <w:p w14:paraId="6AB225E4">
      <w:pPr>
        <w:pStyle w:val="2"/>
        <w:spacing w:line="560" w:lineRule="exact"/>
        <w:ind w:firstLine="560"/>
        <w:rPr>
          <w:rFonts w:asciiTheme="minorEastAsia" w:hAnsiTheme="minorEastAsia" w:eastAsiaTheme="minorEastAsia"/>
          <w:b w:val="0"/>
        </w:rPr>
      </w:pPr>
      <w:r>
        <w:rPr>
          <w:rFonts w:hint="eastAsia" w:asciiTheme="minorEastAsia" w:hAnsiTheme="minorEastAsia" w:eastAsiaTheme="minorEastAsia"/>
          <w:b w:val="0"/>
        </w:rPr>
        <w:t>②消防储备水应有平时不被动用措施和防冻措施。</w:t>
      </w:r>
    </w:p>
    <w:p w14:paraId="0F416885">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（5）防雷防静电安全措施</w:t>
      </w:r>
      <w:bookmarkEnd w:id="299"/>
    </w:p>
    <w:p w14:paraId="72AB8763">
      <w:pPr>
        <w:tabs>
          <w:tab w:val="left" w:pos="900"/>
        </w:tabs>
        <w:spacing w:line="560" w:lineRule="exact"/>
        <w:ind w:firstLine="560" w:firstLineChars="200"/>
        <w:rPr>
          <w:rFonts w:cs="宋体" w:asciiTheme="minorEastAsia" w:hAnsiTheme="minorEastAsia" w:eastAsiaTheme="minorEastAsia"/>
          <w:b w:val="0"/>
          <w:sz w:val="28"/>
          <w:szCs w:val="28"/>
        </w:rPr>
      </w:pPr>
      <w:bookmarkStart w:id="300" w:name="_Toc371951642"/>
      <w:r>
        <w:rPr>
          <w:rFonts w:hint="eastAsia" w:cs="宋体" w:asciiTheme="minorEastAsia" w:hAnsiTheme="minorEastAsia" w:eastAsiaTheme="minorEastAsia"/>
          <w:b w:val="0"/>
          <w:sz w:val="28"/>
          <w:szCs w:val="28"/>
        </w:rPr>
        <w:t>①拟新建仓库出入口处，应设置消除人体静电装置。</w:t>
      </w:r>
    </w:p>
    <w:p w14:paraId="2639CA68">
      <w:pPr>
        <w:pStyle w:val="2"/>
        <w:spacing w:line="560" w:lineRule="exact"/>
        <w:ind w:firstLine="560"/>
        <w:rPr>
          <w:rFonts w:asciiTheme="minorEastAsia" w:hAnsiTheme="minorEastAsia" w:eastAsiaTheme="minorEastAsia"/>
          <w:b w:val="0"/>
          <w:bCs/>
        </w:rPr>
      </w:pPr>
      <w:r>
        <w:rPr>
          <w:rFonts w:hint="eastAsia" w:asciiTheme="minorEastAsia" w:hAnsiTheme="minorEastAsia" w:eastAsiaTheme="minorEastAsia"/>
          <w:b w:val="0"/>
          <w:bCs/>
        </w:rPr>
        <w:t>②拟新建的</w:t>
      </w:r>
      <w:r>
        <w:rPr>
          <w:rFonts w:cs="宋体" w:asciiTheme="minorEastAsia" w:hAnsiTheme="minorEastAsia" w:eastAsiaTheme="minorEastAsia"/>
          <w:b w:val="0"/>
          <w:szCs w:val="28"/>
        </w:rPr>
        <w:t>1#</w:t>
      </w:r>
      <w:r>
        <w:rPr>
          <w:rFonts w:hint="eastAsia" w:cs="宋体" w:asciiTheme="minorEastAsia" w:hAnsiTheme="minorEastAsia" w:eastAsiaTheme="minorEastAsia"/>
          <w:b w:val="0"/>
          <w:szCs w:val="28"/>
        </w:rPr>
        <w:t>、2</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、3</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、4</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、5</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、6</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、7</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、8</w:t>
      </w:r>
      <w:r>
        <w:rPr>
          <w:rFonts w:cs="宋体" w:asciiTheme="minorEastAsia" w:hAnsiTheme="minorEastAsia" w:eastAsiaTheme="minorEastAsia"/>
          <w:b w:val="0"/>
          <w:szCs w:val="28"/>
        </w:rPr>
        <w:t>#</w:t>
      </w:r>
      <w:r>
        <w:rPr>
          <w:rFonts w:hint="eastAsia" w:cs="宋体" w:asciiTheme="minorEastAsia" w:hAnsiTheme="minorEastAsia" w:eastAsiaTheme="minorEastAsia"/>
          <w:b w:val="0"/>
          <w:szCs w:val="28"/>
        </w:rPr>
        <w:t>、9</w:t>
      </w:r>
      <w:r>
        <w:rPr>
          <w:rFonts w:cs="宋体" w:asciiTheme="minorEastAsia" w:hAnsiTheme="minorEastAsia" w:eastAsiaTheme="minorEastAsia"/>
          <w:b w:val="0"/>
          <w:szCs w:val="28"/>
        </w:rPr>
        <w:t>#1.3</w:t>
      </w:r>
      <w:r>
        <w:rPr>
          <w:rFonts w:hint="eastAsia" w:cs="宋体" w:asciiTheme="minorEastAsia" w:hAnsiTheme="minorEastAsia" w:eastAsiaTheme="minorEastAsia"/>
          <w:b w:val="0"/>
          <w:szCs w:val="28"/>
        </w:rPr>
        <w:t>级库房</w:t>
      </w:r>
      <w:r>
        <w:rPr>
          <w:rFonts w:hint="eastAsia" w:asciiTheme="minorEastAsia" w:hAnsiTheme="minorEastAsia" w:eastAsiaTheme="minorEastAsia"/>
          <w:b w:val="0"/>
          <w:bCs/>
        </w:rPr>
        <w:t>应按二类防雷建筑物设置。</w:t>
      </w:r>
    </w:p>
    <w:p w14:paraId="759757E8">
      <w:pPr>
        <w:pStyle w:val="2"/>
        <w:spacing w:line="560" w:lineRule="exact"/>
        <w:ind w:firstLine="560"/>
        <w:rPr>
          <w:rFonts w:asciiTheme="minorEastAsia" w:hAnsiTheme="minorEastAsia" w:eastAsiaTheme="minorEastAsia"/>
          <w:b w:val="0"/>
          <w:bCs/>
        </w:rPr>
      </w:pPr>
      <w:r>
        <w:rPr>
          <w:rFonts w:hint="eastAsia" w:asciiTheme="minorEastAsia" w:hAnsiTheme="minorEastAsia" w:eastAsiaTheme="minorEastAsia"/>
          <w:b w:val="0"/>
          <w:bCs/>
        </w:rPr>
        <w:t>③拟新建的1</w:t>
      </w:r>
      <w:r>
        <w:rPr>
          <w:rFonts w:asciiTheme="minorEastAsia" w:hAnsiTheme="minorEastAsia" w:eastAsiaTheme="minorEastAsia"/>
          <w:b w:val="0"/>
          <w:bCs/>
        </w:rPr>
        <w:t>0#1.1</w:t>
      </w:r>
      <w:r>
        <w:rPr>
          <w:rFonts w:asciiTheme="minorEastAsia" w:hAnsiTheme="minorEastAsia" w:eastAsiaTheme="minorEastAsia"/>
          <w:b w:val="0"/>
          <w:bCs/>
          <w:vertAlign w:val="superscript"/>
        </w:rPr>
        <w:t>-2</w:t>
      </w:r>
      <w:r>
        <w:rPr>
          <w:rFonts w:hint="eastAsia" w:asciiTheme="minorEastAsia" w:hAnsiTheme="minorEastAsia" w:eastAsiaTheme="minorEastAsia"/>
          <w:b w:val="0"/>
          <w:bCs/>
        </w:rPr>
        <w:t>级库房应按一类防雷建筑物设置。</w:t>
      </w:r>
    </w:p>
    <w:p w14:paraId="003196E0">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（6）视频监控安全措施</w:t>
      </w:r>
      <w:bookmarkEnd w:id="300"/>
    </w:p>
    <w:p w14:paraId="65ECA6F6">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①危险品总仓库区宜设置视频监控系统，系统的构成应符合相关规范的规定。</w:t>
      </w:r>
    </w:p>
    <w:p w14:paraId="3C67AB89">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②库区视频监控设计，电气设备选型、线路技术要求及敷设方式等均应符合本规范的规定。</w:t>
      </w:r>
    </w:p>
    <w:p w14:paraId="7861415D">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③视频监控系统应按照《烟花爆竹企业安全监控系统通用技术条件》（AQ4101-2008）、</w:t>
      </w:r>
      <w:r>
        <w:rPr>
          <w:rFonts w:hint="eastAsia" w:ascii="宋体" w:hAnsi="宋体" w:cs="宋体"/>
          <w:b w:val="0"/>
          <w:bCs/>
          <w:sz w:val="28"/>
          <w:szCs w:val="28"/>
        </w:rPr>
        <w:t>《视频安防监控系统工程设计规范》（GB50395-2007）</w:t>
      </w:r>
      <w:r>
        <w:rPr>
          <w:rFonts w:hint="eastAsia" w:ascii="宋体" w:hAnsi="宋体" w:cs="宋体"/>
          <w:b w:val="0"/>
          <w:sz w:val="28"/>
          <w:szCs w:val="28"/>
        </w:rPr>
        <w:t>的标准要求进行设计安装。</w:t>
      </w:r>
    </w:p>
    <w:p w14:paraId="2CBE6811">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④库区监控摄像头必须覆盖整个库区，保证监控无死角。</w:t>
      </w:r>
    </w:p>
    <w:p w14:paraId="78A020BB">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⑤仓库安装视频监控的同时；加装电源浪涌保护器，以便防止雷电波侵入。</w:t>
      </w:r>
    </w:p>
    <w:p w14:paraId="44E477D5">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 xml:space="preserve">（7）烟花爆竹库房应保持通风干燥，温度控制措施；如：库房内应配有温、湿度计，并每天对库房内温、湿度进行记录；适时做好库房通风、防潮、降温处理。 </w:t>
      </w:r>
    </w:p>
    <w:p w14:paraId="14554D78">
      <w:pPr>
        <w:tabs>
          <w:tab w:val="left" w:pos="900"/>
        </w:tabs>
        <w:spacing w:line="560" w:lineRule="exact"/>
        <w:ind w:firstLine="562" w:firstLineChars="200"/>
        <w:rPr>
          <w:rFonts w:ascii="宋体" w:hAnsi="宋体" w:cs="宋体"/>
          <w:sz w:val="28"/>
          <w:szCs w:val="28"/>
        </w:rPr>
      </w:pPr>
      <w:r>
        <w:rPr>
          <w:rFonts w:hint="eastAsia" w:ascii="宋体" w:hAnsi="宋体" w:cs="宋体"/>
          <w:sz w:val="28"/>
          <w:szCs w:val="28"/>
        </w:rPr>
        <w:t>2）安全管理方面</w:t>
      </w:r>
    </w:p>
    <w:p w14:paraId="7B6F4DDA">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（1）建立健全安全生产管理体系，加强安全管理和安全教育。</w:t>
      </w:r>
    </w:p>
    <w:p w14:paraId="0CBCCF30">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（2）禁止在库区内用明火或电炉取暖，禁止焚烧垃圾和杂草。</w:t>
      </w:r>
    </w:p>
    <w:p w14:paraId="7A67B23D">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（3）进入库房应按规定穿戴个人劳动防护用品，不得穿化纤衣服，不得穿绝缘胶鞋、硬底鞋或带铁钉的鞋。</w:t>
      </w:r>
    </w:p>
    <w:p w14:paraId="547D3F20">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（4）操作应轻、缓、慢、稳、准，禁止摩檫、碰撞、拖拉、抛扔产品。</w:t>
      </w:r>
    </w:p>
    <w:p w14:paraId="3F79B999">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（5）遵守定员、定量规定，任何情况下都不得超定员、超药量。</w:t>
      </w:r>
    </w:p>
    <w:p w14:paraId="07214C5B">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（6）遵守安全管理制度和安全操作规程，增强自我保护意识，不伤害自己、不伤害别人、不被别人伤害。</w:t>
      </w:r>
    </w:p>
    <w:p w14:paraId="191A4300">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（7）对过期及损坏的严重的烟花爆竹产品，坚决予以销毁；在销毁过程中要严格按照操作规程制定的销毁方案，实施销毁工作。</w:t>
      </w:r>
    </w:p>
    <w:p w14:paraId="7C9566DE">
      <w:pPr>
        <w:pStyle w:val="6"/>
        <w:spacing w:line="560" w:lineRule="exact"/>
        <w:rPr>
          <w:rFonts w:ascii="黑体" w:hAnsi="黑体" w:eastAsia="黑体" w:cs="宋体"/>
          <w:b w:val="0"/>
          <w:szCs w:val="28"/>
        </w:rPr>
      </w:pPr>
      <w:bookmarkStart w:id="301" w:name="_Toc165038837"/>
      <w:r>
        <w:rPr>
          <w:rFonts w:hint="eastAsia" w:ascii="黑体" w:hAnsi="黑体" w:eastAsia="黑体" w:cs="宋体"/>
          <w:b w:val="0"/>
          <w:szCs w:val="28"/>
        </w:rPr>
        <w:t>6.3.2补充的安全措施</w:t>
      </w:r>
      <w:bookmarkEnd w:id="294"/>
      <w:bookmarkEnd w:id="301"/>
    </w:p>
    <w:bookmarkEnd w:id="295"/>
    <w:p w14:paraId="721EAB6E">
      <w:pPr>
        <w:tabs>
          <w:tab w:val="left" w:pos="900"/>
        </w:tabs>
        <w:spacing w:line="560" w:lineRule="exact"/>
        <w:ind w:firstLine="560" w:firstLineChars="200"/>
        <w:rPr>
          <w:rFonts w:ascii="宋体" w:hAnsi="宋体" w:cs="宋体"/>
          <w:b w:val="0"/>
          <w:sz w:val="28"/>
          <w:szCs w:val="28"/>
        </w:rPr>
      </w:pPr>
      <w:bookmarkStart w:id="302" w:name="_Toc369860772"/>
      <w:bookmarkStart w:id="303" w:name="_Toc22783"/>
      <w:bookmarkStart w:id="304" w:name="_Toc32287"/>
      <w:r>
        <w:rPr>
          <w:rFonts w:hint="eastAsia" w:ascii="宋体" w:hAnsi="宋体" w:cs="宋体"/>
          <w:b w:val="0"/>
          <w:sz w:val="28"/>
          <w:szCs w:val="28"/>
        </w:rPr>
        <w:t>本报告从以下几方面提出更为具体的措施及建议。</w:t>
      </w:r>
    </w:p>
    <w:p w14:paraId="5A2F47A8">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1）选址和总平面布置的安全措施</w:t>
      </w:r>
      <w:bookmarkEnd w:id="302"/>
      <w:bookmarkEnd w:id="303"/>
      <w:bookmarkEnd w:id="304"/>
    </w:p>
    <w:p w14:paraId="3D315F96">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（1）下列地区不应选择为库址：</w:t>
      </w:r>
    </w:p>
    <w:p w14:paraId="1CBDF604">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①地震烈度大于9度的地区；</w:t>
      </w:r>
    </w:p>
    <w:p w14:paraId="72A8AEFA">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②存在地质危害的地段，如泥石流、滑坡、流沙等；</w:t>
      </w:r>
    </w:p>
    <w:p w14:paraId="727D646C">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③历史文物古迹保护区；</w:t>
      </w:r>
    </w:p>
    <w:p w14:paraId="4F77BA3E">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④工程地质不良地区，如Ⅳ级自重湿陷性黄土，厚度大的新近堆积黄土，高压缩性的饱和黄土和Ⅲ级膨胀土区。</w:t>
      </w:r>
    </w:p>
    <w:p w14:paraId="4F4016A4">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⑤具有开采价值的矿藏区。</w:t>
      </w:r>
    </w:p>
    <w:p w14:paraId="238DDFFA">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⑥雷暴区</w:t>
      </w:r>
    </w:p>
    <w:p w14:paraId="05DA3310">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（2）烟花爆竹总库区危险性建筑物与其他建筑物之间的距离应符合《烟花爆竹工程安全标准》（GB50161-2022）有关内部最小允许距离的要求。</w:t>
      </w:r>
    </w:p>
    <w:p w14:paraId="7FBE5F35">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（3）危险品总仓库区应设置高度不低于2m的围墙；围墙与危险性建筑物、构筑物之间的距离应不小于5m；围墙应为密砌墙。</w:t>
      </w:r>
    </w:p>
    <w:p w14:paraId="58AE32EE">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（4）库区应位于不受洪水或内涝威胁地区，当不可避免时，应采取可靠的防洪、排涝措施，库址防洪标准可按50年一遇考虑。</w:t>
      </w:r>
    </w:p>
    <w:p w14:paraId="023845B5">
      <w:pPr>
        <w:tabs>
          <w:tab w:val="left" w:pos="900"/>
        </w:tabs>
        <w:spacing w:line="560" w:lineRule="exact"/>
        <w:ind w:firstLine="560" w:firstLineChars="200"/>
        <w:rPr>
          <w:rFonts w:ascii="宋体" w:hAnsi="宋体" w:cs="宋体"/>
          <w:b w:val="0"/>
          <w:sz w:val="28"/>
          <w:szCs w:val="28"/>
        </w:rPr>
      </w:pPr>
      <w:bookmarkStart w:id="305" w:name="_Toc369860773"/>
      <w:bookmarkStart w:id="306" w:name="_Toc5854"/>
      <w:bookmarkStart w:id="307" w:name="_Toc11883"/>
      <w:r>
        <w:rPr>
          <w:rFonts w:hint="eastAsia" w:ascii="宋体" w:hAnsi="宋体" w:cs="宋体"/>
          <w:b w:val="0"/>
          <w:sz w:val="28"/>
          <w:szCs w:val="28"/>
        </w:rPr>
        <w:t>2）建筑结构的安全措施</w:t>
      </w:r>
      <w:bookmarkEnd w:id="305"/>
      <w:bookmarkEnd w:id="306"/>
      <w:bookmarkEnd w:id="307"/>
    </w:p>
    <w:p w14:paraId="021F7B74">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（1）本项目危险性建筑物建筑的耐火等级均不应低于现行国家标准《建筑设计防火规范》2018版（GB50016-2009）中二级耐火等级的规定。</w:t>
      </w:r>
    </w:p>
    <w:p w14:paraId="23F36CAC">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（2）危险性建筑物应有适当的净空，室内梁或板中的最低净空高度不应小于3.0m，并应满足正常的采光和通风要求。</w:t>
      </w:r>
    </w:p>
    <w:p w14:paraId="39BB5329">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（3）危险性建筑物的砌体厚度不应小于240mm，并不得采用空斗墙和毛石墙。</w:t>
      </w:r>
    </w:p>
    <w:p w14:paraId="11A0C437">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（4）危险品仓库应根据当地气候和存放物品的要求，采取防潮、隔热、通风、防小动物等措施。</w:t>
      </w:r>
    </w:p>
    <w:p w14:paraId="73815115">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（5）拟新建仓库采用钢筋混凝土框架结构，屋盖采用轻质泄压屋盖。</w:t>
      </w:r>
    </w:p>
    <w:p w14:paraId="47670985">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（6）危险品仓库门应向外平开，门洞的宽度不宜小于1.5m，不应设置门槛。</w:t>
      </w:r>
    </w:p>
    <w:p w14:paraId="30E68B0F">
      <w:pPr>
        <w:tabs>
          <w:tab w:val="left" w:pos="900"/>
        </w:tabs>
        <w:spacing w:line="560" w:lineRule="exact"/>
        <w:ind w:firstLine="560" w:firstLineChars="200"/>
        <w:rPr>
          <w:rFonts w:ascii="宋体" w:hAnsi="宋体" w:cs="宋体"/>
          <w:b w:val="0"/>
          <w:sz w:val="28"/>
          <w:szCs w:val="28"/>
        </w:rPr>
      </w:pPr>
      <w:bookmarkStart w:id="308" w:name="_Toc29050"/>
      <w:bookmarkStart w:id="309" w:name="_Toc29984"/>
      <w:bookmarkStart w:id="310" w:name="_Toc369860774"/>
      <w:r>
        <w:rPr>
          <w:rFonts w:hint="eastAsia" w:ascii="宋体" w:hAnsi="宋体" w:cs="宋体"/>
          <w:b w:val="0"/>
          <w:sz w:val="28"/>
          <w:szCs w:val="28"/>
        </w:rPr>
        <w:t>3）消防的安全措施</w:t>
      </w:r>
      <w:bookmarkEnd w:id="308"/>
      <w:bookmarkEnd w:id="309"/>
      <w:bookmarkEnd w:id="310"/>
    </w:p>
    <w:p w14:paraId="3BF4EAAF">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（1）危险品总仓库区根据当地消防供水条件，消防蓄水池消防延续时间达到3h。</w:t>
      </w:r>
    </w:p>
    <w:p w14:paraId="70A5FF28">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（2）供手抬机动消防泵送水量至少应为</w:t>
      </w:r>
      <w:r>
        <w:rPr>
          <w:rFonts w:ascii="宋体" w:hAnsi="宋体" w:cs="宋体"/>
          <w:b w:val="0"/>
          <w:sz w:val="28"/>
          <w:szCs w:val="28"/>
        </w:rPr>
        <w:t>2</w:t>
      </w:r>
      <w:r>
        <w:rPr>
          <w:rFonts w:hint="eastAsia" w:ascii="宋体" w:hAnsi="宋体" w:cs="宋体"/>
          <w:b w:val="0"/>
          <w:sz w:val="28"/>
          <w:szCs w:val="28"/>
        </w:rPr>
        <w:t>5L/s，取水的消防蓄水池的保护半径不应大于150m。</w:t>
      </w:r>
    </w:p>
    <w:p w14:paraId="27295E40">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（3）仓库区域附近无市政给水管网，消防水池的补水应能满足消防给的要求。</w:t>
      </w:r>
    </w:p>
    <w:p w14:paraId="2F93F27D">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（4）消防储备水应有平时不被动用的措施。使用后的补给恢复时间不宜超过48h。</w:t>
      </w:r>
    </w:p>
    <w:p w14:paraId="0CBBCD6A">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（5）烟花爆竹经营批发仓库按现行国家标准有关规定配置灭火器。</w:t>
      </w:r>
    </w:p>
    <w:p w14:paraId="5E2BFF45">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（6）消防设施、器材应当由专人管理，定期检查、维修、保养、更换和添置，保证其完好有效，严禁圈占、埋压和挪用。</w:t>
      </w:r>
    </w:p>
    <w:p w14:paraId="5553153A">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（7）应严格加强对库区周围地带的消防安全巡逻，并在库房周围设置警示标语和防火隔离带，以消除火灾隐患。</w:t>
      </w:r>
    </w:p>
    <w:p w14:paraId="70633232">
      <w:pPr>
        <w:tabs>
          <w:tab w:val="left" w:pos="900"/>
        </w:tabs>
        <w:spacing w:line="560" w:lineRule="exact"/>
        <w:ind w:firstLine="560" w:firstLineChars="200"/>
        <w:rPr>
          <w:rFonts w:ascii="宋体" w:hAnsi="宋体" w:cs="宋体"/>
          <w:b w:val="0"/>
          <w:sz w:val="28"/>
          <w:szCs w:val="28"/>
        </w:rPr>
      </w:pPr>
      <w:bookmarkStart w:id="311" w:name="_Toc369860776"/>
      <w:bookmarkStart w:id="312" w:name="_Toc9165"/>
      <w:bookmarkStart w:id="313" w:name="_Toc17159"/>
      <w:r>
        <w:rPr>
          <w:rFonts w:hint="eastAsia" w:ascii="宋体" w:hAnsi="宋体" w:cs="宋体"/>
          <w:b w:val="0"/>
          <w:sz w:val="28"/>
          <w:szCs w:val="28"/>
        </w:rPr>
        <w:t>4）防雷、防静电的安全措施</w:t>
      </w:r>
      <w:bookmarkEnd w:id="311"/>
      <w:bookmarkEnd w:id="312"/>
      <w:bookmarkEnd w:id="313"/>
    </w:p>
    <w:p w14:paraId="0B734848">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（1）危险性建筑物应采取防雷措施。防雷设计应符合现行国家标准《建筑物防雷设计规范》（GB 50057-2010）的有关规定。</w:t>
      </w:r>
    </w:p>
    <w:p w14:paraId="67B7073B">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（2）危险场所不应使用静电非导体材料制作的工装器具时，建议对其进行导静电处理，使其静电泄漏电阻值符合要求。</w:t>
      </w:r>
    </w:p>
    <w:p w14:paraId="6987322E">
      <w:pPr>
        <w:tabs>
          <w:tab w:val="left" w:pos="900"/>
        </w:tabs>
        <w:spacing w:line="560" w:lineRule="exact"/>
        <w:ind w:firstLine="560" w:firstLineChars="200"/>
        <w:rPr>
          <w:rFonts w:ascii="宋体" w:hAnsi="宋体" w:cs="宋体"/>
          <w:b w:val="0"/>
          <w:sz w:val="28"/>
          <w:szCs w:val="28"/>
        </w:rPr>
      </w:pPr>
      <w:bookmarkStart w:id="314" w:name="_Toc287"/>
      <w:bookmarkStart w:id="315" w:name="_Toc3418"/>
      <w:bookmarkStart w:id="316" w:name="_Toc369860777"/>
      <w:r>
        <w:rPr>
          <w:rFonts w:hint="eastAsia" w:ascii="宋体" w:hAnsi="宋体" w:cs="宋体"/>
          <w:b w:val="0"/>
          <w:sz w:val="28"/>
          <w:szCs w:val="28"/>
        </w:rPr>
        <w:t>5）采暖通风的安全措施</w:t>
      </w:r>
      <w:bookmarkEnd w:id="314"/>
      <w:bookmarkEnd w:id="315"/>
      <w:bookmarkEnd w:id="316"/>
    </w:p>
    <w:p w14:paraId="33735E09">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（1）危险品总仓库的通风窗建议配置铁栅和金属网。勒脚处采用自然通风。</w:t>
      </w:r>
    </w:p>
    <w:p w14:paraId="74C40952">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（2）值班室采暖建议采用电取暖。</w:t>
      </w:r>
    </w:p>
    <w:p w14:paraId="0501647F">
      <w:pPr>
        <w:tabs>
          <w:tab w:val="left" w:pos="900"/>
        </w:tabs>
        <w:spacing w:line="560" w:lineRule="exact"/>
        <w:ind w:firstLine="560" w:firstLineChars="200"/>
        <w:rPr>
          <w:rFonts w:ascii="宋体" w:hAnsi="宋体" w:cs="宋体"/>
          <w:b w:val="0"/>
          <w:sz w:val="28"/>
          <w:szCs w:val="28"/>
        </w:rPr>
      </w:pPr>
      <w:bookmarkStart w:id="317" w:name="_Toc5771"/>
      <w:bookmarkStart w:id="318" w:name="_Toc369860778"/>
      <w:bookmarkStart w:id="319" w:name="_Toc3337"/>
      <w:r>
        <w:rPr>
          <w:rFonts w:hint="eastAsia" w:ascii="宋体" w:hAnsi="宋体" w:cs="宋体"/>
          <w:b w:val="0"/>
          <w:sz w:val="28"/>
          <w:szCs w:val="28"/>
        </w:rPr>
        <w:t>6）报警系统的安全措施</w:t>
      </w:r>
      <w:bookmarkEnd w:id="317"/>
      <w:bookmarkEnd w:id="318"/>
      <w:bookmarkEnd w:id="319"/>
    </w:p>
    <w:p w14:paraId="04208D88">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（1）建议在仓库内设置无线感烟型火灾自动探测报警系统，报警系统设置应满足相关规范要求。</w:t>
      </w:r>
    </w:p>
    <w:p w14:paraId="1CA74C6A">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（2）库区围墙周界和出入口宜设置入侵探测设备，探测、发现未经许可的进入情况，并在监控管理平台发出报警信息，显示入侵发生位置。</w:t>
      </w:r>
    </w:p>
    <w:p w14:paraId="0648308F">
      <w:pPr>
        <w:tabs>
          <w:tab w:val="left" w:pos="900"/>
        </w:tabs>
        <w:spacing w:line="560" w:lineRule="exact"/>
        <w:ind w:firstLine="560" w:firstLineChars="200"/>
        <w:rPr>
          <w:rFonts w:ascii="宋体" w:hAnsi="宋体" w:cs="宋体"/>
          <w:b w:val="0"/>
          <w:sz w:val="28"/>
          <w:szCs w:val="28"/>
        </w:rPr>
      </w:pPr>
      <w:bookmarkStart w:id="320" w:name="_Toc8495"/>
      <w:bookmarkStart w:id="321" w:name="_Toc19481"/>
      <w:bookmarkStart w:id="322" w:name="_Toc369860779"/>
      <w:r>
        <w:rPr>
          <w:rFonts w:hint="eastAsia" w:ascii="宋体" w:hAnsi="宋体" w:cs="宋体"/>
          <w:b w:val="0"/>
          <w:sz w:val="28"/>
          <w:szCs w:val="28"/>
        </w:rPr>
        <w:t>7）视频监控系统及通讯系统</w:t>
      </w:r>
      <w:bookmarkEnd w:id="320"/>
      <w:bookmarkEnd w:id="321"/>
      <w:bookmarkEnd w:id="322"/>
    </w:p>
    <w:p w14:paraId="110CC00A">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（1）库区应设置视频监控系统。</w:t>
      </w:r>
    </w:p>
    <w:p w14:paraId="65AB5884">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（2）视频监控系统装置应为防爆型，线路敷设应符合《烟花爆竹工程安全设计规范》（GB50161-2022）的相关规定。</w:t>
      </w:r>
    </w:p>
    <w:p w14:paraId="6FA21B64">
      <w:pPr>
        <w:tabs>
          <w:tab w:val="left" w:pos="900"/>
        </w:tabs>
        <w:spacing w:line="560" w:lineRule="exact"/>
        <w:ind w:firstLine="560" w:firstLineChars="200"/>
        <w:rPr>
          <w:rFonts w:ascii="宋体" w:hAnsi="宋体" w:cs="宋体"/>
          <w:b w:val="0"/>
          <w:sz w:val="28"/>
          <w:szCs w:val="28"/>
        </w:rPr>
      </w:pPr>
      <w:bookmarkStart w:id="323" w:name="_Toc369860780"/>
      <w:bookmarkStart w:id="324" w:name="_Toc15151"/>
      <w:bookmarkStart w:id="325" w:name="_Toc12938"/>
      <w:r>
        <w:rPr>
          <w:rFonts w:hint="eastAsia" w:ascii="宋体" w:hAnsi="宋体" w:cs="宋体"/>
          <w:b w:val="0"/>
          <w:sz w:val="28"/>
          <w:szCs w:val="28"/>
        </w:rPr>
        <w:t>8）安全警示标示</w:t>
      </w:r>
      <w:bookmarkEnd w:id="323"/>
      <w:bookmarkEnd w:id="324"/>
      <w:bookmarkEnd w:id="325"/>
    </w:p>
    <w:p w14:paraId="20CE0B2D">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（1）库区应设置安全警示标语和警示牌，如“仓库重地，严禁烟火，禁止吸烟，禁止违章操作等”。</w:t>
      </w:r>
    </w:p>
    <w:p w14:paraId="7ACE0C87">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（2）库区入口应设置车辆限速</w:t>
      </w:r>
      <w:r>
        <w:rPr>
          <w:rFonts w:ascii="宋体" w:hAnsi="宋体" w:cs="宋体"/>
          <w:b w:val="0"/>
          <w:sz w:val="28"/>
          <w:szCs w:val="28"/>
        </w:rPr>
        <w:t>5</w:t>
      </w:r>
      <w:r>
        <w:rPr>
          <w:rFonts w:hint="eastAsia" w:ascii="宋体" w:hAnsi="宋体" w:cs="宋体"/>
          <w:b w:val="0"/>
          <w:sz w:val="28"/>
          <w:szCs w:val="28"/>
        </w:rPr>
        <w:t>km/h警示标示。</w:t>
      </w:r>
    </w:p>
    <w:p w14:paraId="1C4DB038">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（3）拟新建库区内的安全警示标志应按《烟花爆竹安全生产标志》（AQ4114-2011）设置。</w:t>
      </w:r>
    </w:p>
    <w:p w14:paraId="1440DE01">
      <w:pPr>
        <w:tabs>
          <w:tab w:val="left" w:pos="900"/>
        </w:tabs>
        <w:spacing w:line="560" w:lineRule="exact"/>
        <w:ind w:firstLine="560" w:firstLineChars="200"/>
        <w:rPr>
          <w:rFonts w:ascii="宋体" w:hAnsi="宋体" w:cs="宋体"/>
          <w:b w:val="0"/>
          <w:sz w:val="28"/>
          <w:szCs w:val="28"/>
        </w:rPr>
      </w:pPr>
      <w:bookmarkStart w:id="326" w:name="_Toc11014"/>
      <w:bookmarkStart w:id="327" w:name="_Toc369860781"/>
      <w:bookmarkStart w:id="328" w:name="_Toc16084"/>
      <w:r>
        <w:rPr>
          <w:rFonts w:hint="eastAsia" w:ascii="宋体" w:hAnsi="宋体" w:cs="宋体"/>
          <w:b w:val="0"/>
          <w:sz w:val="28"/>
          <w:szCs w:val="28"/>
        </w:rPr>
        <w:t>9）安全管理的建议措施</w:t>
      </w:r>
      <w:bookmarkEnd w:id="326"/>
      <w:bookmarkEnd w:id="327"/>
      <w:bookmarkEnd w:id="328"/>
    </w:p>
    <w:p w14:paraId="13AEBD3C">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1）依据《中华人民共和国劳动法》、《中华人民共和国安全生产法》、《中华人民共和国职业病防治法》中对建设项目安全设施“三同时”的要求，确保项目概算中劳动安全卫生设施投入比例和职业危害因素防护设施投入比例，并在项目的建设过程中严格实施。</w:t>
      </w:r>
    </w:p>
    <w:p w14:paraId="6CD791DC">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（2）在建设项目运行过程中，应定期组织安全教育培训，对新上岗、转岗或休假时间较长后重新上岗前均应进行培训考核。培训的主要内容为：</w:t>
      </w:r>
    </w:p>
    <w:p w14:paraId="604DC83A">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①安全法律法规知识；</w:t>
      </w:r>
    </w:p>
    <w:p w14:paraId="06366D7D">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②烟花爆竹的专业知识培训；</w:t>
      </w:r>
    </w:p>
    <w:p w14:paraId="554FC460">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③企业安全管理制度、操作规程培训；</w:t>
      </w:r>
    </w:p>
    <w:p w14:paraId="74D5CF3D">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④事故应急救援知识培训；</w:t>
      </w:r>
    </w:p>
    <w:p w14:paraId="3520AE95">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⑤其他相关知识培训。</w:t>
      </w:r>
    </w:p>
    <w:p w14:paraId="629A8DD5">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（3）项目施工过程中，应协调好施工单位和生产单位的工作，并制定相应的应急预案，防止因施工造成重大事故发生，确保安全施工。</w:t>
      </w:r>
    </w:p>
    <w:p w14:paraId="690794AD">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4）项目的设计应做到安全可靠，设计单位应具有建设项目的设计应由具有工程设计综合甲级或乙级以上军工行业的弹箭、火炸药、民爆器材工程设计类别工程设计资质或者化工石化医药行业的有机化工、石油冶炼、石油产品深加工工程设计类型工程设计资质。</w:t>
      </w:r>
    </w:p>
    <w:p w14:paraId="166EB466">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5）该项目存在的主要危险、有害因素为火灾爆炸，应对存在危害的部位及物质可能发生的危险事故及可采取的预防、救护的对策措施编制应急救援预案，组织在事故状态下的应急救援人员，配备应急救援器材和设施，并对应急救援预案进行定期的演练，不断的修订和完善预案。</w:t>
      </w:r>
    </w:p>
    <w:p w14:paraId="4FD9A491">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（6）初步设计完成之后，消防设计工程部分应申请当地住建部门进行消防设施审查，防火审查合格后方可进行施工图设计。项目竣工后应经当地住房和城乡建设主管部门消防验收合格后再投入使用。</w:t>
      </w:r>
    </w:p>
    <w:p w14:paraId="78827729">
      <w:pPr>
        <w:tabs>
          <w:tab w:val="left" w:pos="900"/>
        </w:tabs>
        <w:spacing w:line="560" w:lineRule="exact"/>
        <w:ind w:firstLine="560" w:firstLineChars="200"/>
        <w:rPr>
          <w:rFonts w:ascii="宋体" w:hAnsi="宋体" w:cs="宋体"/>
          <w:b w:val="0"/>
          <w:sz w:val="28"/>
          <w:szCs w:val="28"/>
        </w:rPr>
      </w:pPr>
      <w:r>
        <w:rPr>
          <w:rFonts w:hint="eastAsia" w:ascii="宋体" w:hAnsi="宋体" w:cs="宋体"/>
          <w:b w:val="0"/>
          <w:sz w:val="28"/>
          <w:szCs w:val="28"/>
        </w:rPr>
        <w:t>（7）随时注意项目建设区域周边建设情况，发现在安全防护距离内进行任何设施的建设，及时制止并上报有关部门，确保项目周边距离符合《烟花爆竹工程安全设计标准》（GB50161-2022）等相关标准规范要求。</w:t>
      </w:r>
    </w:p>
    <w:p w14:paraId="53CBAC21">
      <w:pPr>
        <w:spacing w:line="560" w:lineRule="exact"/>
        <w:ind w:firstLine="560" w:firstLineChars="200"/>
        <w:rPr>
          <w:rFonts w:ascii="宋体" w:hAnsi="宋体" w:cs="宋体"/>
          <w:b w:val="0"/>
          <w:sz w:val="28"/>
          <w:szCs w:val="28"/>
        </w:rPr>
      </w:pPr>
      <w:r>
        <w:rPr>
          <w:rFonts w:hint="eastAsia" w:ascii="宋体" w:hAnsi="宋体" w:cs="宋体"/>
          <w:b w:val="0"/>
          <w:sz w:val="28"/>
          <w:szCs w:val="28"/>
        </w:rPr>
        <w:t>10）其它措施</w:t>
      </w:r>
    </w:p>
    <w:p w14:paraId="7DF270AF">
      <w:pPr>
        <w:spacing w:line="560" w:lineRule="exact"/>
        <w:ind w:firstLine="536" w:firstLineChars="200"/>
        <w:rPr>
          <w:rFonts w:ascii="宋体" w:hAnsi="宋体" w:cs="宋体"/>
          <w:b w:val="0"/>
          <w:spacing w:val="-6"/>
          <w:sz w:val="28"/>
          <w:szCs w:val="28"/>
        </w:rPr>
      </w:pPr>
      <w:r>
        <w:rPr>
          <w:rFonts w:hint="eastAsia" w:ascii="宋体" w:hAnsi="宋体" w:cs="宋体"/>
          <w:b w:val="0"/>
          <w:spacing w:val="-6"/>
          <w:sz w:val="28"/>
          <w:szCs w:val="28"/>
        </w:rPr>
        <w:t>（1）黑龙江泰运烟花有限公司异地新建烟花爆竹库区项目应按照建设项目的程序，报市应急、自然资源、国土、公安、供销、消防等主管部门，完善有关审批文件。</w:t>
      </w:r>
    </w:p>
    <w:p w14:paraId="168DB56A">
      <w:pPr>
        <w:spacing w:line="560" w:lineRule="exact"/>
        <w:ind w:firstLine="536" w:firstLineChars="200"/>
        <w:rPr>
          <w:rFonts w:ascii="宋体" w:hAnsi="宋体" w:cs="宋体"/>
          <w:b w:val="0"/>
          <w:spacing w:val="-6"/>
          <w:sz w:val="28"/>
          <w:szCs w:val="28"/>
        </w:rPr>
      </w:pPr>
      <w:r>
        <w:rPr>
          <w:rFonts w:hint="eastAsia" w:ascii="宋体" w:hAnsi="宋体" w:cs="宋体"/>
          <w:b w:val="0"/>
          <w:spacing w:val="-6"/>
          <w:sz w:val="28"/>
          <w:szCs w:val="28"/>
        </w:rPr>
        <w:t>（2）企业应对突发性事故，如地震、洪灾等紧急情况，建立相应的应急预案，及时采取应急措施，防止事态扩大。</w:t>
      </w:r>
    </w:p>
    <w:p w14:paraId="7CFDB69A">
      <w:pPr>
        <w:spacing w:line="560" w:lineRule="exact"/>
        <w:ind w:firstLine="536" w:firstLineChars="200"/>
        <w:rPr>
          <w:rFonts w:ascii="宋体" w:hAnsi="宋体" w:cs="宋体"/>
          <w:b w:val="0"/>
          <w:spacing w:val="-6"/>
          <w:sz w:val="28"/>
          <w:szCs w:val="28"/>
        </w:rPr>
      </w:pPr>
      <w:r>
        <w:rPr>
          <w:rFonts w:hint="eastAsia" w:ascii="宋体" w:hAnsi="宋体" w:cs="宋体"/>
          <w:b w:val="0"/>
          <w:spacing w:val="-6"/>
          <w:sz w:val="28"/>
          <w:szCs w:val="28"/>
        </w:rPr>
        <w:t>（</w:t>
      </w:r>
      <w:r>
        <w:rPr>
          <w:rFonts w:ascii="宋体" w:hAnsi="宋体" w:cs="宋体"/>
          <w:b w:val="0"/>
          <w:spacing w:val="-6"/>
          <w:sz w:val="28"/>
          <w:szCs w:val="28"/>
        </w:rPr>
        <w:t>3</w:t>
      </w:r>
      <w:r>
        <w:rPr>
          <w:rFonts w:hint="eastAsia" w:ascii="宋体" w:hAnsi="宋体" w:cs="宋体"/>
          <w:b w:val="0"/>
          <w:spacing w:val="-6"/>
          <w:sz w:val="28"/>
          <w:szCs w:val="28"/>
        </w:rPr>
        <w:t>）黑龙江泰运烟花有限公司异地新建烟花爆竹库区项目场址为工业园区，应充分考虑环保和社会影响，尽可能减少对环境、社区以及其他利益相关方的影响。</w:t>
      </w:r>
    </w:p>
    <w:p w14:paraId="43349FBC">
      <w:pPr>
        <w:spacing w:line="560" w:lineRule="exact"/>
        <w:ind w:firstLine="536" w:firstLineChars="200"/>
        <w:rPr>
          <w:rFonts w:ascii="宋体" w:hAnsi="宋体" w:cs="宋体"/>
          <w:b w:val="0"/>
          <w:spacing w:val="-6"/>
          <w:sz w:val="28"/>
          <w:szCs w:val="28"/>
        </w:rPr>
      </w:pPr>
      <w:r>
        <w:rPr>
          <w:rFonts w:hint="eastAsia" w:ascii="宋体" w:hAnsi="宋体" w:cs="宋体"/>
          <w:b w:val="0"/>
          <w:spacing w:val="-6"/>
          <w:sz w:val="28"/>
          <w:szCs w:val="28"/>
        </w:rPr>
        <w:t>（</w:t>
      </w:r>
      <w:r>
        <w:rPr>
          <w:rFonts w:ascii="宋体" w:hAnsi="宋体" w:cs="宋体"/>
          <w:b w:val="0"/>
          <w:spacing w:val="-6"/>
          <w:sz w:val="28"/>
          <w:szCs w:val="28"/>
        </w:rPr>
        <w:t>4</w:t>
      </w:r>
      <w:r>
        <w:rPr>
          <w:rFonts w:hint="eastAsia" w:ascii="宋体" w:hAnsi="宋体" w:cs="宋体"/>
          <w:b w:val="0"/>
          <w:spacing w:val="-6"/>
          <w:sz w:val="28"/>
          <w:szCs w:val="28"/>
        </w:rPr>
        <w:t>）根据地质勘查报告，项目地点没有明显的地质灾害风险，地质条件稳定，但企业仍应完善建设项目的岩土工程勘察、水文地质勘察、建设用地压覆矿产资源评估、环境影响评价、建设场地地质灾害危险性评估等相关工作。</w:t>
      </w:r>
    </w:p>
    <w:p w14:paraId="4C4E65DB">
      <w:pPr>
        <w:keepNext/>
        <w:pageBreakBefore/>
        <w:widowControl/>
        <w:spacing w:before="120" w:beforeLines="50" w:line="360" w:lineRule="auto"/>
        <w:jc w:val="center"/>
        <w:outlineLvl w:val="0"/>
        <w:rPr>
          <w:rFonts w:ascii="黑体" w:hAnsi="宋体" w:eastAsia="黑体"/>
          <w:b w:val="0"/>
          <w:sz w:val="32"/>
          <w:szCs w:val="32"/>
        </w:rPr>
      </w:pPr>
      <w:bookmarkStart w:id="329" w:name="_Toc205979659"/>
      <w:bookmarkStart w:id="330" w:name="_Toc110569915"/>
      <w:bookmarkStart w:id="331" w:name="_Toc233449818"/>
      <w:bookmarkStart w:id="332" w:name="_Toc98992047"/>
      <w:r>
        <w:rPr>
          <w:rFonts w:hint="eastAsia" w:ascii="黑体" w:hAnsi="宋体" w:eastAsia="黑体"/>
          <w:b w:val="0"/>
          <w:sz w:val="32"/>
          <w:szCs w:val="32"/>
        </w:rPr>
        <w:t>第七章 安全预评价结论</w:t>
      </w:r>
      <w:bookmarkEnd w:id="329"/>
      <w:bookmarkEnd w:id="330"/>
      <w:bookmarkEnd w:id="331"/>
      <w:bookmarkEnd w:id="332"/>
    </w:p>
    <w:p w14:paraId="76445021">
      <w:pPr>
        <w:keepNext/>
        <w:keepLines/>
        <w:spacing w:before="120" w:beforeLines="50" w:line="360" w:lineRule="auto"/>
        <w:outlineLvl w:val="1"/>
        <w:rPr>
          <w:rFonts w:ascii="黑体" w:hAnsi="宋体" w:eastAsia="黑体"/>
          <w:b w:val="0"/>
          <w:bCs/>
          <w:snapToGrid w:val="0"/>
          <w:sz w:val="30"/>
          <w:szCs w:val="30"/>
        </w:rPr>
      </w:pPr>
      <w:bookmarkStart w:id="333" w:name="_Toc92505501"/>
      <w:bookmarkStart w:id="334" w:name="_Toc91555135"/>
      <w:bookmarkStart w:id="335" w:name="_Toc110569916"/>
      <w:bookmarkStart w:id="336" w:name="_Toc93977191"/>
      <w:bookmarkStart w:id="337" w:name="_Toc233449819"/>
      <w:bookmarkStart w:id="338" w:name="_Toc205979660"/>
      <w:r>
        <w:rPr>
          <w:rFonts w:hint="eastAsia" w:ascii="黑体" w:hAnsi="宋体" w:eastAsia="黑体"/>
          <w:b w:val="0"/>
          <w:bCs/>
          <w:snapToGrid w:val="0"/>
          <w:sz w:val="30"/>
          <w:szCs w:val="30"/>
        </w:rPr>
        <w:t>7.1评价结果</w:t>
      </w:r>
      <w:bookmarkEnd w:id="333"/>
      <w:bookmarkEnd w:id="334"/>
      <w:bookmarkEnd w:id="335"/>
      <w:bookmarkEnd w:id="336"/>
      <w:bookmarkEnd w:id="337"/>
      <w:bookmarkEnd w:id="338"/>
    </w:p>
    <w:p w14:paraId="051592E1">
      <w:pPr>
        <w:jc w:val="center"/>
        <w:rPr>
          <w:rFonts w:ascii="Arial" w:hAnsi="Arial" w:eastAsia="黑体" w:cs="Arial"/>
          <w:b w:val="0"/>
          <w:sz w:val="24"/>
        </w:rPr>
      </w:pPr>
      <w:r>
        <w:rPr>
          <w:rFonts w:hint="eastAsia" w:ascii="Arial" w:hAnsi="Arial" w:eastAsia="黑体" w:cs="Arial"/>
          <w:b w:val="0"/>
          <w:sz w:val="24"/>
        </w:rPr>
        <w:t>表7.1 各单元评价结果</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667"/>
        <w:gridCol w:w="2398"/>
        <w:gridCol w:w="4505"/>
      </w:tblGrid>
      <w:tr w14:paraId="6A8D2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blHeader/>
          <w:jc w:val="center"/>
        </w:trPr>
        <w:tc>
          <w:tcPr>
            <w:tcW w:w="772" w:type="dxa"/>
            <w:tcBorders>
              <w:bottom w:val="single" w:color="auto" w:sz="4" w:space="0"/>
            </w:tcBorders>
            <w:vAlign w:val="center"/>
          </w:tcPr>
          <w:p w14:paraId="2DD33A9E">
            <w:pPr>
              <w:spacing w:line="240" w:lineRule="exact"/>
              <w:jc w:val="center"/>
              <w:rPr>
                <w:rFonts w:ascii="宋体" w:hAnsi="宋体" w:cs="Arial"/>
                <w:bCs/>
                <w:spacing w:val="-12"/>
                <w:szCs w:val="21"/>
              </w:rPr>
            </w:pPr>
            <w:r>
              <w:rPr>
                <w:rFonts w:ascii="宋体" w:hAnsi="宋体" w:cs="Arial"/>
                <w:bCs/>
                <w:spacing w:val="-12"/>
                <w:szCs w:val="21"/>
              </w:rPr>
              <w:t>序号</w:t>
            </w:r>
          </w:p>
        </w:tc>
        <w:tc>
          <w:tcPr>
            <w:tcW w:w="1667" w:type="dxa"/>
            <w:tcBorders>
              <w:bottom w:val="single" w:color="auto" w:sz="4" w:space="0"/>
            </w:tcBorders>
            <w:vAlign w:val="center"/>
          </w:tcPr>
          <w:p w14:paraId="4E4B4F57">
            <w:pPr>
              <w:spacing w:line="240" w:lineRule="exact"/>
              <w:jc w:val="center"/>
              <w:rPr>
                <w:rFonts w:ascii="宋体" w:hAnsi="宋体" w:cs="Arial"/>
                <w:bCs/>
                <w:spacing w:val="-12"/>
                <w:szCs w:val="21"/>
              </w:rPr>
            </w:pPr>
            <w:r>
              <w:rPr>
                <w:rFonts w:ascii="宋体" w:hAnsi="宋体" w:cs="Arial"/>
                <w:bCs/>
                <w:spacing w:val="-12"/>
                <w:szCs w:val="21"/>
              </w:rPr>
              <w:t>评价方法</w:t>
            </w:r>
          </w:p>
        </w:tc>
        <w:tc>
          <w:tcPr>
            <w:tcW w:w="2398" w:type="dxa"/>
            <w:tcBorders>
              <w:bottom w:val="single" w:color="auto" w:sz="4" w:space="0"/>
            </w:tcBorders>
            <w:vAlign w:val="center"/>
          </w:tcPr>
          <w:p w14:paraId="1435A487">
            <w:pPr>
              <w:spacing w:line="240" w:lineRule="exact"/>
              <w:jc w:val="center"/>
              <w:rPr>
                <w:rFonts w:ascii="宋体" w:hAnsi="宋体" w:cs="Arial"/>
                <w:bCs/>
                <w:spacing w:val="-12"/>
                <w:szCs w:val="21"/>
              </w:rPr>
            </w:pPr>
            <w:r>
              <w:rPr>
                <w:rFonts w:ascii="宋体" w:hAnsi="宋体" w:cs="Arial"/>
                <w:bCs/>
                <w:spacing w:val="-12"/>
                <w:szCs w:val="21"/>
              </w:rPr>
              <w:t>单  元</w:t>
            </w:r>
          </w:p>
        </w:tc>
        <w:tc>
          <w:tcPr>
            <w:tcW w:w="4505" w:type="dxa"/>
            <w:tcBorders>
              <w:bottom w:val="single" w:color="auto" w:sz="4" w:space="0"/>
            </w:tcBorders>
            <w:vAlign w:val="center"/>
          </w:tcPr>
          <w:p w14:paraId="5F4F8D86">
            <w:pPr>
              <w:spacing w:line="240" w:lineRule="exact"/>
              <w:jc w:val="center"/>
              <w:rPr>
                <w:rFonts w:ascii="宋体" w:hAnsi="宋体" w:cs="Arial"/>
                <w:bCs/>
                <w:spacing w:val="-12"/>
                <w:szCs w:val="21"/>
              </w:rPr>
            </w:pPr>
            <w:r>
              <w:rPr>
                <w:rFonts w:ascii="宋体" w:hAnsi="宋体" w:cs="Arial"/>
                <w:bCs/>
                <w:spacing w:val="-12"/>
                <w:szCs w:val="21"/>
              </w:rPr>
              <w:t>评价结果</w:t>
            </w:r>
          </w:p>
        </w:tc>
      </w:tr>
      <w:tr w14:paraId="5553D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72" w:type="dxa"/>
            <w:tcBorders>
              <w:top w:val="single" w:color="auto" w:sz="4" w:space="0"/>
              <w:bottom w:val="single" w:color="auto" w:sz="4" w:space="0"/>
            </w:tcBorders>
            <w:vAlign w:val="center"/>
          </w:tcPr>
          <w:p w14:paraId="14F106AA">
            <w:pPr>
              <w:spacing w:line="240" w:lineRule="exact"/>
              <w:jc w:val="center"/>
              <w:rPr>
                <w:rFonts w:ascii="宋体" w:hAnsi="宋体" w:cs="Arial"/>
                <w:b w:val="0"/>
                <w:spacing w:val="-12"/>
                <w:szCs w:val="21"/>
              </w:rPr>
            </w:pPr>
            <w:r>
              <w:rPr>
                <w:rFonts w:ascii="宋体" w:hAnsi="宋体" w:cs="Arial"/>
                <w:b w:val="0"/>
                <w:spacing w:val="-12"/>
                <w:szCs w:val="21"/>
              </w:rPr>
              <w:t>1</w:t>
            </w:r>
          </w:p>
        </w:tc>
        <w:tc>
          <w:tcPr>
            <w:tcW w:w="1667" w:type="dxa"/>
            <w:vMerge w:val="restart"/>
            <w:tcBorders>
              <w:top w:val="single" w:color="auto" w:sz="4" w:space="0"/>
            </w:tcBorders>
            <w:vAlign w:val="center"/>
          </w:tcPr>
          <w:p w14:paraId="4D787C7C">
            <w:pPr>
              <w:spacing w:line="240" w:lineRule="exact"/>
              <w:jc w:val="center"/>
              <w:rPr>
                <w:rFonts w:ascii="宋体" w:hAnsi="宋体" w:cs="Arial"/>
                <w:b w:val="0"/>
                <w:spacing w:val="-12"/>
                <w:szCs w:val="21"/>
              </w:rPr>
            </w:pPr>
            <w:r>
              <w:rPr>
                <w:rFonts w:ascii="宋体" w:hAnsi="宋体" w:cs="Arial"/>
                <w:b w:val="0"/>
                <w:spacing w:val="-12"/>
                <w:szCs w:val="21"/>
              </w:rPr>
              <w:t>安全检查表</w:t>
            </w:r>
          </w:p>
        </w:tc>
        <w:tc>
          <w:tcPr>
            <w:tcW w:w="2398" w:type="dxa"/>
            <w:tcBorders>
              <w:top w:val="single" w:color="auto" w:sz="4" w:space="0"/>
              <w:bottom w:val="single" w:color="auto" w:sz="4" w:space="0"/>
            </w:tcBorders>
            <w:vAlign w:val="center"/>
          </w:tcPr>
          <w:p w14:paraId="46BABA1D">
            <w:pPr>
              <w:jc w:val="center"/>
              <w:rPr>
                <w:rFonts w:ascii="宋体" w:hAnsi="宋体" w:cs="Arial"/>
                <w:b w:val="0"/>
              </w:rPr>
            </w:pPr>
            <w:r>
              <w:rPr>
                <w:rFonts w:ascii="宋体" w:hAnsi="宋体" w:cs="Arial"/>
                <w:b w:val="0"/>
              </w:rPr>
              <w:t>建设项目外部安全条件单元</w:t>
            </w:r>
          </w:p>
        </w:tc>
        <w:tc>
          <w:tcPr>
            <w:tcW w:w="4505" w:type="dxa"/>
            <w:tcBorders>
              <w:top w:val="single" w:color="auto" w:sz="4" w:space="0"/>
              <w:bottom w:val="single" w:color="auto" w:sz="4" w:space="0"/>
            </w:tcBorders>
            <w:vAlign w:val="center"/>
          </w:tcPr>
          <w:p w14:paraId="49291798">
            <w:pPr>
              <w:spacing w:line="240" w:lineRule="exact"/>
              <w:rPr>
                <w:rFonts w:ascii="宋体" w:hAnsi="宋体" w:cs="Arial"/>
                <w:b w:val="0"/>
              </w:rPr>
            </w:pPr>
            <w:r>
              <w:rPr>
                <w:rFonts w:ascii="宋体" w:hAnsi="宋体" w:cs="Arial"/>
                <w:b w:val="0"/>
              </w:rPr>
              <w:t>建设项目外部安全条件单元</w:t>
            </w:r>
            <w:r>
              <w:rPr>
                <w:rFonts w:hint="eastAsia" w:ascii="宋体" w:hAnsi="宋体" w:cs="Arial"/>
                <w:b w:val="0"/>
              </w:rPr>
              <w:t>符合要求</w:t>
            </w:r>
          </w:p>
        </w:tc>
      </w:tr>
      <w:tr w14:paraId="31B94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72" w:type="dxa"/>
            <w:tcBorders>
              <w:top w:val="single" w:color="auto" w:sz="4" w:space="0"/>
              <w:bottom w:val="single" w:color="auto" w:sz="4" w:space="0"/>
            </w:tcBorders>
            <w:vAlign w:val="center"/>
          </w:tcPr>
          <w:p w14:paraId="1896F6BA">
            <w:pPr>
              <w:spacing w:line="240" w:lineRule="exact"/>
              <w:jc w:val="center"/>
              <w:rPr>
                <w:rFonts w:ascii="宋体" w:hAnsi="宋体" w:cs="Arial"/>
                <w:b w:val="0"/>
                <w:spacing w:val="-12"/>
                <w:szCs w:val="21"/>
              </w:rPr>
            </w:pPr>
            <w:r>
              <w:rPr>
                <w:rFonts w:ascii="宋体" w:hAnsi="宋体" w:cs="Arial"/>
                <w:b w:val="0"/>
                <w:spacing w:val="-12"/>
                <w:szCs w:val="21"/>
              </w:rPr>
              <w:t>2</w:t>
            </w:r>
          </w:p>
        </w:tc>
        <w:tc>
          <w:tcPr>
            <w:tcW w:w="1667" w:type="dxa"/>
            <w:vMerge w:val="continue"/>
            <w:tcBorders>
              <w:top w:val="single" w:color="auto" w:sz="4" w:space="0"/>
            </w:tcBorders>
            <w:vAlign w:val="center"/>
          </w:tcPr>
          <w:p w14:paraId="0F51B419">
            <w:pPr>
              <w:spacing w:line="240" w:lineRule="exact"/>
              <w:jc w:val="center"/>
              <w:rPr>
                <w:rFonts w:ascii="宋体" w:hAnsi="宋体" w:cs="Arial"/>
                <w:b w:val="0"/>
                <w:spacing w:val="-12"/>
                <w:szCs w:val="21"/>
              </w:rPr>
            </w:pPr>
          </w:p>
        </w:tc>
        <w:tc>
          <w:tcPr>
            <w:tcW w:w="2398" w:type="dxa"/>
            <w:tcBorders>
              <w:top w:val="single" w:color="auto" w:sz="4" w:space="0"/>
              <w:bottom w:val="single" w:color="auto" w:sz="4" w:space="0"/>
            </w:tcBorders>
            <w:vAlign w:val="center"/>
          </w:tcPr>
          <w:p w14:paraId="3E93CC90">
            <w:pPr>
              <w:jc w:val="center"/>
              <w:rPr>
                <w:rFonts w:ascii="宋体" w:hAnsi="宋体" w:cs="Arial"/>
                <w:b w:val="0"/>
              </w:rPr>
            </w:pPr>
            <w:r>
              <w:rPr>
                <w:rFonts w:hint="eastAsia" w:ascii="宋体" w:hAnsi="宋体" w:cs="Arial"/>
                <w:b w:val="0"/>
              </w:rPr>
              <w:t>选址、总平面布置和内部距离</w:t>
            </w:r>
          </w:p>
        </w:tc>
        <w:tc>
          <w:tcPr>
            <w:tcW w:w="4505" w:type="dxa"/>
            <w:tcBorders>
              <w:top w:val="single" w:color="auto" w:sz="4" w:space="0"/>
              <w:bottom w:val="single" w:color="auto" w:sz="4" w:space="0"/>
            </w:tcBorders>
            <w:vAlign w:val="center"/>
          </w:tcPr>
          <w:p w14:paraId="1DA121C1">
            <w:pPr>
              <w:spacing w:line="240" w:lineRule="exact"/>
              <w:rPr>
                <w:rFonts w:ascii="宋体" w:hAnsi="宋体" w:cs="Arial"/>
                <w:b w:val="0"/>
                <w:szCs w:val="21"/>
              </w:rPr>
            </w:pPr>
            <w:r>
              <w:rPr>
                <w:rFonts w:hint="eastAsia" w:ascii="宋体" w:hAnsi="宋体" w:cs="Arial"/>
                <w:b w:val="0"/>
              </w:rPr>
              <w:t>选址、总平面布置和内部距离</w:t>
            </w:r>
            <w:r>
              <w:rPr>
                <w:rFonts w:ascii="宋体" w:hAnsi="宋体" w:cs="Arial"/>
                <w:b w:val="0"/>
                <w:szCs w:val="21"/>
              </w:rPr>
              <w:t>符合规范要求</w:t>
            </w:r>
          </w:p>
          <w:p w14:paraId="1B435696">
            <w:pPr>
              <w:spacing w:line="240" w:lineRule="exact"/>
              <w:rPr>
                <w:rFonts w:ascii="宋体" w:hAnsi="宋体" w:cs="Arial"/>
                <w:b w:val="0"/>
                <w:szCs w:val="21"/>
              </w:rPr>
            </w:pPr>
            <w:r>
              <w:rPr>
                <w:rFonts w:hint="eastAsia" w:ascii="宋体" w:hAnsi="宋体" w:cs="Arial"/>
                <w:b w:val="0"/>
              </w:rPr>
              <w:t>在安全设计中，应重点落实关注警卫室、办公生活用房、消防水池之间的内部距离要求及相关对策措施建议</w:t>
            </w:r>
          </w:p>
        </w:tc>
      </w:tr>
      <w:tr w14:paraId="62C88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72" w:type="dxa"/>
            <w:tcBorders>
              <w:top w:val="single" w:color="auto" w:sz="4" w:space="0"/>
              <w:bottom w:val="single" w:color="auto" w:sz="4" w:space="0"/>
            </w:tcBorders>
            <w:vAlign w:val="center"/>
          </w:tcPr>
          <w:p w14:paraId="7DDB6564">
            <w:pPr>
              <w:spacing w:line="240" w:lineRule="exact"/>
              <w:jc w:val="center"/>
              <w:rPr>
                <w:rFonts w:ascii="宋体" w:hAnsi="宋体" w:cs="Arial"/>
                <w:b w:val="0"/>
                <w:spacing w:val="-12"/>
                <w:szCs w:val="21"/>
              </w:rPr>
            </w:pPr>
            <w:r>
              <w:rPr>
                <w:rFonts w:ascii="宋体" w:hAnsi="宋体" w:cs="Arial"/>
                <w:b w:val="0"/>
                <w:spacing w:val="-12"/>
                <w:szCs w:val="21"/>
              </w:rPr>
              <w:t>3</w:t>
            </w:r>
          </w:p>
        </w:tc>
        <w:tc>
          <w:tcPr>
            <w:tcW w:w="1667" w:type="dxa"/>
            <w:vMerge w:val="continue"/>
            <w:tcBorders>
              <w:top w:val="single" w:color="auto" w:sz="4" w:space="0"/>
            </w:tcBorders>
            <w:vAlign w:val="center"/>
          </w:tcPr>
          <w:p w14:paraId="6B589541">
            <w:pPr>
              <w:spacing w:line="240" w:lineRule="exact"/>
              <w:jc w:val="center"/>
              <w:rPr>
                <w:rFonts w:ascii="宋体" w:hAnsi="宋体" w:cs="Arial"/>
                <w:b w:val="0"/>
                <w:spacing w:val="-12"/>
                <w:szCs w:val="21"/>
              </w:rPr>
            </w:pPr>
          </w:p>
        </w:tc>
        <w:tc>
          <w:tcPr>
            <w:tcW w:w="2398" w:type="dxa"/>
            <w:tcBorders>
              <w:top w:val="single" w:color="auto" w:sz="4" w:space="0"/>
              <w:bottom w:val="single" w:color="auto" w:sz="4" w:space="0"/>
            </w:tcBorders>
            <w:vAlign w:val="center"/>
          </w:tcPr>
          <w:p w14:paraId="629A9047">
            <w:pPr>
              <w:jc w:val="center"/>
              <w:rPr>
                <w:rFonts w:ascii="宋体" w:hAnsi="宋体" w:cs="Arial"/>
                <w:b w:val="0"/>
              </w:rPr>
            </w:pPr>
            <w:r>
              <w:rPr>
                <w:rFonts w:hint="eastAsia" w:ascii="宋体" w:hAnsi="宋体" w:cs="Arial"/>
                <w:b w:val="0"/>
              </w:rPr>
              <w:t>安全设施单元</w:t>
            </w:r>
          </w:p>
        </w:tc>
        <w:tc>
          <w:tcPr>
            <w:tcW w:w="4505" w:type="dxa"/>
            <w:tcBorders>
              <w:top w:val="single" w:color="auto" w:sz="4" w:space="0"/>
              <w:bottom w:val="single" w:color="auto" w:sz="4" w:space="0"/>
            </w:tcBorders>
            <w:vAlign w:val="center"/>
          </w:tcPr>
          <w:p w14:paraId="4AF84DE5">
            <w:pPr>
              <w:spacing w:line="240" w:lineRule="exact"/>
              <w:rPr>
                <w:rFonts w:ascii="宋体" w:hAnsi="宋体" w:cs="Arial"/>
                <w:b w:val="0"/>
                <w:szCs w:val="21"/>
              </w:rPr>
            </w:pPr>
            <w:r>
              <w:rPr>
                <w:rFonts w:hint="eastAsia" w:ascii="宋体" w:hAnsi="宋体" w:cs="Arial"/>
                <w:b w:val="0"/>
              </w:rPr>
              <w:t>安全设施单元</w:t>
            </w:r>
            <w:r>
              <w:rPr>
                <w:rFonts w:ascii="宋体" w:hAnsi="宋体" w:cs="Arial"/>
                <w:b w:val="0"/>
                <w:szCs w:val="21"/>
              </w:rPr>
              <w:t>符合规范要求</w:t>
            </w:r>
            <w:r>
              <w:rPr>
                <w:rFonts w:hint="eastAsia" w:ascii="宋体" w:hAnsi="宋体" w:cs="Arial"/>
                <w:b w:val="0"/>
              </w:rPr>
              <w:t>，在安全设计中，应重点落实设施设备的合规性及消防水池的补水等相关对策措施要求</w:t>
            </w:r>
          </w:p>
        </w:tc>
      </w:tr>
      <w:tr w14:paraId="68CC8D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72" w:type="dxa"/>
            <w:vAlign w:val="center"/>
          </w:tcPr>
          <w:p w14:paraId="6EA25402">
            <w:pPr>
              <w:spacing w:line="240" w:lineRule="exact"/>
              <w:jc w:val="center"/>
              <w:rPr>
                <w:rFonts w:ascii="宋体" w:hAnsi="宋体" w:cs="Arial"/>
                <w:b w:val="0"/>
                <w:spacing w:val="-12"/>
                <w:szCs w:val="21"/>
              </w:rPr>
            </w:pPr>
            <w:r>
              <w:rPr>
                <w:rFonts w:ascii="宋体" w:hAnsi="宋体" w:cs="Arial"/>
                <w:b w:val="0"/>
                <w:spacing w:val="-12"/>
                <w:szCs w:val="21"/>
              </w:rPr>
              <w:t>4</w:t>
            </w:r>
          </w:p>
        </w:tc>
        <w:tc>
          <w:tcPr>
            <w:tcW w:w="4065" w:type="dxa"/>
            <w:gridSpan w:val="2"/>
            <w:vAlign w:val="center"/>
          </w:tcPr>
          <w:p w14:paraId="2EA5D14C">
            <w:pPr>
              <w:spacing w:line="240" w:lineRule="exact"/>
              <w:jc w:val="center"/>
              <w:rPr>
                <w:rFonts w:ascii="宋体" w:hAnsi="宋体" w:cs="Arial"/>
                <w:b w:val="0"/>
                <w:spacing w:val="-12"/>
                <w:szCs w:val="21"/>
              </w:rPr>
            </w:pPr>
            <w:r>
              <w:rPr>
                <w:rFonts w:ascii="宋体" w:hAnsi="宋体" w:cs="Arial"/>
                <w:b w:val="0"/>
                <w:spacing w:val="-12"/>
                <w:szCs w:val="21"/>
              </w:rPr>
              <w:t>预先危险性分析</w:t>
            </w:r>
          </w:p>
        </w:tc>
        <w:tc>
          <w:tcPr>
            <w:tcW w:w="4505" w:type="dxa"/>
            <w:vAlign w:val="center"/>
          </w:tcPr>
          <w:p w14:paraId="7BDFF7F6">
            <w:pPr>
              <w:spacing w:line="240" w:lineRule="exact"/>
              <w:jc w:val="center"/>
              <w:rPr>
                <w:rFonts w:ascii="宋体" w:hAnsi="宋体" w:cs="Arial"/>
                <w:b w:val="0"/>
                <w:spacing w:val="-12"/>
                <w:szCs w:val="21"/>
              </w:rPr>
            </w:pPr>
            <w:r>
              <w:rPr>
                <w:rFonts w:ascii="宋体" w:hAnsi="宋体" w:cs="Arial"/>
                <w:b w:val="0"/>
                <w:spacing w:val="-12"/>
                <w:szCs w:val="21"/>
              </w:rPr>
              <w:t>通过定量计算，系统预先危险性等级为比较安全级</w:t>
            </w:r>
          </w:p>
        </w:tc>
      </w:tr>
      <w:tr w14:paraId="04B48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72" w:type="dxa"/>
            <w:vAlign w:val="center"/>
          </w:tcPr>
          <w:p w14:paraId="5FEFECD3">
            <w:pPr>
              <w:spacing w:line="240" w:lineRule="exact"/>
              <w:jc w:val="center"/>
              <w:rPr>
                <w:rFonts w:ascii="宋体" w:hAnsi="宋体" w:cs="Arial"/>
                <w:b w:val="0"/>
                <w:spacing w:val="-12"/>
                <w:szCs w:val="21"/>
              </w:rPr>
            </w:pPr>
            <w:r>
              <w:rPr>
                <w:rFonts w:hint="eastAsia" w:ascii="宋体" w:hAnsi="宋体" w:cs="Arial"/>
                <w:b w:val="0"/>
                <w:spacing w:val="-12"/>
                <w:szCs w:val="21"/>
              </w:rPr>
              <w:t>5</w:t>
            </w:r>
          </w:p>
        </w:tc>
        <w:tc>
          <w:tcPr>
            <w:tcW w:w="4065" w:type="dxa"/>
            <w:gridSpan w:val="2"/>
            <w:vAlign w:val="center"/>
          </w:tcPr>
          <w:p w14:paraId="3CCED3C5">
            <w:pPr>
              <w:spacing w:line="240" w:lineRule="exact"/>
              <w:jc w:val="center"/>
              <w:rPr>
                <w:rFonts w:ascii="宋体" w:hAnsi="宋体" w:cs="Arial"/>
                <w:b w:val="0"/>
                <w:spacing w:val="-12"/>
                <w:szCs w:val="21"/>
              </w:rPr>
            </w:pPr>
            <w:r>
              <w:rPr>
                <w:rFonts w:hint="eastAsia" w:ascii="宋体" w:hAnsi="宋体" w:cs="Arial"/>
                <w:b w:val="0"/>
                <w:spacing w:val="-12"/>
                <w:szCs w:val="21"/>
              </w:rPr>
              <w:t>事故树分析法</w:t>
            </w:r>
          </w:p>
        </w:tc>
        <w:tc>
          <w:tcPr>
            <w:tcW w:w="4505" w:type="dxa"/>
            <w:vAlign w:val="center"/>
          </w:tcPr>
          <w:p w14:paraId="08307476">
            <w:pPr>
              <w:spacing w:line="240" w:lineRule="exact"/>
              <w:jc w:val="center"/>
              <w:rPr>
                <w:rFonts w:ascii="宋体" w:hAnsi="宋体" w:cs="Arial"/>
                <w:b w:val="0"/>
                <w:spacing w:val="-12"/>
                <w:szCs w:val="21"/>
              </w:rPr>
            </w:pPr>
            <w:r>
              <w:rPr>
                <w:rFonts w:hint="eastAsia" w:ascii="宋体" w:hAnsi="宋体" w:cs="Arial"/>
                <w:b w:val="0"/>
                <w:spacing w:val="-12"/>
                <w:szCs w:val="21"/>
              </w:rPr>
              <w:t>危险有害因素：明火、静电火花、雷电危害、射频危害、热积累、摩擦撞击</w:t>
            </w:r>
          </w:p>
        </w:tc>
      </w:tr>
    </w:tbl>
    <w:p w14:paraId="54AD21AC">
      <w:pPr>
        <w:keepNext/>
        <w:keepLines/>
        <w:spacing w:before="240" w:beforeLines="100" w:line="360" w:lineRule="auto"/>
        <w:outlineLvl w:val="1"/>
        <w:rPr>
          <w:rFonts w:ascii="黑体" w:hAnsi="宋体" w:eastAsia="黑体"/>
          <w:b w:val="0"/>
          <w:bCs/>
          <w:snapToGrid w:val="0"/>
          <w:sz w:val="30"/>
          <w:szCs w:val="30"/>
        </w:rPr>
      </w:pPr>
      <w:bookmarkStart w:id="339" w:name="_Toc128477417"/>
      <w:bookmarkStart w:id="340" w:name="_Toc233449820"/>
      <w:bookmarkStart w:id="341" w:name="_Toc205979661"/>
      <w:r>
        <w:rPr>
          <w:rFonts w:hint="eastAsia" w:ascii="黑体" w:hAnsi="宋体" w:eastAsia="黑体"/>
          <w:b w:val="0"/>
          <w:bCs/>
          <w:snapToGrid w:val="0"/>
          <w:sz w:val="30"/>
          <w:szCs w:val="30"/>
        </w:rPr>
        <w:t>7.2评价结论</w:t>
      </w:r>
      <w:bookmarkEnd w:id="339"/>
      <w:bookmarkEnd w:id="340"/>
      <w:bookmarkEnd w:id="341"/>
    </w:p>
    <w:p w14:paraId="4A94DE4B">
      <w:pPr>
        <w:tabs>
          <w:tab w:val="left" w:pos="840"/>
        </w:tabs>
        <w:spacing w:line="560" w:lineRule="exact"/>
        <w:ind w:firstLine="560" w:firstLineChars="200"/>
        <w:rPr>
          <w:rFonts w:ascii="宋体" w:hAnsi="宋体" w:cs="宋体"/>
          <w:b w:val="0"/>
          <w:sz w:val="28"/>
        </w:rPr>
      </w:pPr>
      <w:r>
        <w:rPr>
          <w:rFonts w:hint="eastAsia" w:ascii="宋体" w:hAnsi="宋体" w:cs="宋体"/>
          <w:b w:val="0"/>
          <w:sz w:val="28"/>
        </w:rPr>
        <w:t>通过对黑龙江泰运烟花有限公司异地新建烟花爆竹库区项目安全预评价，现得出以下结论：</w:t>
      </w:r>
    </w:p>
    <w:p w14:paraId="4BB53610">
      <w:pPr>
        <w:tabs>
          <w:tab w:val="left" w:pos="840"/>
        </w:tabs>
        <w:spacing w:line="560" w:lineRule="exact"/>
        <w:ind w:firstLine="560" w:firstLineChars="200"/>
        <w:rPr>
          <w:rFonts w:ascii="宋体" w:hAnsi="宋体" w:cs="宋体"/>
          <w:b w:val="0"/>
          <w:sz w:val="28"/>
        </w:rPr>
      </w:pPr>
      <w:r>
        <w:rPr>
          <w:rFonts w:hint="eastAsia" w:ascii="宋体" w:hAnsi="宋体" w:cs="宋体"/>
          <w:b w:val="0"/>
          <w:sz w:val="28"/>
        </w:rPr>
        <w:t>1）黑龙江泰运烟花有限公司异地新建烟花爆竹库区项目选址、总平面布置、建筑结构、安全设施、配套公用工程及辅助设施等基本符合国家相关法律法规、标准、规章、规范要求。</w:t>
      </w:r>
    </w:p>
    <w:p w14:paraId="3830FE82">
      <w:pPr>
        <w:tabs>
          <w:tab w:val="left" w:pos="840"/>
        </w:tabs>
        <w:spacing w:line="560" w:lineRule="exact"/>
        <w:ind w:firstLine="560" w:firstLineChars="200"/>
        <w:rPr>
          <w:rFonts w:ascii="宋体" w:hAnsi="宋体" w:cs="宋体"/>
          <w:b w:val="0"/>
          <w:sz w:val="28"/>
        </w:rPr>
      </w:pPr>
      <w:r>
        <w:rPr>
          <w:rFonts w:hint="eastAsia" w:ascii="宋体" w:hAnsi="宋体" w:cs="宋体"/>
          <w:b w:val="0"/>
          <w:sz w:val="28"/>
        </w:rPr>
        <w:t>2）本项目建成后，在严格按拟定最大储存量分类存放烟花爆竹成品的情况下虽不属于重大危险源，建议企业必须按照重大危险源进行严格的监控，制订应急救援预案，并定期演练不断完善。并应及时将本单位危险源及相关制度、应急措施等报地方人民政府负责安全生产监督管理的部门和有关部门备案。</w:t>
      </w:r>
    </w:p>
    <w:p w14:paraId="5D088A5E">
      <w:pPr>
        <w:tabs>
          <w:tab w:val="left" w:pos="840"/>
        </w:tabs>
        <w:spacing w:line="560" w:lineRule="exact"/>
        <w:ind w:firstLine="560" w:firstLineChars="200"/>
        <w:rPr>
          <w:rFonts w:ascii="宋体" w:hAnsi="宋体" w:cs="宋体"/>
          <w:b w:val="0"/>
          <w:sz w:val="28"/>
        </w:rPr>
      </w:pPr>
      <w:r>
        <w:rPr>
          <w:rFonts w:hint="eastAsia" w:ascii="宋体" w:hAnsi="宋体" w:cs="宋体"/>
          <w:b w:val="0"/>
          <w:sz w:val="28"/>
        </w:rPr>
        <w:t>3）通过查阅初步方案设计图，认为本项目仍有需要补充和完善的安全对策措施，在设计过程中，应重点落实报告提及各项安全对策措施内容。</w:t>
      </w:r>
    </w:p>
    <w:p w14:paraId="05C7E834">
      <w:pPr>
        <w:tabs>
          <w:tab w:val="left" w:pos="840"/>
        </w:tabs>
        <w:spacing w:line="560" w:lineRule="exact"/>
        <w:ind w:firstLine="560" w:firstLineChars="200"/>
        <w:rPr>
          <w:rFonts w:ascii="宋体" w:hAnsi="宋体" w:cs="宋体"/>
          <w:b w:val="0"/>
          <w:sz w:val="28"/>
        </w:rPr>
      </w:pPr>
      <w:r>
        <w:rPr>
          <w:rFonts w:hint="eastAsia" w:ascii="宋体" w:hAnsi="宋体" w:cs="宋体"/>
          <w:b w:val="0"/>
          <w:sz w:val="28"/>
        </w:rPr>
        <w:t>4）本项目实施后应重点防范的危险因素为火灾爆炸，对易发生火灾爆炸的烟花爆竹产品应加强巡视及管理，做好火灾爆炸事故的应急预案，确保仓储安全和疏散安全。</w:t>
      </w:r>
    </w:p>
    <w:p w14:paraId="49785E3D">
      <w:pPr>
        <w:tabs>
          <w:tab w:val="left" w:pos="840"/>
        </w:tabs>
        <w:spacing w:line="560" w:lineRule="exact"/>
        <w:ind w:firstLine="560" w:firstLineChars="200"/>
        <w:rPr>
          <w:rFonts w:ascii="宋体" w:hAnsi="宋体" w:cs="宋体"/>
          <w:b w:val="0"/>
          <w:sz w:val="28"/>
        </w:rPr>
      </w:pPr>
      <w:r>
        <w:rPr>
          <w:rFonts w:hint="eastAsia" w:ascii="宋体" w:hAnsi="宋体" w:cs="宋体"/>
          <w:b w:val="0"/>
          <w:sz w:val="28"/>
        </w:rPr>
        <w:t>5）建议建设单位和上级主管部门对本报告中所提出的危险、有害因素引起重视，并将本报告中提出的安全对策措施建议，在设计、施工、试运行、日常安全管理过程中予以落实。</w:t>
      </w:r>
    </w:p>
    <w:p w14:paraId="1930A0FE">
      <w:pPr>
        <w:tabs>
          <w:tab w:val="left" w:pos="840"/>
        </w:tabs>
        <w:spacing w:line="560" w:lineRule="exact"/>
        <w:ind w:firstLine="560" w:firstLineChars="200"/>
        <w:rPr>
          <w:rFonts w:ascii="宋体" w:hAnsi="宋体" w:cs="宋体"/>
          <w:b w:val="0"/>
          <w:sz w:val="28"/>
        </w:rPr>
      </w:pPr>
      <w:r>
        <w:rPr>
          <w:rFonts w:hint="eastAsia" w:ascii="宋体" w:hAnsi="宋体" w:cs="宋体"/>
          <w:b w:val="0"/>
          <w:sz w:val="28"/>
        </w:rPr>
        <w:t>6）本预评价报告针对存在的危害因素提出了有针对性的安全对策措施及建议，要求建设（单位）企业在今后设计、施工和生产管理过程中积极落实。落实本预评价报告中各项安全对策措施后，其危险、有害因素完全可以得到有效控制，可实现安全生产。</w:t>
      </w:r>
    </w:p>
    <w:p w14:paraId="6202424A">
      <w:pPr>
        <w:spacing w:line="560" w:lineRule="exact"/>
        <w:ind w:firstLine="562" w:firstLineChars="200"/>
        <w:rPr>
          <w:rFonts w:ascii="宋体" w:hAnsi="宋体"/>
          <w:b w:val="0"/>
          <w:sz w:val="28"/>
        </w:rPr>
      </w:pPr>
      <w:r>
        <w:rPr>
          <w:rFonts w:hint="eastAsia" w:ascii="Arial" w:hAnsi="宋体" w:cs="Arial"/>
          <w:sz w:val="28"/>
          <w:szCs w:val="28"/>
        </w:rPr>
        <w:t>在严格执行国家技术标准和法律法规的基础上，落实本预评价报告提出的安全措施后，项目危险有害因素的风险能控制在可接受范围，黑龙江泰运烟花有限公司异地新建烟花爆竹库区项目设立符合国家相关法律、法规的要求</w:t>
      </w:r>
      <w:r>
        <w:rPr>
          <w:rFonts w:ascii="Arial" w:hAnsi="宋体" w:cs="Arial"/>
          <w:sz w:val="28"/>
          <w:szCs w:val="28"/>
        </w:rPr>
        <w:t>。</w:t>
      </w:r>
    </w:p>
    <w:p w14:paraId="6DA66164">
      <w:pPr>
        <w:widowControl/>
        <w:jc w:val="left"/>
        <w:rPr>
          <w:rFonts w:ascii="宋体" w:hAnsi="宋体"/>
          <w:b w:val="0"/>
          <w:sz w:val="28"/>
        </w:rPr>
      </w:pPr>
      <w:r>
        <w:rPr>
          <w:rFonts w:ascii="宋体" w:hAnsi="宋体"/>
          <w:b w:val="0"/>
          <w:sz w:val="28"/>
        </w:rPr>
        <w:br w:type="page"/>
      </w:r>
    </w:p>
    <w:p w14:paraId="0048BCF8">
      <w:pPr>
        <w:spacing w:line="360" w:lineRule="auto"/>
        <w:ind w:firstLine="200"/>
        <w:rPr>
          <w:rFonts w:ascii="宋体" w:hAnsi="宋体"/>
          <w:b w:val="0"/>
          <w:sz w:val="28"/>
        </w:rPr>
      </w:pPr>
      <w:r>
        <w:rPr>
          <w:rFonts w:ascii="宋体" w:hAnsi="宋体"/>
          <w:sz w:val="28"/>
        </w:rPr>
        <w:t>评价人员现场照片</w:t>
      </w:r>
    </w:p>
    <w:bookmarkEnd w:id="0"/>
    <w:bookmarkEnd w:id="1"/>
    <w:bookmarkEnd w:id="2"/>
    <w:bookmarkEnd w:id="3"/>
    <w:bookmarkEnd w:id="4"/>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7"/>
        <w:gridCol w:w="4587"/>
      </w:tblGrid>
      <w:tr w14:paraId="30C4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Pr>
          <w:p w14:paraId="69071974">
            <w:pPr>
              <w:widowControl/>
              <w:spacing w:line="360" w:lineRule="auto"/>
              <w:jc w:val="left"/>
              <w:rPr>
                <w:rFonts w:ascii="Times New Roman" w:hAnsi="Times New Roman"/>
                <w:sz w:val="28"/>
                <w:szCs w:val="28"/>
              </w:rPr>
            </w:pPr>
            <w:bookmarkStart w:id="342" w:name="_Toc27285"/>
            <w:bookmarkStart w:id="343" w:name="_Toc11946"/>
            <w:bookmarkStart w:id="344" w:name="_Toc1852"/>
            <w:r>
              <w:rPr>
                <w:rFonts w:ascii="Times New Roman" w:hAnsi="Times New Roman"/>
                <w:sz w:val="28"/>
                <w:szCs w:val="28"/>
              </w:rPr>
              <w:drawing>
                <wp:inline distT="0" distB="0" distL="0" distR="0">
                  <wp:extent cx="2689225" cy="4493895"/>
                  <wp:effectExtent l="0" t="0" r="0" b="1905"/>
                  <wp:docPr id="16" name="图片 16" descr="C:\Users\Administrator\Desktop\4b5b9946f80f8b6b213fbd66a3ba4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4b5b9946f80f8b6b213fbd66a3ba4a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89232" cy="4494363"/>
                          </a:xfrm>
                          <a:prstGeom prst="rect">
                            <a:avLst/>
                          </a:prstGeom>
                          <a:noFill/>
                          <a:ln>
                            <a:noFill/>
                          </a:ln>
                        </pic:spPr>
                      </pic:pic>
                    </a:graphicData>
                  </a:graphic>
                </wp:inline>
              </w:drawing>
            </w:r>
          </w:p>
        </w:tc>
        <w:tc>
          <w:tcPr>
            <w:tcW w:w="4587" w:type="dxa"/>
          </w:tcPr>
          <w:p w14:paraId="59DCEBAE">
            <w:pPr>
              <w:widowControl/>
              <w:spacing w:line="360" w:lineRule="auto"/>
              <w:jc w:val="left"/>
              <w:rPr>
                <w:rFonts w:ascii="Times New Roman" w:hAnsi="Times New Roman"/>
                <w:sz w:val="28"/>
                <w:szCs w:val="28"/>
              </w:rPr>
            </w:pPr>
            <w:bookmarkStart w:id="353" w:name="_GoBack"/>
            <w:r>
              <w:rPr>
                <w:rFonts w:ascii="Times New Roman" w:hAnsi="Times New Roman" w:eastAsia="宋体"/>
                <w:b/>
                <w:kern w:val="2"/>
                <w:sz w:val="28"/>
                <w:szCs w:val="28"/>
                <w:u w:val="none" w:color="FF0000"/>
              </w:rPr>
              <w:drawing>
                <wp:inline distT="0" distB="0" distL="114300" distR="114300">
                  <wp:extent cx="2642235" cy="4424045"/>
                  <wp:effectExtent l="0" t="0" r="5715" b="14605"/>
                  <wp:docPr id="15" name="图片 2" descr="a636729e387d181b95e44c7d79845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a636729e387d181b95e44c7d79845fd1"/>
                          <pic:cNvPicPr>
                            <a:picLocks noChangeAspect="1"/>
                          </pic:cNvPicPr>
                        </pic:nvPicPr>
                        <pic:blipFill>
                          <a:blip r:embed="rId30"/>
                          <a:stretch>
                            <a:fillRect/>
                          </a:stretch>
                        </pic:blipFill>
                        <pic:spPr>
                          <a:xfrm>
                            <a:off x="0" y="0"/>
                            <a:ext cx="2642235" cy="4424045"/>
                          </a:xfrm>
                          <a:prstGeom prst="rect">
                            <a:avLst/>
                          </a:prstGeom>
                          <a:noFill/>
                          <a:ln>
                            <a:noFill/>
                          </a:ln>
                        </pic:spPr>
                      </pic:pic>
                    </a:graphicData>
                  </a:graphic>
                </wp:inline>
              </w:drawing>
            </w:r>
            <w:bookmarkEnd w:id="353"/>
          </w:p>
        </w:tc>
      </w:tr>
    </w:tbl>
    <w:p w14:paraId="0F262527">
      <w:pPr>
        <w:widowControl/>
        <w:spacing w:line="360" w:lineRule="auto"/>
        <w:ind w:firstLine="200"/>
        <w:jc w:val="left"/>
        <w:rPr>
          <w:rFonts w:ascii="Times New Roman" w:hAnsi="Times New Roman"/>
          <w:sz w:val="28"/>
          <w:szCs w:val="28"/>
        </w:rPr>
      </w:pPr>
    </w:p>
    <w:p w14:paraId="7E73A120">
      <w:pPr>
        <w:widowControl/>
        <w:spacing w:line="360" w:lineRule="auto"/>
        <w:ind w:firstLine="200"/>
        <w:jc w:val="left"/>
        <w:rPr>
          <w:rFonts w:ascii="Times New Roman" w:hAnsi="Times New Roman"/>
          <w:sz w:val="28"/>
          <w:szCs w:val="28"/>
        </w:rPr>
      </w:pPr>
    </w:p>
    <w:p w14:paraId="0B25BEEC">
      <w:pPr>
        <w:pStyle w:val="2"/>
        <w:ind w:firstLine="562"/>
      </w:pPr>
      <w:r>
        <w:br w:type="page"/>
      </w:r>
    </w:p>
    <w:p w14:paraId="352B9011">
      <w:pPr>
        <w:widowControl/>
        <w:spacing w:line="360" w:lineRule="auto"/>
        <w:ind w:firstLine="200"/>
        <w:jc w:val="left"/>
        <w:rPr>
          <w:rFonts w:ascii="Times New Roman" w:hAnsi="Times New Roman"/>
          <w:sz w:val="28"/>
          <w:szCs w:val="28"/>
        </w:rPr>
      </w:pPr>
    </w:p>
    <w:bookmarkEnd w:id="5"/>
    <w:bookmarkEnd w:id="6"/>
    <w:bookmarkEnd w:id="7"/>
    <w:bookmarkEnd w:id="8"/>
    <w:bookmarkEnd w:id="9"/>
    <w:bookmarkEnd w:id="10"/>
    <w:bookmarkEnd w:id="342"/>
    <w:bookmarkEnd w:id="343"/>
    <w:bookmarkEnd w:id="344"/>
    <w:p w14:paraId="0A675F93">
      <w:pPr>
        <w:pStyle w:val="4"/>
        <w:jc w:val="left"/>
        <w:rPr>
          <w:rFonts w:ascii="宋体" w:hAnsi="宋体" w:eastAsia="宋体" w:cs="宋体"/>
          <w:bCs/>
          <w:sz w:val="36"/>
          <w:szCs w:val="36"/>
        </w:rPr>
        <w:sectPr>
          <w:headerReference r:id="rId16" w:type="default"/>
          <w:footerReference r:id="rId17" w:type="default"/>
          <w:footerReference r:id="rId18" w:type="even"/>
          <w:pgSz w:w="11906" w:h="16838"/>
          <w:pgMar w:top="1387" w:right="1474" w:bottom="1701" w:left="1474" w:header="709" w:footer="907" w:gutter="0"/>
          <w:cols w:space="720" w:num="1"/>
          <w:docGrid w:linePitch="312" w:charSpace="0"/>
        </w:sectPr>
      </w:pPr>
      <w:bookmarkStart w:id="345" w:name="_Toc2002"/>
      <w:bookmarkStart w:id="346" w:name="_Toc23428"/>
      <w:bookmarkStart w:id="347" w:name="_Toc14497"/>
      <w:bookmarkStart w:id="348" w:name="_Toc28993"/>
      <w:bookmarkStart w:id="349" w:name="_Toc144559817"/>
    </w:p>
    <w:p w14:paraId="0EA659EB">
      <w:pPr>
        <w:pStyle w:val="4"/>
        <w:jc w:val="left"/>
        <w:rPr>
          <w:rFonts w:ascii="宋体" w:hAnsi="宋体" w:eastAsia="宋体" w:cs="宋体"/>
          <w:bCs/>
          <w:sz w:val="36"/>
          <w:szCs w:val="36"/>
        </w:rPr>
      </w:pPr>
      <w:bookmarkStart w:id="350" w:name="_Toc205979662"/>
      <w:r>
        <w:rPr>
          <w:rFonts w:hint="eastAsia" w:ascii="宋体" w:hAnsi="宋体" w:eastAsia="宋体" w:cs="宋体"/>
          <w:bCs/>
          <w:sz w:val="36"/>
          <w:szCs w:val="36"/>
        </w:rPr>
        <w:t>附 件</w:t>
      </w:r>
      <w:bookmarkEnd w:id="345"/>
      <w:bookmarkEnd w:id="346"/>
      <w:bookmarkEnd w:id="347"/>
      <w:bookmarkEnd w:id="348"/>
      <w:bookmarkEnd w:id="349"/>
      <w:bookmarkEnd w:id="350"/>
    </w:p>
    <w:p w14:paraId="476F7390">
      <w:pPr>
        <w:numPr>
          <w:ilvl w:val="0"/>
          <w:numId w:val="6"/>
        </w:numPr>
        <w:tabs>
          <w:tab w:val="left" w:pos="132"/>
          <w:tab w:val="left" w:pos="993"/>
        </w:tabs>
        <w:spacing w:line="360" w:lineRule="auto"/>
        <w:ind w:left="130" w:firstLine="560" w:firstLineChars="200"/>
        <w:rPr>
          <w:rFonts w:ascii="宋体" w:hAnsi="宋体"/>
          <w:b w:val="0"/>
          <w:sz w:val="28"/>
          <w:szCs w:val="28"/>
        </w:rPr>
      </w:pPr>
      <w:r>
        <w:rPr>
          <w:rFonts w:hint="eastAsia" w:ascii="宋体" w:hAnsi="宋体"/>
          <w:b w:val="0"/>
          <w:sz w:val="28"/>
          <w:szCs w:val="28"/>
        </w:rPr>
        <w:t>营业执照</w:t>
      </w:r>
    </w:p>
    <w:p w14:paraId="0EE1BF77">
      <w:pPr>
        <w:numPr>
          <w:ilvl w:val="0"/>
          <w:numId w:val="6"/>
        </w:numPr>
        <w:tabs>
          <w:tab w:val="left" w:pos="132"/>
          <w:tab w:val="left" w:pos="993"/>
        </w:tabs>
        <w:spacing w:line="360" w:lineRule="auto"/>
        <w:ind w:left="130" w:firstLine="560" w:firstLineChars="200"/>
        <w:rPr>
          <w:rFonts w:ascii="宋体" w:hAnsi="宋体"/>
          <w:b w:val="0"/>
          <w:sz w:val="28"/>
          <w:szCs w:val="28"/>
        </w:rPr>
      </w:pPr>
      <w:r>
        <w:rPr>
          <w:rFonts w:hint="eastAsia" w:ascii="宋体" w:hAnsi="宋体"/>
          <w:b w:val="0"/>
          <w:sz w:val="28"/>
          <w:szCs w:val="28"/>
        </w:rPr>
        <w:t>原烟花爆竹经营（批发）许可证</w:t>
      </w:r>
    </w:p>
    <w:p w14:paraId="74DB31D5">
      <w:pPr>
        <w:numPr>
          <w:ilvl w:val="0"/>
          <w:numId w:val="6"/>
        </w:numPr>
        <w:tabs>
          <w:tab w:val="left" w:pos="132"/>
          <w:tab w:val="left" w:pos="993"/>
        </w:tabs>
        <w:spacing w:line="360" w:lineRule="auto"/>
        <w:ind w:left="130" w:firstLine="560" w:firstLineChars="200"/>
        <w:rPr>
          <w:rFonts w:ascii="宋体" w:hAnsi="宋体"/>
          <w:b w:val="0"/>
          <w:sz w:val="28"/>
          <w:szCs w:val="28"/>
        </w:rPr>
      </w:pPr>
      <w:r>
        <w:rPr>
          <w:rFonts w:hint="eastAsia" w:ascii="宋体" w:hAnsi="宋体"/>
          <w:b w:val="0"/>
          <w:sz w:val="28"/>
          <w:szCs w:val="28"/>
        </w:rPr>
        <w:t>烟花爆竹批发经营企业新改扩建申请表</w:t>
      </w:r>
    </w:p>
    <w:p w14:paraId="4C738744">
      <w:pPr>
        <w:numPr>
          <w:ilvl w:val="0"/>
          <w:numId w:val="6"/>
        </w:numPr>
        <w:tabs>
          <w:tab w:val="left" w:pos="132"/>
          <w:tab w:val="left" w:pos="993"/>
        </w:tabs>
        <w:spacing w:line="360" w:lineRule="auto"/>
        <w:ind w:left="130" w:firstLine="560" w:firstLineChars="200"/>
        <w:rPr>
          <w:rFonts w:ascii="宋体" w:hAnsi="宋体"/>
          <w:b w:val="0"/>
          <w:sz w:val="28"/>
          <w:szCs w:val="28"/>
        </w:rPr>
      </w:pPr>
      <w:r>
        <w:rPr>
          <w:rFonts w:hint="eastAsia" w:ascii="宋体" w:hAnsi="宋体"/>
          <w:b w:val="0"/>
          <w:sz w:val="28"/>
          <w:szCs w:val="28"/>
        </w:rPr>
        <w:t>企业投资项目备案承诺书</w:t>
      </w:r>
    </w:p>
    <w:p w14:paraId="01003A4D">
      <w:pPr>
        <w:numPr>
          <w:ilvl w:val="0"/>
          <w:numId w:val="6"/>
        </w:numPr>
        <w:tabs>
          <w:tab w:val="left" w:pos="132"/>
          <w:tab w:val="left" w:pos="993"/>
        </w:tabs>
        <w:spacing w:line="360" w:lineRule="auto"/>
        <w:ind w:left="130" w:firstLine="560" w:firstLineChars="200"/>
        <w:rPr>
          <w:rFonts w:ascii="宋体" w:hAnsi="宋体"/>
          <w:b w:val="0"/>
          <w:sz w:val="28"/>
          <w:szCs w:val="28"/>
        </w:rPr>
      </w:pPr>
      <w:r>
        <w:rPr>
          <w:rFonts w:hint="eastAsia" w:ascii="宋体" w:hAnsi="宋体"/>
          <w:b w:val="0"/>
          <w:sz w:val="28"/>
          <w:szCs w:val="28"/>
        </w:rPr>
        <w:t>可行性研究报告（封面、目录、结论页）</w:t>
      </w:r>
    </w:p>
    <w:p w14:paraId="1A3FDEF5">
      <w:pPr>
        <w:numPr>
          <w:ilvl w:val="0"/>
          <w:numId w:val="6"/>
        </w:numPr>
        <w:tabs>
          <w:tab w:val="left" w:pos="132"/>
          <w:tab w:val="left" w:pos="993"/>
        </w:tabs>
        <w:spacing w:line="360" w:lineRule="auto"/>
        <w:ind w:left="130" w:firstLine="560" w:firstLineChars="200"/>
        <w:rPr>
          <w:rFonts w:ascii="宋体" w:hAnsi="宋体"/>
          <w:b w:val="0"/>
          <w:sz w:val="28"/>
          <w:szCs w:val="28"/>
        </w:rPr>
      </w:pPr>
      <w:r>
        <w:rPr>
          <w:rFonts w:hint="eastAsia" w:ascii="宋体" w:hAnsi="宋体"/>
          <w:b w:val="0"/>
          <w:sz w:val="28"/>
          <w:szCs w:val="28"/>
        </w:rPr>
        <w:t>黑龙江泰运烟花有限公司异地新建烟花爆竹库区项目总平面布置图（规划设计）</w:t>
      </w:r>
    </w:p>
    <w:p w14:paraId="10BFE156">
      <w:pPr>
        <w:tabs>
          <w:tab w:val="left" w:pos="132"/>
          <w:tab w:val="left" w:pos="993"/>
        </w:tabs>
        <w:spacing w:line="360" w:lineRule="auto"/>
        <w:ind w:left="420" w:leftChars="200"/>
        <w:rPr>
          <w:rFonts w:ascii="宋体" w:hAnsi="宋体"/>
          <w:b w:val="0"/>
          <w:sz w:val="28"/>
          <w:szCs w:val="28"/>
        </w:rPr>
      </w:pPr>
    </w:p>
    <w:p w14:paraId="0DAAEFCE">
      <w:pPr>
        <w:pStyle w:val="2"/>
        <w:ind w:firstLine="562"/>
        <w:rPr>
          <w:rFonts w:asciiTheme="minorEastAsia" w:hAnsiTheme="minorEastAsia" w:eastAsiaTheme="minorEastAsia"/>
          <w:b w:val="0"/>
          <w:bCs/>
        </w:rPr>
      </w:pPr>
      <w:r>
        <w:br w:type="page"/>
      </w:r>
      <w:r>
        <w:rPr>
          <w:rFonts w:asciiTheme="minorEastAsia" w:hAnsiTheme="minorEastAsia" w:eastAsiaTheme="minorEastAsia"/>
          <w:b w:val="0"/>
          <w:bCs/>
        </w:rPr>
        <w:t>1.</w:t>
      </w:r>
      <w:r>
        <w:rPr>
          <w:rFonts w:hint="eastAsia" w:asciiTheme="minorEastAsia" w:hAnsiTheme="minorEastAsia" w:eastAsiaTheme="minorEastAsia"/>
          <w:b w:val="0"/>
          <w:bCs/>
        </w:rPr>
        <w:t>营业执照</w:t>
      </w:r>
    </w:p>
    <w:p w14:paraId="04D628D3">
      <w:pPr>
        <w:pStyle w:val="2"/>
        <w:ind w:leftChars="-68" w:hanging="142" w:hangingChars="51"/>
        <w:jc w:val="center"/>
        <w:rPr>
          <w:rFonts w:asciiTheme="minorEastAsia" w:hAnsiTheme="minorEastAsia" w:eastAsiaTheme="minorEastAsia"/>
          <w:b w:val="0"/>
          <w:bCs/>
        </w:rPr>
      </w:pPr>
      <w:r>
        <w:rPr>
          <w:rFonts w:asciiTheme="minorEastAsia" w:hAnsiTheme="minorEastAsia" w:eastAsiaTheme="minorEastAsia"/>
          <w:b w:val="0"/>
          <w:bCs/>
        </w:rPr>
        <w:drawing>
          <wp:inline distT="0" distB="0" distL="0" distR="0">
            <wp:extent cx="8220075" cy="5859780"/>
            <wp:effectExtent l="0" t="952" r="8572" b="8573"/>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rot="16200000">
                      <a:off x="0" y="0"/>
                      <a:ext cx="8230655" cy="5867489"/>
                    </a:xfrm>
                    <a:prstGeom prst="rect">
                      <a:avLst/>
                    </a:prstGeom>
                    <a:noFill/>
                    <a:ln>
                      <a:noFill/>
                    </a:ln>
                  </pic:spPr>
                </pic:pic>
              </a:graphicData>
            </a:graphic>
          </wp:inline>
        </w:drawing>
      </w:r>
    </w:p>
    <w:p w14:paraId="1005273F">
      <w:pPr>
        <w:pStyle w:val="2"/>
        <w:ind w:firstLine="562"/>
        <w:rPr>
          <w:rFonts w:asciiTheme="minorEastAsia" w:hAnsiTheme="minorEastAsia" w:eastAsiaTheme="minorEastAsia"/>
          <w:b w:val="0"/>
          <w:bCs/>
        </w:rPr>
      </w:pPr>
      <w:r>
        <w:br w:type="page"/>
      </w:r>
      <w:r>
        <w:rPr>
          <w:rFonts w:asciiTheme="minorEastAsia" w:hAnsiTheme="minorEastAsia" w:eastAsiaTheme="minorEastAsia"/>
          <w:b w:val="0"/>
          <w:bCs/>
        </w:rPr>
        <w:t>2.</w:t>
      </w:r>
      <w:r>
        <w:rPr>
          <w:rFonts w:hint="eastAsia" w:asciiTheme="minorEastAsia" w:hAnsiTheme="minorEastAsia" w:eastAsiaTheme="minorEastAsia"/>
          <w:b w:val="0"/>
          <w:bCs/>
        </w:rPr>
        <w:t>原烟花爆竹经营（批发）许可证</w:t>
      </w:r>
    </w:p>
    <w:p w14:paraId="76FB2F9A">
      <w:pPr>
        <w:pStyle w:val="2"/>
        <w:ind w:firstLine="0" w:firstLineChars="0"/>
        <w:rPr>
          <w:rFonts w:asciiTheme="minorEastAsia" w:hAnsiTheme="minorEastAsia" w:eastAsiaTheme="minorEastAsia"/>
          <w:b w:val="0"/>
          <w:bCs/>
        </w:rPr>
      </w:pPr>
      <w:r>
        <w:rPr>
          <w:rFonts w:asciiTheme="minorEastAsia" w:hAnsiTheme="minorEastAsia" w:eastAsiaTheme="minorEastAsia"/>
          <w:b w:val="0"/>
          <w:bCs/>
        </w:rPr>
        <w:drawing>
          <wp:inline distT="0" distB="0" distL="0" distR="0">
            <wp:extent cx="8268970" cy="5815330"/>
            <wp:effectExtent l="762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rot="16200000">
                      <a:off x="0" y="0"/>
                      <a:ext cx="8288821" cy="5829379"/>
                    </a:xfrm>
                    <a:prstGeom prst="rect">
                      <a:avLst/>
                    </a:prstGeom>
                    <a:noFill/>
                    <a:ln>
                      <a:noFill/>
                    </a:ln>
                  </pic:spPr>
                </pic:pic>
              </a:graphicData>
            </a:graphic>
          </wp:inline>
        </w:drawing>
      </w:r>
    </w:p>
    <w:p w14:paraId="515E8746">
      <w:pPr>
        <w:widowControl/>
        <w:jc w:val="left"/>
        <w:rPr>
          <w:rFonts w:asciiTheme="minorEastAsia" w:hAnsiTheme="minorEastAsia" w:eastAsiaTheme="minorEastAsia"/>
          <w:b w:val="0"/>
          <w:bCs/>
          <w:kern w:val="0"/>
          <w:sz w:val="28"/>
          <w:szCs w:val="20"/>
        </w:rPr>
      </w:pPr>
      <w:r>
        <w:rPr>
          <w:rFonts w:asciiTheme="minorEastAsia" w:hAnsiTheme="minorEastAsia" w:eastAsiaTheme="minorEastAsia"/>
          <w:b w:val="0"/>
          <w:bCs/>
        </w:rPr>
        <w:br w:type="page"/>
      </w:r>
    </w:p>
    <w:p w14:paraId="25913AD8">
      <w:pPr>
        <w:pStyle w:val="2"/>
        <w:ind w:firstLine="560"/>
        <w:rPr>
          <w:rFonts w:asciiTheme="minorEastAsia" w:hAnsiTheme="minorEastAsia" w:eastAsiaTheme="minorEastAsia"/>
          <w:b w:val="0"/>
          <w:bCs/>
        </w:rPr>
      </w:pPr>
      <w:r>
        <w:rPr>
          <w:rFonts w:hint="eastAsia" w:asciiTheme="minorEastAsia" w:hAnsiTheme="minorEastAsia" w:eastAsiaTheme="minorEastAsia"/>
          <w:b w:val="0"/>
          <w:bCs/>
        </w:rPr>
        <w:t>3</w:t>
      </w:r>
      <w:r>
        <w:rPr>
          <w:rFonts w:asciiTheme="minorEastAsia" w:hAnsiTheme="minorEastAsia" w:eastAsiaTheme="minorEastAsia"/>
          <w:b w:val="0"/>
          <w:bCs/>
        </w:rPr>
        <w:t>.</w:t>
      </w:r>
      <w:r>
        <w:rPr>
          <w:rFonts w:hint="eastAsia" w:asciiTheme="minorEastAsia" w:hAnsiTheme="minorEastAsia" w:eastAsiaTheme="minorEastAsia"/>
          <w:b w:val="0"/>
          <w:bCs/>
        </w:rPr>
        <w:t>烟花爆竹批发经营企业新改扩建申请表</w:t>
      </w:r>
    </w:p>
    <w:p w14:paraId="6268B9D6">
      <w:pPr>
        <w:pStyle w:val="2"/>
        <w:ind w:firstLine="0" w:firstLineChars="0"/>
        <w:rPr>
          <w:rFonts w:asciiTheme="minorEastAsia" w:hAnsiTheme="minorEastAsia" w:eastAsiaTheme="minorEastAsia"/>
          <w:b w:val="0"/>
          <w:bCs/>
        </w:rPr>
      </w:pPr>
      <w:r>
        <w:rPr>
          <w:rFonts w:asciiTheme="minorEastAsia" w:hAnsiTheme="minorEastAsia" w:eastAsiaTheme="minorEastAsia"/>
          <w:b w:val="0"/>
          <w:bCs/>
        </w:rPr>
        <w:drawing>
          <wp:inline distT="0" distB="0" distL="0" distR="0">
            <wp:extent cx="5793105" cy="79927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793973" cy="7993717"/>
                    </a:xfrm>
                    <a:prstGeom prst="rect">
                      <a:avLst/>
                    </a:prstGeom>
                    <a:noFill/>
                    <a:ln>
                      <a:noFill/>
                    </a:ln>
                  </pic:spPr>
                </pic:pic>
              </a:graphicData>
            </a:graphic>
          </wp:inline>
        </w:drawing>
      </w:r>
    </w:p>
    <w:p w14:paraId="0C74BE60">
      <w:pPr>
        <w:pStyle w:val="2"/>
        <w:ind w:firstLine="562"/>
      </w:pPr>
      <w:r>
        <w:br w:type="page"/>
      </w:r>
    </w:p>
    <w:p w14:paraId="06794660">
      <w:pPr>
        <w:pStyle w:val="2"/>
        <w:ind w:left="-1" w:leftChars="-67" w:hanging="140" w:hangingChars="50"/>
        <w:rPr>
          <w:rFonts w:asciiTheme="minorEastAsia" w:hAnsiTheme="minorEastAsia" w:eastAsiaTheme="minorEastAsia"/>
          <w:b w:val="0"/>
          <w:bCs/>
        </w:rPr>
      </w:pPr>
      <w:r>
        <w:rPr>
          <w:rFonts w:asciiTheme="minorEastAsia" w:hAnsiTheme="minorEastAsia" w:eastAsiaTheme="minorEastAsia"/>
          <w:b w:val="0"/>
          <w:bCs/>
        </w:rPr>
        <w:drawing>
          <wp:inline distT="0" distB="0" distL="0" distR="0">
            <wp:extent cx="5916930" cy="8260715"/>
            <wp:effectExtent l="0" t="0" r="762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18421" cy="8262533"/>
                    </a:xfrm>
                    <a:prstGeom prst="rect">
                      <a:avLst/>
                    </a:prstGeom>
                    <a:noFill/>
                    <a:ln>
                      <a:noFill/>
                    </a:ln>
                  </pic:spPr>
                </pic:pic>
              </a:graphicData>
            </a:graphic>
          </wp:inline>
        </w:drawing>
      </w:r>
    </w:p>
    <w:p w14:paraId="7296729E">
      <w:pPr>
        <w:pStyle w:val="2"/>
        <w:ind w:firstLine="562"/>
      </w:pPr>
      <w:r>
        <w:br w:type="page"/>
      </w:r>
    </w:p>
    <w:p w14:paraId="4512737C">
      <w:pPr>
        <w:pStyle w:val="2"/>
        <w:ind w:left="2" w:leftChars="-268" w:hanging="565" w:hangingChars="202"/>
        <w:rPr>
          <w:rFonts w:asciiTheme="minorEastAsia" w:hAnsiTheme="minorEastAsia" w:eastAsiaTheme="minorEastAsia"/>
          <w:b w:val="0"/>
          <w:bCs/>
        </w:rPr>
      </w:pPr>
      <w:r>
        <w:rPr>
          <w:rFonts w:asciiTheme="minorEastAsia" w:hAnsiTheme="minorEastAsia" w:eastAsiaTheme="minorEastAsia"/>
          <w:b w:val="0"/>
          <w:bCs/>
        </w:rPr>
        <w:drawing>
          <wp:inline distT="0" distB="0" distL="0" distR="0">
            <wp:extent cx="6173470" cy="83870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174093" cy="8387889"/>
                    </a:xfrm>
                    <a:prstGeom prst="rect">
                      <a:avLst/>
                    </a:prstGeom>
                    <a:noFill/>
                    <a:ln>
                      <a:noFill/>
                    </a:ln>
                  </pic:spPr>
                </pic:pic>
              </a:graphicData>
            </a:graphic>
          </wp:inline>
        </w:drawing>
      </w:r>
    </w:p>
    <w:p w14:paraId="416F317C">
      <w:pPr>
        <w:pStyle w:val="2"/>
        <w:ind w:firstLine="562"/>
      </w:pPr>
      <w:r>
        <w:br w:type="page"/>
      </w:r>
    </w:p>
    <w:p w14:paraId="57714E40">
      <w:pPr>
        <w:pStyle w:val="2"/>
        <w:ind w:firstLine="560"/>
        <w:rPr>
          <w:rFonts w:asciiTheme="minorEastAsia" w:hAnsiTheme="minorEastAsia" w:eastAsiaTheme="minorEastAsia"/>
          <w:b w:val="0"/>
          <w:bCs/>
        </w:rPr>
      </w:pPr>
      <w:r>
        <w:rPr>
          <w:rFonts w:hint="eastAsia" w:asciiTheme="minorEastAsia" w:hAnsiTheme="minorEastAsia" w:eastAsiaTheme="minorEastAsia"/>
          <w:b w:val="0"/>
          <w:bCs/>
        </w:rPr>
        <w:t>4</w:t>
      </w:r>
      <w:r>
        <w:rPr>
          <w:rFonts w:asciiTheme="minorEastAsia" w:hAnsiTheme="minorEastAsia" w:eastAsiaTheme="minorEastAsia"/>
          <w:b w:val="0"/>
          <w:bCs/>
        </w:rPr>
        <w:t>.</w:t>
      </w:r>
      <w:r>
        <w:rPr>
          <w:rFonts w:hint="eastAsia" w:asciiTheme="minorEastAsia" w:hAnsiTheme="minorEastAsia" w:eastAsiaTheme="minorEastAsia"/>
          <w:b w:val="0"/>
          <w:bCs/>
        </w:rPr>
        <w:t>企业投资项目备案承诺书</w:t>
      </w:r>
    </w:p>
    <w:p w14:paraId="1354C62C">
      <w:pPr>
        <w:pStyle w:val="2"/>
        <w:ind w:left="-1" w:leftChars="-1" w:hanging="1" w:firstLineChars="0"/>
        <w:rPr>
          <w:rFonts w:asciiTheme="minorEastAsia" w:hAnsiTheme="minorEastAsia" w:eastAsiaTheme="minorEastAsia"/>
          <w:b w:val="0"/>
          <w:bCs/>
        </w:rPr>
      </w:pPr>
      <w:r>
        <w:rPr>
          <w:rFonts w:asciiTheme="minorEastAsia" w:hAnsiTheme="minorEastAsia" w:eastAsiaTheme="minorEastAsia"/>
          <w:b w:val="0"/>
          <w:bCs/>
        </w:rPr>
        <w:drawing>
          <wp:inline distT="0" distB="0" distL="0" distR="0">
            <wp:extent cx="5688330" cy="8278495"/>
            <wp:effectExtent l="0" t="0" r="762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688330" cy="8278495"/>
                    </a:xfrm>
                    <a:prstGeom prst="rect">
                      <a:avLst/>
                    </a:prstGeom>
                    <a:noFill/>
                    <a:ln>
                      <a:noFill/>
                    </a:ln>
                  </pic:spPr>
                </pic:pic>
              </a:graphicData>
            </a:graphic>
          </wp:inline>
        </w:drawing>
      </w:r>
    </w:p>
    <w:p w14:paraId="7FB4BFFD">
      <w:pPr>
        <w:widowControl/>
        <w:jc w:val="left"/>
        <w:rPr>
          <w:rFonts w:asciiTheme="minorEastAsia" w:hAnsiTheme="minorEastAsia" w:eastAsiaTheme="minorEastAsia"/>
          <w:b w:val="0"/>
          <w:bCs/>
          <w:kern w:val="0"/>
          <w:sz w:val="28"/>
          <w:szCs w:val="20"/>
        </w:rPr>
      </w:pPr>
      <w:r>
        <w:rPr>
          <w:rFonts w:asciiTheme="minorEastAsia" w:hAnsiTheme="minorEastAsia" w:eastAsiaTheme="minorEastAsia"/>
          <w:b w:val="0"/>
          <w:bCs/>
        </w:rPr>
        <w:br w:type="page"/>
      </w:r>
    </w:p>
    <w:p w14:paraId="40793179">
      <w:pPr>
        <w:pStyle w:val="2"/>
        <w:ind w:firstLine="560"/>
        <w:rPr>
          <w:rFonts w:asciiTheme="minorEastAsia" w:hAnsiTheme="minorEastAsia" w:eastAsiaTheme="minorEastAsia"/>
          <w:b w:val="0"/>
          <w:bCs/>
        </w:rPr>
      </w:pPr>
      <w:r>
        <w:rPr>
          <w:rFonts w:hint="eastAsia" w:asciiTheme="minorEastAsia" w:hAnsiTheme="minorEastAsia" w:eastAsiaTheme="minorEastAsia"/>
          <w:b w:val="0"/>
          <w:bCs/>
        </w:rPr>
        <w:t>5</w:t>
      </w:r>
      <w:r>
        <w:rPr>
          <w:rFonts w:asciiTheme="minorEastAsia" w:hAnsiTheme="minorEastAsia" w:eastAsiaTheme="minorEastAsia"/>
          <w:b w:val="0"/>
          <w:bCs/>
        </w:rPr>
        <w:t>.</w:t>
      </w:r>
      <w:r>
        <w:rPr>
          <w:rFonts w:hint="eastAsia" w:asciiTheme="minorEastAsia" w:hAnsiTheme="minorEastAsia" w:eastAsiaTheme="minorEastAsia"/>
          <w:b w:val="0"/>
          <w:bCs/>
        </w:rPr>
        <w:t>可行性研究报告（封面、目录、结论页）</w:t>
      </w:r>
    </w:p>
    <w:p w14:paraId="1B520564">
      <w:pPr>
        <w:pStyle w:val="2"/>
        <w:ind w:left="-1" w:leftChars="-1" w:hanging="1" w:firstLineChars="0"/>
        <w:rPr>
          <w:rFonts w:asciiTheme="minorEastAsia" w:hAnsiTheme="minorEastAsia" w:eastAsiaTheme="minorEastAsia"/>
          <w:b w:val="0"/>
          <w:bCs/>
        </w:rPr>
      </w:pPr>
      <w:r>
        <w:drawing>
          <wp:inline distT="0" distB="0" distL="0" distR="0">
            <wp:extent cx="5726430" cy="817245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stretch>
                      <a:fillRect/>
                    </a:stretch>
                  </pic:blipFill>
                  <pic:spPr>
                    <a:xfrm>
                      <a:off x="0" y="0"/>
                      <a:ext cx="5743276" cy="8195742"/>
                    </a:xfrm>
                    <a:prstGeom prst="rect">
                      <a:avLst/>
                    </a:prstGeom>
                  </pic:spPr>
                </pic:pic>
              </a:graphicData>
            </a:graphic>
          </wp:inline>
        </w:drawing>
      </w:r>
    </w:p>
    <w:p w14:paraId="5C581D17">
      <w:pPr>
        <w:pStyle w:val="2"/>
        <w:ind w:firstLine="0" w:firstLineChars="0"/>
      </w:pPr>
      <w:r>
        <w:drawing>
          <wp:inline distT="0" distB="0" distL="0" distR="0">
            <wp:extent cx="5981700" cy="8477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8"/>
                    <a:srcRect l="3508" t="1560" b="2220"/>
                    <a:stretch>
                      <a:fillRect/>
                    </a:stretch>
                  </pic:blipFill>
                  <pic:spPr>
                    <a:xfrm>
                      <a:off x="0" y="0"/>
                      <a:ext cx="5996750" cy="8497835"/>
                    </a:xfrm>
                    <a:prstGeom prst="rect">
                      <a:avLst/>
                    </a:prstGeom>
                    <a:ln>
                      <a:noFill/>
                    </a:ln>
                  </pic:spPr>
                </pic:pic>
              </a:graphicData>
            </a:graphic>
          </wp:inline>
        </w:drawing>
      </w:r>
    </w:p>
    <w:p w14:paraId="32601D36">
      <w:pPr>
        <w:pStyle w:val="2"/>
        <w:ind w:firstLine="0" w:firstLineChars="0"/>
      </w:pPr>
      <w:r>
        <w:drawing>
          <wp:inline distT="0" distB="0" distL="0" distR="0">
            <wp:extent cx="5871210" cy="8591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9"/>
                    <a:srcRect r="3964"/>
                    <a:stretch>
                      <a:fillRect/>
                    </a:stretch>
                  </pic:blipFill>
                  <pic:spPr>
                    <a:xfrm>
                      <a:off x="0" y="0"/>
                      <a:ext cx="5880515" cy="8604975"/>
                    </a:xfrm>
                    <a:prstGeom prst="rect">
                      <a:avLst/>
                    </a:prstGeom>
                    <a:ln>
                      <a:noFill/>
                    </a:ln>
                  </pic:spPr>
                </pic:pic>
              </a:graphicData>
            </a:graphic>
          </wp:inline>
        </w:drawing>
      </w:r>
    </w:p>
    <w:p w14:paraId="3EAF8ABE">
      <w:pPr>
        <w:pStyle w:val="2"/>
        <w:ind w:firstLine="0" w:firstLineChars="0"/>
      </w:pPr>
      <w:r>
        <w:drawing>
          <wp:inline distT="0" distB="0" distL="0" distR="0">
            <wp:extent cx="5926455" cy="8401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0"/>
                    <a:stretch>
                      <a:fillRect/>
                    </a:stretch>
                  </pic:blipFill>
                  <pic:spPr>
                    <a:xfrm>
                      <a:off x="0" y="0"/>
                      <a:ext cx="5941438" cy="8421459"/>
                    </a:xfrm>
                    <a:prstGeom prst="rect">
                      <a:avLst/>
                    </a:prstGeom>
                  </pic:spPr>
                </pic:pic>
              </a:graphicData>
            </a:graphic>
          </wp:inline>
        </w:drawing>
      </w:r>
    </w:p>
    <w:p w14:paraId="397AF562">
      <w:pPr>
        <w:pStyle w:val="2"/>
        <w:ind w:firstLine="562"/>
      </w:pPr>
      <w:r>
        <w:br w:type="page"/>
      </w:r>
    </w:p>
    <w:p w14:paraId="7F9BF434">
      <w:pPr>
        <w:pStyle w:val="2"/>
        <w:ind w:leftChars="-67" w:hanging="140" w:hangingChars="50"/>
      </w:pPr>
      <w:r>
        <w:drawing>
          <wp:inline distT="0" distB="0" distL="0" distR="0">
            <wp:extent cx="5942965" cy="843915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5959790" cy="8462903"/>
                    </a:xfrm>
                    <a:prstGeom prst="rect">
                      <a:avLst/>
                    </a:prstGeom>
                  </pic:spPr>
                </pic:pic>
              </a:graphicData>
            </a:graphic>
          </wp:inline>
        </w:drawing>
      </w:r>
    </w:p>
    <w:p w14:paraId="1F82958F">
      <w:pPr>
        <w:pStyle w:val="2"/>
        <w:ind w:firstLine="0" w:firstLineChars="0"/>
      </w:pPr>
    </w:p>
    <w:p w14:paraId="2B009678">
      <w:pPr>
        <w:pStyle w:val="2"/>
        <w:ind w:firstLine="0" w:firstLineChars="0"/>
      </w:pPr>
    </w:p>
    <w:p w14:paraId="3DAD80B2">
      <w:pPr>
        <w:pStyle w:val="2"/>
        <w:ind w:firstLine="0" w:firstLineChars="0"/>
        <w:rPr>
          <w:rFonts w:asciiTheme="minorEastAsia" w:hAnsiTheme="minorEastAsia" w:eastAsiaTheme="minorEastAsia"/>
          <w:b w:val="0"/>
          <w:bCs/>
        </w:rPr>
      </w:pPr>
      <w:r>
        <w:rPr>
          <w:rFonts w:hint="eastAsia" w:asciiTheme="minorEastAsia" w:hAnsiTheme="minorEastAsia" w:eastAsiaTheme="minorEastAsia"/>
          <w:b w:val="0"/>
          <w:bCs/>
        </w:rPr>
        <w:t>6</w:t>
      </w:r>
      <w:r>
        <w:rPr>
          <w:rFonts w:asciiTheme="minorEastAsia" w:hAnsiTheme="minorEastAsia" w:eastAsiaTheme="minorEastAsia"/>
          <w:b w:val="0"/>
          <w:bCs/>
        </w:rPr>
        <w:t>.</w:t>
      </w:r>
      <w:r>
        <w:rPr>
          <w:rFonts w:hint="eastAsia" w:asciiTheme="minorEastAsia" w:hAnsiTheme="minorEastAsia" w:eastAsiaTheme="minorEastAsia"/>
          <w:b w:val="0"/>
          <w:bCs/>
        </w:rPr>
        <w:t>黑龙江泰运烟花有限公司异地新建烟花爆竹库区项目总平面布置图</w:t>
      </w:r>
    </w:p>
    <w:p w14:paraId="518824A3">
      <w:pPr>
        <w:pStyle w:val="2"/>
        <w:ind w:leftChars="-68" w:hanging="142" w:hangingChars="51"/>
        <w:rPr>
          <w:rFonts w:asciiTheme="minorEastAsia" w:hAnsiTheme="minorEastAsia" w:eastAsiaTheme="minorEastAsia"/>
          <w:b w:val="0"/>
          <w:bCs/>
        </w:rPr>
      </w:pPr>
      <w:r>
        <w:rPr>
          <w:rFonts w:asciiTheme="minorEastAsia" w:hAnsiTheme="minorEastAsia" w:eastAsiaTheme="minorEastAsia"/>
          <w:b w:val="0"/>
          <w:bCs/>
        </w:rPr>
        <w:drawing>
          <wp:inline distT="0" distB="0" distL="0" distR="0">
            <wp:extent cx="5930900" cy="8470900"/>
            <wp:effectExtent l="0" t="0" r="0" b="6350"/>
            <wp:docPr id="18" name="图片 18" descr="C:\Users\Administrator\Desktop\QQ20260326-155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QQ20260326-15531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35144" cy="8476402"/>
                    </a:xfrm>
                    <a:prstGeom prst="rect">
                      <a:avLst/>
                    </a:prstGeom>
                    <a:noFill/>
                    <a:ln>
                      <a:noFill/>
                    </a:ln>
                  </pic:spPr>
                </pic:pic>
              </a:graphicData>
            </a:graphic>
          </wp:inline>
        </w:drawing>
      </w:r>
    </w:p>
    <w:sectPr>
      <w:headerReference r:id="rId19" w:type="default"/>
      <w:footerReference r:id="rId20" w:type="default"/>
      <w:type w:val="continuous"/>
      <w:pgSz w:w="11906" w:h="16838"/>
      <w:pgMar w:top="1387" w:right="1474" w:bottom="1135" w:left="1474" w:header="709" w:footer="738"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宋体-18030">
    <w:altName w:val="宋体"/>
    <w:panose1 w:val="00000000000000000000"/>
    <w:charset w:val="86"/>
    <w:family w:val="modern"/>
    <w:pitch w:val="default"/>
    <w:sig w:usb0="00000000" w:usb1="00000000" w:usb2="000A005E"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MS Mincho">
    <w:altName w:val="MS Gothic"/>
    <w:panose1 w:val="02020609040205080304"/>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7E70A">
    <w:pPr>
      <w:pStyle w:val="30"/>
      <w:pBdr>
        <w:top w:val="single" w:color="auto" w:sz="4" w:space="1"/>
      </w:pBdr>
      <w:spacing w:line="360" w:lineRule="auto"/>
      <w:rPr>
        <w:rFonts w:ascii="宋体" w:hAnsi="宋体"/>
      </w:rPr>
    </w:pPr>
    <w:r>
      <w:rPr>
        <w:rFonts w:hint="eastAsia" w:ascii="宋体" w:hAnsi="宋体"/>
      </w:rPr>
      <w:t xml:space="preserve">江西赣安安全生产科学技术咨询服务中心                      </w:t>
    </w: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rPr>
      <w:t>II</w:t>
    </w:r>
    <w:r>
      <w:rPr>
        <w:rFonts w:ascii="宋体" w:hAnsi="宋体"/>
      </w:rPr>
      <w:fldChar w:fldCharType="end"/>
    </w:r>
    <w:r>
      <w:rPr>
        <w:rFonts w:hint="eastAsia" w:ascii="宋体" w:hAnsi="宋体"/>
      </w:rPr>
      <w:t xml:space="preserve">                                APJ﹣（赣）﹣002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78737">
    <w:pPr>
      <w:pStyle w:val="30"/>
      <w:framePr w:wrap="around" w:vAnchor="text" w:hAnchor="margin" w:xAlign="outside" w:y="1"/>
      <w:rPr>
        <w:rStyle w:val="54"/>
      </w:rPr>
    </w:pPr>
    <w:r>
      <w:fldChar w:fldCharType="begin"/>
    </w:r>
    <w:r>
      <w:rPr>
        <w:rStyle w:val="54"/>
      </w:rPr>
      <w:instrText xml:space="preserve">PAGE  </w:instrText>
    </w:r>
    <w:r>
      <w:fldChar w:fldCharType="end"/>
    </w:r>
  </w:p>
  <w:p w14:paraId="4D1C4699">
    <w:pPr>
      <w:pStyle w:val="3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FFC37">
    <w:pPr>
      <w:pStyle w:val="30"/>
      <w:pBdr>
        <w:top w:val="single" w:color="auto" w:sz="4" w:space="1"/>
      </w:pBdr>
      <w:spacing w:line="360" w:lineRule="auto"/>
      <w:rPr>
        <w:rFonts w:ascii="宋体" w:hAnsi="宋体"/>
        <w:b w:val="0"/>
      </w:rPr>
    </w:pPr>
    <w:r>
      <w:rPr>
        <w:rFonts w:hint="eastAsia" w:ascii="宋体" w:hAnsi="宋体"/>
        <w:b w:val="0"/>
      </w:rPr>
      <w:t xml:space="preserve">江西赣安安全生产科学技术咨询服务中心                  </w:t>
    </w:r>
    <w:r>
      <w:rPr>
        <w:rFonts w:ascii="宋体" w:hAnsi="宋体"/>
        <w:b w:val="0"/>
      </w:rPr>
      <w:fldChar w:fldCharType="begin"/>
    </w:r>
    <w:r>
      <w:rPr>
        <w:rFonts w:ascii="宋体" w:hAnsi="宋体"/>
        <w:b w:val="0"/>
      </w:rPr>
      <w:instrText xml:space="preserve">PAGE   \* MERGEFORMAT</w:instrText>
    </w:r>
    <w:r>
      <w:rPr>
        <w:rFonts w:ascii="宋体" w:hAnsi="宋体"/>
        <w:b w:val="0"/>
      </w:rPr>
      <w:fldChar w:fldCharType="separate"/>
    </w:r>
    <w:r>
      <w:rPr>
        <w:rFonts w:ascii="宋体" w:hAnsi="宋体"/>
        <w:b w:val="0"/>
      </w:rPr>
      <w:t>V</w:t>
    </w:r>
    <w:r>
      <w:rPr>
        <w:rFonts w:ascii="宋体" w:hAnsi="宋体"/>
        <w:b w:val="0"/>
      </w:rPr>
      <w:fldChar w:fldCharType="end"/>
    </w:r>
    <w:r>
      <w:rPr>
        <w:rFonts w:hint="eastAsia" w:ascii="宋体" w:hAnsi="宋体"/>
        <w:b w:val="0"/>
      </w:rPr>
      <w:t xml:space="preserve">                 APJ﹣（赣）﹣002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A028D">
    <w:pPr>
      <w:pStyle w:val="30"/>
      <w:pBdr>
        <w:top w:val="single" w:color="auto" w:sz="4" w:space="1"/>
      </w:pBdr>
      <w:spacing w:line="360" w:lineRule="auto"/>
      <w:rPr>
        <w:rFonts w:ascii="宋体" w:hAnsi="宋体"/>
        <w:b w:val="0"/>
      </w:rPr>
    </w:pPr>
    <w:r>
      <w:rPr>
        <w:rFonts w:hint="eastAsia" w:ascii="宋体" w:hAnsi="宋体"/>
        <w:b w:val="0"/>
      </w:rPr>
      <w:t xml:space="preserve">江西赣安安全生产科学技术咨询服务中心                    </w:t>
    </w:r>
    <w:r>
      <w:rPr>
        <w:rFonts w:ascii="宋体" w:hAnsi="宋体"/>
        <w:b w:val="0"/>
      </w:rPr>
      <w:fldChar w:fldCharType="begin"/>
    </w:r>
    <w:r>
      <w:rPr>
        <w:rFonts w:ascii="宋体" w:hAnsi="宋体"/>
        <w:b w:val="0"/>
      </w:rPr>
      <w:instrText xml:space="preserve">PAGE   \* MERGEFORMAT</w:instrText>
    </w:r>
    <w:r>
      <w:rPr>
        <w:rFonts w:ascii="宋体" w:hAnsi="宋体"/>
        <w:b w:val="0"/>
      </w:rPr>
      <w:fldChar w:fldCharType="separate"/>
    </w:r>
    <w:r>
      <w:rPr>
        <w:rFonts w:ascii="宋体" w:hAnsi="宋体"/>
        <w:b w:val="0"/>
      </w:rPr>
      <w:t>I</w:t>
    </w:r>
    <w:r>
      <w:rPr>
        <w:rFonts w:ascii="宋体" w:hAnsi="宋体"/>
        <w:b w:val="0"/>
      </w:rPr>
      <w:fldChar w:fldCharType="end"/>
    </w:r>
    <w:r>
      <w:rPr>
        <w:rFonts w:hint="eastAsia" w:ascii="宋体" w:hAnsi="宋体"/>
        <w:b w:val="0"/>
      </w:rPr>
      <w:t xml:space="preserve">          </w:t>
    </w:r>
    <w:r>
      <w:rPr>
        <w:rFonts w:ascii="宋体" w:hAnsi="宋体"/>
        <w:b w:val="0"/>
      </w:rPr>
      <w:t xml:space="preserve"> </w:t>
    </w:r>
    <w:r>
      <w:rPr>
        <w:rFonts w:hint="eastAsia" w:ascii="宋体" w:hAnsi="宋体"/>
        <w:b w:val="0"/>
      </w:rPr>
      <w:t xml:space="preserve">       APJ﹣（赣）﹣002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87E39">
    <w:pPr>
      <w:pStyle w:val="30"/>
      <w:pBdr>
        <w:top w:val="single" w:color="auto" w:sz="4" w:space="1"/>
      </w:pBdr>
      <w:spacing w:line="360" w:lineRule="auto"/>
      <w:rPr>
        <w:rFonts w:ascii="宋体" w:hAnsi="宋体"/>
        <w:b w:val="0"/>
      </w:rPr>
    </w:pPr>
    <w:r>
      <w:rPr>
        <w:rFonts w:hint="eastAsia" w:ascii="宋体" w:hAnsi="宋体"/>
        <w:b w:val="0"/>
      </w:rPr>
      <w:t xml:space="preserve">江西赣安安全生产科学技术咨询服务中心                </w:t>
    </w:r>
    <w:r>
      <w:rPr>
        <w:rFonts w:ascii="宋体" w:hAnsi="宋体"/>
        <w:b w:val="0"/>
      </w:rPr>
      <w:fldChar w:fldCharType="begin"/>
    </w:r>
    <w:r>
      <w:rPr>
        <w:rFonts w:ascii="宋体" w:hAnsi="宋体"/>
        <w:b w:val="0"/>
      </w:rPr>
      <w:instrText xml:space="preserve">PAGE   \* MERGEFORMAT</w:instrText>
    </w:r>
    <w:r>
      <w:rPr>
        <w:rFonts w:ascii="宋体" w:hAnsi="宋体"/>
        <w:b w:val="0"/>
      </w:rPr>
      <w:fldChar w:fldCharType="separate"/>
    </w:r>
    <w:r>
      <w:rPr>
        <w:rFonts w:ascii="宋体" w:hAnsi="宋体"/>
        <w:b w:val="0"/>
      </w:rPr>
      <w:t>VII</w:t>
    </w:r>
    <w:r>
      <w:rPr>
        <w:rFonts w:ascii="宋体" w:hAnsi="宋体"/>
        <w:b w:val="0"/>
      </w:rPr>
      <w:fldChar w:fldCharType="end"/>
    </w:r>
    <w:r>
      <w:rPr>
        <w:rFonts w:hint="eastAsia" w:ascii="宋体" w:hAnsi="宋体"/>
        <w:b w:val="0"/>
      </w:rPr>
      <w:t xml:space="preserve">                   APJ﹣（赣）﹣002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6A44D">
    <w:pPr>
      <w:pStyle w:val="30"/>
      <w:pBdr>
        <w:top w:val="single" w:color="auto" w:sz="4" w:space="1"/>
      </w:pBdr>
      <w:spacing w:line="360" w:lineRule="auto"/>
      <w:rPr>
        <w:rFonts w:ascii="宋体" w:hAnsi="宋体"/>
        <w:b w:val="0"/>
      </w:rPr>
    </w:pPr>
    <w:r>
      <w:rPr>
        <w:rFonts w:hint="eastAsia" w:ascii="宋体" w:hAnsi="宋体"/>
        <w:b w:val="0"/>
      </w:rPr>
      <w:t xml:space="preserve">江西赣安安全生产科学技术咨询服务中心               </w:t>
    </w:r>
    <w:r>
      <w:rPr>
        <w:rFonts w:ascii="宋体" w:hAnsi="宋体"/>
        <w:b w:val="0"/>
      </w:rPr>
      <w:fldChar w:fldCharType="begin"/>
    </w:r>
    <w:r>
      <w:rPr>
        <w:rFonts w:ascii="宋体" w:hAnsi="宋体"/>
        <w:b w:val="0"/>
      </w:rPr>
      <w:instrText xml:space="preserve">PAGE   \* MERGEFORMAT</w:instrText>
    </w:r>
    <w:r>
      <w:rPr>
        <w:rFonts w:ascii="宋体" w:hAnsi="宋体"/>
        <w:b w:val="0"/>
      </w:rPr>
      <w:fldChar w:fldCharType="separate"/>
    </w:r>
    <w:r>
      <w:rPr>
        <w:rFonts w:ascii="宋体" w:hAnsi="宋体"/>
        <w:b w:val="0"/>
      </w:rPr>
      <w:t>80</w:t>
    </w:r>
    <w:r>
      <w:rPr>
        <w:rFonts w:ascii="宋体" w:hAnsi="宋体"/>
        <w:b w:val="0"/>
      </w:rPr>
      <w:fldChar w:fldCharType="end"/>
    </w:r>
    <w:r>
      <w:rPr>
        <w:rFonts w:hint="eastAsia" w:ascii="宋体" w:hAnsi="宋体"/>
        <w:b w:val="0"/>
      </w:rPr>
      <w:t xml:space="preserve">                      APJ﹣（赣）﹣002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32111">
    <w:pPr>
      <w:pBdr>
        <w:top w:val="single" w:color="auto" w:sz="4" w:space="1"/>
      </w:pBdr>
      <w:tabs>
        <w:tab w:val="center" w:pos="4153"/>
        <w:tab w:val="right" w:pos="8306"/>
      </w:tabs>
      <w:snapToGrid w:val="0"/>
      <w:spacing w:line="360" w:lineRule="auto"/>
      <w:jc w:val="center"/>
      <w:rPr>
        <w:rFonts w:ascii="宋体" w:hAnsi="宋体"/>
        <w:b w:val="0"/>
        <w:sz w:val="18"/>
        <w:szCs w:val="18"/>
        <w:lang w:val="zh-CN"/>
      </w:rPr>
    </w:pPr>
    <w:r>
      <w:rPr>
        <w:rFonts w:hint="eastAsia" w:ascii="宋体" w:hAnsi="宋体"/>
        <w:b w:val="0"/>
        <w:sz w:val="18"/>
        <w:szCs w:val="18"/>
        <w:lang w:val="zh-CN"/>
      </w:rPr>
      <w:t xml:space="preserve">江西赣安安全生产科学技术咨询服务中心                   </w:t>
    </w:r>
    <w:r>
      <w:rPr>
        <w:rFonts w:ascii="宋体" w:hAnsi="宋体"/>
        <w:b w:val="0"/>
        <w:sz w:val="18"/>
        <w:szCs w:val="18"/>
        <w:lang w:val="zh-CN"/>
      </w:rPr>
      <w:t xml:space="preserve"> </w:t>
    </w:r>
    <w:r>
      <w:rPr>
        <w:rFonts w:ascii="宋体" w:hAnsi="宋体"/>
        <w:b w:val="0"/>
        <w:sz w:val="18"/>
        <w:szCs w:val="18"/>
        <w:lang w:val="zh-CN"/>
      </w:rPr>
      <w:fldChar w:fldCharType="begin"/>
    </w:r>
    <w:r>
      <w:rPr>
        <w:rFonts w:ascii="宋体" w:hAnsi="宋体"/>
        <w:b w:val="0"/>
        <w:sz w:val="18"/>
        <w:szCs w:val="18"/>
        <w:lang w:val="zh-CN"/>
      </w:rPr>
      <w:instrText xml:space="preserve"> PAGE </w:instrText>
    </w:r>
    <w:r>
      <w:rPr>
        <w:rFonts w:ascii="宋体" w:hAnsi="宋体"/>
        <w:b w:val="0"/>
        <w:sz w:val="18"/>
        <w:szCs w:val="18"/>
        <w:lang w:val="zh-CN"/>
      </w:rPr>
      <w:fldChar w:fldCharType="separate"/>
    </w:r>
    <w:r>
      <w:rPr>
        <w:rFonts w:ascii="宋体" w:hAnsi="宋体"/>
        <w:b w:val="0"/>
        <w:sz w:val="18"/>
        <w:szCs w:val="18"/>
        <w:lang w:val="zh-CN"/>
      </w:rPr>
      <w:t>88</w:t>
    </w:r>
    <w:r>
      <w:rPr>
        <w:rFonts w:ascii="宋体" w:hAnsi="宋体"/>
        <w:b w:val="0"/>
        <w:sz w:val="18"/>
        <w:szCs w:val="18"/>
        <w:lang w:val="zh-CN"/>
      </w:rPr>
      <w:fldChar w:fldCharType="end"/>
    </w:r>
    <w:r>
      <w:rPr>
        <w:rFonts w:hint="eastAsia" w:ascii="宋体" w:hAnsi="宋体"/>
        <w:b w:val="0"/>
        <w:sz w:val="18"/>
        <w:szCs w:val="18"/>
        <w:lang w:val="zh-CN"/>
      </w:rPr>
      <w:t xml:space="preserve">                          APJ﹣（赣）﹣002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47153">
    <w:pPr>
      <w:pStyle w:val="40"/>
      <w:ind w:firstLine="120" w:firstLineChars="50"/>
      <w:rPr>
        <w:rFonts w:ascii="宋体" w:hAnsi="宋体"/>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2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3A6E0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127"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ql5uc8AAAAFAQAADwAAAAAAAAABACAAAAAiAAAAZHJzL2Rvd25y&#10;ZXYueG1sUEsBAhQAFAAAAAgAh07iQMroGTYHAgAABgQAAA4AAAAAAAAAAQAgAAAAHgEAAGRycy9l&#10;Mm9Eb2MueG1sUEsFBgAAAAAGAAYAWQEAAJcFAAAAAA==&#10;">
              <v:fill on="f" focussize="0,0"/>
              <v:stroke on="f"/>
              <v:imagedata o:title=""/>
              <o:lock v:ext="edit" aspectratio="f"/>
              <v:textbox inset="0mm,0mm,0mm,0mm" style="mso-fit-shape-to-text:t;">
                <w:txbxContent>
                  <w:p w14:paraId="53A6E0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5A74B">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062BD">
    <w:pPr>
      <w:pStyle w:val="31"/>
      <w:jc w:val="both"/>
      <w:rPr>
        <w:rFonts w:ascii="Arial" w:hAnsi="Arial" w:cs="Arial"/>
      </w:rPr>
    </w:pPr>
    <w:r>
      <w:rPr>
        <w:rFonts w:hint="eastAsia" w:ascii="Arial" w:hAnsi="宋体" w:cs="Arial"/>
        <w:color w:val="000000"/>
      </w:rPr>
      <w:t xml:space="preserve">伊犁福顺竹烟花爆竹销售有限公司烟花爆竹仓库建设项目安全预评价报告                           </w:t>
    </w:r>
    <w:r>
      <w:rPr>
        <w:rFonts w:hint="eastAsia" w:ascii="宋体" w:hAnsi="宋体"/>
        <w:spacing w:val="-2"/>
      </w:rPr>
      <w:t>GAAP[2023]0***号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1D608">
    <w:pPr>
      <w:pStyle w:val="3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97EA8">
    <w:pPr>
      <w:pStyle w:val="31"/>
      <w:rPr>
        <w:rFonts w:asciiTheme="minorEastAsia" w:hAnsiTheme="minorEastAsia" w:eastAsiaTheme="minorEastAsia"/>
        <w:b w:val="0"/>
      </w:rPr>
    </w:pPr>
    <w:r>
      <w:rPr>
        <w:rFonts w:hint="eastAsia" w:asciiTheme="minorEastAsia" w:hAnsiTheme="minorEastAsia" w:eastAsiaTheme="minorEastAsia"/>
        <w:b w:val="0"/>
      </w:rPr>
      <w:t xml:space="preserve">黑龙江泰运烟花有限公司异地新建烟花爆竹库区项目安全预评价报告 </w:t>
    </w:r>
    <w:r>
      <w:rPr>
        <w:rFonts w:asciiTheme="minorEastAsia" w:hAnsiTheme="minorEastAsia" w:eastAsiaTheme="minorEastAsia"/>
        <w:b w:val="0"/>
      </w:rPr>
      <w:t xml:space="preserve">               </w:t>
    </w:r>
    <w:r>
      <w:rPr>
        <w:rFonts w:hint="eastAsia" w:ascii="宋体" w:hAnsi="宋体" w:eastAsia="宋体"/>
        <w:b w:val="0"/>
        <w:spacing w:val="-2"/>
      </w:rPr>
      <w:t>GAAP[2025]</w:t>
    </w:r>
    <w:r>
      <w:rPr>
        <w:rFonts w:ascii="宋体" w:hAnsi="宋体" w:eastAsia="宋体"/>
        <w:b w:val="0"/>
        <w:spacing w:val="-2"/>
      </w:rPr>
      <w:t>0</w:t>
    </w:r>
    <w:r>
      <w:rPr>
        <w:rFonts w:hint="eastAsia" w:ascii="宋体" w:hAnsi="宋体" w:eastAsia="宋体"/>
        <w:b w:val="0"/>
        <w:spacing w:val="-2"/>
      </w:rPr>
      <w:t>565号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88612">
    <w:pPr>
      <w:pStyle w:val="31"/>
      <w:rPr>
        <w:rFonts w:asciiTheme="minorEastAsia" w:hAnsiTheme="minorEastAsia" w:eastAsiaTheme="minorEastAsia"/>
        <w:b w:val="0"/>
      </w:rPr>
    </w:pPr>
    <w:bookmarkStart w:id="351" w:name="OLE_LINK2"/>
    <w:bookmarkStart w:id="352" w:name="OLE_LINK1"/>
    <w:r>
      <w:rPr>
        <w:rFonts w:hint="eastAsia" w:asciiTheme="minorEastAsia" w:hAnsiTheme="minorEastAsia" w:eastAsiaTheme="minorEastAsia"/>
        <w:b w:val="0"/>
      </w:rPr>
      <w:t xml:space="preserve">黑龙江泰运烟花有限公司异地新建烟花爆竹库区项目安全预评价报告 </w:t>
    </w:r>
    <w:r>
      <w:rPr>
        <w:rFonts w:asciiTheme="minorEastAsia" w:hAnsiTheme="minorEastAsia" w:eastAsiaTheme="minorEastAsia"/>
        <w:b w:val="0"/>
      </w:rPr>
      <w:t xml:space="preserve">               </w:t>
    </w:r>
    <w:r>
      <w:rPr>
        <w:rFonts w:hint="eastAsia" w:ascii="宋体" w:hAnsi="宋体" w:eastAsia="宋体"/>
        <w:b w:val="0"/>
        <w:spacing w:val="-2"/>
      </w:rPr>
      <w:t>GAAP[2025]</w:t>
    </w:r>
    <w:r>
      <w:rPr>
        <w:rFonts w:ascii="宋体" w:hAnsi="宋体" w:eastAsia="宋体"/>
        <w:b w:val="0"/>
        <w:spacing w:val="-2"/>
      </w:rPr>
      <w:t>0</w:t>
    </w:r>
    <w:r>
      <w:rPr>
        <w:rFonts w:hint="eastAsia" w:ascii="宋体" w:hAnsi="宋体" w:eastAsia="宋体"/>
        <w:b w:val="0"/>
        <w:spacing w:val="-2"/>
      </w:rPr>
      <w:t>565号</w:t>
    </w:r>
    <w:bookmarkEnd w:id="351"/>
    <w:bookmarkEnd w:id="35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2FFE">
    <w:pPr>
      <w:pStyle w:val="31"/>
      <w:rPr>
        <w:rFonts w:asciiTheme="minorEastAsia" w:hAnsiTheme="minorEastAsia" w:eastAsiaTheme="minorEastAsia"/>
        <w:b w:val="0"/>
      </w:rPr>
    </w:pPr>
    <w:r>
      <w:rPr>
        <w:rFonts w:hint="eastAsia" w:asciiTheme="minorEastAsia" w:hAnsiTheme="minorEastAsia" w:eastAsiaTheme="minorEastAsia"/>
        <w:b w:val="0"/>
      </w:rPr>
      <w:t xml:space="preserve">黑龙江泰运烟花有限公司异地新建烟花爆竹库区项目安全预评价报告 </w:t>
    </w:r>
    <w:r>
      <w:rPr>
        <w:rFonts w:asciiTheme="minorEastAsia" w:hAnsiTheme="minorEastAsia" w:eastAsiaTheme="minorEastAsia"/>
        <w:b w:val="0"/>
      </w:rPr>
      <w:t xml:space="preserve">               </w:t>
    </w:r>
    <w:r>
      <w:rPr>
        <w:rFonts w:hint="eastAsia" w:asciiTheme="minorEastAsia" w:hAnsiTheme="minorEastAsia" w:eastAsiaTheme="minorEastAsia"/>
        <w:b w:val="0"/>
      </w:rPr>
      <w:t>GAAP[2025]</w:t>
    </w:r>
    <w:r>
      <w:rPr>
        <w:rFonts w:asciiTheme="minorEastAsia" w:hAnsiTheme="minorEastAsia" w:eastAsiaTheme="minorEastAsia"/>
        <w:b w:val="0"/>
      </w:rPr>
      <w:t>0</w:t>
    </w:r>
    <w:r>
      <w:rPr>
        <w:rFonts w:hint="eastAsia" w:asciiTheme="minorEastAsia" w:hAnsiTheme="minorEastAsia" w:eastAsiaTheme="minorEastAsia"/>
        <w:b w:val="0"/>
      </w:rPr>
      <w:t>565号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3B600">
    <w:pPr>
      <w:pStyle w:val="31"/>
      <w:rPr>
        <w:rFonts w:asciiTheme="minorEastAsia" w:hAnsiTheme="minorEastAsia" w:eastAsiaTheme="minorEastAsia"/>
        <w:b w:val="0"/>
      </w:rPr>
    </w:pPr>
    <w:r>
      <w:rPr>
        <w:rFonts w:hint="eastAsia" w:asciiTheme="minorEastAsia" w:hAnsiTheme="minorEastAsia" w:eastAsiaTheme="minorEastAsia"/>
        <w:b w:val="0"/>
      </w:rPr>
      <w:t xml:space="preserve">黑龙江泰运烟花有限公司异地新建烟花爆竹库区项目安全预评价报告 </w:t>
    </w:r>
    <w:r>
      <w:rPr>
        <w:rFonts w:asciiTheme="minorEastAsia" w:hAnsiTheme="minorEastAsia" w:eastAsiaTheme="minorEastAsia"/>
        <w:b w:val="0"/>
      </w:rPr>
      <w:t xml:space="preserve">               </w:t>
    </w:r>
    <w:r>
      <w:rPr>
        <w:rFonts w:hint="eastAsia" w:asciiTheme="minorEastAsia" w:hAnsiTheme="minorEastAsia" w:eastAsiaTheme="minorEastAsia"/>
        <w:b w:val="0"/>
      </w:rPr>
      <w:t>GAAP[2025]</w:t>
    </w:r>
    <w:r>
      <w:rPr>
        <w:rFonts w:asciiTheme="minorEastAsia" w:hAnsiTheme="minorEastAsia" w:eastAsiaTheme="minorEastAsia"/>
        <w:b w:val="0"/>
      </w:rPr>
      <w:t>0</w:t>
    </w:r>
    <w:r>
      <w:rPr>
        <w:rFonts w:hint="eastAsia" w:asciiTheme="minorEastAsia" w:hAnsiTheme="minorEastAsia" w:eastAsiaTheme="minorEastAsia"/>
        <w:b w:val="0"/>
      </w:rPr>
      <w:t>565号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4BDED">
    <w:pPr>
      <w:pStyle w:val="31"/>
      <w:rPr>
        <w:rFonts w:asciiTheme="minorEastAsia" w:hAnsiTheme="minorEastAsia" w:eastAsiaTheme="minorEastAsia"/>
        <w:b w:val="0"/>
      </w:rPr>
    </w:pPr>
    <w:r>
      <w:rPr>
        <w:rFonts w:hint="eastAsia" w:asciiTheme="minorEastAsia" w:hAnsiTheme="minorEastAsia" w:eastAsiaTheme="minorEastAsia"/>
        <w:b w:val="0"/>
      </w:rPr>
      <w:t>黑龙江泰运烟花有限公司异地新建烟花爆竹库区项目安全预评价报告                GAAP[2025]0565号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2F25B">
    <w:pPr>
      <w:pStyle w:val="31"/>
    </w:pPr>
    <w:r>
      <w:rPr>
        <w:rFonts w:hint="eastAsia" w:asciiTheme="minorEastAsia" w:hAnsiTheme="minorEastAsia" w:eastAsiaTheme="minorEastAsia"/>
        <w:b w:val="0"/>
      </w:rPr>
      <w:t>黑龙江泰运烟花有限公司异地新建烟花爆竹库区项目安全预评价报告                  GAAP[2025]0565号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FA3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decimal"/>
      <w:pStyle w:val="97"/>
      <w:lvlText w:val="%1"/>
      <w:lvlJc w:val="left"/>
      <w:pPr>
        <w:tabs>
          <w:tab w:val="left" w:pos="425"/>
        </w:tabs>
        <w:ind w:left="425" w:hanging="425"/>
      </w:pPr>
      <w:rPr>
        <w:rFonts w:hint="eastAsia" w:eastAsia="黑体"/>
        <w:b w:val="0"/>
        <w:i w:val="0"/>
        <w:sz w:val="21"/>
        <w:szCs w:val="21"/>
      </w:rPr>
    </w:lvl>
    <w:lvl w:ilvl="1" w:tentative="0">
      <w:start w:val="1"/>
      <w:numFmt w:val="decimal"/>
      <w:pStyle w:val="308"/>
      <w:lvlText w:val="%1.%2"/>
      <w:lvlJc w:val="left"/>
      <w:pPr>
        <w:tabs>
          <w:tab w:val="left" w:pos="992"/>
        </w:tabs>
        <w:ind w:left="992" w:hanging="567"/>
      </w:pPr>
      <w:rPr>
        <w:rFonts w:hint="eastAsia"/>
        <w:sz w:val="21"/>
        <w:szCs w:val="21"/>
      </w:rPr>
    </w:lvl>
    <w:lvl w:ilvl="2" w:tentative="0">
      <w:start w:val="1"/>
      <w:numFmt w:val="decimal"/>
      <w:pStyle w:val="306"/>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
    <w:nsid w:val="0000000C"/>
    <w:multiLevelType w:val="multilevel"/>
    <w:tmpl w:val="0000000C"/>
    <w:lvl w:ilvl="0" w:tentative="0">
      <w:start w:val="2"/>
      <w:numFmt w:val="decimal"/>
      <w:pStyle w:val="122"/>
      <w:lvlText w:val="%1"/>
      <w:lvlJc w:val="left"/>
      <w:pPr>
        <w:tabs>
          <w:tab w:val="left" w:pos="360"/>
        </w:tabs>
        <w:ind w:left="0" w:firstLine="0"/>
      </w:pPr>
      <w:rPr>
        <w:rFonts w:hint="eastAsia"/>
      </w:rPr>
    </w:lvl>
    <w:lvl w:ilvl="1" w:tentative="0">
      <w:start w:val="1"/>
      <w:numFmt w:val="decimal"/>
      <w:lvlText w:val="%1.%2"/>
      <w:lvlJc w:val="left"/>
      <w:pPr>
        <w:tabs>
          <w:tab w:val="left" w:pos="360"/>
        </w:tabs>
        <w:ind w:left="0" w:firstLine="0"/>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2A8F7113"/>
    <w:multiLevelType w:val="multilevel"/>
    <w:tmpl w:val="2A8F7113"/>
    <w:lvl w:ilvl="0" w:tentative="0">
      <w:start w:val="1"/>
      <w:numFmt w:val="upperLetter"/>
      <w:suff w:val="space"/>
      <w:lvlText w:val="%1"/>
      <w:lvlJc w:val="left"/>
      <w:pPr>
        <w:ind w:left="623" w:hanging="425"/>
      </w:pPr>
      <w:rPr>
        <w:rFonts w:hint="eastAsia"/>
      </w:rPr>
    </w:lvl>
    <w:lvl w:ilvl="1" w:tentative="0">
      <w:start w:val="1"/>
      <w:numFmt w:val="decimal"/>
      <w:pStyle w:val="119"/>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3">
    <w:nsid w:val="44C50F90"/>
    <w:multiLevelType w:val="multilevel"/>
    <w:tmpl w:val="44C50F90"/>
    <w:lvl w:ilvl="0" w:tentative="0">
      <w:start w:val="1"/>
      <w:numFmt w:val="lowerLetter"/>
      <w:pStyle w:val="121"/>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4">
    <w:nsid w:val="646260FA"/>
    <w:multiLevelType w:val="multilevel"/>
    <w:tmpl w:val="646260FA"/>
    <w:lvl w:ilvl="0" w:tentative="0">
      <w:start w:val="1"/>
      <w:numFmt w:val="decimal"/>
      <w:pStyle w:val="120"/>
      <w:suff w:val="nothing"/>
      <w:lvlText w:val="表%1　"/>
      <w:lvlJc w:val="left"/>
      <w:pPr>
        <w:ind w:left="3885" w:firstLine="0"/>
      </w:pPr>
      <w:rPr>
        <w:rFonts w:hint="eastAsia" w:ascii="黑体" w:hAnsi="Times New Roman" w:eastAsia="黑体"/>
        <w:b w:val="0"/>
        <w:i w:val="0"/>
        <w:sz w:val="21"/>
      </w:rPr>
    </w:lvl>
    <w:lvl w:ilvl="1" w:tentative="0">
      <w:start w:val="1"/>
      <w:numFmt w:val="decimal"/>
      <w:lvlText w:val="%1.%2"/>
      <w:lvlJc w:val="left"/>
      <w:pPr>
        <w:tabs>
          <w:tab w:val="left" w:pos="4877"/>
        </w:tabs>
        <w:ind w:left="4877" w:hanging="567"/>
      </w:pPr>
      <w:rPr>
        <w:rFonts w:hint="eastAsia"/>
      </w:rPr>
    </w:lvl>
    <w:lvl w:ilvl="2" w:tentative="0">
      <w:start w:val="1"/>
      <w:numFmt w:val="decimal"/>
      <w:lvlText w:val="%1.%2.%3"/>
      <w:lvlJc w:val="left"/>
      <w:pPr>
        <w:tabs>
          <w:tab w:val="left" w:pos="5303"/>
        </w:tabs>
        <w:ind w:left="5303" w:hanging="567"/>
      </w:pPr>
      <w:rPr>
        <w:rFonts w:hint="eastAsia"/>
      </w:rPr>
    </w:lvl>
    <w:lvl w:ilvl="3" w:tentative="0">
      <w:start w:val="1"/>
      <w:numFmt w:val="decimal"/>
      <w:lvlText w:val="%1.%2.%3.%4"/>
      <w:lvlJc w:val="left"/>
      <w:pPr>
        <w:tabs>
          <w:tab w:val="left" w:pos="5869"/>
        </w:tabs>
        <w:ind w:left="5869" w:hanging="708"/>
      </w:pPr>
      <w:rPr>
        <w:rFonts w:hint="eastAsia"/>
      </w:rPr>
    </w:lvl>
    <w:lvl w:ilvl="4" w:tentative="0">
      <w:start w:val="1"/>
      <w:numFmt w:val="decimal"/>
      <w:lvlText w:val="%1.%2.%3.%4.%5"/>
      <w:lvlJc w:val="left"/>
      <w:pPr>
        <w:tabs>
          <w:tab w:val="left" w:pos="6436"/>
        </w:tabs>
        <w:ind w:left="6436" w:hanging="850"/>
      </w:pPr>
      <w:rPr>
        <w:rFonts w:hint="eastAsia"/>
      </w:rPr>
    </w:lvl>
    <w:lvl w:ilvl="5" w:tentative="0">
      <w:start w:val="1"/>
      <w:numFmt w:val="decimal"/>
      <w:lvlText w:val="%1.%2.%3.%4.%5.%6"/>
      <w:lvlJc w:val="left"/>
      <w:pPr>
        <w:tabs>
          <w:tab w:val="left" w:pos="7145"/>
        </w:tabs>
        <w:ind w:left="7145" w:hanging="1134"/>
      </w:pPr>
      <w:rPr>
        <w:rFonts w:hint="eastAsia"/>
      </w:rPr>
    </w:lvl>
    <w:lvl w:ilvl="6" w:tentative="0">
      <w:start w:val="1"/>
      <w:numFmt w:val="decimal"/>
      <w:lvlText w:val="%1.%2.%3.%4.%5.%6.%7"/>
      <w:lvlJc w:val="left"/>
      <w:pPr>
        <w:tabs>
          <w:tab w:val="left" w:pos="7712"/>
        </w:tabs>
        <w:ind w:left="7712" w:hanging="1276"/>
      </w:pPr>
      <w:rPr>
        <w:rFonts w:hint="eastAsia"/>
      </w:rPr>
    </w:lvl>
    <w:lvl w:ilvl="7" w:tentative="0">
      <w:start w:val="1"/>
      <w:numFmt w:val="decimal"/>
      <w:lvlText w:val="%1.%2.%3.%4.%5.%6.%7.%8"/>
      <w:lvlJc w:val="left"/>
      <w:pPr>
        <w:tabs>
          <w:tab w:val="left" w:pos="8279"/>
        </w:tabs>
        <w:ind w:left="8279" w:hanging="1418"/>
      </w:pPr>
      <w:rPr>
        <w:rFonts w:hint="eastAsia"/>
      </w:rPr>
    </w:lvl>
    <w:lvl w:ilvl="8" w:tentative="0">
      <w:start w:val="1"/>
      <w:numFmt w:val="decimal"/>
      <w:lvlText w:val="%1.%2.%3.%4.%5.%6.%7.%8.%9"/>
      <w:lvlJc w:val="left"/>
      <w:pPr>
        <w:tabs>
          <w:tab w:val="left" w:pos="8987"/>
        </w:tabs>
        <w:ind w:left="8987" w:hanging="1700"/>
      </w:pPr>
      <w:rPr>
        <w:rFonts w:hint="eastAsia"/>
      </w:rPr>
    </w:lvl>
  </w:abstractNum>
  <w:abstractNum w:abstractNumId="5">
    <w:nsid w:val="714653CA"/>
    <w:multiLevelType w:val="multilevel"/>
    <w:tmpl w:val="714653CA"/>
    <w:lvl w:ilvl="0" w:tentative="0">
      <w:start w:val="1"/>
      <w:numFmt w:val="decimal"/>
      <w:lvlText w:val="%1."/>
      <w:lvlJc w:val="left"/>
      <w:pPr>
        <w:tabs>
          <w:tab w:val="left" w:pos="842"/>
        </w:tabs>
        <w:ind w:left="842" w:hanging="132"/>
      </w:pPr>
      <w:rPr>
        <w:rFonts w:hint="default"/>
      </w:rPr>
    </w:lvl>
    <w:lvl w:ilvl="1" w:tentative="0">
      <w:start w:val="1"/>
      <w:numFmt w:val="lowerLetter"/>
      <w:lvlText w:val="%2)"/>
      <w:lvlJc w:val="left"/>
      <w:pPr>
        <w:tabs>
          <w:tab w:val="left" w:pos="-2532"/>
        </w:tabs>
        <w:ind w:left="-2532" w:hanging="420"/>
      </w:pPr>
    </w:lvl>
    <w:lvl w:ilvl="2" w:tentative="0">
      <w:start w:val="1"/>
      <w:numFmt w:val="lowerRoman"/>
      <w:lvlText w:val="%3."/>
      <w:lvlJc w:val="right"/>
      <w:pPr>
        <w:tabs>
          <w:tab w:val="left" w:pos="-2112"/>
        </w:tabs>
        <w:ind w:left="-2112" w:hanging="420"/>
      </w:pPr>
    </w:lvl>
    <w:lvl w:ilvl="3" w:tentative="0">
      <w:start w:val="1"/>
      <w:numFmt w:val="decimal"/>
      <w:lvlText w:val="%4."/>
      <w:lvlJc w:val="left"/>
      <w:pPr>
        <w:tabs>
          <w:tab w:val="left" w:pos="-1692"/>
        </w:tabs>
        <w:ind w:left="-1692" w:hanging="420"/>
      </w:pPr>
    </w:lvl>
    <w:lvl w:ilvl="4" w:tentative="0">
      <w:start w:val="1"/>
      <w:numFmt w:val="lowerLetter"/>
      <w:lvlText w:val="%5)"/>
      <w:lvlJc w:val="left"/>
      <w:pPr>
        <w:tabs>
          <w:tab w:val="left" w:pos="-1272"/>
        </w:tabs>
        <w:ind w:left="-1272" w:hanging="420"/>
      </w:pPr>
    </w:lvl>
    <w:lvl w:ilvl="5" w:tentative="0">
      <w:start w:val="1"/>
      <w:numFmt w:val="lowerRoman"/>
      <w:lvlText w:val="%6."/>
      <w:lvlJc w:val="right"/>
      <w:pPr>
        <w:tabs>
          <w:tab w:val="left" w:pos="-852"/>
        </w:tabs>
        <w:ind w:left="-852" w:hanging="420"/>
      </w:pPr>
    </w:lvl>
    <w:lvl w:ilvl="6" w:tentative="0">
      <w:start w:val="1"/>
      <w:numFmt w:val="decimal"/>
      <w:lvlText w:val="%7."/>
      <w:lvlJc w:val="left"/>
      <w:pPr>
        <w:tabs>
          <w:tab w:val="left" w:pos="-432"/>
        </w:tabs>
        <w:ind w:left="-432" w:hanging="420"/>
      </w:pPr>
    </w:lvl>
    <w:lvl w:ilvl="7" w:tentative="0">
      <w:start w:val="1"/>
      <w:numFmt w:val="lowerLetter"/>
      <w:lvlText w:val="%8)"/>
      <w:lvlJc w:val="left"/>
      <w:pPr>
        <w:tabs>
          <w:tab w:val="left" w:pos="-12"/>
        </w:tabs>
        <w:ind w:left="-12" w:hanging="420"/>
      </w:pPr>
    </w:lvl>
    <w:lvl w:ilvl="8" w:tentative="0">
      <w:start w:val="1"/>
      <w:numFmt w:val="lowerRoman"/>
      <w:lvlText w:val="%9."/>
      <w:lvlJc w:val="right"/>
      <w:pPr>
        <w:tabs>
          <w:tab w:val="left" w:pos="408"/>
        </w:tabs>
        <w:ind w:left="408" w:hanging="420"/>
      </w:p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0"/>
  <w:drawingGridVerticalSpacing w:val="156"/>
  <w:noPunctuationKerning w:val="1"/>
  <w:characterSpacingControl w:val="compressPunctuation"/>
  <w:doNotValidateAgainstSchema/>
  <w:doNotDemarcateInvalidXml/>
  <w:compat>
    <w:spaceForUL/>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xZDEwN2ZjOTY3NjYyY2E0Y2FmNWI2OWI4ZDRlMmEifQ=="/>
    <w:docVar w:name="KSO_WPS_MARK_KEY" w:val="4935e4d3-46a6-4ef4-a5f8-26ab32f0fb4c"/>
  </w:docVars>
  <w:rsids>
    <w:rsidRoot w:val="000E2E3A"/>
    <w:rsid w:val="00000D08"/>
    <w:rsid w:val="00000EE8"/>
    <w:rsid w:val="000010D8"/>
    <w:rsid w:val="000038F7"/>
    <w:rsid w:val="00003A97"/>
    <w:rsid w:val="00004383"/>
    <w:rsid w:val="000044CB"/>
    <w:rsid w:val="00010007"/>
    <w:rsid w:val="0001043B"/>
    <w:rsid w:val="00010C8F"/>
    <w:rsid w:val="000110CF"/>
    <w:rsid w:val="00013037"/>
    <w:rsid w:val="000137BD"/>
    <w:rsid w:val="0001424C"/>
    <w:rsid w:val="00015CC9"/>
    <w:rsid w:val="00020011"/>
    <w:rsid w:val="000206AF"/>
    <w:rsid w:val="00020E56"/>
    <w:rsid w:val="00023291"/>
    <w:rsid w:val="000265A9"/>
    <w:rsid w:val="000277D4"/>
    <w:rsid w:val="0003380D"/>
    <w:rsid w:val="00035D4F"/>
    <w:rsid w:val="00035F06"/>
    <w:rsid w:val="00035FC8"/>
    <w:rsid w:val="0003692A"/>
    <w:rsid w:val="00041168"/>
    <w:rsid w:val="00042E28"/>
    <w:rsid w:val="00043522"/>
    <w:rsid w:val="000438F1"/>
    <w:rsid w:val="00043C15"/>
    <w:rsid w:val="00043ED1"/>
    <w:rsid w:val="00044C85"/>
    <w:rsid w:val="00045267"/>
    <w:rsid w:val="000454DF"/>
    <w:rsid w:val="00045EF1"/>
    <w:rsid w:val="00046AF8"/>
    <w:rsid w:val="00047430"/>
    <w:rsid w:val="00051E08"/>
    <w:rsid w:val="00053536"/>
    <w:rsid w:val="0005523F"/>
    <w:rsid w:val="00056754"/>
    <w:rsid w:val="00056A52"/>
    <w:rsid w:val="00056FB0"/>
    <w:rsid w:val="000606E5"/>
    <w:rsid w:val="00061633"/>
    <w:rsid w:val="00061B28"/>
    <w:rsid w:val="000621B1"/>
    <w:rsid w:val="00064044"/>
    <w:rsid w:val="00064B93"/>
    <w:rsid w:val="000651EA"/>
    <w:rsid w:val="000653BB"/>
    <w:rsid w:val="00065617"/>
    <w:rsid w:val="00065BCF"/>
    <w:rsid w:val="0006737B"/>
    <w:rsid w:val="000725F7"/>
    <w:rsid w:val="00077AFA"/>
    <w:rsid w:val="000808CE"/>
    <w:rsid w:val="000823F9"/>
    <w:rsid w:val="00082553"/>
    <w:rsid w:val="000838AB"/>
    <w:rsid w:val="00083AA5"/>
    <w:rsid w:val="00084E81"/>
    <w:rsid w:val="000853BE"/>
    <w:rsid w:val="0008656E"/>
    <w:rsid w:val="00086661"/>
    <w:rsid w:val="000866B1"/>
    <w:rsid w:val="00086987"/>
    <w:rsid w:val="00087ACD"/>
    <w:rsid w:val="0009025F"/>
    <w:rsid w:val="000904EA"/>
    <w:rsid w:val="00091538"/>
    <w:rsid w:val="00091B7E"/>
    <w:rsid w:val="00092768"/>
    <w:rsid w:val="00093586"/>
    <w:rsid w:val="00095981"/>
    <w:rsid w:val="0009787F"/>
    <w:rsid w:val="000A083F"/>
    <w:rsid w:val="000A1159"/>
    <w:rsid w:val="000A1E80"/>
    <w:rsid w:val="000A3A9B"/>
    <w:rsid w:val="000A47B7"/>
    <w:rsid w:val="000A5000"/>
    <w:rsid w:val="000A5887"/>
    <w:rsid w:val="000A5D92"/>
    <w:rsid w:val="000A7C16"/>
    <w:rsid w:val="000B02F8"/>
    <w:rsid w:val="000B0384"/>
    <w:rsid w:val="000B30BD"/>
    <w:rsid w:val="000B3B9C"/>
    <w:rsid w:val="000B3FB9"/>
    <w:rsid w:val="000B5644"/>
    <w:rsid w:val="000B713A"/>
    <w:rsid w:val="000C04E8"/>
    <w:rsid w:val="000C1E8A"/>
    <w:rsid w:val="000C2A11"/>
    <w:rsid w:val="000C509E"/>
    <w:rsid w:val="000C51FD"/>
    <w:rsid w:val="000C56E9"/>
    <w:rsid w:val="000C5D2F"/>
    <w:rsid w:val="000C701E"/>
    <w:rsid w:val="000C778A"/>
    <w:rsid w:val="000D0E8D"/>
    <w:rsid w:val="000D1FDE"/>
    <w:rsid w:val="000D27A7"/>
    <w:rsid w:val="000D3961"/>
    <w:rsid w:val="000D4BFC"/>
    <w:rsid w:val="000D50E6"/>
    <w:rsid w:val="000D6EEB"/>
    <w:rsid w:val="000E087F"/>
    <w:rsid w:val="000E13CE"/>
    <w:rsid w:val="000E1646"/>
    <w:rsid w:val="000E2E3A"/>
    <w:rsid w:val="000E33F5"/>
    <w:rsid w:val="000E3A62"/>
    <w:rsid w:val="000E4442"/>
    <w:rsid w:val="000E541E"/>
    <w:rsid w:val="000E7A25"/>
    <w:rsid w:val="000E7F8E"/>
    <w:rsid w:val="000F0EB0"/>
    <w:rsid w:val="000F0FC6"/>
    <w:rsid w:val="000F1854"/>
    <w:rsid w:val="000F1FF3"/>
    <w:rsid w:val="000F4711"/>
    <w:rsid w:val="000F7263"/>
    <w:rsid w:val="000F745C"/>
    <w:rsid w:val="00101265"/>
    <w:rsid w:val="00103499"/>
    <w:rsid w:val="00110EE4"/>
    <w:rsid w:val="001121F9"/>
    <w:rsid w:val="0011265C"/>
    <w:rsid w:val="00112ED7"/>
    <w:rsid w:val="0011361B"/>
    <w:rsid w:val="00113CC5"/>
    <w:rsid w:val="001205F1"/>
    <w:rsid w:val="00120A19"/>
    <w:rsid w:val="0012222F"/>
    <w:rsid w:val="00123721"/>
    <w:rsid w:val="00123803"/>
    <w:rsid w:val="001242DA"/>
    <w:rsid w:val="00124A8D"/>
    <w:rsid w:val="0012561C"/>
    <w:rsid w:val="00126E91"/>
    <w:rsid w:val="0013023A"/>
    <w:rsid w:val="001303E2"/>
    <w:rsid w:val="00130493"/>
    <w:rsid w:val="0013071E"/>
    <w:rsid w:val="00131265"/>
    <w:rsid w:val="0013151F"/>
    <w:rsid w:val="00131978"/>
    <w:rsid w:val="0013309A"/>
    <w:rsid w:val="0013780F"/>
    <w:rsid w:val="00137B94"/>
    <w:rsid w:val="00137CC2"/>
    <w:rsid w:val="00140D4A"/>
    <w:rsid w:val="00141F52"/>
    <w:rsid w:val="00142AAE"/>
    <w:rsid w:val="001439C5"/>
    <w:rsid w:val="00143A72"/>
    <w:rsid w:val="0014450C"/>
    <w:rsid w:val="001448FF"/>
    <w:rsid w:val="00144DAD"/>
    <w:rsid w:val="00144F2E"/>
    <w:rsid w:val="00146286"/>
    <w:rsid w:val="001466BA"/>
    <w:rsid w:val="00147E7C"/>
    <w:rsid w:val="00150496"/>
    <w:rsid w:val="0015141A"/>
    <w:rsid w:val="0015345E"/>
    <w:rsid w:val="00154F75"/>
    <w:rsid w:val="001561E7"/>
    <w:rsid w:val="0016008B"/>
    <w:rsid w:val="001601A6"/>
    <w:rsid w:val="00160C4C"/>
    <w:rsid w:val="001610EF"/>
    <w:rsid w:val="00162362"/>
    <w:rsid w:val="00163B11"/>
    <w:rsid w:val="00164A88"/>
    <w:rsid w:val="00165DE6"/>
    <w:rsid w:val="00166C3A"/>
    <w:rsid w:val="001676A2"/>
    <w:rsid w:val="00167941"/>
    <w:rsid w:val="001679EB"/>
    <w:rsid w:val="00171216"/>
    <w:rsid w:val="00171B78"/>
    <w:rsid w:val="001720B4"/>
    <w:rsid w:val="00172AE9"/>
    <w:rsid w:val="00175586"/>
    <w:rsid w:val="00175FD3"/>
    <w:rsid w:val="001806E5"/>
    <w:rsid w:val="00183083"/>
    <w:rsid w:val="001830A3"/>
    <w:rsid w:val="0018433F"/>
    <w:rsid w:val="00186831"/>
    <w:rsid w:val="00186EA5"/>
    <w:rsid w:val="00187679"/>
    <w:rsid w:val="00191B08"/>
    <w:rsid w:val="00191C67"/>
    <w:rsid w:val="00194757"/>
    <w:rsid w:val="0019601E"/>
    <w:rsid w:val="001960E6"/>
    <w:rsid w:val="001A04FD"/>
    <w:rsid w:val="001A1F2F"/>
    <w:rsid w:val="001A24AB"/>
    <w:rsid w:val="001A3C31"/>
    <w:rsid w:val="001A400E"/>
    <w:rsid w:val="001A448E"/>
    <w:rsid w:val="001A479B"/>
    <w:rsid w:val="001A496B"/>
    <w:rsid w:val="001A7075"/>
    <w:rsid w:val="001A7B3E"/>
    <w:rsid w:val="001B067E"/>
    <w:rsid w:val="001B169F"/>
    <w:rsid w:val="001B1B78"/>
    <w:rsid w:val="001B1D86"/>
    <w:rsid w:val="001B2158"/>
    <w:rsid w:val="001B2512"/>
    <w:rsid w:val="001B746E"/>
    <w:rsid w:val="001C0182"/>
    <w:rsid w:val="001C0520"/>
    <w:rsid w:val="001C0AEE"/>
    <w:rsid w:val="001C2267"/>
    <w:rsid w:val="001C24EA"/>
    <w:rsid w:val="001C4822"/>
    <w:rsid w:val="001C6460"/>
    <w:rsid w:val="001C7405"/>
    <w:rsid w:val="001D0C22"/>
    <w:rsid w:val="001D2F88"/>
    <w:rsid w:val="001D322D"/>
    <w:rsid w:val="001D76A8"/>
    <w:rsid w:val="001D7815"/>
    <w:rsid w:val="001D7920"/>
    <w:rsid w:val="001E0CEF"/>
    <w:rsid w:val="001E15C4"/>
    <w:rsid w:val="001E1BE3"/>
    <w:rsid w:val="001E279C"/>
    <w:rsid w:val="001E432C"/>
    <w:rsid w:val="001E4E60"/>
    <w:rsid w:val="001E5992"/>
    <w:rsid w:val="001F04D6"/>
    <w:rsid w:val="001F08F2"/>
    <w:rsid w:val="001F1C07"/>
    <w:rsid w:val="001F1C21"/>
    <w:rsid w:val="001F27FD"/>
    <w:rsid w:val="001F2AB4"/>
    <w:rsid w:val="001F35FA"/>
    <w:rsid w:val="001F47FA"/>
    <w:rsid w:val="001F48C9"/>
    <w:rsid w:val="001F527D"/>
    <w:rsid w:val="001F62F7"/>
    <w:rsid w:val="001F7021"/>
    <w:rsid w:val="001F755B"/>
    <w:rsid w:val="001F763B"/>
    <w:rsid w:val="0020093D"/>
    <w:rsid w:val="0020127C"/>
    <w:rsid w:val="00201718"/>
    <w:rsid w:val="00203329"/>
    <w:rsid w:val="00204346"/>
    <w:rsid w:val="002062C4"/>
    <w:rsid w:val="00206DE5"/>
    <w:rsid w:val="002076F9"/>
    <w:rsid w:val="00210100"/>
    <w:rsid w:val="002104FB"/>
    <w:rsid w:val="0021058C"/>
    <w:rsid w:val="0021061C"/>
    <w:rsid w:val="00213B02"/>
    <w:rsid w:val="00214DFC"/>
    <w:rsid w:val="00216B95"/>
    <w:rsid w:val="00216D96"/>
    <w:rsid w:val="00222423"/>
    <w:rsid w:val="002225B7"/>
    <w:rsid w:val="00222E7A"/>
    <w:rsid w:val="00223AE6"/>
    <w:rsid w:val="00225556"/>
    <w:rsid w:val="00227F1C"/>
    <w:rsid w:val="002304CA"/>
    <w:rsid w:val="002305B2"/>
    <w:rsid w:val="00231BB5"/>
    <w:rsid w:val="00231C91"/>
    <w:rsid w:val="00231F27"/>
    <w:rsid w:val="002323E8"/>
    <w:rsid w:val="0023344D"/>
    <w:rsid w:val="00237192"/>
    <w:rsid w:val="00237A54"/>
    <w:rsid w:val="00237F7F"/>
    <w:rsid w:val="0024152A"/>
    <w:rsid w:val="0024278B"/>
    <w:rsid w:val="002437A6"/>
    <w:rsid w:val="002454BD"/>
    <w:rsid w:val="00246AAD"/>
    <w:rsid w:val="00246DA0"/>
    <w:rsid w:val="002477AD"/>
    <w:rsid w:val="00247D2D"/>
    <w:rsid w:val="002506A4"/>
    <w:rsid w:val="002510AD"/>
    <w:rsid w:val="00251A9E"/>
    <w:rsid w:val="002522D5"/>
    <w:rsid w:val="00252DBE"/>
    <w:rsid w:val="00252FD2"/>
    <w:rsid w:val="00254A04"/>
    <w:rsid w:val="00255CC7"/>
    <w:rsid w:val="0025628A"/>
    <w:rsid w:val="002569B9"/>
    <w:rsid w:val="00256DAD"/>
    <w:rsid w:val="00261581"/>
    <w:rsid w:val="00262381"/>
    <w:rsid w:val="0026355B"/>
    <w:rsid w:val="002636CB"/>
    <w:rsid w:val="002649D5"/>
    <w:rsid w:val="00264A0F"/>
    <w:rsid w:val="00264B92"/>
    <w:rsid w:val="00264D5D"/>
    <w:rsid w:val="00265621"/>
    <w:rsid w:val="00266BD5"/>
    <w:rsid w:val="0027134F"/>
    <w:rsid w:val="002715DA"/>
    <w:rsid w:val="0027190C"/>
    <w:rsid w:val="00272327"/>
    <w:rsid w:val="0027330A"/>
    <w:rsid w:val="002733EB"/>
    <w:rsid w:val="0027356B"/>
    <w:rsid w:val="00273B83"/>
    <w:rsid w:val="00273C70"/>
    <w:rsid w:val="00274076"/>
    <w:rsid w:val="00275296"/>
    <w:rsid w:val="00275C6E"/>
    <w:rsid w:val="00276191"/>
    <w:rsid w:val="00276360"/>
    <w:rsid w:val="0027776B"/>
    <w:rsid w:val="00277F43"/>
    <w:rsid w:val="002811C4"/>
    <w:rsid w:val="002824C3"/>
    <w:rsid w:val="002824EA"/>
    <w:rsid w:val="00283F96"/>
    <w:rsid w:val="00284639"/>
    <w:rsid w:val="0028636A"/>
    <w:rsid w:val="00286A06"/>
    <w:rsid w:val="00286C1E"/>
    <w:rsid w:val="00287C6E"/>
    <w:rsid w:val="00287DD3"/>
    <w:rsid w:val="00291F4F"/>
    <w:rsid w:val="00294135"/>
    <w:rsid w:val="00295254"/>
    <w:rsid w:val="0029563D"/>
    <w:rsid w:val="0029626A"/>
    <w:rsid w:val="00296499"/>
    <w:rsid w:val="002A1201"/>
    <w:rsid w:val="002A355E"/>
    <w:rsid w:val="002A3600"/>
    <w:rsid w:val="002A59EE"/>
    <w:rsid w:val="002A68E4"/>
    <w:rsid w:val="002A6F7D"/>
    <w:rsid w:val="002A7144"/>
    <w:rsid w:val="002A74BF"/>
    <w:rsid w:val="002B09DA"/>
    <w:rsid w:val="002B0A60"/>
    <w:rsid w:val="002B1940"/>
    <w:rsid w:val="002B3CA4"/>
    <w:rsid w:val="002B3EB2"/>
    <w:rsid w:val="002B6CEE"/>
    <w:rsid w:val="002B7BD1"/>
    <w:rsid w:val="002C02AE"/>
    <w:rsid w:val="002C107C"/>
    <w:rsid w:val="002C1CDB"/>
    <w:rsid w:val="002C2103"/>
    <w:rsid w:val="002C4059"/>
    <w:rsid w:val="002C55DC"/>
    <w:rsid w:val="002D04DA"/>
    <w:rsid w:val="002D1217"/>
    <w:rsid w:val="002D2A99"/>
    <w:rsid w:val="002D3105"/>
    <w:rsid w:val="002D33FF"/>
    <w:rsid w:val="002D3B09"/>
    <w:rsid w:val="002D3E51"/>
    <w:rsid w:val="002D3EA6"/>
    <w:rsid w:val="002D4579"/>
    <w:rsid w:val="002D5AA4"/>
    <w:rsid w:val="002D5AE6"/>
    <w:rsid w:val="002D5E93"/>
    <w:rsid w:val="002D60CC"/>
    <w:rsid w:val="002D6ABE"/>
    <w:rsid w:val="002E0E6A"/>
    <w:rsid w:val="002E21AE"/>
    <w:rsid w:val="002E3B32"/>
    <w:rsid w:val="002E3C02"/>
    <w:rsid w:val="002E48D7"/>
    <w:rsid w:val="002E6884"/>
    <w:rsid w:val="002E6AE2"/>
    <w:rsid w:val="002E6E1C"/>
    <w:rsid w:val="002E6EC8"/>
    <w:rsid w:val="002E75A5"/>
    <w:rsid w:val="002E7C5C"/>
    <w:rsid w:val="002F266A"/>
    <w:rsid w:val="002F41AB"/>
    <w:rsid w:val="002F7635"/>
    <w:rsid w:val="0030004A"/>
    <w:rsid w:val="00300F0C"/>
    <w:rsid w:val="00300F48"/>
    <w:rsid w:val="0030120F"/>
    <w:rsid w:val="00301C00"/>
    <w:rsid w:val="00302E5A"/>
    <w:rsid w:val="003031B2"/>
    <w:rsid w:val="003040FE"/>
    <w:rsid w:val="003045BE"/>
    <w:rsid w:val="00305B7B"/>
    <w:rsid w:val="00306A51"/>
    <w:rsid w:val="00307D3A"/>
    <w:rsid w:val="00310256"/>
    <w:rsid w:val="00310BA1"/>
    <w:rsid w:val="00310C46"/>
    <w:rsid w:val="00311331"/>
    <w:rsid w:val="00312BB8"/>
    <w:rsid w:val="00312CA6"/>
    <w:rsid w:val="003146D1"/>
    <w:rsid w:val="00315292"/>
    <w:rsid w:val="003163FC"/>
    <w:rsid w:val="00316DC3"/>
    <w:rsid w:val="00317538"/>
    <w:rsid w:val="00317864"/>
    <w:rsid w:val="00317C07"/>
    <w:rsid w:val="00321A08"/>
    <w:rsid w:val="00322A03"/>
    <w:rsid w:val="003238D9"/>
    <w:rsid w:val="00324292"/>
    <w:rsid w:val="0032464D"/>
    <w:rsid w:val="003250D2"/>
    <w:rsid w:val="0032534C"/>
    <w:rsid w:val="00326C44"/>
    <w:rsid w:val="00326E04"/>
    <w:rsid w:val="003303BE"/>
    <w:rsid w:val="003313EC"/>
    <w:rsid w:val="003316E1"/>
    <w:rsid w:val="00331821"/>
    <w:rsid w:val="00331C05"/>
    <w:rsid w:val="00332C3C"/>
    <w:rsid w:val="00334B0F"/>
    <w:rsid w:val="0033694C"/>
    <w:rsid w:val="00343405"/>
    <w:rsid w:val="003468E4"/>
    <w:rsid w:val="00346F39"/>
    <w:rsid w:val="00346F55"/>
    <w:rsid w:val="00346FBE"/>
    <w:rsid w:val="00347486"/>
    <w:rsid w:val="00347541"/>
    <w:rsid w:val="00347867"/>
    <w:rsid w:val="00350BCC"/>
    <w:rsid w:val="003511CD"/>
    <w:rsid w:val="0035137B"/>
    <w:rsid w:val="0035289E"/>
    <w:rsid w:val="003551E7"/>
    <w:rsid w:val="00355952"/>
    <w:rsid w:val="003566FE"/>
    <w:rsid w:val="0035768F"/>
    <w:rsid w:val="0035786C"/>
    <w:rsid w:val="00364422"/>
    <w:rsid w:val="003644D7"/>
    <w:rsid w:val="00366478"/>
    <w:rsid w:val="00366A0C"/>
    <w:rsid w:val="00367A32"/>
    <w:rsid w:val="00371755"/>
    <w:rsid w:val="00371E89"/>
    <w:rsid w:val="00372573"/>
    <w:rsid w:val="00372875"/>
    <w:rsid w:val="003735E0"/>
    <w:rsid w:val="00374904"/>
    <w:rsid w:val="00375CB2"/>
    <w:rsid w:val="00376621"/>
    <w:rsid w:val="00380A01"/>
    <w:rsid w:val="00380FDD"/>
    <w:rsid w:val="003816F1"/>
    <w:rsid w:val="00382AAA"/>
    <w:rsid w:val="00382ACC"/>
    <w:rsid w:val="00382C11"/>
    <w:rsid w:val="00384066"/>
    <w:rsid w:val="003876BF"/>
    <w:rsid w:val="00387B10"/>
    <w:rsid w:val="00387D90"/>
    <w:rsid w:val="00390FBB"/>
    <w:rsid w:val="00391056"/>
    <w:rsid w:val="00392278"/>
    <w:rsid w:val="003937E4"/>
    <w:rsid w:val="00393A02"/>
    <w:rsid w:val="00394373"/>
    <w:rsid w:val="003963B9"/>
    <w:rsid w:val="00397BDB"/>
    <w:rsid w:val="003A0371"/>
    <w:rsid w:val="003A1404"/>
    <w:rsid w:val="003A1DC4"/>
    <w:rsid w:val="003A2B2C"/>
    <w:rsid w:val="003A440E"/>
    <w:rsid w:val="003A6E4C"/>
    <w:rsid w:val="003B2373"/>
    <w:rsid w:val="003B5237"/>
    <w:rsid w:val="003B6EA9"/>
    <w:rsid w:val="003C1671"/>
    <w:rsid w:val="003C1FF9"/>
    <w:rsid w:val="003C3B19"/>
    <w:rsid w:val="003C3C06"/>
    <w:rsid w:val="003C4198"/>
    <w:rsid w:val="003C47F0"/>
    <w:rsid w:val="003C54F3"/>
    <w:rsid w:val="003C6D70"/>
    <w:rsid w:val="003D017D"/>
    <w:rsid w:val="003D19BA"/>
    <w:rsid w:val="003D2BE9"/>
    <w:rsid w:val="003D2C7B"/>
    <w:rsid w:val="003D5E1C"/>
    <w:rsid w:val="003D6664"/>
    <w:rsid w:val="003D72D9"/>
    <w:rsid w:val="003E0792"/>
    <w:rsid w:val="003E13E5"/>
    <w:rsid w:val="003E392C"/>
    <w:rsid w:val="003E3C13"/>
    <w:rsid w:val="003E7654"/>
    <w:rsid w:val="003F0572"/>
    <w:rsid w:val="003F1124"/>
    <w:rsid w:val="003F15C1"/>
    <w:rsid w:val="003F22DE"/>
    <w:rsid w:val="003F3666"/>
    <w:rsid w:val="003F3A87"/>
    <w:rsid w:val="003F3D5E"/>
    <w:rsid w:val="003F4B3B"/>
    <w:rsid w:val="003F5364"/>
    <w:rsid w:val="0040021B"/>
    <w:rsid w:val="00400285"/>
    <w:rsid w:val="00401662"/>
    <w:rsid w:val="0040256C"/>
    <w:rsid w:val="00403054"/>
    <w:rsid w:val="0040404C"/>
    <w:rsid w:val="00405282"/>
    <w:rsid w:val="004057FC"/>
    <w:rsid w:val="00411C2D"/>
    <w:rsid w:val="0041247D"/>
    <w:rsid w:val="00412ABB"/>
    <w:rsid w:val="00413476"/>
    <w:rsid w:val="0041350F"/>
    <w:rsid w:val="0041619A"/>
    <w:rsid w:val="00422207"/>
    <w:rsid w:val="004223D9"/>
    <w:rsid w:val="00422474"/>
    <w:rsid w:val="0042272A"/>
    <w:rsid w:val="004233A4"/>
    <w:rsid w:val="00423A44"/>
    <w:rsid w:val="004245DD"/>
    <w:rsid w:val="00424804"/>
    <w:rsid w:val="00425CED"/>
    <w:rsid w:val="00426360"/>
    <w:rsid w:val="0042716C"/>
    <w:rsid w:val="00427949"/>
    <w:rsid w:val="00430376"/>
    <w:rsid w:val="00431A05"/>
    <w:rsid w:val="00432AE1"/>
    <w:rsid w:val="00432E4D"/>
    <w:rsid w:val="00432FB3"/>
    <w:rsid w:val="00434356"/>
    <w:rsid w:val="004352F1"/>
    <w:rsid w:val="00437FBC"/>
    <w:rsid w:val="00441848"/>
    <w:rsid w:val="004422A1"/>
    <w:rsid w:val="00443506"/>
    <w:rsid w:val="004438DE"/>
    <w:rsid w:val="00444EDE"/>
    <w:rsid w:val="00445287"/>
    <w:rsid w:val="004454B1"/>
    <w:rsid w:val="00445EB0"/>
    <w:rsid w:val="004472AC"/>
    <w:rsid w:val="004503FB"/>
    <w:rsid w:val="00451203"/>
    <w:rsid w:val="00451C3C"/>
    <w:rsid w:val="00452559"/>
    <w:rsid w:val="004544DF"/>
    <w:rsid w:val="0045475E"/>
    <w:rsid w:val="004568DC"/>
    <w:rsid w:val="00456F40"/>
    <w:rsid w:val="004571B8"/>
    <w:rsid w:val="00460207"/>
    <w:rsid w:val="00461DEC"/>
    <w:rsid w:val="00462863"/>
    <w:rsid w:val="00462FAE"/>
    <w:rsid w:val="0046363E"/>
    <w:rsid w:val="00463663"/>
    <w:rsid w:val="004639D7"/>
    <w:rsid w:val="00463EF8"/>
    <w:rsid w:val="0046523B"/>
    <w:rsid w:val="004666A6"/>
    <w:rsid w:val="0046755B"/>
    <w:rsid w:val="00467D16"/>
    <w:rsid w:val="00467DBC"/>
    <w:rsid w:val="00470029"/>
    <w:rsid w:val="004716EB"/>
    <w:rsid w:val="00471F00"/>
    <w:rsid w:val="00473517"/>
    <w:rsid w:val="00477BF1"/>
    <w:rsid w:val="00480B26"/>
    <w:rsid w:val="00481540"/>
    <w:rsid w:val="004831A2"/>
    <w:rsid w:val="0048387B"/>
    <w:rsid w:val="004852AB"/>
    <w:rsid w:val="0048535E"/>
    <w:rsid w:val="00486EC8"/>
    <w:rsid w:val="004938AD"/>
    <w:rsid w:val="0049489D"/>
    <w:rsid w:val="00495718"/>
    <w:rsid w:val="00495A81"/>
    <w:rsid w:val="0049662B"/>
    <w:rsid w:val="0049731C"/>
    <w:rsid w:val="004A0F8F"/>
    <w:rsid w:val="004A20A3"/>
    <w:rsid w:val="004A3C38"/>
    <w:rsid w:val="004A468A"/>
    <w:rsid w:val="004A4B84"/>
    <w:rsid w:val="004A57B2"/>
    <w:rsid w:val="004A662B"/>
    <w:rsid w:val="004A6BDA"/>
    <w:rsid w:val="004A7A51"/>
    <w:rsid w:val="004B0075"/>
    <w:rsid w:val="004B095B"/>
    <w:rsid w:val="004B0B75"/>
    <w:rsid w:val="004B114D"/>
    <w:rsid w:val="004B1A38"/>
    <w:rsid w:val="004B3ED3"/>
    <w:rsid w:val="004B6A7B"/>
    <w:rsid w:val="004B7131"/>
    <w:rsid w:val="004B72AB"/>
    <w:rsid w:val="004C0A1A"/>
    <w:rsid w:val="004C11EA"/>
    <w:rsid w:val="004C1393"/>
    <w:rsid w:val="004C1FA6"/>
    <w:rsid w:val="004C2475"/>
    <w:rsid w:val="004C348D"/>
    <w:rsid w:val="004C5185"/>
    <w:rsid w:val="004C5685"/>
    <w:rsid w:val="004C5881"/>
    <w:rsid w:val="004C74D3"/>
    <w:rsid w:val="004C7D69"/>
    <w:rsid w:val="004D02F0"/>
    <w:rsid w:val="004D075E"/>
    <w:rsid w:val="004D189A"/>
    <w:rsid w:val="004D419C"/>
    <w:rsid w:val="004D4E93"/>
    <w:rsid w:val="004D5208"/>
    <w:rsid w:val="004D5A95"/>
    <w:rsid w:val="004D6926"/>
    <w:rsid w:val="004E0863"/>
    <w:rsid w:val="004E195E"/>
    <w:rsid w:val="004E1C00"/>
    <w:rsid w:val="004E3659"/>
    <w:rsid w:val="004E3DA7"/>
    <w:rsid w:val="004E4BF6"/>
    <w:rsid w:val="004E64CD"/>
    <w:rsid w:val="004E6852"/>
    <w:rsid w:val="004F1601"/>
    <w:rsid w:val="004F18A4"/>
    <w:rsid w:val="004F275C"/>
    <w:rsid w:val="004F27C7"/>
    <w:rsid w:val="004F2AC6"/>
    <w:rsid w:val="004F2E09"/>
    <w:rsid w:val="004F33C3"/>
    <w:rsid w:val="004F4708"/>
    <w:rsid w:val="004F62E9"/>
    <w:rsid w:val="004F6F19"/>
    <w:rsid w:val="004F7AFE"/>
    <w:rsid w:val="004F7ED1"/>
    <w:rsid w:val="00500289"/>
    <w:rsid w:val="00500AD9"/>
    <w:rsid w:val="00501A7B"/>
    <w:rsid w:val="005042EB"/>
    <w:rsid w:val="005054D1"/>
    <w:rsid w:val="0051065F"/>
    <w:rsid w:val="005123D0"/>
    <w:rsid w:val="00512DE1"/>
    <w:rsid w:val="00514152"/>
    <w:rsid w:val="00514E0C"/>
    <w:rsid w:val="00520066"/>
    <w:rsid w:val="00520C40"/>
    <w:rsid w:val="00521F81"/>
    <w:rsid w:val="0053134C"/>
    <w:rsid w:val="00531A0A"/>
    <w:rsid w:val="00531CB6"/>
    <w:rsid w:val="00531EC7"/>
    <w:rsid w:val="00535EE9"/>
    <w:rsid w:val="005372E6"/>
    <w:rsid w:val="00537333"/>
    <w:rsid w:val="00543AB4"/>
    <w:rsid w:val="00544739"/>
    <w:rsid w:val="00545353"/>
    <w:rsid w:val="00545E6A"/>
    <w:rsid w:val="00547794"/>
    <w:rsid w:val="00547991"/>
    <w:rsid w:val="00550837"/>
    <w:rsid w:val="005514D7"/>
    <w:rsid w:val="005517D0"/>
    <w:rsid w:val="005518B0"/>
    <w:rsid w:val="0055326A"/>
    <w:rsid w:val="00554FBD"/>
    <w:rsid w:val="005562CB"/>
    <w:rsid w:val="005577ED"/>
    <w:rsid w:val="00560601"/>
    <w:rsid w:val="00560AFD"/>
    <w:rsid w:val="00560C96"/>
    <w:rsid w:val="00560EE4"/>
    <w:rsid w:val="005622F9"/>
    <w:rsid w:val="0056285D"/>
    <w:rsid w:val="00564A47"/>
    <w:rsid w:val="005664B7"/>
    <w:rsid w:val="00567912"/>
    <w:rsid w:val="00570438"/>
    <w:rsid w:val="00573D5D"/>
    <w:rsid w:val="0057491E"/>
    <w:rsid w:val="005809D7"/>
    <w:rsid w:val="00581EAC"/>
    <w:rsid w:val="00582687"/>
    <w:rsid w:val="00584C1C"/>
    <w:rsid w:val="00585081"/>
    <w:rsid w:val="005852D4"/>
    <w:rsid w:val="00585F4C"/>
    <w:rsid w:val="005868B5"/>
    <w:rsid w:val="00586C7A"/>
    <w:rsid w:val="00590498"/>
    <w:rsid w:val="0059126D"/>
    <w:rsid w:val="0059135C"/>
    <w:rsid w:val="005935C2"/>
    <w:rsid w:val="00593BAB"/>
    <w:rsid w:val="00593BBF"/>
    <w:rsid w:val="00595B99"/>
    <w:rsid w:val="00595D91"/>
    <w:rsid w:val="00596B5C"/>
    <w:rsid w:val="0059713B"/>
    <w:rsid w:val="0059750A"/>
    <w:rsid w:val="00597A3B"/>
    <w:rsid w:val="00597E8C"/>
    <w:rsid w:val="005A19B7"/>
    <w:rsid w:val="005A23AC"/>
    <w:rsid w:val="005A2592"/>
    <w:rsid w:val="005A404D"/>
    <w:rsid w:val="005A5D7C"/>
    <w:rsid w:val="005A6A01"/>
    <w:rsid w:val="005A6B1C"/>
    <w:rsid w:val="005A7421"/>
    <w:rsid w:val="005B3DB8"/>
    <w:rsid w:val="005B3E52"/>
    <w:rsid w:val="005B565A"/>
    <w:rsid w:val="005B6BE3"/>
    <w:rsid w:val="005B6C56"/>
    <w:rsid w:val="005B7ED1"/>
    <w:rsid w:val="005C07AC"/>
    <w:rsid w:val="005C11B2"/>
    <w:rsid w:val="005C14B3"/>
    <w:rsid w:val="005C3ACD"/>
    <w:rsid w:val="005C3F08"/>
    <w:rsid w:val="005C6302"/>
    <w:rsid w:val="005C65AE"/>
    <w:rsid w:val="005D0AE4"/>
    <w:rsid w:val="005D12F8"/>
    <w:rsid w:val="005D1774"/>
    <w:rsid w:val="005D1F45"/>
    <w:rsid w:val="005D2684"/>
    <w:rsid w:val="005D2C4D"/>
    <w:rsid w:val="005D2FD4"/>
    <w:rsid w:val="005D466A"/>
    <w:rsid w:val="005D4AE5"/>
    <w:rsid w:val="005D4FA2"/>
    <w:rsid w:val="005D7058"/>
    <w:rsid w:val="005E0DD9"/>
    <w:rsid w:val="005E1F0A"/>
    <w:rsid w:val="005E1FF7"/>
    <w:rsid w:val="005E4A59"/>
    <w:rsid w:val="005F055C"/>
    <w:rsid w:val="005F11C1"/>
    <w:rsid w:val="005F1FDC"/>
    <w:rsid w:val="005F447B"/>
    <w:rsid w:val="005F49FE"/>
    <w:rsid w:val="005F4D27"/>
    <w:rsid w:val="005F5720"/>
    <w:rsid w:val="005F65A4"/>
    <w:rsid w:val="005F6F1D"/>
    <w:rsid w:val="00600F31"/>
    <w:rsid w:val="00601077"/>
    <w:rsid w:val="00601087"/>
    <w:rsid w:val="00601C98"/>
    <w:rsid w:val="00602AC5"/>
    <w:rsid w:val="006056DB"/>
    <w:rsid w:val="00605890"/>
    <w:rsid w:val="00606A8B"/>
    <w:rsid w:val="006079CC"/>
    <w:rsid w:val="00607B6A"/>
    <w:rsid w:val="00607C87"/>
    <w:rsid w:val="0061355C"/>
    <w:rsid w:val="0061367F"/>
    <w:rsid w:val="00614167"/>
    <w:rsid w:val="00614DEB"/>
    <w:rsid w:val="0061618D"/>
    <w:rsid w:val="006162C8"/>
    <w:rsid w:val="00617FC4"/>
    <w:rsid w:val="006215B6"/>
    <w:rsid w:val="006218C1"/>
    <w:rsid w:val="00621C19"/>
    <w:rsid w:val="006244FC"/>
    <w:rsid w:val="00625DE6"/>
    <w:rsid w:val="006262F1"/>
    <w:rsid w:val="00627135"/>
    <w:rsid w:val="00627C10"/>
    <w:rsid w:val="00631BFF"/>
    <w:rsid w:val="006329D7"/>
    <w:rsid w:val="00632C62"/>
    <w:rsid w:val="0063350D"/>
    <w:rsid w:val="006340D5"/>
    <w:rsid w:val="00641C62"/>
    <w:rsid w:val="0064208C"/>
    <w:rsid w:val="006420F1"/>
    <w:rsid w:val="00642318"/>
    <w:rsid w:val="00642B93"/>
    <w:rsid w:val="00642EF5"/>
    <w:rsid w:val="00642FD9"/>
    <w:rsid w:val="00643580"/>
    <w:rsid w:val="00644B74"/>
    <w:rsid w:val="00644BA7"/>
    <w:rsid w:val="00644C79"/>
    <w:rsid w:val="00645548"/>
    <w:rsid w:val="00645931"/>
    <w:rsid w:val="00645CA9"/>
    <w:rsid w:val="006462EA"/>
    <w:rsid w:val="0064741E"/>
    <w:rsid w:val="00651530"/>
    <w:rsid w:val="00652686"/>
    <w:rsid w:val="00652F8A"/>
    <w:rsid w:val="006568B1"/>
    <w:rsid w:val="0066059E"/>
    <w:rsid w:val="00660DDE"/>
    <w:rsid w:val="0066436B"/>
    <w:rsid w:val="00664B18"/>
    <w:rsid w:val="0066545F"/>
    <w:rsid w:val="00665A2E"/>
    <w:rsid w:val="006665A7"/>
    <w:rsid w:val="00667D06"/>
    <w:rsid w:val="00670EC7"/>
    <w:rsid w:val="00671970"/>
    <w:rsid w:val="0067202F"/>
    <w:rsid w:val="00672B69"/>
    <w:rsid w:val="00672B76"/>
    <w:rsid w:val="006739C8"/>
    <w:rsid w:val="00673E68"/>
    <w:rsid w:val="00675369"/>
    <w:rsid w:val="00675F5D"/>
    <w:rsid w:val="00676537"/>
    <w:rsid w:val="0067797A"/>
    <w:rsid w:val="006816EE"/>
    <w:rsid w:val="0068189B"/>
    <w:rsid w:val="00681F11"/>
    <w:rsid w:val="00684901"/>
    <w:rsid w:val="00684DD6"/>
    <w:rsid w:val="00687FE1"/>
    <w:rsid w:val="00690521"/>
    <w:rsid w:val="006924BF"/>
    <w:rsid w:val="00692611"/>
    <w:rsid w:val="00693666"/>
    <w:rsid w:val="0069456E"/>
    <w:rsid w:val="00695F7A"/>
    <w:rsid w:val="00697555"/>
    <w:rsid w:val="006979E6"/>
    <w:rsid w:val="00697A20"/>
    <w:rsid w:val="006A0B9E"/>
    <w:rsid w:val="006A0C4C"/>
    <w:rsid w:val="006A173C"/>
    <w:rsid w:val="006A20D2"/>
    <w:rsid w:val="006A23F5"/>
    <w:rsid w:val="006A2AEC"/>
    <w:rsid w:val="006A2D46"/>
    <w:rsid w:val="006A32F8"/>
    <w:rsid w:val="006A45CA"/>
    <w:rsid w:val="006A4A7D"/>
    <w:rsid w:val="006A6513"/>
    <w:rsid w:val="006A6872"/>
    <w:rsid w:val="006A79C3"/>
    <w:rsid w:val="006B05A2"/>
    <w:rsid w:val="006B1213"/>
    <w:rsid w:val="006B322F"/>
    <w:rsid w:val="006B4DC2"/>
    <w:rsid w:val="006B54AE"/>
    <w:rsid w:val="006B6382"/>
    <w:rsid w:val="006B6972"/>
    <w:rsid w:val="006B6BC4"/>
    <w:rsid w:val="006B75A0"/>
    <w:rsid w:val="006C215A"/>
    <w:rsid w:val="006C7E0A"/>
    <w:rsid w:val="006D1F20"/>
    <w:rsid w:val="006D3805"/>
    <w:rsid w:val="006D445D"/>
    <w:rsid w:val="006D4CF3"/>
    <w:rsid w:val="006D4E7F"/>
    <w:rsid w:val="006D73A0"/>
    <w:rsid w:val="006E0EFC"/>
    <w:rsid w:val="006E1B1A"/>
    <w:rsid w:val="006E3820"/>
    <w:rsid w:val="006E5E23"/>
    <w:rsid w:val="006E645B"/>
    <w:rsid w:val="006E7DEA"/>
    <w:rsid w:val="006F08E2"/>
    <w:rsid w:val="006F0F84"/>
    <w:rsid w:val="006F1E1E"/>
    <w:rsid w:val="006F23D0"/>
    <w:rsid w:val="006F554B"/>
    <w:rsid w:val="006F621D"/>
    <w:rsid w:val="006F6250"/>
    <w:rsid w:val="006F639D"/>
    <w:rsid w:val="006F74D3"/>
    <w:rsid w:val="006F7FAD"/>
    <w:rsid w:val="006F7FEF"/>
    <w:rsid w:val="0070237E"/>
    <w:rsid w:val="00702A1D"/>
    <w:rsid w:val="00703741"/>
    <w:rsid w:val="0070480A"/>
    <w:rsid w:val="00704F4E"/>
    <w:rsid w:val="007065B5"/>
    <w:rsid w:val="0071012D"/>
    <w:rsid w:val="00711599"/>
    <w:rsid w:val="00711ABA"/>
    <w:rsid w:val="00712197"/>
    <w:rsid w:val="0071268F"/>
    <w:rsid w:val="007129B2"/>
    <w:rsid w:val="00712EE6"/>
    <w:rsid w:val="00713379"/>
    <w:rsid w:val="00713FCF"/>
    <w:rsid w:val="0071454E"/>
    <w:rsid w:val="00714AEF"/>
    <w:rsid w:val="00714F7D"/>
    <w:rsid w:val="007159B5"/>
    <w:rsid w:val="00715D67"/>
    <w:rsid w:val="00716534"/>
    <w:rsid w:val="00717816"/>
    <w:rsid w:val="007204FC"/>
    <w:rsid w:val="00720993"/>
    <w:rsid w:val="00721424"/>
    <w:rsid w:val="00721DD0"/>
    <w:rsid w:val="007220CD"/>
    <w:rsid w:val="00722D42"/>
    <w:rsid w:val="007251ED"/>
    <w:rsid w:val="007271AB"/>
    <w:rsid w:val="00731AD0"/>
    <w:rsid w:val="00732576"/>
    <w:rsid w:val="00733119"/>
    <w:rsid w:val="00736E51"/>
    <w:rsid w:val="007372A0"/>
    <w:rsid w:val="007378C8"/>
    <w:rsid w:val="00740D99"/>
    <w:rsid w:val="007434A6"/>
    <w:rsid w:val="00743766"/>
    <w:rsid w:val="00743DAA"/>
    <w:rsid w:val="00745ED4"/>
    <w:rsid w:val="0074695B"/>
    <w:rsid w:val="007527C3"/>
    <w:rsid w:val="007529FC"/>
    <w:rsid w:val="007532B1"/>
    <w:rsid w:val="007549CF"/>
    <w:rsid w:val="00756017"/>
    <w:rsid w:val="007566FB"/>
    <w:rsid w:val="007574CC"/>
    <w:rsid w:val="00757FCD"/>
    <w:rsid w:val="007600F6"/>
    <w:rsid w:val="007605E4"/>
    <w:rsid w:val="00761864"/>
    <w:rsid w:val="00761AC0"/>
    <w:rsid w:val="00762B37"/>
    <w:rsid w:val="007631B1"/>
    <w:rsid w:val="007638B8"/>
    <w:rsid w:val="007638F8"/>
    <w:rsid w:val="00765674"/>
    <w:rsid w:val="007669F9"/>
    <w:rsid w:val="00767AF7"/>
    <w:rsid w:val="00767E4D"/>
    <w:rsid w:val="0077249F"/>
    <w:rsid w:val="00772E84"/>
    <w:rsid w:val="00773C89"/>
    <w:rsid w:val="00775157"/>
    <w:rsid w:val="007773F4"/>
    <w:rsid w:val="00780546"/>
    <w:rsid w:val="00781F01"/>
    <w:rsid w:val="00781FBE"/>
    <w:rsid w:val="0078207F"/>
    <w:rsid w:val="00782092"/>
    <w:rsid w:val="00783964"/>
    <w:rsid w:val="007843BB"/>
    <w:rsid w:val="00784904"/>
    <w:rsid w:val="00786FB2"/>
    <w:rsid w:val="0078733C"/>
    <w:rsid w:val="00787574"/>
    <w:rsid w:val="00790F65"/>
    <w:rsid w:val="00793F02"/>
    <w:rsid w:val="007942F5"/>
    <w:rsid w:val="00795451"/>
    <w:rsid w:val="00795881"/>
    <w:rsid w:val="00796072"/>
    <w:rsid w:val="0079634A"/>
    <w:rsid w:val="007970D1"/>
    <w:rsid w:val="007971F1"/>
    <w:rsid w:val="00797918"/>
    <w:rsid w:val="00797AB2"/>
    <w:rsid w:val="007A1217"/>
    <w:rsid w:val="007A14B3"/>
    <w:rsid w:val="007A3970"/>
    <w:rsid w:val="007A3A2E"/>
    <w:rsid w:val="007A5E09"/>
    <w:rsid w:val="007B02F2"/>
    <w:rsid w:val="007B1757"/>
    <w:rsid w:val="007B2545"/>
    <w:rsid w:val="007B28E8"/>
    <w:rsid w:val="007B3201"/>
    <w:rsid w:val="007B70D2"/>
    <w:rsid w:val="007B7966"/>
    <w:rsid w:val="007C04DF"/>
    <w:rsid w:val="007C0BA7"/>
    <w:rsid w:val="007C1762"/>
    <w:rsid w:val="007C1F84"/>
    <w:rsid w:val="007C22EA"/>
    <w:rsid w:val="007C2B5D"/>
    <w:rsid w:val="007C2BB0"/>
    <w:rsid w:val="007C45CF"/>
    <w:rsid w:val="007C5522"/>
    <w:rsid w:val="007C683B"/>
    <w:rsid w:val="007C7F6D"/>
    <w:rsid w:val="007D027F"/>
    <w:rsid w:val="007D04B8"/>
    <w:rsid w:val="007D08E0"/>
    <w:rsid w:val="007D127C"/>
    <w:rsid w:val="007D2576"/>
    <w:rsid w:val="007D25D5"/>
    <w:rsid w:val="007D514E"/>
    <w:rsid w:val="007D585B"/>
    <w:rsid w:val="007D5CB4"/>
    <w:rsid w:val="007D5F2F"/>
    <w:rsid w:val="007E0FCA"/>
    <w:rsid w:val="007E1DB7"/>
    <w:rsid w:val="007E2113"/>
    <w:rsid w:val="007E2C92"/>
    <w:rsid w:val="007E33C9"/>
    <w:rsid w:val="007E51B4"/>
    <w:rsid w:val="007E5622"/>
    <w:rsid w:val="007E5D94"/>
    <w:rsid w:val="007E6922"/>
    <w:rsid w:val="007E7F06"/>
    <w:rsid w:val="007F0D33"/>
    <w:rsid w:val="007F149F"/>
    <w:rsid w:val="007F2067"/>
    <w:rsid w:val="007F293B"/>
    <w:rsid w:val="007F2DB4"/>
    <w:rsid w:val="007F3279"/>
    <w:rsid w:val="007F478A"/>
    <w:rsid w:val="007F53BE"/>
    <w:rsid w:val="007F55E8"/>
    <w:rsid w:val="007F6B26"/>
    <w:rsid w:val="007F740C"/>
    <w:rsid w:val="008002A2"/>
    <w:rsid w:val="00801860"/>
    <w:rsid w:val="00802290"/>
    <w:rsid w:val="00803490"/>
    <w:rsid w:val="00804C15"/>
    <w:rsid w:val="00806443"/>
    <w:rsid w:val="00807FD6"/>
    <w:rsid w:val="0081010D"/>
    <w:rsid w:val="00810509"/>
    <w:rsid w:val="008110FC"/>
    <w:rsid w:val="00812217"/>
    <w:rsid w:val="00812462"/>
    <w:rsid w:val="008125B9"/>
    <w:rsid w:val="00813B95"/>
    <w:rsid w:val="008158A9"/>
    <w:rsid w:val="008168CB"/>
    <w:rsid w:val="00822874"/>
    <w:rsid w:val="00822BBC"/>
    <w:rsid w:val="0082361A"/>
    <w:rsid w:val="00823867"/>
    <w:rsid w:val="00825FE7"/>
    <w:rsid w:val="00826EB0"/>
    <w:rsid w:val="0082709C"/>
    <w:rsid w:val="0083006E"/>
    <w:rsid w:val="0083110A"/>
    <w:rsid w:val="00831335"/>
    <w:rsid w:val="0083202E"/>
    <w:rsid w:val="00833584"/>
    <w:rsid w:val="00834288"/>
    <w:rsid w:val="00837CF3"/>
    <w:rsid w:val="00841549"/>
    <w:rsid w:val="00845289"/>
    <w:rsid w:val="00845CD4"/>
    <w:rsid w:val="0084637F"/>
    <w:rsid w:val="00846F9D"/>
    <w:rsid w:val="008474F6"/>
    <w:rsid w:val="008529E7"/>
    <w:rsid w:val="00852B82"/>
    <w:rsid w:val="00855274"/>
    <w:rsid w:val="00855453"/>
    <w:rsid w:val="0085693C"/>
    <w:rsid w:val="00857AFE"/>
    <w:rsid w:val="00857B09"/>
    <w:rsid w:val="008609A9"/>
    <w:rsid w:val="00863E7B"/>
    <w:rsid w:val="00866A02"/>
    <w:rsid w:val="00866E24"/>
    <w:rsid w:val="00867098"/>
    <w:rsid w:val="00867894"/>
    <w:rsid w:val="008710F2"/>
    <w:rsid w:val="0087139B"/>
    <w:rsid w:val="008734ED"/>
    <w:rsid w:val="008742BA"/>
    <w:rsid w:val="008762C0"/>
    <w:rsid w:val="008768C1"/>
    <w:rsid w:val="008805B0"/>
    <w:rsid w:val="0088199C"/>
    <w:rsid w:val="00881C26"/>
    <w:rsid w:val="0088228A"/>
    <w:rsid w:val="00884684"/>
    <w:rsid w:val="00884CAF"/>
    <w:rsid w:val="008858AB"/>
    <w:rsid w:val="0088706D"/>
    <w:rsid w:val="00887251"/>
    <w:rsid w:val="00890175"/>
    <w:rsid w:val="008905E7"/>
    <w:rsid w:val="00890A74"/>
    <w:rsid w:val="00890D51"/>
    <w:rsid w:val="0089232F"/>
    <w:rsid w:val="00892A6F"/>
    <w:rsid w:val="008932A2"/>
    <w:rsid w:val="00895384"/>
    <w:rsid w:val="008A1E02"/>
    <w:rsid w:val="008A24A0"/>
    <w:rsid w:val="008A2FAA"/>
    <w:rsid w:val="008A361F"/>
    <w:rsid w:val="008B04DB"/>
    <w:rsid w:val="008B0AFF"/>
    <w:rsid w:val="008B0C77"/>
    <w:rsid w:val="008B2065"/>
    <w:rsid w:val="008B3394"/>
    <w:rsid w:val="008B3AD2"/>
    <w:rsid w:val="008B5025"/>
    <w:rsid w:val="008B5AFB"/>
    <w:rsid w:val="008B70FF"/>
    <w:rsid w:val="008B7CB4"/>
    <w:rsid w:val="008C0119"/>
    <w:rsid w:val="008C1055"/>
    <w:rsid w:val="008C2F47"/>
    <w:rsid w:val="008C3673"/>
    <w:rsid w:val="008C3A0C"/>
    <w:rsid w:val="008C49E3"/>
    <w:rsid w:val="008C6347"/>
    <w:rsid w:val="008C6F1E"/>
    <w:rsid w:val="008D0698"/>
    <w:rsid w:val="008D2FD2"/>
    <w:rsid w:val="008D44A3"/>
    <w:rsid w:val="008D57FF"/>
    <w:rsid w:val="008D5B63"/>
    <w:rsid w:val="008D6AA3"/>
    <w:rsid w:val="008E1C25"/>
    <w:rsid w:val="008E1EC0"/>
    <w:rsid w:val="008E2EAC"/>
    <w:rsid w:val="008E5E6D"/>
    <w:rsid w:val="008F00CA"/>
    <w:rsid w:val="008F0A00"/>
    <w:rsid w:val="008F1BFB"/>
    <w:rsid w:val="008F4B6D"/>
    <w:rsid w:val="008F6187"/>
    <w:rsid w:val="008F6AD4"/>
    <w:rsid w:val="008F6C66"/>
    <w:rsid w:val="00901D7A"/>
    <w:rsid w:val="00902351"/>
    <w:rsid w:val="00902717"/>
    <w:rsid w:val="0090294A"/>
    <w:rsid w:val="00902D94"/>
    <w:rsid w:val="00904C99"/>
    <w:rsid w:val="00904CEA"/>
    <w:rsid w:val="0090587D"/>
    <w:rsid w:val="00906AFC"/>
    <w:rsid w:val="00906EA3"/>
    <w:rsid w:val="00907A74"/>
    <w:rsid w:val="0091041B"/>
    <w:rsid w:val="00910517"/>
    <w:rsid w:val="00910569"/>
    <w:rsid w:val="0091090D"/>
    <w:rsid w:val="00910AF7"/>
    <w:rsid w:val="009114DB"/>
    <w:rsid w:val="00915FE2"/>
    <w:rsid w:val="0091636D"/>
    <w:rsid w:val="0091655A"/>
    <w:rsid w:val="00916A85"/>
    <w:rsid w:val="009174ED"/>
    <w:rsid w:val="00920284"/>
    <w:rsid w:val="00921725"/>
    <w:rsid w:val="0092237F"/>
    <w:rsid w:val="009229C5"/>
    <w:rsid w:val="00922AB6"/>
    <w:rsid w:val="00924AE0"/>
    <w:rsid w:val="009271EE"/>
    <w:rsid w:val="0093174D"/>
    <w:rsid w:val="00931879"/>
    <w:rsid w:val="009319D1"/>
    <w:rsid w:val="00931ED5"/>
    <w:rsid w:val="009360DE"/>
    <w:rsid w:val="00936CD9"/>
    <w:rsid w:val="0093726B"/>
    <w:rsid w:val="00940B68"/>
    <w:rsid w:val="00940E97"/>
    <w:rsid w:val="00942065"/>
    <w:rsid w:val="00943557"/>
    <w:rsid w:val="0094492F"/>
    <w:rsid w:val="00944EB4"/>
    <w:rsid w:val="00945A8B"/>
    <w:rsid w:val="00945F66"/>
    <w:rsid w:val="00950153"/>
    <w:rsid w:val="009515CE"/>
    <w:rsid w:val="009520DB"/>
    <w:rsid w:val="00952543"/>
    <w:rsid w:val="0095310D"/>
    <w:rsid w:val="00953498"/>
    <w:rsid w:val="00953F7C"/>
    <w:rsid w:val="00954926"/>
    <w:rsid w:val="00954CD9"/>
    <w:rsid w:val="009557D5"/>
    <w:rsid w:val="00955ABE"/>
    <w:rsid w:val="00956B29"/>
    <w:rsid w:val="009607D9"/>
    <w:rsid w:val="00962A22"/>
    <w:rsid w:val="00962DFE"/>
    <w:rsid w:val="00963195"/>
    <w:rsid w:val="00965705"/>
    <w:rsid w:val="00971B74"/>
    <w:rsid w:val="00972326"/>
    <w:rsid w:val="00972D75"/>
    <w:rsid w:val="00972DE0"/>
    <w:rsid w:val="00972ED0"/>
    <w:rsid w:val="009755CC"/>
    <w:rsid w:val="0098022A"/>
    <w:rsid w:val="00980E92"/>
    <w:rsid w:val="0098182A"/>
    <w:rsid w:val="00981DAF"/>
    <w:rsid w:val="00985909"/>
    <w:rsid w:val="00986C7D"/>
    <w:rsid w:val="00991852"/>
    <w:rsid w:val="00991C27"/>
    <w:rsid w:val="00992A18"/>
    <w:rsid w:val="00992E35"/>
    <w:rsid w:val="009933C4"/>
    <w:rsid w:val="00993409"/>
    <w:rsid w:val="00994D93"/>
    <w:rsid w:val="009950A5"/>
    <w:rsid w:val="0099510A"/>
    <w:rsid w:val="009955ED"/>
    <w:rsid w:val="00996EA5"/>
    <w:rsid w:val="00997F16"/>
    <w:rsid w:val="009A071E"/>
    <w:rsid w:val="009A0E8C"/>
    <w:rsid w:val="009A5698"/>
    <w:rsid w:val="009B00B4"/>
    <w:rsid w:val="009B07BE"/>
    <w:rsid w:val="009B2654"/>
    <w:rsid w:val="009B3152"/>
    <w:rsid w:val="009B3B8B"/>
    <w:rsid w:val="009B4456"/>
    <w:rsid w:val="009B45BA"/>
    <w:rsid w:val="009B518F"/>
    <w:rsid w:val="009B5A10"/>
    <w:rsid w:val="009B6AA5"/>
    <w:rsid w:val="009B6D86"/>
    <w:rsid w:val="009B7037"/>
    <w:rsid w:val="009B7BFB"/>
    <w:rsid w:val="009C0E59"/>
    <w:rsid w:val="009C226A"/>
    <w:rsid w:val="009C35B0"/>
    <w:rsid w:val="009C71DC"/>
    <w:rsid w:val="009C7909"/>
    <w:rsid w:val="009D0330"/>
    <w:rsid w:val="009D0440"/>
    <w:rsid w:val="009D0E07"/>
    <w:rsid w:val="009D1103"/>
    <w:rsid w:val="009D1412"/>
    <w:rsid w:val="009D235B"/>
    <w:rsid w:val="009D3F12"/>
    <w:rsid w:val="009D46EA"/>
    <w:rsid w:val="009D5C95"/>
    <w:rsid w:val="009D5E83"/>
    <w:rsid w:val="009E05F2"/>
    <w:rsid w:val="009E0979"/>
    <w:rsid w:val="009E2211"/>
    <w:rsid w:val="009E276C"/>
    <w:rsid w:val="009E289F"/>
    <w:rsid w:val="009E2BD4"/>
    <w:rsid w:val="009E2EC0"/>
    <w:rsid w:val="009E3872"/>
    <w:rsid w:val="009E4C62"/>
    <w:rsid w:val="009E5582"/>
    <w:rsid w:val="009E5C05"/>
    <w:rsid w:val="009E5C1E"/>
    <w:rsid w:val="009E669C"/>
    <w:rsid w:val="009E6BC1"/>
    <w:rsid w:val="009E6D60"/>
    <w:rsid w:val="009F02A5"/>
    <w:rsid w:val="009F2765"/>
    <w:rsid w:val="009F2DC8"/>
    <w:rsid w:val="009F2F53"/>
    <w:rsid w:val="009F4BDA"/>
    <w:rsid w:val="009F5B7E"/>
    <w:rsid w:val="009F78A4"/>
    <w:rsid w:val="00A000E6"/>
    <w:rsid w:val="00A011CE"/>
    <w:rsid w:val="00A0240C"/>
    <w:rsid w:val="00A027A0"/>
    <w:rsid w:val="00A02B71"/>
    <w:rsid w:val="00A02BF5"/>
    <w:rsid w:val="00A02CFB"/>
    <w:rsid w:val="00A031D0"/>
    <w:rsid w:val="00A03CA1"/>
    <w:rsid w:val="00A04450"/>
    <w:rsid w:val="00A04F67"/>
    <w:rsid w:val="00A0625F"/>
    <w:rsid w:val="00A113A3"/>
    <w:rsid w:val="00A1380C"/>
    <w:rsid w:val="00A1477B"/>
    <w:rsid w:val="00A16295"/>
    <w:rsid w:val="00A168FF"/>
    <w:rsid w:val="00A23252"/>
    <w:rsid w:val="00A239C7"/>
    <w:rsid w:val="00A23E12"/>
    <w:rsid w:val="00A24537"/>
    <w:rsid w:val="00A24996"/>
    <w:rsid w:val="00A25652"/>
    <w:rsid w:val="00A260A1"/>
    <w:rsid w:val="00A27F9A"/>
    <w:rsid w:val="00A302A7"/>
    <w:rsid w:val="00A3067D"/>
    <w:rsid w:val="00A32208"/>
    <w:rsid w:val="00A35899"/>
    <w:rsid w:val="00A35D5B"/>
    <w:rsid w:val="00A36354"/>
    <w:rsid w:val="00A36453"/>
    <w:rsid w:val="00A365A9"/>
    <w:rsid w:val="00A405B4"/>
    <w:rsid w:val="00A40C6A"/>
    <w:rsid w:val="00A40F6A"/>
    <w:rsid w:val="00A41098"/>
    <w:rsid w:val="00A41180"/>
    <w:rsid w:val="00A412AD"/>
    <w:rsid w:val="00A41F7D"/>
    <w:rsid w:val="00A42128"/>
    <w:rsid w:val="00A44A1D"/>
    <w:rsid w:val="00A4552D"/>
    <w:rsid w:val="00A45A4D"/>
    <w:rsid w:val="00A45A93"/>
    <w:rsid w:val="00A45ECB"/>
    <w:rsid w:val="00A50158"/>
    <w:rsid w:val="00A50387"/>
    <w:rsid w:val="00A536A6"/>
    <w:rsid w:val="00A54920"/>
    <w:rsid w:val="00A54C59"/>
    <w:rsid w:val="00A54D19"/>
    <w:rsid w:val="00A554B9"/>
    <w:rsid w:val="00A56174"/>
    <w:rsid w:val="00A561D1"/>
    <w:rsid w:val="00A566C8"/>
    <w:rsid w:val="00A56F6B"/>
    <w:rsid w:val="00A57551"/>
    <w:rsid w:val="00A62020"/>
    <w:rsid w:val="00A6505A"/>
    <w:rsid w:val="00A65099"/>
    <w:rsid w:val="00A65B70"/>
    <w:rsid w:val="00A65C3B"/>
    <w:rsid w:val="00A66119"/>
    <w:rsid w:val="00A66672"/>
    <w:rsid w:val="00A67013"/>
    <w:rsid w:val="00A703A4"/>
    <w:rsid w:val="00A70417"/>
    <w:rsid w:val="00A717CA"/>
    <w:rsid w:val="00A73794"/>
    <w:rsid w:val="00A7420A"/>
    <w:rsid w:val="00A74F18"/>
    <w:rsid w:val="00A76372"/>
    <w:rsid w:val="00A76573"/>
    <w:rsid w:val="00A80197"/>
    <w:rsid w:val="00A80352"/>
    <w:rsid w:val="00A8136B"/>
    <w:rsid w:val="00A81627"/>
    <w:rsid w:val="00A831CB"/>
    <w:rsid w:val="00A84EE0"/>
    <w:rsid w:val="00A87D88"/>
    <w:rsid w:val="00A90D2A"/>
    <w:rsid w:val="00A9301D"/>
    <w:rsid w:val="00A94724"/>
    <w:rsid w:val="00A94B19"/>
    <w:rsid w:val="00A951C2"/>
    <w:rsid w:val="00A95D28"/>
    <w:rsid w:val="00A9713E"/>
    <w:rsid w:val="00A974C7"/>
    <w:rsid w:val="00AA04F8"/>
    <w:rsid w:val="00AA10D9"/>
    <w:rsid w:val="00AA244E"/>
    <w:rsid w:val="00AA47DF"/>
    <w:rsid w:val="00AA4F61"/>
    <w:rsid w:val="00AA6090"/>
    <w:rsid w:val="00AA6F90"/>
    <w:rsid w:val="00AA7BBF"/>
    <w:rsid w:val="00AB0425"/>
    <w:rsid w:val="00AB0999"/>
    <w:rsid w:val="00AB24FC"/>
    <w:rsid w:val="00AB2AFC"/>
    <w:rsid w:val="00AB2B57"/>
    <w:rsid w:val="00AB3D9A"/>
    <w:rsid w:val="00AB3E26"/>
    <w:rsid w:val="00AB44ED"/>
    <w:rsid w:val="00AB774B"/>
    <w:rsid w:val="00AC4CD7"/>
    <w:rsid w:val="00AD0666"/>
    <w:rsid w:val="00AD3299"/>
    <w:rsid w:val="00AD3EFD"/>
    <w:rsid w:val="00AD6E00"/>
    <w:rsid w:val="00AD75B1"/>
    <w:rsid w:val="00AE08DB"/>
    <w:rsid w:val="00AE1B5C"/>
    <w:rsid w:val="00AE20AC"/>
    <w:rsid w:val="00AE4020"/>
    <w:rsid w:val="00AE55B1"/>
    <w:rsid w:val="00AE6A26"/>
    <w:rsid w:val="00AE6B94"/>
    <w:rsid w:val="00AE6E78"/>
    <w:rsid w:val="00AE7158"/>
    <w:rsid w:val="00AE7BF7"/>
    <w:rsid w:val="00AF0344"/>
    <w:rsid w:val="00AF137C"/>
    <w:rsid w:val="00AF1C73"/>
    <w:rsid w:val="00AF24DD"/>
    <w:rsid w:val="00AF24E8"/>
    <w:rsid w:val="00AF471C"/>
    <w:rsid w:val="00AF4884"/>
    <w:rsid w:val="00AF51AD"/>
    <w:rsid w:val="00AF5366"/>
    <w:rsid w:val="00AF5B91"/>
    <w:rsid w:val="00B02042"/>
    <w:rsid w:val="00B0217A"/>
    <w:rsid w:val="00B026C4"/>
    <w:rsid w:val="00B031BB"/>
    <w:rsid w:val="00B04036"/>
    <w:rsid w:val="00B04A16"/>
    <w:rsid w:val="00B060B6"/>
    <w:rsid w:val="00B11746"/>
    <w:rsid w:val="00B125A2"/>
    <w:rsid w:val="00B13E3E"/>
    <w:rsid w:val="00B149F3"/>
    <w:rsid w:val="00B14C5A"/>
    <w:rsid w:val="00B15224"/>
    <w:rsid w:val="00B159EE"/>
    <w:rsid w:val="00B16009"/>
    <w:rsid w:val="00B16ACC"/>
    <w:rsid w:val="00B17A41"/>
    <w:rsid w:val="00B216BF"/>
    <w:rsid w:val="00B225D1"/>
    <w:rsid w:val="00B2282C"/>
    <w:rsid w:val="00B236ED"/>
    <w:rsid w:val="00B245E6"/>
    <w:rsid w:val="00B2570C"/>
    <w:rsid w:val="00B26017"/>
    <w:rsid w:val="00B260AF"/>
    <w:rsid w:val="00B30200"/>
    <w:rsid w:val="00B3083F"/>
    <w:rsid w:val="00B33725"/>
    <w:rsid w:val="00B3447F"/>
    <w:rsid w:val="00B35389"/>
    <w:rsid w:val="00B42EE5"/>
    <w:rsid w:val="00B43830"/>
    <w:rsid w:val="00B45475"/>
    <w:rsid w:val="00B45624"/>
    <w:rsid w:val="00B456E4"/>
    <w:rsid w:val="00B4723D"/>
    <w:rsid w:val="00B47F74"/>
    <w:rsid w:val="00B5138B"/>
    <w:rsid w:val="00B51C7C"/>
    <w:rsid w:val="00B51F3B"/>
    <w:rsid w:val="00B5385F"/>
    <w:rsid w:val="00B55E82"/>
    <w:rsid w:val="00B61062"/>
    <w:rsid w:val="00B619A0"/>
    <w:rsid w:val="00B622A5"/>
    <w:rsid w:val="00B648B2"/>
    <w:rsid w:val="00B67084"/>
    <w:rsid w:val="00B71BF4"/>
    <w:rsid w:val="00B72065"/>
    <w:rsid w:val="00B728A1"/>
    <w:rsid w:val="00B7385C"/>
    <w:rsid w:val="00B74B56"/>
    <w:rsid w:val="00B74EC0"/>
    <w:rsid w:val="00B77362"/>
    <w:rsid w:val="00B77865"/>
    <w:rsid w:val="00B779F4"/>
    <w:rsid w:val="00B8014B"/>
    <w:rsid w:val="00B80785"/>
    <w:rsid w:val="00B8136A"/>
    <w:rsid w:val="00B81683"/>
    <w:rsid w:val="00B81E19"/>
    <w:rsid w:val="00B81E93"/>
    <w:rsid w:val="00B82A07"/>
    <w:rsid w:val="00B8350E"/>
    <w:rsid w:val="00B835F5"/>
    <w:rsid w:val="00B846A7"/>
    <w:rsid w:val="00B85ACC"/>
    <w:rsid w:val="00B85D7A"/>
    <w:rsid w:val="00B86AE0"/>
    <w:rsid w:val="00B87575"/>
    <w:rsid w:val="00B9092C"/>
    <w:rsid w:val="00B921CD"/>
    <w:rsid w:val="00B95A1B"/>
    <w:rsid w:val="00B96332"/>
    <w:rsid w:val="00B97314"/>
    <w:rsid w:val="00BA046E"/>
    <w:rsid w:val="00BA084A"/>
    <w:rsid w:val="00BA472E"/>
    <w:rsid w:val="00BA6050"/>
    <w:rsid w:val="00BB17F2"/>
    <w:rsid w:val="00BB3A8C"/>
    <w:rsid w:val="00BB3AD2"/>
    <w:rsid w:val="00BB5B3A"/>
    <w:rsid w:val="00BB6013"/>
    <w:rsid w:val="00BB67BB"/>
    <w:rsid w:val="00BB71C1"/>
    <w:rsid w:val="00BC1973"/>
    <w:rsid w:val="00BC26A3"/>
    <w:rsid w:val="00BC3194"/>
    <w:rsid w:val="00BC35CF"/>
    <w:rsid w:val="00BC3C8B"/>
    <w:rsid w:val="00BC4697"/>
    <w:rsid w:val="00BD06D1"/>
    <w:rsid w:val="00BD095F"/>
    <w:rsid w:val="00BD0AA9"/>
    <w:rsid w:val="00BD0B13"/>
    <w:rsid w:val="00BD3075"/>
    <w:rsid w:val="00BD3A5C"/>
    <w:rsid w:val="00BD4A29"/>
    <w:rsid w:val="00BD4E5F"/>
    <w:rsid w:val="00BD4FE7"/>
    <w:rsid w:val="00BD5212"/>
    <w:rsid w:val="00BD623B"/>
    <w:rsid w:val="00BD70C0"/>
    <w:rsid w:val="00BD7D29"/>
    <w:rsid w:val="00BE0DC3"/>
    <w:rsid w:val="00BE1A15"/>
    <w:rsid w:val="00BE23CE"/>
    <w:rsid w:val="00BE33A9"/>
    <w:rsid w:val="00BE4076"/>
    <w:rsid w:val="00BE4929"/>
    <w:rsid w:val="00BF127E"/>
    <w:rsid w:val="00BF4C1D"/>
    <w:rsid w:val="00BF574A"/>
    <w:rsid w:val="00C017D4"/>
    <w:rsid w:val="00C02075"/>
    <w:rsid w:val="00C037F1"/>
    <w:rsid w:val="00C04500"/>
    <w:rsid w:val="00C102D8"/>
    <w:rsid w:val="00C115B4"/>
    <w:rsid w:val="00C144DE"/>
    <w:rsid w:val="00C15584"/>
    <w:rsid w:val="00C15875"/>
    <w:rsid w:val="00C1624E"/>
    <w:rsid w:val="00C16A52"/>
    <w:rsid w:val="00C206C3"/>
    <w:rsid w:val="00C20CB8"/>
    <w:rsid w:val="00C21A5E"/>
    <w:rsid w:val="00C23EAC"/>
    <w:rsid w:val="00C24FB0"/>
    <w:rsid w:val="00C251D6"/>
    <w:rsid w:val="00C25A09"/>
    <w:rsid w:val="00C3350D"/>
    <w:rsid w:val="00C40621"/>
    <w:rsid w:val="00C407CC"/>
    <w:rsid w:val="00C408DE"/>
    <w:rsid w:val="00C41BA6"/>
    <w:rsid w:val="00C426A3"/>
    <w:rsid w:val="00C42E08"/>
    <w:rsid w:val="00C433F8"/>
    <w:rsid w:val="00C439D6"/>
    <w:rsid w:val="00C44732"/>
    <w:rsid w:val="00C462F8"/>
    <w:rsid w:val="00C46F75"/>
    <w:rsid w:val="00C52BE1"/>
    <w:rsid w:val="00C52CE4"/>
    <w:rsid w:val="00C52D08"/>
    <w:rsid w:val="00C53611"/>
    <w:rsid w:val="00C53AFC"/>
    <w:rsid w:val="00C53E7C"/>
    <w:rsid w:val="00C568B4"/>
    <w:rsid w:val="00C57499"/>
    <w:rsid w:val="00C60363"/>
    <w:rsid w:val="00C61ACA"/>
    <w:rsid w:val="00C63406"/>
    <w:rsid w:val="00C6354E"/>
    <w:rsid w:val="00C64395"/>
    <w:rsid w:val="00C64ABB"/>
    <w:rsid w:val="00C64BDF"/>
    <w:rsid w:val="00C64F68"/>
    <w:rsid w:val="00C66496"/>
    <w:rsid w:val="00C67B1F"/>
    <w:rsid w:val="00C70FBD"/>
    <w:rsid w:val="00C71E9F"/>
    <w:rsid w:val="00C7243C"/>
    <w:rsid w:val="00C726AE"/>
    <w:rsid w:val="00C73700"/>
    <w:rsid w:val="00C75671"/>
    <w:rsid w:val="00C75E85"/>
    <w:rsid w:val="00C763B9"/>
    <w:rsid w:val="00C77A23"/>
    <w:rsid w:val="00C80248"/>
    <w:rsid w:val="00C81D4B"/>
    <w:rsid w:val="00C822B6"/>
    <w:rsid w:val="00C84F7C"/>
    <w:rsid w:val="00C85C8D"/>
    <w:rsid w:val="00C860B3"/>
    <w:rsid w:val="00C86D60"/>
    <w:rsid w:val="00C87065"/>
    <w:rsid w:val="00C876CC"/>
    <w:rsid w:val="00C902C2"/>
    <w:rsid w:val="00C916F2"/>
    <w:rsid w:val="00C91953"/>
    <w:rsid w:val="00C92277"/>
    <w:rsid w:val="00C927DB"/>
    <w:rsid w:val="00C933EE"/>
    <w:rsid w:val="00C93852"/>
    <w:rsid w:val="00C93876"/>
    <w:rsid w:val="00C9430E"/>
    <w:rsid w:val="00C95058"/>
    <w:rsid w:val="00C96738"/>
    <w:rsid w:val="00CA050A"/>
    <w:rsid w:val="00CA07D0"/>
    <w:rsid w:val="00CA1A3E"/>
    <w:rsid w:val="00CA24A8"/>
    <w:rsid w:val="00CA3338"/>
    <w:rsid w:val="00CA448B"/>
    <w:rsid w:val="00CA4B9D"/>
    <w:rsid w:val="00CA4BAC"/>
    <w:rsid w:val="00CA631C"/>
    <w:rsid w:val="00CA6D05"/>
    <w:rsid w:val="00CA6E34"/>
    <w:rsid w:val="00CA7AC1"/>
    <w:rsid w:val="00CB0323"/>
    <w:rsid w:val="00CB2A6E"/>
    <w:rsid w:val="00CB3B1B"/>
    <w:rsid w:val="00CB529F"/>
    <w:rsid w:val="00CB61A6"/>
    <w:rsid w:val="00CB6AFA"/>
    <w:rsid w:val="00CB6F55"/>
    <w:rsid w:val="00CB74EF"/>
    <w:rsid w:val="00CB7C56"/>
    <w:rsid w:val="00CC0284"/>
    <w:rsid w:val="00CC0C00"/>
    <w:rsid w:val="00CC1812"/>
    <w:rsid w:val="00CC2053"/>
    <w:rsid w:val="00CC2561"/>
    <w:rsid w:val="00CC2D5E"/>
    <w:rsid w:val="00CC322C"/>
    <w:rsid w:val="00CC3D93"/>
    <w:rsid w:val="00CC4511"/>
    <w:rsid w:val="00CC4578"/>
    <w:rsid w:val="00CC4595"/>
    <w:rsid w:val="00CC5B22"/>
    <w:rsid w:val="00CC5EFF"/>
    <w:rsid w:val="00CC6039"/>
    <w:rsid w:val="00CC64A1"/>
    <w:rsid w:val="00CC6A2F"/>
    <w:rsid w:val="00CC7195"/>
    <w:rsid w:val="00CD2414"/>
    <w:rsid w:val="00CD3089"/>
    <w:rsid w:val="00CD36F2"/>
    <w:rsid w:val="00CD3AFA"/>
    <w:rsid w:val="00CD4A96"/>
    <w:rsid w:val="00CD4BE5"/>
    <w:rsid w:val="00CD5D9A"/>
    <w:rsid w:val="00CD68F7"/>
    <w:rsid w:val="00CE030D"/>
    <w:rsid w:val="00CE168F"/>
    <w:rsid w:val="00CE19CB"/>
    <w:rsid w:val="00CE2805"/>
    <w:rsid w:val="00CE531B"/>
    <w:rsid w:val="00CE7474"/>
    <w:rsid w:val="00CE7697"/>
    <w:rsid w:val="00CE7BE3"/>
    <w:rsid w:val="00CF13DB"/>
    <w:rsid w:val="00CF4500"/>
    <w:rsid w:val="00CF4EE9"/>
    <w:rsid w:val="00CF5EC7"/>
    <w:rsid w:val="00CF707C"/>
    <w:rsid w:val="00D00627"/>
    <w:rsid w:val="00D00DF7"/>
    <w:rsid w:val="00D0137D"/>
    <w:rsid w:val="00D014E3"/>
    <w:rsid w:val="00D019B7"/>
    <w:rsid w:val="00D03EF1"/>
    <w:rsid w:val="00D05BBE"/>
    <w:rsid w:val="00D0676C"/>
    <w:rsid w:val="00D06BBF"/>
    <w:rsid w:val="00D07CE1"/>
    <w:rsid w:val="00D07D15"/>
    <w:rsid w:val="00D07D65"/>
    <w:rsid w:val="00D1000F"/>
    <w:rsid w:val="00D115A5"/>
    <w:rsid w:val="00D11E26"/>
    <w:rsid w:val="00D12C36"/>
    <w:rsid w:val="00D12C8D"/>
    <w:rsid w:val="00D15604"/>
    <w:rsid w:val="00D20866"/>
    <w:rsid w:val="00D21C91"/>
    <w:rsid w:val="00D2433A"/>
    <w:rsid w:val="00D24B25"/>
    <w:rsid w:val="00D27ADA"/>
    <w:rsid w:val="00D27D2C"/>
    <w:rsid w:val="00D27D89"/>
    <w:rsid w:val="00D301B7"/>
    <w:rsid w:val="00D30DD7"/>
    <w:rsid w:val="00D313AA"/>
    <w:rsid w:val="00D324FE"/>
    <w:rsid w:val="00D32FF3"/>
    <w:rsid w:val="00D331FE"/>
    <w:rsid w:val="00D33283"/>
    <w:rsid w:val="00D33803"/>
    <w:rsid w:val="00D34581"/>
    <w:rsid w:val="00D348C8"/>
    <w:rsid w:val="00D35F50"/>
    <w:rsid w:val="00D363A8"/>
    <w:rsid w:val="00D3714B"/>
    <w:rsid w:val="00D40047"/>
    <w:rsid w:val="00D406C6"/>
    <w:rsid w:val="00D43E4E"/>
    <w:rsid w:val="00D442AF"/>
    <w:rsid w:val="00D46238"/>
    <w:rsid w:val="00D4786A"/>
    <w:rsid w:val="00D53B05"/>
    <w:rsid w:val="00D558D5"/>
    <w:rsid w:val="00D56B3E"/>
    <w:rsid w:val="00D5704B"/>
    <w:rsid w:val="00D576A6"/>
    <w:rsid w:val="00D604F5"/>
    <w:rsid w:val="00D61443"/>
    <w:rsid w:val="00D63027"/>
    <w:rsid w:val="00D639E6"/>
    <w:rsid w:val="00D646BD"/>
    <w:rsid w:val="00D64D9C"/>
    <w:rsid w:val="00D64FF8"/>
    <w:rsid w:val="00D65302"/>
    <w:rsid w:val="00D666F3"/>
    <w:rsid w:val="00D66978"/>
    <w:rsid w:val="00D67682"/>
    <w:rsid w:val="00D70839"/>
    <w:rsid w:val="00D71436"/>
    <w:rsid w:val="00D71E24"/>
    <w:rsid w:val="00D72917"/>
    <w:rsid w:val="00D747FB"/>
    <w:rsid w:val="00D74900"/>
    <w:rsid w:val="00D74F55"/>
    <w:rsid w:val="00D75035"/>
    <w:rsid w:val="00D75246"/>
    <w:rsid w:val="00D77123"/>
    <w:rsid w:val="00D80004"/>
    <w:rsid w:val="00D819F1"/>
    <w:rsid w:val="00D821E8"/>
    <w:rsid w:val="00D840E0"/>
    <w:rsid w:val="00D84C42"/>
    <w:rsid w:val="00D869C7"/>
    <w:rsid w:val="00D86D2C"/>
    <w:rsid w:val="00D87CF0"/>
    <w:rsid w:val="00D90B31"/>
    <w:rsid w:val="00D91771"/>
    <w:rsid w:val="00D942CF"/>
    <w:rsid w:val="00D95378"/>
    <w:rsid w:val="00D96D77"/>
    <w:rsid w:val="00DA07F5"/>
    <w:rsid w:val="00DA09D6"/>
    <w:rsid w:val="00DA123D"/>
    <w:rsid w:val="00DA165E"/>
    <w:rsid w:val="00DA1D78"/>
    <w:rsid w:val="00DA264A"/>
    <w:rsid w:val="00DA3832"/>
    <w:rsid w:val="00DA45E8"/>
    <w:rsid w:val="00DA469F"/>
    <w:rsid w:val="00DA5099"/>
    <w:rsid w:val="00DA5318"/>
    <w:rsid w:val="00DA586D"/>
    <w:rsid w:val="00DB08D4"/>
    <w:rsid w:val="00DB0B41"/>
    <w:rsid w:val="00DB0C12"/>
    <w:rsid w:val="00DB0D98"/>
    <w:rsid w:val="00DB0E35"/>
    <w:rsid w:val="00DB10E0"/>
    <w:rsid w:val="00DB13CF"/>
    <w:rsid w:val="00DB16DF"/>
    <w:rsid w:val="00DB16E7"/>
    <w:rsid w:val="00DB25A7"/>
    <w:rsid w:val="00DB2FE9"/>
    <w:rsid w:val="00DB4887"/>
    <w:rsid w:val="00DB512F"/>
    <w:rsid w:val="00DB536F"/>
    <w:rsid w:val="00DB553D"/>
    <w:rsid w:val="00DB7550"/>
    <w:rsid w:val="00DC1300"/>
    <w:rsid w:val="00DC15AF"/>
    <w:rsid w:val="00DC1CBB"/>
    <w:rsid w:val="00DC253A"/>
    <w:rsid w:val="00DC44E6"/>
    <w:rsid w:val="00DC6C4C"/>
    <w:rsid w:val="00DC7333"/>
    <w:rsid w:val="00DD0955"/>
    <w:rsid w:val="00DD177A"/>
    <w:rsid w:val="00DD1FB7"/>
    <w:rsid w:val="00DD27F2"/>
    <w:rsid w:val="00DD54BB"/>
    <w:rsid w:val="00DD5510"/>
    <w:rsid w:val="00DD6326"/>
    <w:rsid w:val="00DD6B4C"/>
    <w:rsid w:val="00DE4223"/>
    <w:rsid w:val="00DE58CD"/>
    <w:rsid w:val="00DE6A50"/>
    <w:rsid w:val="00DE7618"/>
    <w:rsid w:val="00DE7D69"/>
    <w:rsid w:val="00DF00D2"/>
    <w:rsid w:val="00DF2E36"/>
    <w:rsid w:val="00DF2EE4"/>
    <w:rsid w:val="00DF3693"/>
    <w:rsid w:val="00DF3C8B"/>
    <w:rsid w:val="00DF4398"/>
    <w:rsid w:val="00DF68CC"/>
    <w:rsid w:val="00DF6941"/>
    <w:rsid w:val="00DF6C7B"/>
    <w:rsid w:val="00E003E1"/>
    <w:rsid w:val="00E0090F"/>
    <w:rsid w:val="00E0115A"/>
    <w:rsid w:val="00E02084"/>
    <w:rsid w:val="00E02286"/>
    <w:rsid w:val="00E034B6"/>
    <w:rsid w:val="00E03549"/>
    <w:rsid w:val="00E03B08"/>
    <w:rsid w:val="00E04E71"/>
    <w:rsid w:val="00E05575"/>
    <w:rsid w:val="00E05A34"/>
    <w:rsid w:val="00E060B8"/>
    <w:rsid w:val="00E06230"/>
    <w:rsid w:val="00E06589"/>
    <w:rsid w:val="00E06649"/>
    <w:rsid w:val="00E074A4"/>
    <w:rsid w:val="00E07B94"/>
    <w:rsid w:val="00E1083C"/>
    <w:rsid w:val="00E10A13"/>
    <w:rsid w:val="00E14578"/>
    <w:rsid w:val="00E15431"/>
    <w:rsid w:val="00E1663E"/>
    <w:rsid w:val="00E16774"/>
    <w:rsid w:val="00E17A15"/>
    <w:rsid w:val="00E21252"/>
    <w:rsid w:val="00E22501"/>
    <w:rsid w:val="00E23959"/>
    <w:rsid w:val="00E2780D"/>
    <w:rsid w:val="00E27AAA"/>
    <w:rsid w:val="00E27AB0"/>
    <w:rsid w:val="00E30EA0"/>
    <w:rsid w:val="00E33913"/>
    <w:rsid w:val="00E33B7D"/>
    <w:rsid w:val="00E341A1"/>
    <w:rsid w:val="00E34A69"/>
    <w:rsid w:val="00E37C01"/>
    <w:rsid w:val="00E417FA"/>
    <w:rsid w:val="00E4265F"/>
    <w:rsid w:val="00E42E7B"/>
    <w:rsid w:val="00E45BCF"/>
    <w:rsid w:val="00E45DDB"/>
    <w:rsid w:val="00E4689A"/>
    <w:rsid w:val="00E515B3"/>
    <w:rsid w:val="00E51B79"/>
    <w:rsid w:val="00E51BF3"/>
    <w:rsid w:val="00E51E73"/>
    <w:rsid w:val="00E5247F"/>
    <w:rsid w:val="00E53CD9"/>
    <w:rsid w:val="00E549DC"/>
    <w:rsid w:val="00E5522B"/>
    <w:rsid w:val="00E55586"/>
    <w:rsid w:val="00E6156A"/>
    <w:rsid w:val="00E61E94"/>
    <w:rsid w:val="00E62B4D"/>
    <w:rsid w:val="00E62DD0"/>
    <w:rsid w:val="00E644AC"/>
    <w:rsid w:val="00E64EE5"/>
    <w:rsid w:val="00E668C5"/>
    <w:rsid w:val="00E66A94"/>
    <w:rsid w:val="00E66EAE"/>
    <w:rsid w:val="00E674B2"/>
    <w:rsid w:val="00E70771"/>
    <w:rsid w:val="00E709F5"/>
    <w:rsid w:val="00E70C76"/>
    <w:rsid w:val="00E71F34"/>
    <w:rsid w:val="00E71F4A"/>
    <w:rsid w:val="00E72100"/>
    <w:rsid w:val="00E741EE"/>
    <w:rsid w:val="00E74513"/>
    <w:rsid w:val="00E7463D"/>
    <w:rsid w:val="00E749F9"/>
    <w:rsid w:val="00E74E07"/>
    <w:rsid w:val="00E75141"/>
    <w:rsid w:val="00E75A6A"/>
    <w:rsid w:val="00E761ED"/>
    <w:rsid w:val="00E76A13"/>
    <w:rsid w:val="00E80526"/>
    <w:rsid w:val="00E80E17"/>
    <w:rsid w:val="00E825CB"/>
    <w:rsid w:val="00E836E6"/>
    <w:rsid w:val="00E84AA6"/>
    <w:rsid w:val="00E84DE7"/>
    <w:rsid w:val="00E85AD1"/>
    <w:rsid w:val="00E8624B"/>
    <w:rsid w:val="00E8718C"/>
    <w:rsid w:val="00E87E01"/>
    <w:rsid w:val="00E90975"/>
    <w:rsid w:val="00E91285"/>
    <w:rsid w:val="00E91E84"/>
    <w:rsid w:val="00E91EC7"/>
    <w:rsid w:val="00E920B9"/>
    <w:rsid w:val="00E93F51"/>
    <w:rsid w:val="00E94074"/>
    <w:rsid w:val="00E958E8"/>
    <w:rsid w:val="00E95C70"/>
    <w:rsid w:val="00E96D65"/>
    <w:rsid w:val="00E97675"/>
    <w:rsid w:val="00E978FE"/>
    <w:rsid w:val="00EA2247"/>
    <w:rsid w:val="00EA3947"/>
    <w:rsid w:val="00EA44F6"/>
    <w:rsid w:val="00EB0380"/>
    <w:rsid w:val="00EB0AEB"/>
    <w:rsid w:val="00EB1583"/>
    <w:rsid w:val="00EB30BF"/>
    <w:rsid w:val="00EB3C57"/>
    <w:rsid w:val="00EB5BDE"/>
    <w:rsid w:val="00EB617C"/>
    <w:rsid w:val="00EB6A6B"/>
    <w:rsid w:val="00EB6E49"/>
    <w:rsid w:val="00EB737A"/>
    <w:rsid w:val="00EB74A0"/>
    <w:rsid w:val="00EC0071"/>
    <w:rsid w:val="00EC05FD"/>
    <w:rsid w:val="00EC107A"/>
    <w:rsid w:val="00EC28CD"/>
    <w:rsid w:val="00EC3BC9"/>
    <w:rsid w:val="00EC5083"/>
    <w:rsid w:val="00EC5187"/>
    <w:rsid w:val="00EC5A40"/>
    <w:rsid w:val="00EC72E3"/>
    <w:rsid w:val="00EC74A5"/>
    <w:rsid w:val="00EC7E1C"/>
    <w:rsid w:val="00ED15DB"/>
    <w:rsid w:val="00ED16A9"/>
    <w:rsid w:val="00ED1969"/>
    <w:rsid w:val="00ED24A2"/>
    <w:rsid w:val="00ED24F2"/>
    <w:rsid w:val="00ED68FD"/>
    <w:rsid w:val="00ED6E85"/>
    <w:rsid w:val="00ED756A"/>
    <w:rsid w:val="00ED76BF"/>
    <w:rsid w:val="00EE0150"/>
    <w:rsid w:val="00EE0533"/>
    <w:rsid w:val="00EE0844"/>
    <w:rsid w:val="00EE14A9"/>
    <w:rsid w:val="00EE2D0E"/>
    <w:rsid w:val="00EE4411"/>
    <w:rsid w:val="00EE5E26"/>
    <w:rsid w:val="00EF0B26"/>
    <w:rsid w:val="00EF0DE8"/>
    <w:rsid w:val="00EF10B1"/>
    <w:rsid w:val="00EF30F2"/>
    <w:rsid w:val="00EF431E"/>
    <w:rsid w:val="00EF5835"/>
    <w:rsid w:val="00EF681F"/>
    <w:rsid w:val="00EF78EA"/>
    <w:rsid w:val="00EF7C2A"/>
    <w:rsid w:val="00EF7F50"/>
    <w:rsid w:val="00F01953"/>
    <w:rsid w:val="00F04703"/>
    <w:rsid w:val="00F05E54"/>
    <w:rsid w:val="00F07466"/>
    <w:rsid w:val="00F0788F"/>
    <w:rsid w:val="00F07C33"/>
    <w:rsid w:val="00F1011A"/>
    <w:rsid w:val="00F11C0C"/>
    <w:rsid w:val="00F11D17"/>
    <w:rsid w:val="00F11EBB"/>
    <w:rsid w:val="00F121A3"/>
    <w:rsid w:val="00F12ADA"/>
    <w:rsid w:val="00F13532"/>
    <w:rsid w:val="00F1452F"/>
    <w:rsid w:val="00F15DD8"/>
    <w:rsid w:val="00F17632"/>
    <w:rsid w:val="00F2122D"/>
    <w:rsid w:val="00F21FF8"/>
    <w:rsid w:val="00F23A88"/>
    <w:rsid w:val="00F24705"/>
    <w:rsid w:val="00F24A36"/>
    <w:rsid w:val="00F258F3"/>
    <w:rsid w:val="00F25A84"/>
    <w:rsid w:val="00F25B4B"/>
    <w:rsid w:val="00F278DB"/>
    <w:rsid w:val="00F305E2"/>
    <w:rsid w:val="00F32728"/>
    <w:rsid w:val="00F32A6B"/>
    <w:rsid w:val="00F32D86"/>
    <w:rsid w:val="00F332D5"/>
    <w:rsid w:val="00F37412"/>
    <w:rsid w:val="00F37977"/>
    <w:rsid w:val="00F41DD5"/>
    <w:rsid w:val="00F420E2"/>
    <w:rsid w:val="00F420F3"/>
    <w:rsid w:val="00F43768"/>
    <w:rsid w:val="00F4780D"/>
    <w:rsid w:val="00F47F88"/>
    <w:rsid w:val="00F502D3"/>
    <w:rsid w:val="00F505FC"/>
    <w:rsid w:val="00F521E4"/>
    <w:rsid w:val="00F52A8D"/>
    <w:rsid w:val="00F52AE8"/>
    <w:rsid w:val="00F52D55"/>
    <w:rsid w:val="00F532A1"/>
    <w:rsid w:val="00F54781"/>
    <w:rsid w:val="00F602CB"/>
    <w:rsid w:val="00F612F4"/>
    <w:rsid w:val="00F6274B"/>
    <w:rsid w:val="00F667B2"/>
    <w:rsid w:val="00F6779F"/>
    <w:rsid w:val="00F67952"/>
    <w:rsid w:val="00F70397"/>
    <w:rsid w:val="00F703EC"/>
    <w:rsid w:val="00F70CB7"/>
    <w:rsid w:val="00F723EF"/>
    <w:rsid w:val="00F736C9"/>
    <w:rsid w:val="00F73D54"/>
    <w:rsid w:val="00F74388"/>
    <w:rsid w:val="00F744BD"/>
    <w:rsid w:val="00F75A6A"/>
    <w:rsid w:val="00F75C90"/>
    <w:rsid w:val="00F7717A"/>
    <w:rsid w:val="00F77DF8"/>
    <w:rsid w:val="00F8173B"/>
    <w:rsid w:val="00F81874"/>
    <w:rsid w:val="00F83BDF"/>
    <w:rsid w:val="00F846AB"/>
    <w:rsid w:val="00F84F2E"/>
    <w:rsid w:val="00F862FF"/>
    <w:rsid w:val="00F868BD"/>
    <w:rsid w:val="00F86922"/>
    <w:rsid w:val="00F87EB1"/>
    <w:rsid w:val="00F902BD"/>
    <w:rsid w:val="00F91979"/>
    <w:rsid w:val="00F95F3D"/>
    <w:rsid w:val="00F95FB4"/>
    <w:rsid w:val="00F9790B"/>
    <w:rsid w:val="00FA2984"/>
    <w:rsid w:val="00FA2F39"/>
    <w:rsid w:val="00FA3434"/>
    <w:rsid w:val="00FA37F6"/>
    <w:rsid w:val="00FA3CDD"/>
    <w:rsid w:val="00FA3D13"/>
    <w:rsid w:val="00FA4028"/>
    <w:rsid w:val="00FA589B"/>
    <w:rsid w:val="00FB0591"/>
    <w:rsid w:val="00FB1BC5"/>
    <w:rsid w:val="00FB2B84"/>
    <w:rsid w:val="00FB2F02"/>
    <w:rsid w:val="00FB3DF0"/>
    <w:rsid w:val="00FB4B84"/>
    <w:rsid w:val="00FB4EDB"/>
    <w:rsid w:val="00FB56A6"/>
    <w:rsid w:val="00FC168F"/>
    <w:rsid w:val="00FC1ABF"/>
    <w:rsid w:val="00FC4116"/>
    <w:rsid w:val="00FC5401"/>
    <w:rsid w:val="00FC7E5F"/>
    <w:rsid w:val="00FD19AB"/>
    <w:rsid w:val="00FD3117"/>
    <w:rsid w:val="00FD63DF"/>
    <w:rsid w:val="00FD6D9A"/>
    <w:rsid w:val="00FD7511"/>
    <w:rsid w:val="00FE1EC0"/>
    <w:rsid w:val="00FE2927"/>
    <w:rsid w:val="00FE499F"/>
    <w:rsid w:val="00FE65A6"/>
    <w:rsid w:val="00FE7EEC"/>
    <w:rsid w:val="00FF154A"/>
    <w:rsid w:val="00FF184C"/>
    <w:rsid w:val="00FF1B9C"/>
    <w:rsid w:val="00FF6C91"/>
    <w:rsid w:val="00FF7C6A"/>
    <w:rsid w:val="00FF7D5F"/>
    <w:rsid w:val="010C02AA"/>
    <w:rsid w:val="01761E20"/>
    <w:rsid w:val="01A26771"/>
    <w:rsid w:val="023B6BC5"/>
    <w:rsid w:val="02A05376"/>
    <w:rsid w:val="02B95284"/>
    <w:rsid w:val="038F541B"/>
    <w:rsid w:val="03A01111"/>
    <w:rsid w:val="03E13735"/>
    <w:rsid w:val="03F4702C"/>
    <w:rsid w:val="041F054D"/>
    <w:rsid w:val="04473600"/>
    <w:rsid w:val="048F6ADF"/>
    <w:rsid w:val="04D035F5"/>
    <w:rsid w:val="050B6E9A"/>
    <w:rsid w:val="05177476"/>
    <w:rsid w:val="05957A92"/>
    <w:rsid w:val="05B61F52"/>
    <w:rsid w:val="05BF66C8"/>
    <w:rsid w:val="05D62A5F"/>
    <w:rsid w:val="060E3837"/>
    <w:rsid w:val="06797B51"/>
    <w:rsid w:val="069158AE"/>
    <w:rsid w:val="06DF2215"/>
    <w:rsid w:val="070752C8"/>
    <w:rsid w:val="07750484"/>
    <w:rsid w:val="08674270"/>
    <w:rsid w:val="0895676B"/>
    <w:rsid w:val="08986F03"/>
    <w:rsid w:val="08DC4C5E"/>
    <w:rsid w:val="09F2400E"/>
    <w:rsid w:val="0A7333A0"/>
    <w:rsid w:val="0B2A4141"/>
    <w:rsid w:val="0B534F80"/>
    <w:rsid w:val="0B8701D2"/>
    <w:rsid w:val="0BB772BD"/>
    <w:rsid w:val="0BBE064B"/>
    <w:rsid w:val="0C37674B"/>
    <w:rsid w:val="0CE42333"/>
    <w:rsid w:val="0D3861DB"/>
    <w:rsid w:val="0D847672"/>
    <w:rsid w:val="0E55371B"/>
    <w:rsid w:val="0E57521D"/>
    <w:rsid w:val="0EB319AD"/>
    <w:rsid w:val="0F0D292C"/>
    <w:rsid w:val="10AF0EAA"/>
    <w:rsid w:val="10BE10ED"/>
    <w:rsid w:val="10EC5C5A"/>
    <w:rsid w:val="11514EC7"/>
    <w:rsid w:val="11F30AA2"/>
    <w:rsid w:val="12173925"/>
    <w:rsid w:val="127A1044"/>
    <w:rsid w:val="129C1D6E"/>
    <w:rsid w:val="12C86253"/>
    <w:rsid w:val="12E070F9"/>
    <w:rsid w:val="13101D0E"/>
    <w:rsid w:val="13251E1F"/>
    <w:rsid w:val="13440467"/>
    <w:rsid w:val="134625A4"/>
    <w:rsid w:val="139D148E"/>
    <w:rsid w:val="144D6A10"/>
    <w:rsid w:val="14E22005"/>
    <w:rsid w:val="14E47969"/>
    <w:rsid w:val="158C2764"/>
    <w:rsid w:val="159643E7"/>
    <w:rsid w:val="16096967"/>
    <w:rsid w:val="16401419"/>
    <w:rsid w:val="16563D34"/>
    <w:rsid w:val="1696388A"/>
    <w:rsid w:val="17471E3D"/>
    <w:rsid w:val="17E31439"/>
    <w:rsid w:val="182C5699"/>
    <w:rsid w:val="18C9274F"/>
    <w:rsid w:val="190A0F64"/>
    <w:rsid w:val="19AC26A4"/>
    <w:rsid w:val="1A09570F"/>
    <w:rsid w:val="1A141D7E"/>
    <w:rsid w:val="1A381C2E"/>
    <w:rsid w:val="1A6745A4"/>
    <w:rsid w:val="1ACE2B10"/>
    <w:rsid w:val="1AD459DC"/>
    <w:rsid w:val="1B076102"/>
    <w:rsid w:val="1B23671D"/>
    <w:rsid w:val="1C183DA8"/>
    <w:rsid w:val="1C362480"/>
    <w:rsid w:val="1C5F5CA5"/>
    <w:rsid w:val="1C7F3E27"/>
    <w:rsid w:val="1D0970D3"/>
    <w:rsid w:val="1DB51187"/>
    <w:rsid w:val="1DC87ED6"/>
    <w:rsid w:val="1F454BE6"/>
    <w:rsid w:val="1F545D03"/>
    <w:rsid w:val="1F787EBF"/>
    <w:rsid w:val="1F9A4AD4"/>
    <w:rsid w:val="1FB57B5F"/>
    <w:rsid w:val="20547378"/>
    <w:rsid w:val="20914EF8"/>
    <w:rsid w:val="20A43E5C"/>
    <w:rsid w:val="20B147CB"/>
    <w:rsid w:val="20B94FE6"/>
    <w:rsid w:val="20E71F9A"/>
    <w:rsid w:val="222C6D2E"/>
    <w:rsid w:val="227D6FB3"/>
    <w:rsid w:val="22B71C07"/>
    <w:rsid w:val="22F43BF4"/>
    <w:rsid w:val="234A59A0"/>
    <w:rsid w:val="235D4796"/>
    <w:rsid w:val="23C10881"/>
    <w:rsid w:val="23FF13A9"/>
    <w:rsid w:val="256270E3"/>
    <w:rsid w:val="256F255E"/>
    <w:rsid w:val="25C96113"/>
    <w:rsid w:val="26213859"/>
    <w:rsid w:val="263C2D81"/>
    <w:rsid w:val="266E541F"/>
    <w:rsid w:val="268B161A"/>
    <w:rsid w:val="26B50B9A"/>
    <w:rsid w:val="26BE379D"/>
    <w:rsid w:val="26C16DEA"/>
    <w:rsid w:val="27182FD4"/>
    <w:rsid w:val="272E0923"/>
    <w:rsid w:val="274D5008"/>
    <w:rsid w:val="2753282F"/>
    <w:rsid w:val="277C1CB6"/>
    <w:rsid w:val="27CD1EEF"/>
    <w:rsid w:val="281713B7"/>
    <w:rsid w:val="28377363"/>
    <w:rsid w:val="2860099E"/>
    <w:rsid w:val="28706D19"/>
    <w:rsid w:val="28E53263"/>
    <w:rsid w:val="292B5DF8"/>
    <w:rsid w:val="29387837"/>
    <w:rsid w:val="294B5D88"/>
    <w:rsid w:val="29A53780"/>
    <w:rsid w:val="29D15596"/>
    <w:rsid w:val="2AA93985"/>
    <w:rsid w:val="2AE8703B"/>
    <w:rsid w:val="2B034509"/>
    <w:rsid w:val="2B463886"/>
    <w:rsid w:val="2BC058C2"/>
    <w:rsid w:val="2BF0264B"/>
    <w:rsid w:val="2C296719"/>
    <w:rsid w:val="2C35307A"/>
    <w:rsid w:val="2C972DA0"/>
    <w:rsid w:val="2CBA420E"/>
    <w:rsid w:val="2D1B54A6"/>
    <w:rsid w:val="2E3C1B78"/>
    <w:rsid w:val="2E6B5FB9"/>
    <w:rsid w:val="2EC61441"/>
    <w:rsid w:val="2F555061"/>
    <w:rsid w:val="2F8F10FF"/>
    <w:rsid w:val="2FB65B9E"/>
    <w:rsid w:val="2FC54455"/>
    <w:rsid w:val="300E12F2"/>
    <w:rsid w:val="301B3A0F"/>
    <w:rsid w:val="30223C02"/>
    <w:rsid w:val="30463939"/>
    <w:rsid w:val="30E634B0"/>
    <w:rsid w:val="3123252F"/>
    <w:rsid w:val="31264419"/>
    <w:rsid w:val="315653E4"/>
    <w:rsid w:val="315A2315"/>
    <w:rsid w:val="315E3BB3"/>
    <w:rsid w:val="318D26EA"/>
    <w:rsid w:val="31C917FE"/>
    <w:rsid w:val="31D10829"/>
    <w:rsid w:val="32D57EA5"/>
    <w:rsid w:val="335F3C12"/>
    <w:rsid w:val="33F60B22"/>
    <w:rsid w:val="344243BC"/>
    <w:rsid w:val="344E6452"/>
    <w:rsid w:val="348F6779"/>
    <w:rsid w:val="34B728BD"/>
    <w:rsid w:val="34BA2473"/>
    <w:rsid w:val="34C75F13"/>
    <w:rsid w:val="34CB5A03"/>
    <w:rsid w:val="34FD36E3"/>
    <w:rsid w:val="35AB1686"/>
    <w:rsid w:val="35BE0A3B"/>
    <w:rsid w:val="36323860"/>
    <w:rsid w:val="36401AD9"/>
    <w:rsid w:val="37272C1E"/>
    <w:rsid w:val="373B58CD"/>
    <w:rsid w:val="374C0952"/>
    <w:rsid w:val="379A3C68"/>
    <w:rsid w:val="37A17316"/>
    <w:rsid w:val="37B207B5"/>
    <w:rsid w:val="37E91363"/>
    <w:rsid w:val="38B95B73"/>
    <w:rsid w:val="38C1190F"/>
    <w:rsid w:val="38DF436A"/>
    <w:rsid w:val="38F246AA"/>
    <w:rsid w:val="392D2345"/>
    <w:rsid w:val="397C551E"/>
    <w:rsid w:val="397E0A00"/>
    <w:rsid w:val="39B90520"/>
    <w:rsid w:val="39BC591B"/>
    <w:rsid w:val="39E135D3"/>
    <w:rsid w:val="3A7C46B2"/>
    <w:rsid w:val="3ABC7B9C"/>
    <w:rsid w:val="3AC8766C"/>
    <w:rsid w:val="3ADD36E4"/>
    <w:rsid w:val="3AF45588"/>
    <w:rsid w:val="3AF92B9E"/>
    <w:rsid w:val="3B1D23BA"/>
    <w:rsid w:val="3B250D52"/>
    <w:rsid w:val="3B3911ED"/>
    <w:rsid w:val="3B491094"/>
    <w:rsid w:val="3B691AD2"/>
    <w:rsid w:val="3BF07AFD"/>
    <w:rsid w:val="3C812E4B"/>
    <w:rsid w:val="3D17266E"/>
    <w:rsid w:val="3D436353"/>
    <w:rsid w:val="3D6D517E"/>
    <w:rsid w:val="3DB35286"/>
    <w:rsid w:val="3DBC4045"/>
    <w:rsid w:val="3E85182D"/>
    <w:rsid w:val="3EBA30EE"/>
    <w:rsid w:val="40955117"/>
    <w:rsid w:val="40D9705C"/>
    <w:rsid w:val="41390D56"/>
    <w:rsid w:val="41C932CA"/>
    <w:rsid w:val="423A2BD3"/>
    <w:rsid w:val="42471B37"/>
    <w:rsid w:val="42903DE8"/>
    <w:rsid w:val="42FB0A4C"/>
    <w:rsid w:val="432A5FEB"/>
    <w:rsid w:val="434370AD"/>
    <w:rsid w:val="43D2038C"/>
    <w:rsid w:val="43E73EDC"/>
    <w:rsid w:val="440A3494"/>
    <w:rsid w:val="442360A8"/>
    <w:rsid w:val="4467501D"/>
    <w:rsid w:val="45233473"/>
    <w:rsid w:val="45371880"/>
    <w:rsid w:val="45496339"/>
    <w:rsid w:val="45A656D1"/>
    <w:rsid w:val="45C73FC5"/>
    <w:rsid w:val="45DF2FE0"/>
    <w:rsid w:val="46945619"/>
    <w:rsid w:val="4737240B"/>
    <w:rsid w:val="47F866B8"/>
    <w:rsid w:val="482A2CA1"/>
    <w:rsid w:val="483376F0"/>
    <w:rsid w:val="48AE321A"/>
    <w:rsid w:val="49357497"/>
    <w:rsid w:val="49A45B5C"/>
    <w:rsid w:val="49A81A17"/>
    <w:rsid w:val="49DF11B1"/>
    <w:rsid w:val="4A2937E2"/>
    <w:rsid w:val="4AC4402F"/>
    <w:rsid w:val="4B87799C"/>
    <w:rsid w:val="4B8A1D1C"/>
    <w:rsid w:val="4BCA05DC"/>
    <w:rsid w:val="4BF0032F"/>
    <w:rsid w:val="4C6B780F"/>
    <w:rsid w:val="4CA1649F"/>
    <w:rsid w:val="4CA839D7"/>
    <w:rsid w:val="4D3218C2"/>
    <w:rsid w:val="4DB35F19"/>
    <w:rsid w:val="4DB96AE9"/>
    <w:rsid w:val="4E021312"/>
    <w:rsid w:val="4E6B4CDD"/>
    <w:rsid w:val="4E8C5D65"/>
    <w:rsid w:val="4EA43EFD"/>
    <w:rsid w:val="4EB3158A"/>
    <w:rsid w:val="4F2F40B5"/>
    <w:rsid w:val="4F6775C9"/>
    <w:rsid w:val="4F6B3C13"/>
    <w:rsid w:val="4F8F6AD2"/>
    <w:rsid w:val="4F913AFB"/>
    <w:rsid w:val="4FAE1D52"/>
    <w:rsid w:val="4FD14235"/>
    <w:rsid w:val="4FEF53D0"/>
    <w:rsid w:val="50E83EC0"/>
    <w:rsid w:val="50F10148"/>
    <w:rsid w:val="52055852"/>
    <w:rsid w:val="52285DEB"/>
    <w:rsid w:val="52383978"/>
    <w:rsid w:val="528261F1"/>
    <w:rsid w:val="52927709"/>
    <w:rsid w:val="52B61649"/>
    <w:rsid w:val="52E15F9A"/>
    <w:rsid w:val="52E8032A"/>
    <w:rsid w:val="52ED287F"/>
    <w:rsid w:val="531C7D89"/>
    <w:rsid w:val="53D31D87"/>
    <w:rsid w:val="543B6D42"/>
    <w:rsid w:val="54D44008"/>
    <w:rsid w:val="556D1D67"/>
    <w:rsid w:val="55A021A2"/>
    <w:rsid w:val="55DC3FD5"/>
    <w:rsid w:val="55F81F79"/>
    <w:rsid w:val="563B19F4"/>
    <w:rsid w:val="5689497F"/>
    <w:rsid w:val="574D00A2"/>
    <w:rsid w:val="577D0987"/>
    <w:rsid w:val="59D93E6F"/>
    <w:rsid w:val="59DA4191"/>
    <w:rsid w:val="59E978DD"/>
    <w:rsid w:val="5A084FC7"/>
    <w:rsid w:val="5A726088"/>
    <w:rsid w:val="5AD84127"/>
    <w:rsid w:val="5B1F7B09"/>
    <w:rsid w:val="5B5E63DA"/>
    <w:rsid w:val="5B6063A8"/>
    <w:rsid w:val="5C0F51D6"/>
    <w:rsid w:val="5C266C5B"/>
    <w:rsid w:val="5C2C5472"/>
    <w:rsid w:val="5C910581"/>
    <w:rsid w:val="5CB63FF4"/>
    <w:rsid w:val="5CE2303B"/>
    <w:rsid w:val="5D9B2D51"/>
    <w:rsid w:val="5DC15346"/>
    <w:rsid w:val="5F100333"/>
    <w:rsid w:val="5F943DA1"/>
    <w:rsid w:val="5F950838"/>
    <w:rsid w:val="5F9E7398"/>
    <w:rsid w:val="5FAD5B82"/>
    <w:rsid w:val="607246D5"/>
    <w:rsid w:val="60F77D06"/>
    <w:rsid w:val="61310BF4"/>
    <w:rsid w:val="615269E1"/>
    <w:rsid w:val="615D7134"/>
    <w:rsid w:val="61761FA3"/>
    <w:rsid w:val="61D6188B"/>
    <w:rsid w:val="62614A02"/>
    <w:rsid w:val="627503B5"/>
    <w:rsid w:val="63336361"/>
    <w:rsid w:val="63AB0246"/>
    <w:rsid w:val="6497295D"/>
    <w:rsid w:val="64CB1E9E"/>
    <w:rsid w:val="64FF2EA9"/>
    <w:rsid w:val="66007FA8"/>
    <w:rsid w:val="665054B9"/>
    <w:rsid w:val="666F397B"/>
    <w:rsid w:val="66836FBD"/>
    <w:rsid w:val="668F5FE1"/>
    <w:rsid w:val="66A03D4A"/>
    <w:rsid w:val="66AE4673"/>
    <w:rsid w:val="66CE47A9"/>
    <w:rsid w:val="67000C8D"/>
    <w:rsid w:val="67FC76A6"/>
    <w:rsid w:val="6828211C"/>
    <w:rsid w:val="684921C0"/>
    <w:rsid w:val="68B24209"/>
    <w:rsid w:val="68DE733A"/>
    <w:rsid w:val="69342E70"/>
    <w:rsid w:val="695157D0"/>
    <w:rsid w:val="698834E3"/>
    <w:rsid w:val="6A1707C7"/>
    <w:rsid w:val="6A261FFA"/>
    <w:rsid w:val="6A48608D"/>
    <w:rsid w:val="6A5E356A"/>
    <w:rsid w:val="6AFA5417"/>
    <w:rsid w:val="6B680BAF"/>
    <w:rsid w:val="6B6A4927"/>
    <w:rsid w:val="6B961BC0"/>
    <w:rsid w:val="6C127D27"/>
    <w:rsid w:val="6C354F35"/>
    <w:rsid w:val="6D133BE5"/>
    <w:rsid w:val="6D214A1F"/>
    <w:rsid w:val="6D2D7C4D"/>
    <w:rsid w:val="6D761CA9"/>
    <w:rsid w:val="6E564C9D"/>
    <w:rsid w:val="6E865F1C"/>
    <w:rsid w:val="6EA41EA3"/>
    <w:rsid w:val="6EC30F1E"/>
    <w:rsid w:val="6EDE7B06"/>
    <w:rsid w:val="6F3B3759"/>
    <w:rsid w:val="6FC01934"/>
    <w:rsid w:val="6FEF189F"/>
    <w:rsid w:val="70076BE8"/>
    <w:rsid w:val="701D465E"/>
    <w:rsid w:val="70313C65"/>
    <w:rsid w:val="709E5098"/>
    <w:rsid w:val="70AE175A"/>
    <w:rsid w:val="71E71C37"/>
    <w:rsid w:val="71EE385B"/>
    <w:rsid w:val="721D416D"/>
    <w:rsid w:val="721F3C46"/>
    <w:rsid w:val="729A1F96"/>
    <w:rsid w:val="72BA43E6"/>
    <w:rsid w:val="72C45265"/>
    <w:rsid w:val="72EA6EEF"/>
    <w:rsid w:val="72F378F8"/>
    <w:rsid w:val="73117D7E"/>
    <w:rsid w:val="734D7198"/>
    <w:rsid w:val="737A01A3"/>
    <w:rsid w:val="73814F04"/>
    <w:rsid w:val="74186ED0"/>
    <w:rsid w:val="74B33C04"/>
    <w:rsid w:val="74D53014"/>
    <w:rsid w:val="750862B4"/>
    <w:rsid w:val="75567199"/>
    <w:rsid w:val="75BC3FB3"/>
    <w:rsid w:val="75EA2FC5"/>
    <w:rsid w:val="75ED062E"/>
    <w:rsid w:val="75F61BD9"/>
    <w:rsid w:val="76116A13"/>
    <w:rsid w:val="763B54E9"/>
    <w:rsid w:val="76530DD9"/>
    <w:rsid w:val="76ED1619"/>
    <w:rsid w:val="782407F3"/>
    <w:rsid w:val="786C7F30"/>
    <w:rsid w:val="786F522E"/>
    <w:rsid w:val="78770683"/>
    <w:rsid w:val="78DC45ED"/>
    <w:rsid w:val="78E0447A"/>
    <w:rsid w:val="78FA19E0"/>
    <w:rsid w:val="790939D1"/>
    <w:rsid w:val="7999141E"/>
    <w:rsid w:val="79B73F9E"/>
    <w:rsid w:val="79B87C50"/>
    <w:rsid w:val="7A0B3779"/>
    <w:rsid w:val="7A523D9A"/>
    <w:rsid w:val="7AA65250"/>
    <w:rsid w:val="7AF16E13"/>
    <w:rsid w:val="7AF949CB"/>
    <w:rsid w:val="7B5B5D25"/>
    <w:rsid w:val="7BDA540C"/>
    <w:rsid w:val="7C3612D6"/>
    <w:rsid w:val="7C931AAC"/>
    <w:rsid w:val="7CA3405B"/>
    <w:rsid w:val="7CD2057E"/>
    <w:rsid w:val="7CD91059"/>
    <w:rsid w:val="7D2012E9"/>
    <w:rsid w:val="7D276B1C"/>
    <w:rsid w:val="7DA21D8D"/>
    <w:rsid w:val="7E0D45E7"/>
    <w:rsid w:val="7EF649F8"/>
    <w:rsid w:val="7F1C1F84"/>
    <w:rsid w:val="7F594F87"/>
    <w:rsid w:val="7FCA1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nhideWhenUsed="0" w:uiPriority="0" w:semiHidden="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qFormat="1" w:unhideWhenUsed="0" w:uiPriority="0" w:semiHidden="0"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b/>
      <w:kern w:val="2"/>
      <w:sz w:val="21"/>
      <w:szCs w:val="24"/>
      <w:u w:color="FF0000"/>
      <w:lang w:val="en-US" w:eastAsia="zh-CN" w:bidi="ar-SA"/>
    </w:rPr>
  </w:style>
  <w:style w:type="paragraph" w:styleId="4">
    <w:name w:val="heading 1"/>
    <w:basedOn w:val="1"/>
    <w:next w:val="1"/>
    <w:link w:val="61"/>
    <w:qFormat/>
    <w:uiPriority w:val="0"/>
    <w:pPr>
      <w:keepNext/>
      <w:spacing w:line="360" w:lineRule="auto"/>
      <w:outlineLvl w:val="0"/>
    </w:pPr>
    <w:rPr>
      <w:rFonts w:eastAsia="仿宋_GB2312"/>
      <w:sz w:val="44"/>
    </w:rPr>
  </w:style>
  <w:style w:type="paragraph" w:styleId="5">
    <w:name w:val="heading 2"/>
    <w:basedOn w:val="1"/>
    <w:next w:val="1"/>
    <w:link w:val="62"/>
    <w:qFormat/>
    <w:uiPriority w:val="0"/>
    <w:pPr>
      <w:keepNext/>
      <w:keepLines/>
      <w:widowControl/>
      <w:spacing w:line="360" w:lineRule="auto"/>
      <w:jc w:val="left"/>
      <w:outlineLvl w:val="1"/>
    </w:pPr>
    <w:rPr>
      <w:rFonts w:ascii="宋体" w:hAnsi="Arial" w:eastAsia="仿宋_GB2312"/>
      <w:kern w:val="0"/>
      <w:sz w:val="30"/>
      <w:szCs w:val="20"/>
    </w:rPr>
  </w:style>
  <w:style w:type="paragraph" w:styleId="6">
    <w:name w:val="heading 3"/>
    <w:basedOn w:val="1"/>
    <w:next w:val="1"/>
    <w:link w:val="63"/>
    <w:qFormat/>
    <w:uiPriority w:val="0"/>
    <w:pPr>
      <w:keepNext/>
      <w:keepLines/>
      <w:widowControl/>
      <w:spacing w:line="360" w:lineRule="auto"/>
      <w:jc w:val="left"/>
      <w:outlineLvl w:val="2"/>
    </w:pPr>
    <w:rPr>
      <w:rFonts w:eastAsia="仿宋_GB2312"/>
      <w:bCs/>
      <w:sz w:val="28"/>
    </w:rPr>
  </w:style>
  <w:style w:type="paragraph" w:styleId="7">
    <w:name w:val="heading 4"/>
    <w:basedOn w:val="1"/>
    <w:next w:val="1"/>
    <w:link w:val="64"/>
    <w:qFormat/>
    <w:uiPriority w:val="0"/>
    <w:pPr>
      <w:keepNext/>
      <w:keepLines/>
      <w:widowControl/>
      <w:spacing w:before="280" w:after="290" w:line="376" w:lineRule="auto"/>
      <w:jc w:val="left"/>
      <w:outlineLvl w:val="3"/>
    </w:pPr>
    <w:rPr>
      <w:rFonts w:ascii="Arial" w:hAnsi="Arial"/>
      <w:b w:val="0"/>
      <w:bCs/>
      <w:kern w:val="0"/>
      <w:sz w:val="28"/>
      <w:szCs w:val="20"/>
    </w:rPr>
  </w:style>
  <w:style w:type="paragraph" w:styleId="8">
    <w:name w:val="heading 5"/>
    <w:basedOn w:val="1"/>
    <w:next w:val="1"/>
    <w:link w:val="65"/>
    <w:qFormat/>
    <w:uiPriority w:val="0"/>
    <w:pPr>
      <w:keepNext/>
      <w:keepLines/>
      <w:widowControl/>
      <w:spacing w:before="280" w:after="290" w:line="376" w:lineRule="auto"/>
      <w:jc w:val="left"/>
      <w:outlineLvl w:val="4"/>
    </w:pPr>
    <w:rPr>
      <w:b w:val="0"/>
      <w:kern w:val="0"/>
      <w:sz w:val="28"/>
      <w:szCs w:val="20"/>
    </w:rPr>
  </w:style>
  <w:style w:type="paragraph" w:styleId="9">
    <w:name w:val="heading 6"/>
    <w:basedOn w:val="1"/>
    <w:next w:val="1"/>
    <w:link w:val="66"/>
    <w:qFormat/>
    <w:uiPriority w:val="0"/>
    <w:pPr>
      <w:keepNext/>
      <w:spacing w:line="360" w:lineRule="auto"/>
      <w:jc w:val="center"/>
      <w:outlineLvl w:val="5"/>
    </w:pPr>
    <w:rPr>
      <w:b w:val="0"/>
      <w:bCs/>
      <w:sz w:val="28"/>
    </w:rPr>
  </w:style>
  <w:style w:type="paragraph" w:styleId="10">
    <w:name w:val="heading 7"/>
    <w:basedOn w:val="1"/>
    <w:next w:val="1"/>
    <w:link w:val="67"/>
    <w:qFormat/>
    <w:uiPriority w:val="0"/>
    <w:pPr>
      <w:keepNext/>
      <w:outlineLvl w:val="6"/>
    </w:pPr>
    <w:rPr>
      <w:sz w:val="15"/>
    </w:rPr>
  </w:style>
  <w:style w:type="paragraph" w:styleId="11">
    <w:name w:val="heading 8"/>
    <w:basedOn w:val="1"/>
    <w:next w:val="1"/>
    <w:link w:val="222"/>
    <w:qFormat/>
    <w:uiPriority w:val="0"/>
    <w:pPr>
      <w:keepNext/>
      <w:keepLines/>
      <w:adjustRightInd w:val="0"/>
      <w:spacing w:before="240" w:after="64" w:line="320" w:lineRule="atLeast"/>
      <w:textAlignment w:val="baseline"/>
      <w:outlineLvl w:val="7"/>
    </w:pPr>
    <w:rPr>
      <w:rFonts w:ascii="Arial" w:hAnsi="Arial" w:eastAsia="黑体"/>
      <w:b w:val="0"/>
      <w:kern w:val="0"/>
      <w:sz w:val="24"/>
      <w:szCs w:val="20"/>
    </w:rPr>
  </w:style>
  <w:style w:type="paragraph" w:styleId="12">
    <w:name w:val="heading 9"/>
    <w:basedOn w:val="1"/>
    <w:next w:val="1"/>
    <w:link w:val="223"/>
    <w:qFormat/>
    <w:uiPriority w:val="0"/>
    <w:pPr>
      <w:keepNext/>
      <w:keepLines/>
      <w:adjustRightInd w:val="0"/>
      <w:spacing w:before="240" w:after="64" w:line="320" w:lineRule="atLeast"/>
      <w:textAlignment w:val="baseline"/>
      <w:outlineLvl w:val="8"/>
    </w:pPr>
    <w:rPr>
      <w:rFonts w:ascii="Arial" w:hAnsi="Arial" w:eastAsia="黑体"/>
      <w:b w:val="0"/>
      <w:kern w:val="0"/>
      <w:sz w:val="28"/>
      <w:szCs w:val="20"/>
    </w:rPr>
  </w:style>
  <w:style w:type="character" w:default="1" w:styleId="52">
    <w:name w:val="Default Paragraph Font"/>
    <w:unhideWhenUsed/>
    <w:uiPriority w:val="1"/>
  </w:style>
  <w:style w:type="table" w:default="1" w:styleId="49">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link w:val="294"/>
    <w:qFormat/>
    <w:uiPriority w:val="0"/>
    <w:pPr>
      <w:ind w:firstLine="420" w:firstLineChars="200"/>
    </w:pPr>
  </w:style>
  <w:style w:type="paragraph" w:styleId="3">
    <w:name w:val="Body Text Indent"/>
    <w:basedOn w:val="1"/>
    <w:link w:val="60"/>
    <w:qFormat/>
    <w:uiPriority w:val="0"/>
    <w:pPr>
      <w:widowControl/>
      <w:spacing w:line="360" w:lineRule="auto"/>
      <w:ind w:firstLine="570"/>
    </w:pPr>
    <w:rPr>
      <w:rFonts w:eastAsia="隶书"/>
      <w:kern w:val="0"/>
      <w:sz w:val="28"/>
      <w:szCs w:val="20"/>
    </w:rPr>
  </w:style>
  <w:style w:type="paragraph" w:styleId="13">
    <w:name w:val="toc 7"/>
    <w:basedOn w:val="1"/>
    <w:next w:val="1"/>
    <w:qFormat/>
    <w:uiPriority w:val="39"/>
    <w:pPr>
      <w:ind w:left="1260"/>
      <w:jc w:val="left"/>
    </w:pPr>
    <w:rPr>
      <w:rFonts w:cs="Calibri"/>
      <w:b w:val="0"/>
      <w:sz w:val="18"/>
      <w:szCs w:val="18"/>
    </w:rPr>
  </w:style>
  <w:style w:type="paragraph" w:styleId="14">
    <w:name w:val="Note Heading"/>
    <w:basedOn w:val="1"/>
    <w:next w:val="1"/>
    <w:link w:val="442"/>
    <w:qFormat/>
    <w:uiPriority w:val="0"/>
    <w:pPr>
      <w:jc w:val="center"/>
    </w:pPr>
    <w:rPr>
      <w:rFonts w:ascii="宋体" w:hAnsi="Times New Roman"/>
      <w:b w:val="0"/>
      <w:szCs w:val="20"/>
    </w:rPr>
  </w:style>
  <w:style w:type="paragraph" w:styleId="15">
    <w:name w:val="index 8"/>
    <w:basedOn w:val="1"/>
    <w:next w:val="1"/>
    <w:qFormat/>
    <w:uiPriority w:val="0"/>
    <w:pPr>
      <w:ind w:firstLine="538" w:firstLineChars="192"/>
    </w:pPr>
    <w:rPr>
      <w:rFonts w:ascii="Times New Roman" w:hAnsi="Times New Roman"/>
      <w:b w:val="0"/>
      <w:sz w:val="28"/>
      <w:szCs w:val="20"/>
    </w:rPr>
  </w:style>
  <w:style w:type="paragraph" w:styleId="16">
    <w:name w:val="Normal Indent"/>
    <w:basedOn w:val="1"/>
    <w:qFormat/>
    <w:uiPriority w:val="0"/>
    <w:pPr>
      <w:widowControl/>
      <w:spacing w:line="360" w:lineRule="auto"/>
      <w:ind w:firstLine="560" w:firstLineChars="200"/>
      <w:jc w:val="left"/>
    </w:pPr>
    <w:rPr>
      <w:kern w:val="0"/>
      <w:sz w:val="28"/>
      <w:szCs w:val="20"/>
    </w:rPr>
  </w:style>
  <w:style w:type="paragraph" w:styleId="17">
    <w:name w:val="caption"/>
    <w:basedOn w:val="1"/>
    <w:next w:val="1"/>
    <w:qFormat/>
    <w:uiPriority w:val="0"/>
    <w:pPr>
      <w:spacing w:before="152" w:after="160"/>
    </w:pPr>
    <w:rPr>
      <w:rFonts w:ascii="Arial" w:hAnsi="Arial" w:eastAsia="黑体" w:cs="Arial"/>
      <w:b w:val="0"/>
      <w:sz w:val="20"/>
      <w:szCs w:val="20"/>
    </w:rPr>
  </w:style>
  <w:style w:type="paragraph" w:styleId="18">
    <w:name w:val="Document Map"/>
    <w:basedOn w:val="1"/>
    <w:link w:val="68"/>
    <w:qFormat/>
    <w:uiPriority w:val="0"/>
    <w:pPr>
      <w:shd w:val="clear" w:color="auto" w:fill="000080"/>
      <w:spacing w:line="360" w:lineRule="auto"/>
    </w:pPr>
    <w:rPr>
      <w:rFonts w:eastAsia="仿宋_GB2312"/>
      <w:b w:val="0"/>
      <w:sz w:val="24"/>
    </w:rPr>
  </w:style>
  <w:style w:type="paragraph" w:styleId="19">
    <w:name w:val="annotation text"/>
    <w:basedOn w:val="1"/>
    <w:link w:val="69"/>
    <w:qFormat/>
    <w:uiPriority w:val="0"/>
    <w:pPr>
      <w:jc w:val="left"/>
    </w:pPr>
    <w:rPr>
      <w:rFonts w:eastAsia="隶书"/>
    </w:rPr>
  </w:style>
  <w:style w:type="paragraph" w:styleId="20">
    <w:name w:val="Body Text 3"/>
    <w:basedOn w:val="1"/>
    <w:link w:val="70"/>
    <w:qFormat/>
    <w:uiPriority w:val="0"/>
    <w:rPr>
      <w:sz w:val="28"/>
    </w:rPr>
  </w:style>
  <w:style w:type="paragraph" w:styleId="21">
    <w:name w:val="Body Text"/>
    <w:basedOn w:val="1"/>
    <w:next w:val="1"/>
    <w:link w:val="71"/>
    <w:qFormat/>
    <w:uiPriority w:val="0"/>
    <w:rPr>
      <w:rFonts w:ascii="仿宋_GB2312"/>
      <w:b w:val="0"/>
      <w:sz w:val="28"/>
      <w:szCs w:val="28"/>
    </w:rPr>
  </w:style>
  <w:style w:type="paragraph" w:styleId="22">
    <w:name w:val="Block Text"/>
    <w:basedOn w:val="1"/>
    <w:qFormat/>
    <w:uiPriority w:val="0"/>
    <w:pPr>
      <w:ind w:left="-108" w:leftChars="-51" w:right="-93" w:rightChars="-44"/>
      <w:jc w:val="center"/>
    </w:pPr>
    <w:rPr>
      <w:rFonts w:eastAsia="楷体_GB2312"/>
      <w:spacing w:val="-6"/>
      <w:sz w:val="28"/>
    </w:rPr>
  </w:style>
  <w:style w:type="paragraph" w:styleId="23">
    <w:name w:val="toc 5"/>
    <w:basedOn w:val="1"/>
    <w:next w:val="1"/>
    <w:qFormat/>
    <w:uiPriority w:val="39"/>
    <w:pPr>
      <w:ind w:left="840"/>
      <w:jc w:val="left"/>
    </w:pPr>
    <w:rPr>
      <w:rFonts w:cs="Calibri"/>
      <w:b w:val="0"/>
      <w:sz w:val="18"/>
      <w:szCs w:val="18"/>
    </w:rPr>
  </w:style>
  <w:style w:type="paragraph" w:styleId="24">
    <w:name w:val="toc 3"/>
    <w:basedOn w:val="1"/>
    <w:next w:val="1"/>
    <w:qFormat/>
    <w:uiPriority w:val="39"/>
    <w:pPr>
      <w:ind w:left="420"/>
      <w:jc w:val="left"/>
    </w:pPr>
    <w:rPr>
      <w:rFonts w:cs="Calibri"/>
      <w:b w:val="0"/>
      <w:i/>
      <w:iCs/>
      <w:sz w:val="20"/>
      <w:szCs w:val="20"/>
    </w:rPr>
  </w:style>
  <w:style w:type="paragraph" w:styleId="25">
    <w:name w:val="Plain Text"/>
    <w:basedOn w:val="1"/>
    <w:link w:val="72"/>
    <w:qFormat/>
    <w:uiPriority w:val="0"/>
    <w:rPr>
      <w:rFonts w:ascii="宋体" w:hAnsi="Courier New"/>
      <w:b w:val="0"/>
      <w:szCs w:val="21"/>
    </w:rPr>
  </w:style>
  <w:style w:type="paragraph" w:styleId="26">
    <w:name w:val="toc 8"/>
    <w:basedOn w:val="1"/>
    <w:next w:val="1"/>
    <w:qFormat/>
    <w:uiPriority w:val="39"/>
    <w:pPr>
      <w:ind w:left="1470"/>
      <w:jc w:val="left"/>
    </w:pPr>
    <w:rPr>
      <w:rFonts w:cs="Calibri"/>
      <w:b w:val="0"/>
      <w:sz w:val="18"/>
      <w:szCs w:val="18"/>
    </w:rPr>
  </w:style>
  <w:style w:type="paragraph" w:styleId="27">
    <w:name w:val="Date"/>
    <w:basedOn w:val="1"/>
    <w:next w:val="1"/>
    <w:link w:val="73"/>
    <w:qFormat/>
    <w:uiPriority w:val="0"/>
    <w:pPr>
      <w:ind w:left="100" w:leftChars="2500"/>
    </w:pPr>
    <w:rPr>
      <w:sz w:val="28"/>
    </w:rPr>
  </w:style>
  <w:style w:type="paragraph" w:styleId="28">
    <w:name w:val="Body Text Indent 2"/>
    <w:basedOn w:val="1"/>
    <w:link w:val="74"/>
    <w:qFormat/>
    <w:uiPriority w:val="0"/>
    <w:pPr>
      <w:spacing w:line="360" w:lineRule="auto"/>
      <w:ind w:left="275" w:leftChars="100"/>
    </w:pPr>
    <w:rPr>
      <w:rFonts w:ascii="宋体" w:hAnsi="宋体" w:eastAsia="隶书"/>
      <w:sz w:val="28"/>
    </w:rPr>
  </w:style>
  <w:style w:type="paragraph" w:styleId="29">
    <w:name w:val="Balloon Text"/>
    <w:basedOn w:val="1"/>
    <w:link w:val="75"/>
    <w:qFormat/>
    <w:uiPriority w:val="0"/>
    <w:rPr>
      <w:sz w:val="18"/>
      <w:szCs w:val="18"/>
    </w:rPr>
  </w:style>
  <w:style w:type="paragraph" w:styleId="30">
    <w:name w:val="footer"/>
    <w:basedOn w:val="1"/>
    <w:link w:val="76"/>
    <w:qFormat/>
    <w:uiPriority w:val="99"/>
    <w:pPr>
      <w:widowControl/>
      <w:tabs>
        <w:tab w:val="center" w:pos="4153"/>
        <w:tab w:val="right" w:pos="8306"/>
      </w:tabs>
      <w:snapToGrid w:val="0"/>
      <w:jc w:val="left"/>
    </w:pPr>
    <w:rPr>
      <w:kern w:val="0"/>
      <w:sz w:val="18"/>
      <w:szCs w:val="20"/>
    </w:rPr>
  </w:style>
  <w:style w:type="paragraph" w:styleId="31">
    <w:name w:val="header"/>
    <w:basedOn w:val="1"/>
    <w:link w:val="77"/>
    <w:qFormat/>
    <w:uiPriority w:val="0"/>
    <w:pPr>
      <w:pBdr>
        <w:bottom w:val="single" w:color="auto" w:sz="6" w:space="1"/>
      </w:pBdr>
      <w:tabs>
        <w:tab w:val="center" w:pos="4153"/>
        <w:tab w:val="right" w:pos="8306"/>
      </w:tabs>
      <w:snapToGrid w:val="0"/>
      <w:jc w:val="center"/>
    </w:pPr>
    <w:rPr>
      <w:rFonts w:eastAsia="隶书"/>
      <w:sz w:val="18"/>
      <w:szCs w:val="18"/>
    </w:rPr>
  </w:style>
  <w:style w:type="paragraph" w:styleId="32">
    <w:name w:val="toc 1"/>
    <w:basedOn w:val="1"/>
    <w:next w:val="1"/>
    <w:qFormat/>
    <w:uiPriority w:val="39"/>
    <w:pPr>
      <w:spacing w:before="120" w:after="120"/>
      <w:jc w:val="left"/>
    </w:pPr>
    <w:rPr>
      <w:rFonts w:cs="Calibri"/>
      <w:bCs/>
      <w:caps/>
      <w:sz w:val="20"/>
      <w:szCs w:val="20"/>
    </w:rPr>
  </w:style>
  <w:style w:type="paragraph" w:styleId="33">
    <w:name w:val="toc 4"/>
    <w:basedOn w:val="1"/>
    <w:next w:val="1"/>
    <w:qFormat/>
    <w:uiPriority w:val="39"/>
    <w:pPr>
      <w:ind w:left="630"/>
      <w:jc w:val="left"/>
    </w:pPr>
    <w:rPr>
      <w:rFonts w:cs="Calibri"/>
      <w:b w:val="0"/>
      <w:sz w:val="18"/>
      <w:szCs w:val="18"/>
    </w:rPr>
  </w:style>
  <w:style w:type="paragraph" w:styleId="34">
    <w:name w:val="index heading"/>
    <w:basedOn w:val="1"/>
    <w:next w:val="35"/>
    <w:qFormat/>
    <w:uiPriority w:val="0"/>
    <w:rPr>
      <w:rFonts w:ascii="Times New Roman" w:hAnsi="Times New Roman"/>
      <w:b w:val="0"/>
    </w:rPr>
  </w:style>
  <w:style w:type="paragraph" w:styleId="35">
    <w:name w:val="index 1"/>
    <w:basedOn w:val="1"/>
    <w:next w:val="1"/>
    <w:qFormat/>
    <w:uiPriority w:val="0"/>
    <w:pPr>
      <w:jc w:val="center"/>
    </w:pPr>
    <w:rPr>
      <w:rFonts w:ascii="宋体" w:hAnsi="宋体"/>
      <w:b w:val="0"/>
      <w:color w:val="000000"/>
      <w:sz w:val="24"/>
      <w:szCs w:val="28"/>
    </w:rPr>
  </w:style>
  <w:style w:type="paragraph" w:styleId="36">
    <w:name w:val="Subtitle"/>
    <w:basedOn w:val="1"/>
    <w:next w:val="1"/>
    <w:link w:val="319"/>
    <w:qFormat/>
    <w:uiPriority w:val="0"/>
    <w:pPr>
      <w:spacing w:before="240" w:after="60" w:line="312" w:lineRule="auto"/>
      <w:jc w:val="center"/>
      <w:outlineLvl w:val="1"/>
    </w:pPr>
    <w:rPr>
      <w:rFonts w:ascii="Cambria" w:hAnsi="Cambria"/>
      <w:bCs/>
      <w:kern w:val="28"/>
      <w:sz w:val="32"/>
      <w:szCs w:val="32"/>
    </w:rPr>
  </w:style>
  <w:style w:type="paragraph" w:styleId="37">
    <w:name w:val="List"/>
    <w:basedOn w:val="1"/>
    <w:next w:val="1"/>
    <w:qFormat/>
    <w:uiPriority w:val="0"/>
    <w:pPr>
      <w:widowControl/>
      <w:overflowPunct w:val="0"/>
      <w:autoSpaceDE w:val="0"/>
      <w:autoSpaceDN w:val="0"/>
      <w:adjustRightInd w:val="0"/>
      <w:spacing w:line="360" w:lineRule="auto"/>
      <w:jc w:val="center"/>
      <w:textAlignment w:val="baseline"/>
    </w:pPr>
    <w:rPr>
      <w:rFonts w:ascii="Times New Roman" w:hAnsi="Times New Roman"/>
      <w:b w:val="0"/>
      <w:kern w:val="0"/>
      <w:szCs w:val="20"/>
      <w:lang w:val="en-GB"/>
    </w:rPr>
  </w:style>
  <w:style w:type="paragraph" w:styleId="38">
    <w:name w:val="footnote text"/>
    <w:basedOn w:val="1"/>
    <w:link w:val="78"/>
    <w:qFormat/>
    <w:uiPriority w:val="0"/>
    <w:pPr>
      <w:snapToGrid w:val="0"/>
      <w:jc w:val="left"/>
    </w:pPr>
    <w:rPr>
      <w:b w:val="0"/>
      <w:sz w:val="18"/>
      <w:szCs w:val="18"/>
    </w:rPr>
  </w:style>
  <w:style w:type="paragraph" w:styleId="39">
    <w:name w:val="toc 6"/>
    <w:basedOn w:val="1"/>
    <w:next w:val="1"/>
    <w:qFormat/>
    <w:uiPriority w:val="39"/>
    <w:pPr>
      <w:ind w:left="1050"/>
      <w:jc w:val="left"/>
    </w:pPr>
    <w:rPr>
      <w:rFonts w:cs="Calibri"/>
      <w:b w:val="0"/>
      <w:sz w:val="18"/>
      <w:szCs w:val="18"/>
    </w:rPr>
  </w:style>
  <w:style w:type="paragraph" w:styleId="40">
    <w:name w:val="Body Text Indent 3"/>
    <w:basedOn w:val="1"/>
    <w:link w:val="79"/>
    <w:qFormat/>
    <w:uiPriority w:val="0"/>
    <w:pPr>
      <w:spacing w:line="0" w:lineRule="atLeast"/>
      <w:ind w:firstLine="630"/>
    </w:pPr>
    <w:rPr>
      <w:b w:val="0"/>
      <w:sz w:val="28"/>
    </w:rPr>
  </w:style>
  <w:style w:type="paragraph" w:styleId="41">
    <w:name w:val="toc 2"/>
    <w:basedOn w:val="1"/>
    <w:next w:val="1"/>
    <w:qFormat/>
    <w:uiPriority w:val="39"/>
    <w:pPr>
      <w:ind w:left="210"/>
      <w:jc w:val="left"/>
    </w:pPr>
    <w:rPr>
      <w:rFonts w:cs="Calibri"/>
      <w:b w:val="0"/>
      <w:smallCaps/>
      <w:sz w:val="20"/>
      <w:szCs w:val="20"/>
    </w:rPr>
  </w:style>
  <w:style w:type="paragraph" w:styleId="42">
    <w:name w:val="toc 9"/>
    <w:basedOn w:val="1"/>
    <w:next w:val="1"/>
    <w:qFormat/>
    <w:uiPriority w:val="39"/>
    <w:pPr>
      <w:ind w:left="1680"/>
      <w:jc w:val="left"/>
    </w:pPr>
    <w:rPr>
      <w:rFonts w:cs="Calibri"/>
      <w:b w:val="0"/>
      <w:sz w:val="18"/>
      <w:szCs w:val="18"/>
    </w:rPr>
  </w:style>
  <w:style w:type="paragraph" w:styleId="43">
    <w:name w:val="Body Text 2"/>
    <w:basedOn w:val="1"/>
    <w:link w:val="80"/>
    <w:qFormat/>
    <w:uiPriority w:val="0"/>
    <w:rPr>
      <w:b w:val="0"/>
      <w:sz w:val="24"/>
    </w:rPr>
  </w:style>
  <w:style w:type="paragraph" w:styleId="44">
    <w:name w:val="HTML Preformatted"/>
    <w:basedOn w:val="1"/>
    <w:link w:val="311"/>
    <w:qFormat/>
    <w:uiPriority w:val="0"/>
    <w:rPr>
      <w:rFonts w:ascii="Courier New" w:hAnsi="Courier New" w:cs="Courier New"/>
      <w:b w:val="0"/>
      <w:sz w:val="20"/>
      <w:szCs w:val="20"/>
    </w:rPr>
  </w:style>
  <w:style w:type="paragraph" w:styleId="45">
    <w:name w:val="Normal (Web)"/>
    <w:basedOn w:val="1"/>
    <w:qFormat/>
    <w:uiPriority w:val="99"/>
    <w:pPr>
      <w:widowControl/>
      <w:spacing w:before="100" w:beforeAutospacing="1" w:after="100" w:afterAutospacing="1"/>
      <w:jc w:val="left"/>
    </w:pPr>
    <w:rPr>
      <w:rFonts w:ascii="宋体" w:hAnsi="宋体" w:cs="宋体"/>
      <w:b w:val="0"/>
      <w:kern w:val="0"/>
      <w:sz w:val="24"/>
    </w:rPr>
  </w:style>
  <w:style w:type="paragraph" w:styleId="46">
    <w:name w:val="Title"/>
    <w:basedOn w:val="1"/>
    <w:next w:val="1"/>
    <w:link w:val="170"/>
    <w:qFormat/>
    <w:uiPriority w:val="0"/>
    <w:pPr>
      <w:spacing w:before="240" w:after="60"/>
      <w:jc w:val="center"/>
      <w:outlineLvl w:val="0"/>
    </w:pPr>
    <w:rPr>
      <w:rFonts w:ascii="Cambria" w:hAnsi="Cambria"/>
      <w:bCs/>
      <w:sz w:val="32"/>
      <w:szCs w:val="32"/>
    </w:rPr>
  </w:style>
  <w:style w:type="paragraph" w:styleId="47">
    <w:name w:val="annotation subject"/>
    <w:basedOn w:val="19"/>
    <w:next w:val="19"/>
    <w:link w:val="81"/>
    <w:qFormat/>
    <w:uiPriority w:val="0"/>
    <w:rPr>
      <w:bCs/>
    </w:rPr>
  </w:style>
  <w:style w:type="paragraph" w:styleId="48">
    <w:name w:val="Body Text First Indent"/>
    <w:basedOn w:val="21"/>
    <w:next w:val="1"/>
    <w:link w:val="82"/>
    <w:qFormat/>
    <w:uiPriority w:val="0"/>
    <w:pPr>
      <w:spacing w:after="120"/>
      <w:ind w:firstLine="420" w:firstLineChars="100"/>
    </w:pPr>
    <w:rPr>
      <w:rFonts w:ascii="Times New Roman" w:eastAsia="隶书"/>
      <w:b/>
      <w:sz w:val="21"/>
      <w:szCs w:val="24"/>
    </w:rPr>
  </w:style>
  <w:style w:type="table" w:styleId="50">
    <w:name w:val="Table Grid"/>
    <w:basedOn w:val="49"/>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1">
    <w:name w:val="Table Grid 7"/>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character" w:styleId="53">
    <w:name w:val="Strong"/>
    <w:qFormat/>
    <w:uiPriority w:val="0"/>
    <w:rPr>
      <w:b/>
      <w:bCs/>
    </w:rPr>
  </w:style>
  <w:style w:type="character" w:styleId="54">
    <w:name w:val="page number"/>
    <w:basedOn w:val="52"/>
    <w:qFormat/>
    <w:uiPriority w:val="0"/>
    <w:rPr>
      <w:rFonts w:eastAsia="宋体"/>
      <w:sz w:val="24"/>
    </w:rPr>
  </w:style>
  <w:style w:type="character" w:styleId="55">
    <w:name w:val="FollowedHyperlink"/>
    <w:qFormat/>
    <w:uiPriority w:val="0"/>
    <w:rPr>
      <w:color w:val="800080"/>
      <w:u w:val="single"/>
    </w:rPr>
  </w:style>
  <w:style w:type="character" w:styleId="56">
    <w:name w:val="Emphasis"/>
    <w:basedOn w:val="52"/>
    <w:qFormat/>
    <w:uiPriority w:val="20"/>
    <w:rPr>
      <w:color w:val="CC0000"/>
    </w:rPr>
  </w:style>
  <w:style w:type="character" w:styleId="57">
    <w:name w:val="line number"/>
    <w:basedOn w:val="52"/>
    <w:qFormat/>
    <w:uiPriority w:val="0"/>
  </w:style>
  <w:style w:type="character" w:styleId="58">
    <w:name w:val="Hyperlink"/>
    <w:qFormat/>
    <w:uiPriority w:val="99"/>
    <w:rPr>
      <w:color w:val="0000FF"/>
      <w:u w:val="single"/>
    </w:rPr>
  </w:style>
  <w:style w:type="character" w:styleId="59">
    <w:name w:val="annotation reference"/>
    <w:qFormat/>
    <w:uiPriority w:val="0"/>
    <w:rPr>
      <w:sz w:val="21"/>
      <w:szCs w:val="21"/>
    </w:rPr>
  </w:style>
  <w:style w:type="character" w:customStyle="1" w:styleId="60">
    <w:name w:val="正文文本缩进 Char"/>
    <w:link w:val="3"/>
    <w:qFormat/>
    <w:uiPriority w:val="99"/>
    <w:rPr>
      <w:rFonts w:eastAsia="隶书"/>
      <w:b/>
      <w:sz w:val="28"/>
      <w:u w:color="FF0000"/>
      <w:lang w:val="en-US" w:eastAsia="zh-CN" w:bidi="ar-SA"/>
    </w:rPr>
  </w:style>
  <w:style w:type="character" w:customStyle="1" w:styleId="61">
    <w:name w:val="标题 1 Char"/>
    <w:link w:val="4"/>
    <w:qFormat/>
    <w:uiPriority w:val="0"/>
    <w:rPr>
      <w:rFonts w:ascii="Calibri" w:hAnsi="Calibri" w:eastAsia="仿宋_GB2312"/>
      <w:b/>
      <w:kern w:val="2"/>
      <w:sz w:val="44"/>
      <w:szCs w:val="24"/>
      <w:u w:color="FF0000"/>
    </w:rPr>
  </w:style>
  <w:style w:type="character" w:customStyle="1" w:styleId="62">
    <w:name w:val="标题 2 Char"/>
    <w:link w:val="5"/>
    <w:qFormat/>
    <w:locked/>
    <w:uiPriority w:val="0"/>
    <w:rPr>
      <w:rFonts w:ascii="宋体" w:hAnsi="Arial" w:eastAsia="仿宋_GB2312"/>
      <w:b/>
      <w:sz w:val="30"/>
      <w:u w:color="FF0000"/>
    </w:rPr>
  </w:style>
  <w:style w:type="character" w:customStyle="1" w:styleId="63">
    <w:name w:val="标题 3 Char"/>
    <w:link w:val="6"/>
    <w:qFormat/>
    <w:uiPriority w:val="0"/>
    <w:rPr>
      <w:rFonts w:eastAsia="仿宋_GB2312"/>
      <w:b/>
      <w:bCs/>
      <w:kern w:val="2"/>
      <w:sz w:val="28"/>
      <w:szCs w:val="24"/>
      <w:u w:color="FF0000"/>
      <w:lang w:val="en-US" w:eastAsia="zh-CN" w:bidi="ar-SA"/>
    </w:rPr>
  </w:style>
  <w:style w:type="character" w:customStyle="1" w:styleId="64">
    <w:name w:val="标题 4 Char"/>
    <w:link w:val="7"/>
    <w:qFormat/>
    <w:uiPriority w:val="0"/>
    <w:rPr>
      <w:rFonts w:ascii="Arial" w:hAnsi="Arial"/>
      <w:bCs/>
      <w:sz w:val="28"/>
      <w:u w:color="FF0000"/>
    </w:rPr>
  </w:style>
  <w:style w:type="character" w:customStyle="1" w:styleId="65">
    <w:name w:val="标题 5 Char"/>
    <w:link w:val="8"/>
    <w:qFormat/>
    <w:uiPriority w:val="0"/>
    <w:rPr>
      <w:rFonts w:ascii="Calibri" w:hAnsi="Calibri"/>
      <w:sz w:val="28"/>
      <w:u w:color="FF0000"/>
    </w:rPr>
  </w:style>
  <w:style w:type="character" w:customStyle="1" w:styleId="66">
    <w:name w:val="标题 6 Char"/>
    <w:link w:val="9"/>
    <w:qFormat/>
    <w:uiPriority w:val="0"/>
    <w:rPr>
      <w:rFonts w:ascii="Calibri" w:hAnsi="Calibri"/>
      <w:bCs/>
      <w:kern w:val="2"/>
      <w:sz w:val="28"/>
      <w:szCs w:val="24"/>
      <w:u w:color="FF0000"/>
    </w:rPr>
  </w:style>
  <w:style w:type="character" w:customStyle="1" w:styleId="67">
    <w:name w:val="标题 7 Char"/>
    <w:link w:val="10"/>
    <w:qFormat/>
    <w:uiPriority w:val="0"/>
    <w:rPr>
      <w:rFonts w:ascii="Calibri" w:hAnsi="Calibri"/>
      <w:b/>
      <w:kern w:val="2"/>
      <w:sz w:val="15"/>
      <w:szCs w:val="24"/>
      <w:u w:color="FF0000"/>
    </w:rPr>
  </w:style>
  <w:style w:type="character" w:customStyle="1" w:styleId="68">
    <w:name w:val="文档结构图 Char"/>
    <w:link w:val="18"/>
    <w:qFormat/>
    <w:uiPriority w:val="0"/>
    <w:rPr>
      <w:rFonts w:ascii="Calibri" w:hAnsi="Calibri" w:eastAsia="仿宋_GB2312"/>
      <w:kern w:val="2"/>
      <w:sz w:val="24"/>
      <w:szCs w:val="24"/>
      <w:u w:color="FF0000"/>
      <w:shd w:val="clear" w:color="auto" w:fill="000080"/>
    </w:rPr>
  </w:style>
  <w:style w:type="character" w:customStyle="1" w:styleId="69">
    <w:name w:val="批注文字 Char"/>
    <w:link w:val="19"/>
    <w:qFormat/>
    <w:uiPriority w:val="0"/>
    <w:rPr>
      <w:rFonts w:eastAsia="隶书"/>
      <w:b/>
      <w:kern w:val="2"/>
      <w:sz w:val="21"/>
      <w:szCs w:val="24"/>
      <w:u w:color="FF0000"/>
    </w:rPr>
  </w:style>
  <w:style w:type="character" w:customStyle="1" w:styleId="70">
    <w:name w:val="正文文本 3 Char"/>
    <w:link w:val="20"/>
    <w:qFormat/>
    <w:uiPriority w:val="0"/>
    <w:rPr>
      <w:rFonts w:ascii="Calibri" w:hAnsi="Calibri"/>
      <w:b/>
      <w:kern w:val="2"/>
      <w:sz w:val="28"/>
      <w:szCs w:val="24"/>
      <w:u w:color="FF0000"/>
    </w:rPr>
  </w:style>
  <w:style w:type="character" w:customStyle="1" w:styleId="71">
    <w:name w:val="正文文本 Char"/>
    <w:link w:val="21"/>
    <w:qFormat/>
    <w:uiPriority w:val="0"/>
    <w:rPr>
      <w:rFonts w:ascii="仿宋_GB2312"/>
      <w:kern w:val="2"/>
      <w:sz w:val="28"/>
      <w:szCs w:val="28"/>
      <w:u w:color="FF0000"/>
    </w:rPr>
  </w:style>
  <w:style w:type="character" w:customStyle="1" w:styleId="72">
    <w:name w:val="纯文本 Char"/>
    <w:link w:val="25"/>
    <w:qFormat/>
    <w:uiPriority w:val="0"/>
    <w:rPr>
      <w:rFonts w:ascii="宋体" w:hAnsi="Courier New" w:eastAsia="宋体"/>
      <w:kern w:val="2"/>
      <w:sz w:val="21"/>
      <w:szCs w:val="21"/>
      <w:u w:color="FF0000"/>
      <w:lang w:val="en-US" w:eastAsia="zh-CN" w:bidi="ar-SA"/>
    </w:rPr>
  </w:style>
  <w:style w:type="character" w:customStyle="1" w:styleId="73">
    <w:name w:val="日期 Char"/>
    <w:link w:val="27"/>
    <w:qFormat/>
    <w:uiPriority w:val="0"/>
    <w:rPr>
      <w:rFonts w:ascii="Calibri" w:hAnsi="Calibri"/>
      <w:b/>
      <w:kern w:val="2"/>
      <w:sz w:val="28"/>
      <w:szCs w:val="24"/>
      <w:u w:color="FF0000"/>
    </w:rPr>
  </w:style>
  <w:style w:type="character" w:customStyle="1" w:styleId="74">
    <w:name w:val="正文文本缩进 2 Char"/>
    <w:link w:val="28"/>
    <w:qFormat/>
    <w:uiPriority w:val="0"/>
    <w:rPr>
      <w:rFonts w:ascii="宋体" w:hAnsi="宋体" w:eastAsia="隶书"/>
      <w:b/>
      <w:kern w:val="2"/>
      <w:sz w:val="28"/>
      <w:szCs w:val="24"/>
      <w:u w:color="FF0000"/>
      <w:lang w:val="en-US" w:eastAsia="zh-CN" w:bidi="ar-SA"/>
    </w:rPr>
  </w:style>
  <w:style w:type="character" w:customStyle="1" w:styleId="75">
    <w:name w:val="批注框文本 Char"/>
    <w:link w:val="29"/>
    <w:qFormat/>
    <w:uiPriority w:val="0"/>
    <w:rPr>
      <w:rFonts w:ascii="Calibri" w:hAnsi="Calibri"/>
      <w:b/>
      <w:kern w:val="2"/>
      <w:sz w:val="18"/>
      <w:szCs w:val="18"/>
      <w:u w:color="FF0000"/>
    </w:rPr>
  </w:style>
  <w:style w:type="character" w:customStyle="1" w:styleId="76">
    <w:name w:val="页脚 Char"/>
    <w:link w:val="30"/>
    <w:qFormat/>
    <w:uiPriority w:val="99"/>
    <w:rPr>
      <w:b/>
      <w:sz w:val="18"/>
      <w:u w:color="FF0000"/>
    </w:rPr>
  </w:style>
  <w:style w:type="character" w:customStyle="1" w:styleId="77">
    <w:name w:val="页眉 Char"/>
    <w:link w:val="31"/>
    <w:qFormat/>
    <w:uiPriority w:val="0"/>
    <w:rPr>
      <w:rFonts w:eastAsia="隶书"/>
      <w:b/>
      <w:kern w:val="2"/>
      <w:sz w:val="18"/>
      <w:szCs w:val="18"/>
      <w:u w:color="FF0000"/>
      <w:lang w:val="en-US" w:eastAsia="zh-CN" w:bidi="ar-SA"/>
    </w:rPr>
  </w:style>
  <w:style w:type="character" w:customStyle="1" w:styleId="78">
    <w:name w:val="脚注文本 Char"/>
    <w:link w:val="38"/>
    <w:qFormat/>
    <w:uiPriority w:val="0"/>
    <w:rPr>
      <w:rFonts w:ascii="Calibri" w:hAnsi="Calibri"/>
      <w:kern w:val="2"/>
      <w:sz w:val="18"/>
      <w:szCs w:val="18"/>
      <w:u w:color="FF0000"/>
    </w:rPr>
  </w:style>
  <w:style w:type="character" w:customStyle="1" w:styleId="79">
    <w:name w:val="正文文本缩进 3 Char"/>
    <w:link w:val="40"/>
    <w:qFormat/>
    <w:uiPriority w:val="0"/>
    <w:rPr>
      <w:rFonts w:ascii="Calibri" w:hAnsi="Calibri"/>
      <w:kern w:val="2"/>
      <w:sz w:val="28"/>
      <w:szCs w:val="24"/>
      <w:u w:color="FF0000"/>
    </w:rPr>
  </w:style>
  <w:style w:type="character" w:customStyle="1" w:styleId="80">
    <w:name w:val="正文文本 2 Char"/>
    <w:link w:val="43"/>
    <w:qFormat/>
    <w:uiPriority w:val="0"/>
    <w:rPr>
      <w:rFonts w:ascii="Calibri" w:hAnsi="Calibri"/>
      <w:kern w:val="2"/>
      <w:sz w:val="24"/>
      <w:szCs w:val="24"/>
      <w:u w:color="FF0000"/>
    </w:rPr>
  </w:style>
  <w:style w:type="character" w:customStyle="1" w:styleId="81">
    <w:name w:val="批注主题 Char"/>
    <w:link w:val="47"/>
    <w:qFormat/>
    <w:uiPriority w:val="0"/>
    <w:rPr>
      <w:rFonts w:eastAsia="隶书"/>
      <w:b/>
      <w:bCs/>
      <w:kern w:val="2"/>
      <w:sz w:val="21"/>
      <w:szCs w:val="24"/>
      <w:u w:color="FF0000"/>
      <w:lang w:val="en-US" w:eastAsia="zh-CN" w:bidi="ar-SA"/>
    </w:rPr>
  </w:style>
  <w:style w:type="character" w:customStyle="1" w:styleId="82">
    <w:name w:val="正文首行缩进 Char"/>
    <w:basedOn w:val="52"/>
    <w:link w:val="48"/>
    <w:qFormat/>
    <w:uiPriority w:val="0"/>
    <w:rPr>
      <w:rFonts w:ascii="Times New Roman" w:eastAsia="隶书"/>
      <w:b/>
      <w:kern w:val="2"/>
      <w:sz w:val="21"/>
      <w:szCs w:val="24"/>
      <w:u w:color="FF0000"/>
    </w:rPr>
  </w:style>
  <w:style w:type="character" w:customStyle="1" w:styleId="83">
    <w:name w:val="Char Char3"/>
    <w:qFormat/>
    <w:uiPriority w:val="99"/>
    <w:rPr>
      <w:rFonts w:eastAsia="仿宋_GB2312"/>
      <w:b/>
      <w:bCs/>
      <w:kern w:val="2"/>
      <w:sz w:val="28"/>
      <w:szCs w:val="24"/>
      <w:u w:color="FF0000"/>
    </w:rPr>
  </w:style>
  <w:style w:type="character" w:customStyle="1" w:styleId="84">
    <w:name w:val="Char Char5"/>
    <w:qFormat/>
    <w:uiPriority w:val="99"/>
    <w:rPr>
      <w:rFonts w:eastAsia="宋体"/>
      <w:color w:val="000000"/>
      <w:kern w:val="2"/>
      <w:sz w:val="18"/>
      <w:lang w:val="en-US" w:eastAsia="zh-CN" w:bidi="ar-SA"/>
    </w:rPr>
  </w:style>
  <w:style w:type="character" w:customStyle="1" w:styleId="85">
    <w:name w:val="正文文字缩进 Char1"/>
    <w:qFormat/>
    <w:uiPriority w:val="0"/>
    <w:rPr>
      <w:rFonts w:eastAsia="宋体"/>
      <w:kern w:val="2"/>
      <w:sz w:val="28"/>
      <w:szCs w:val="24"/>
      <w:lang w:val="en-US" w:eastAsia="zh-CN" w:bidi="ar-SA"/>
    </w:rPr>
  </w:style>
  <w:style w:type="character" w:customStyle="1" w:styleId="86">
    <w:name w:val="zw1"/>
    <w:qFormat/>
    <w:uiPriority w:val="0"/>
    <w:rPr>
      <w:rFonts w:hint="eastAsia" w:ascii="宋体" w:hAnsi="宋体" w:eastAsia="宋体"/>
      <w:sz w:val="22"/>
      <w:szCs w:val="22"/>
    </w:rPr>
  </w:style>
  <w:style w:type="character" w:customStyle="1" w:styleId="87">
    <w:name w:val="font41"/>
    <w:qFormat/>
    <w:uiPriority w:val="0"/>
    <w:rPr>
      <w:rFonts w:hint="default" w:ascii="Times New Roman" w:hAnsi="Times New Roman" w:cs="Times New Roman"/>
      <w:color w:val="000000"/>
      <w:sz w:val="22"/>
      <w:szCs w:val="22"/>
      <w:u w:val="none"/>
      <w:vertAlign w:val="superscript"/>
    </w:rPr>
  </w:style>
  <w:style w:type="character" w:customStyle="1" w:styleId="88">
    <w:name w:val="font21"/>
    <w:qFormat/>
    <w:uiPriority w:val="0"/>
    <w:rPr>
      <w:rFonts w:hint="eastAsia" w:ascii="宋体" w:hAnsi="宋体" w:eastAsia="宋体" w:cs="宋体"/>
      <w:color w:val="000000"/>
      <w:sz w:val="24"/>
      <w:szCs w:val="24"/>
      <w:u w:val="none"/>
    </w:rPr>
  </w:style>
  <w:style w:type="character" w:customStyle="1" w:styleId="89">
    <w:name w:val="font51"/>
    <w:qFormat/>
    <w:uiPriority w:val="0"/>
    <w:rPr>
      <w:rFonts w:hint="eastAsia" w:ascii="宋体" w:hAnsi="宋体" w:eastAsia="宋体" w:cs="宋体"/>
      <w:color w:val="000000"/>
      <w:sz w:val="28"/>
      <w:szCs w:val="28"/>
      <w:u w:val="none"/>
    </w:rPr>
  </w:style>
  <w:style w:type="character" w:customStyle="1" w:styleId="90">
    <w:name w:val="bt21"/>
    <w:qFormat/>
    <w:uiPriority w:val="0"/>
    <w:rPr>
      <w:rFonts w:hint="eastAsia" w:ascii="黑体" w:eastAsia="黑体"/>
      <w:sz w:val="24"/>
      <w:szCs w:val="24"/>
    </w:rPr>
  </w:style>
  <w:style w:type="character" w:customStyle="1" w:styleId="91">
    <w:name w:val="正文文字缩进 Char Char"/>
    <w:qFormat/>
    <w:uiPriority w:val="0"/>
    <w:rPr>
      <w:rFonts w:eastAsia="宋体"/>
      <w:kern w:val="2"/>
      <w:sz w:val="28"/>
      <w:szCs w:val="24"/>
      <w:lang w:val="en-US" w:eastAsia="zh-CN" w:bidi="ar-SA"/>
    </w:rPr>
  </w:style>
  <w:style w:type="character" w:customStyle="1" w:styleId="92">
    <w:name w:val="font11"/>
    <w:qFormat/>
    <w:uiPriority w:val="0"/>
    <w:rPr>
      <w:rFonts w:hint="eastAsia" w:ascii="宋体" w:hAnsi="宋体" w:eastAsia="宋体" w:cs="宋体"/>
      <w:color w:val="000000"/>
      <w:sz w:val="24"/>
      <w:szCs w:val="24"/>
      <w:u w:val="none"/>
      <w:vertAlign w:val="superscript"/>
    </w:rPr>
  </w:style>
  <w:style w:type="character" w:customStyle="1" w:styleId="93">
    <w:name w:val="font01"/>
    <w:basedOn w:val="52"/>
    <w:qFormat/>
    <w:uiPriority w:val="0"/>
    <w:rPr>
      <w:rFonts w:hint="eastAsia" w:ascii="宋体" w:hAnsi="宋体" w:eastAsia="宋体" w:cs="宋体"/>
      <w:color w:val="000000"/>
      <w:sz w:val="24"/>
      <w:szCs w:val="24"/>
      <w:u w:val="none"/>
      <w:vertAlign w:val="superscript"/>
    </w:rPr>
  </w:style>
  <w:style w:type="character" w:customStyle="1" w:styleId="94">
    <w:name w:val="font31"/>
    <w:qFormat/>
    <w:uiPriority w:val="0"/>
    <w:rPr>
      <w:rFonts w:hint="default" w:ascii="Times New Roman" w:hAnsi="Times New Roman" w:cs="Times New Roman"/>
      <w:color w:val="000000"/>
      <w:sz w:val="22"/>
      <w:szCs w:val="22"/>
      <w:u w:val="none"/>
      <w:vertAlign w:val="superscript"/>
    </w:rPr>
  </w:style>
  <w:style w:type="character" w:customStyle="1" w:styleId="95">
    <w:name w:val="bt11"/>
    <w:qFormat/>
    <w:uiPriority w:val="0"/>
    <w:rPr>
      <w:rFonts w:hint="eastAsia" w:ascii="黑体" w:eastAsia="黑体"/>
      <w:color w:val="000000"/>
      <w:sz w:val="28"/>
      <w:szCs w:val="28"/>
    </w:rPr>
  </w:style>
  <w:style w:type="character" w:customStyle="1" w:styleId="96">
    <w:name w:val="style441"/>
    <w:qFormat/>
    <w:uiPriority w:val="0"/>
    <w:rPr>
      <w:sz w:val="18"/>
      <w:szCs w:val="18"/>
    </w:rPr>
  </w:style>
  <w:style w:type="paragraph" w:customStyle="1" w:styleId="97">
    <w:name w:val="标准文件_附录标识"/>
    <w:next w:val="21"/>
    <w:qFormat/>
    <w:uiPriority w:val="0"/>
    <w:pPr>
      <w:numPr>
        <w:ilvl w:val="0"/>
        <w:numId w:val="1"/>
      </w:numPr>
      <w:shd w:val="clear" w:color="FFFFFF" w:fill="FFFFFF"/>
      <w:tabs>
        <w:tab w:val="left" w:pos="6405"/>
        <w:tab w:val="clear" w:pos="425"/>
      </w:tabs>
      <w:spacing w:before="640" w:after="160"/>
      <w:jc w:val="center"/>
      <w:outlineLvl w:val="0"/>
    </w:pPr>
    <w:rPr>
      <w:rFonts w:ascii="黑体" w:hAnsi="Calibri" w:eastAsia="黑体" w:cs="Times New Roman"/>
      <w:kern w:val="2"/>
      <w:sz w:val="21"/>
      <w:szCs w:val="24"/>
      <w:u w:color="FF0000"/>
      <w:lang w:val="en-US" w:eastAsia="zh-CN" w:bidi="ar-SA"/>
    </w:rPr>
  </w:style>
  <w:style w:type="paragraph" w:customStyle="1" w:styleId="98">
    <w:name w:val="3级"/>
    <w:basedOn w:val="99"/>
    <w:qFormat/>
    <w:uiPriority w:val="0"/>
    <w:pPr>
      <w:tabs>
        <w:tab w:val="right" w:leader="dot" w:pos="9198"/>
        <w:tab w:val="right" w:leader="dot" w:pos="9403"/>
        <w:tab w:val="right" w:leader="middleDot" w:pos="9628"/>
      </w:tabs>
      <w:ind w:firstLine="560"/>
      <w:jc w:val="both"/>
      <w:outlineLvl w:val="2"/>
    </w:pPr>
    <w:rPr>
      <w:rFonts w:cs="宋体-18030"/>
      <w:bCs/>
      <w:smallCaps w:val="0"/>
    </w:rPr>
  </w:style>
  <w:style w:type="paragraph" w:customStyle="1" w:styleId="99">
    <w:name w:val="2级"/>
    <w:basedOn w:val="41"/>
    <w:qFormat/>
    <w:uiPriority w:val="0"/>
    <w:pPr>
      <w:tabs>
        <w:tab w:val="right" w:leader="dot" w:pos="9403"/>
        <w:tab w:val="right" w:leader="middleDot" w:pos="9628"/>
      </w:tabs>
      <w:spacing w:before="100" w:beforeAutospacing="1" w:after="100" w:afterAutospacing="1"/>
      <w:ind w:left="0"/>
      <w:outlineLvl w:val="1"/>
    </w:pPr>
    <w:rPr>
      <w:rFonts w:hAnsi="宋体"/>
      <w:b/>
      <w:szCs w:val="44"/>
    </w:rPr>
  </w:style>
  <w:style w:type="paragraph" w:customStyle="1" w:styleId="100">
    <w:name w:val="xl51"/>
    <w:basedOn w:val="1"/>
    <w:qFormat/>
    <w:uiPriority w:val="0"/>
    <w:pPr>
      <w:widowControl/>
      <w:adjustRightInd w:val="0"/>
      <w:spacing w:before="100" w:beforeAutospacing="1" w:after="100" w:afterAutospacing="1" w:line="360" w:lineRule="atLeast"/>
      <w:jc w:val="center"/>
      <w:textAlignment w:val="baseline"/>
    </w:pPr>
    <w:rPr>
      <w:rFonts w:hint="eastAsia" w:ascii="仿宋_GB2312" w:hAnsi="宋体" w:eastAsia="仿宋_GB2312"/>
      <w:bCs/>
      <w:kern w:val="0"/>
      <w:sz w:val="32"/>
      <w:szCs w:val="32"/>
    </w:rPr>
  </w:style>
  <w:style w:type="paragraph" w:customStyle="1" w:styleId="101">
    <w:name w:val="样式1"/>
    <w:basedOn w:val="1"/>
    <w:link w:val="314"/>
    <w:qFormat/>
    <w:uiPriority w:val="0"/>
    <w:pPr>
      <w:spacing w:line="360" w:lineRule="auto"/>
      <w:jc w:val="center"/>
    </w:pPr>
    <w:rPr>
      <w:rFonts w:ascii="仿宋_GB2312" w:eastAsia="仿宋_GB2312"/>
      <w:sz w:val="44"/>
    </w:rPr>
  </w:style>
  <w:style w:type="paragraph" w:customStyle="1" w:styleId="102">
    <w:name w:val="二级条标题"/>
    <w:basedOn w:val="1"/>
    <w:next w:val="1"/>
    <w:qFormat/>
    <w:uiPriority w:val="0"/>
    <w:pPr>
      <w:tabs>
        <w:tab w:val="left" w:pos="5400"/>
      </w:tabs>
      <w:jc w:val="center"/>
      <w:outlineLvl w:val="3"/>
    </w:pPr>
    <w:rPr>
      <w:rFonts w:ascii="黑体" w:eastAsia="黑体"/>
      <w:b w:val="0"/>
      <w:szCs w:val="20"/>
    </w:rPr>
  </w:style>
  <w:style w:type="paragraph" w:customStyle="1" w:styleId="103">
    <w:name w:val="段"/>
    <w:link w:val="452"/>
    <w:qFormat/>
    <w:uiPriority w:val="0"/>
    <w:pPr>
      <w:autoSpaceDE w:val="0"/>
      <w:autoSpaceDN w:val="0"/>
      <w:ind w:firstLine="200" w:firstLineChars="200"/>
      <w:jc w:val="both"/>
    </w:pPr>
    <w:rPr>
      <w:rFonts w:ascii="宋体" w:hAnsi="Calibri" w:eastAsia="宋体" w:cs="Times New Roman"/>
      <w:kern w:val="2"/>
      <w:sz w:val="21"/>
      <w:szCs w:val="24"/>
      <w:u w:color="FF0000"/>
      <w:lang w:val="en-US" w:eastAsia="zh-CN" w:bidi="ar-SA"/>
    </w:rPr>
  </w:style>
  <w:style w:type="paragraph" w:customStyle="1" w:styleId="104">
    <w:name w:val="a"/>
    <w:basedOn w:val="1"/>
    <w:qFormat/>
    <w:uiPriority w:val="0"/>
    <w:pPr>
      <w:widowControl/>
      <w:spacing w:before="100" w:beforeAutospacing="1" w:after="100" w:afterAutospacing="1"/>
      <w:jc w:val="left"/>
    </w:pPr>
    <w:rPr>
      <w:rFonts w:ascii="宋体" w:hAnsi="宋体" w:cs="宋体"/>
      <w:b w:val="0"/>
      <w:kern w:val="0"/>
      <w:sz w:val="24"/>
    </w:rPr>
  </w:style>
  <w:style w:type="paragraph" w:customStyle="1" w:styleId="105">
    <w:name w:val="封面标准文稿编辑信息"/>
    <w:qFormat/>
    <w:uiPriority w:val="0"/>
    <w:pPr>
      <w:spacing w:before="180" w:line="180" w:lineRule="exact"/>
      <w:jc w:val="center"/>
    </w:pPr>
    <w:rPr>
      <w:rFonts w:ascii="宋体" w:hAnsi="Calibri" w:eastAsia="宋体" w:cs="Times New Roman"/>
      <w:kern w:val="2"/>
      <w:sz w:val="21"/>
      <w:szCs w:val="24"/>
      <w:u w:color="FF0000"/>
      <w:lang w:val="en-US" w:eastAsia="zh-CN" w:bidi="ar-SA"/>
    </w:rPr>
  </w:style>
  <w:style w:type="paragraph" w:customStyle="1" w:styleId="106">
    <w:name w:val="默认段落字体 Para Char"/>
    <w:basedOn w:val="1"/>
    <w:qFormat/>
    <w:uiPriority w:val="0"/>
    <w:pPr>
      <w:spacing w:line="360" w:lineRule="auto"/>
      <w:ind w:firstLine="200" w:firstLineChars="200"/>
    </w:pPr>
  </w:style>
  <w:style w:type="paragraph" w:customStyle="1" w:styleId="107">
    <w:name w:val="正文文本缩进1"/>
    <w:basedOn w:val="1"/>
    <w:qFormat/>
    <w:uiPriority w:val="0"/>
    <w:pPr>
      <w:widowControl/>
      <w:spacing w:line="360" w:lineRule="auto"/>
      <w:ind w:firstLine="570"/>
    </w:pPr>
    <w:rPr>
      <w:rFonts w:eastAsia="隶书"/>
      <w:b w:val="0"/>
      <w:kern w:val="0"/>
      <w:sz w:val="28"/>
      <w:szCs w:val="20"/>
    </w:rPr>
  </w:style>
  <w:style w:type="paragraph" w:customStyle="1" w:styleId="108">
    <w:name w:val="一级条标题"/>
    <w:basedOn w:val="1"/>
    <w:next w:val="103"/>
    <w:qFormat/>
    <w:uiPriority w:val="0"/>
    <w:pPr>
      <w:tabs>
        <w:tab w:val="left" w:pos="5400"/>
      </w:tabs>
      <w:jc w:val="center"/>
      <w:outlineLvl w:val="2"/>
    </w:pPr>
    <w:rPr>
      <w:rFonts w:ascii="黑体" w:eastAsia="黑体"/>
      <w:b w:val="0"/>
      <w:szCs w:val="20"/>
    </w:rPr>
  </w:style>
  <w:style w:type="paragraph" w:customStyle="1" w:styleId="109">
    <w:name w:val="xl33"/>
    <w:basedOn w:val="1"/>
    <w:qFormat/>
    <w:uiPriority w:val="0"/>
    <w:pPr>
      <w:widowControl/>
      <w:pBdr>
        <w:bottom w:val="single" w:color="auto" w:sz="4" w:space="0"/>
      </w:pBdr>
      <w:spacing w:before="100" w:after="100"/>
      <w:jc w:val="center"/>
    </w:pPr>
    <w:rPr>
      <w:rFonts w:ascii="Arial Unicode MS" w:hAnsi="Arial Unicode MS" w:eastAsia="Arial Unicode MS"/>
      <w:b w:val="0"/>
      <w:kern w:val="0"/>
      <w:sz w:val="24"/>
      <w:szCs w:val="20"/>
    </w:rPr>
  </w:style>
  <w:style w:type="paragraph" w:customStyle="1" w:styleId="110">
    <w:name w:val="xl38"/>
    <w:basedOn w:val="1"/>
    <w:qFormat/>
    <w:uiPriority w:val="0"/>
    <w:pPr>
      <w:widowControl/>
      <w:spacing w:before="100" w:beforeAutospacing="1" w:after="100" w:afterAutospacing="1"/>
      <w:jc w:val="center"/>
      <w:textAlignment w:val="center"/>
    </w:pPr>
    <w:rPr>
      <w:rFonts w:ascii="宋体" w:hAnsi="宋体"/>
      <w:b w:val="0"/>
      <w:kern w:val="0"/>
      <w:szCs w:val="21"/>
    </w:rPr>
  </w:style>
  <w:style w:type="paragraph" w:customStyle="1" w:styleId="111">
    <w:name w:val="标准书眉一"/>
    <w:qFormat/>
    <w:uiPriority w:val="0"/>
    <w:pPr>
      <w:jc w:val="both"/>
    </w:pPr>
    <w:rPr>
      <w:rFonts w:ascii="Calibri" w:hAnsi="Calibri" w:eastAsia="宋体" w:cs="Times New Roman"/>
      <w:sz w:val="21"/>
      <w:szCs w:val="22"/>
      <w:lang w:val="en-US" w:eastAsia="zh-CN" w:bidi="ar-SA"/>
    </w:rPr>
  </w:style>
  <w:style w:type="paragraph" w:customStyle="1" w:styleId="112">
    <w:name w:val="4 Char"/>
    <w:basedOn w:val="1"/>
    <w:next w:val="3"/>
    <w:qFormat/>
    <w:uiPriority w:val="0"/>
    <w:pPr>
      <w:ind w:firstLine="560" w:firstLineChars="200"/>
    </w:pPr>
    <w:rPr>
      <w:b w:val="0"/>
      <w:sz w:val="28"/>
      <w:szCs w:val="20"/>
    </w:rPr>
  </w:style>
  <w:style w:type="paragraph" w:customStyle="1" w:styleId="113">
    <w:name w:val="表格"/>
    <w:basedOn w:val="1"/>
    <w:qFormat/>
    <w:uiPriority w:val="0"/>
    <w:pPr>
      <w:spacing w:before="50" w:after="50"/>
      <w:jc w:val="center"/>
    </w:pPr>
    <w:rPr>
      <w:rFonts w:ascii="宋体"/>
      <w:b w:val="0"/>
      <w:szCs w:val="20"/>
    </w:rPr>
  </w:style>
  <w:style w:type="paragraph" w:customStyle="1" w:styleId="114">
    <w:name w:val="章标题"/>
    <w:next w:val="103"/>
    <w:qFormat/>
    <w:uiPriority w:val="0"/>
    <w:pPr>
      <w:widowControl w:val="0"/>
      <w:tabs>
        <w:tab w:val="left" w:pos="5400"/>
      </w:tabs>
      <w:jc w:val="center"/>
    </w:pPr>
    <w:rPr>
      <w:rFonts w:ascii="黑体" w:hAnsi="Calibri" w:eastAsia="黑体" w:cs="Times New Roman"/>
      <w:kern w:val="2"/>
      <w:sz w:val="21"/>
      <w:szCs w:val="24"/>
      <w:u w:color="FF0000"/>
      <w:lang w:val="en-US" w:eastAsia="zh-CN" w:bidi="ar-SA"/>
    </w:rPr>
  </w:style>
  <w:style w:type="paragraph" w:customStyle="1" w:styleId="115">
    <w:name w:val="1"/>
    <w:basedOn w:val="1"/>
    <w:qFormat/>
    <w:uiPriority w:val="0"/>
    <w:pPr>
      <w:spacing w:line="360" w:lineRule="auto"/>
    </w:pPr>
    <w:rPr>
      <w:rFonts w:ascii="Courier New" w:hAnsi="Courier New" w:eastAsia="仿宋_GB2312" w:cs="Courier New"/>
      <w:b w:val="0"/>
      <w:sz w:val="28"/>
      <w:szCs w:val="20"/>
    </w:rPr>
  </w:style>
  <w:style w:type="paragraph" w:customStyle="1" w:styleId="116">
    <w:name w:val="3 Char"/>
    <w:basedOn w:val="1"/>
    <w:next w:val="3"/>
    <w:qFormat/>
    <w:uiPriority w:val="0"/>
    <w:pPr>
      <w:ind w:firstLine="560" w:firstLineChars="200"/>
    </w:pPr>
    <w:rPr>
      <w:sz w:val="28"/>
    </w:rPr>
  </w:style>
  <w:style w:type="paragraph" w:customStyle="1" w:styleId="117">
    <w:name w:val="修订1"/>
    <w:qFormat/>
    <w:uiPriority w:val="99"/>
    <w:rPr>
      <w:rFonts w:ascii="Calibri" w:hAnsi="Calibri" w:eastAsia="宋体" w:cs="Times New Roman"/>
      <w:kern w:val="2"/>
      <w:sz w:val="21"/>
      <w:szCs w:val="24"/>
      <w:u w:color="FF0000"/>
      <w:lang w:val="en-US" w:eastAsia="zh-CN" w:bidi="ar-SA"/>
    </w:rPr>
  </w:style>
  <w:style w:type="paragraph" w:customStyle="1" w:styleId="118">
    <w:name w:val="正文（4号字 首行缩2）"/>
    <w:basedOn w:val="1"/>
    <w:qFormat/>
    <w:uiPriority w:val="0"/>
    <w:pPr>
      <w:tabs>
        <w:tab w:val="left" w:pos="4830"/>
      </w:tabs>
      <w:ind w:firstLine="560" w:firstLineChars="200"/>
    </w:pPr>
    <w:rPr>
      <w:rFonts w:ascii="宋体" w:hAnsi="宋体"/>
      <w:sz w:val="28"/>
    </w:rPr>
  </w:style>
  <w:style w:type="paragraph" w:customStyle="1" w:styleId="119">
    <w:name w:val="附录图标题"/>
    <w:basedOn w:val="1"/>
    <w:next w:val="103"/>
    <w:qFormat/>
    <w:uiPriority w:val="0"/>
    <w:pPr>
      <w:numPr>
        <w:ilvl w:val="1"/>
        <w:numId w:val="2"/>
      </w:numPr>
      <w:tabs>
        <w:tab w:val="left" w:pos="363"/>
      </w:tabs>
      <w:spacing w:before="156" w:beforeLines="50" w:after="156" w:afterLines="50"/>
      <w:jc w:val="center"/>
    </w:pPr>
    <w:rPr>
      <w:rFonts w:ascii="黑体" w:eastAsia="黑体"/>
      <w:szCs w:val="21"/>
    </w:rPr>
  </w:style>
  <w:style w:type="paragraph" w:customStyle="1" w:styleId="120">
    <w:name w:val="正文表标题"/>
    <w:next w:val="103"/>
    <w:qFormat/>
    <w:uiPriority w:val="0"/>
    <w:pPr>
      <w:numPr>
        <w:ilvl w:val="0"/>
        <w:numId w:val="3"/>
      </w:numPr>
      <w:spacing w:before="156" w:beforeLines="50" w:after="156" w:afterLines="50"/>
      <w:jc w:val="center"/>
    </w:pPr>
    <w:rPr>
      <w:rFonts w:ascii="黑体" w:hAnsi="Calibri" w:eastAsia="黑体" w:cs="Times New Roman"/>
      <w:sz w:val="21"/>
      <w:lang w:val="en-US" w:eastAsia="zh-CN" w:bidi="ar-SA"/>
    </w:rPr>
  </w:style>
  <w:style w:type="paragraph" w:customStyle="1" w:styleId="121">
    <w:name w:val="字母编号列项（一级）"/>
    <w:qFormat/>
    <w:uiPriority w:val="0"/>
    <w:pPr>
      <w:numPr>
        <w:ilvl w:val="0"/>
        <w:numId w:val="4"/>
      </w:numPr>
      <w:jc w:val="both"/>
    </w:pPr>
    <w:rPr>
      <w:rFonts w:ascii="宋体" w:hAnsi="Calibri" w:eastAsia="宋体" w:cs="Times New Roman"/>
      <w:sz w:val="21"/>
      <w:lang w:val="en-US" w:eastAsia="zh-CN" w:bidi="ar-SA"/>
    </w:rPr>
  </w:style>
  <w:style w:type="paragraph" w:customStyle="1" w:styleId="122">
    <w:name w:val="样式2"/>
    <w:basedOn w:val="1"/>
    <w:qFormat/>
    <w:uiPriority w:val="0"/>
    <w:pPr>
      <w:numPr>
        <w:ilvl w:val="0"/>
        <w:numId w:val="5"/>
      </w:numPr>
    </w:pPr>
    <w:rPr>
      <w:b w:val="0"/>
      <w:szCs w:val="20"/>
    </w:rPr>
  </w:style>
  <w:style w:type="paragraph" w:customStyle="1" w:styleId="123">
    <w:name w:val="TOC 标题1"/>
    <w:basedOn w:val="4"/>
    <w:next w:val="1"/>
    <w:qFormat/>
    <w:uiPriority w:val="9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24">
    <w:name w:val="2"/>
    <w:basedOn w:val="1"/>
    <w:next w:val="3"/>
    <w:qFormat/>
    <w:uiPriority w:val="0"/>
    <w:pPr>
      <w:ind w:firstLine="560" w:firstLineChars="200"/>
    </w:pPr>
    <w:rPr>
      <w:b w:val="0"/>
      <w:sz w:val="28"/>
    </w:rPr>
  </w:style>
  <w:style w:type="paragraph" w:customStyle="1" w:styleId="125">
    <w:name w:val="标准文件_段"/>
    <w:qFormat/>
    <w:uiPriority w:val="0"/>
    <w:pPr>
      <w:autoSpaceDE w:val="0"/>
      <w:autoSpaceDN w:val="0"/>
      <w:adjustRightInd w:val="0"/>
      <w:snapToGrid w:val="0"/>
      <w:spacing w:line="400" w:lineRule="exact"/>
      <w:jc w:val="center"/>
    </w:pPr>
    <w:rPr>
      <w:rFonts w:ascii="宋体" w:hAnsi="宋体" w:eastAsia="宋体" w:cs="Times New Roman"/>
      <w:spacing w:val="2"/>
      <w:kern w:val="2"/>
      <w:sz w:val="21"/>
      <w:szCs w:val="24"/>
      <w:u w:color="FF0000"/>
      <w:lang w:val="en-US" w:eastAsia="zh-CN" w:bidi="ar-SA"/>
    </w:rPr>
  </w:style>
  <w:style w:type="paragraph" w:styleId="126">
    <w:name w:val="List Paragraph"/>
    <w:basedOn w:val="1"/>
    <w:qFormat/>
    <w:uiPriority w:val="34"/>
    <w:pPr>
      <w:ind w:firstLine="420" w:firstLineChars="200"/>
    </w:pPr>
  </w:style>
  <w:style w:type="paragraph" w:customStyle="1" w:styleId="127">
    <w:name w:val="正文文本缩进2"/>
    <w:basedOn w:val="1"/>
    <w:qFormat/>
    <w:uiPriority w:val="0"/>
    <w:pPr>
      <w:widowControl/>
      <w:spacing w:line="360" w:lineRule="auto"/>
      <w:ind w:firstLine="570"/>
    </w:pPr>
    <w:rPr>
      <w:rFonts w:eastAsia="隶书"/>
      <w:b w:val="0"/>
      <w:kern w:val="0"/>
      <w:sz w:val="28"/>
      <w:szCs w:val="20"/>
    </w:rPr>
  </w:style>
  <w:style w:type="paragraph" w:customStyle="1" w:styleId="128">
    <w:name w:val="表格文字"/>
    <w:qFormat/>
    <w:uiPriority w:val="0"/>
    <w:pPr>
      <w:jc w:val="both"/>
    </w:pPr>
    <w:rPr>
      <w:rFonts w:ascii="Calibri" w:hAnsi="Calibri" w:eastAsia="宋体" w:cs="Times New Roman"/>
      <w:color w:val="000000"/>
      <w:kern w:val="2"/>
      <w:sz w:val="21"/>
      <w:szCs w:val="28"/>
      <w:lang w:val="en-US" w:eastAsia="zh-CN" w:bidi="ar-SA"/>
    </w:rPr>
  </w:style>
  <w:style w:type="paragraph" w:customStyle="1" w:styleId="129">
    <w:name w:val="表格文字（居中）"/>
    <w:qFormat/>
    <w:uiPriority w:val="0"/>
    <w:pPr>
      <w:widowControl w:val="0"/>
      <w:jc w:val="center"/>
    </w:pPr>
    <w:rPr>
      <w:rFonts w:ascii="Calibri" w:hAnsi="Calibri" w:eastAsia="宋体" w:cs="Times New Roman"/>
      <w:color w:val="000000"/>
      <w:kern w:val="2"/>
      <w:sz w:val="21"/>
      <w:szCs w:val="28"/>
      <w:lang w:val="en-US" w:eastAsia="zh-CN" w:bidi="ar-SA"/>
    </w:rPr>
  </w:style>
  <w:style w:type="paragraph" w:customStyle="1" w:styleId="130">
    <w:name w:val="标题3"/>
    <w:basedOn w:val="3"/>
    <w:qFormat/>
    <w:uiPriority w:val="0"/>
    <w:pPr>
      <w:spacing w:line="520" w:lineRule="exact"/>
      <w:ind w:firstLine="0"/>
      <w:jc w:val="left"/>
    </w:pPr>
    <w:rPr>
      <w:rFonts w:ascii="仿宋_GB2312" w:hAnsi="Times New Roman" w:eastAsia="仿宋_GB2312"/>
      <w:sz w:val="24"/>
      <w:szCs w:val="24"/>
    </w:rPr>
  </w:style>
  <w:style w:type="paragraph" w:customStyle="1" w:styleId="131">
    <w:name w:val="修订2"/>
    <w:hidden/>
    <w:semiHidden/>
    <w:qFormat/>
    <w:uiPriority w:val="99"/>
    <w:rPr>
      <w:rFonts w:ascii="Calibri" w:hAnsi="Calibri" w:eastAsia="宋体" w:cs="Times New Roman"/>
      <w:b/>
      <w:kern w:val="2"/>
      <w:sz w:val="21"/>
      <w:szCs w:val="24"/>
      <w:u w:color="FF0000"/>
      <w:lang w:val="en-US" w:eastAsia="zh-CN" w:bidi="ar-SA"/>
    </w:rPr>
  </w:style>
  <w:style w:type="paragraph" w:customStyle="1" w:styleId="132">
    <w:name w:val="Char Char Char Char"/>
    <w:basedOn w:val="1"/>
    <w:qFormat/>
    <w:uiPriority w:val="0"/>
    <w:pPr>
      <w:widowControl/>
      <w:adjustRightInd w:val="0"/>
      <w:spacing w:after="160" w:line="240" w:lineRule="exact"/>
      <w:jc w:val="left"/>
      <w:textAlignment w:val="baseline"/>
    </w:pPr>
    <w:rPr>
      <w:rFonts w:ascii="Arial" w:hAnsi="Arial" w:eastAsia="Times New Roman" w:cs="Verdana"/>
      <w:kern w:val="0"/>
      <w:sz w:val="24"/>
      <w:lang w:eastAsia="en-US"/>
    </w:rPr>
  </w:style>
  <w:style w:type="paragraph" w:customStyle="1" w:styleId="133">
    <w:name w:val="正文文本1"/>
    <w:basedOn w:val="1"/>
    <w:link w:val="134"/>
    <w:qFormat/>
    <w:uiPriority w:val="0"/>
    <w:pPr>
      <w:shd w:val="clear" w:color="auto" w:fill="FFFFFF"/>
      <w:jc w:val="left"/>
    </w:pPr>
    <w:rPr>
      <w:rFonts w:eastAsia="Times New Roman"/>
      <w:kern w:val="0"/>
      <w:sz w:val="20"/>
      <w:szCs w:val="20"/>
    </w:rPr>
  </w:style>
  <w:style w:type="character" w:customStyle="1" w:styleId="134">
    <w:name w:val="Body text_"/>
    <w:basedOn w:val="52"/>
    <w:link w:val="133"/>
    <w:qFormat/>
    <w:uiPriority w:val="0"/>
    <w:rPr>
      <w:rFonts w:eastAsia="Times New Roman"/>
      <w:kern w:val="0"/>
      <w:sz w:val="20"/>
      <w:szCs w:val="20"/>
    </w:rPr>
  </w:style>
  <w:style w:type="character" w:customStyle="1" w:styleId="135">
    <w:name w:val="Body text + SimSun"/>
    <w:basedOn w:val="134"/>
    <w:qFormat/>
    <w:uiPriority w:val="0"/>
    <w:rPr>
      <w:rFonts w:ascii="宋体" w:hAnsi="宋体" w:eastAsia="宋体" w:cs="宋体"/>
      <w:color w:val="000000"/>
      <w:spacing w:val="0"/>
      <w:w w:val="75"/>
      <w:kern w:val="0"/>
      <w:position w:val="0"/>
      <w:sz w:val="29"/>
      <w:szCs w:val="29"/>
      <w:lang w:val="zh-TW"/>
    </w:rPr>
  </w:style>
  <w:style w:type="character" w:customStyle="1" w:styleId="136">
    <w:name w:val="表格标题 Char"/>
    <w:link w:val="137"/>
    <w:qFormat/>
    <w:uiPriority w:val="0"/>
    <w:rPr>
      <w:b/>
      <w:snapToGrid w:val="0"/>
      <w:sz w:val="28"/>
    </w:rPr>
  </w:style>
  <w:style w:type="paragraph" w:customStyle="1" w:styleId="137">
    <w:name w:val="表格标题"/>
    <w:next w:val="138"/>
    <w:link w:val="136"/>
    <w:qFormat/>
    <w:uiPriority w:val="0"/>
    <w:pPr>
      <w:widowControl w:val="0"/>
      <w:overflowPunct w:val="0"/>
      <w:adjustRightInd w:val="0"/>
      <w:snapToGrid w:val="0"/>
      <w:textAlignment w:val="baseline"/>
    </w:pPr>
    <w:rPr>
      <w:rFonts w:ascii="Times New Roman" w:hAnsi="Times New Roman" w:eastAsia="宋体" w:cs="Times New Roman"/>
      <w:b/>
      <w:snapToGrid w:val="0"/>
      <w:sz w:val="28"/>
      <w:lang w:val="en-US" w:eastAsia="zh-CN" w:bidi="ar-SA"/>
    </w:rPr>
  </w:style>
  <w:style w:type="paragraph" w:customStyle="1" w:styleId="138">
    <w:name w:val="表格内容"/>
    <w:qFormat/>
    <w:uiPriority w:val="0"/>
    <w:pPr>
      <w:widowControl w:val="0"/>
      <w:overflowPunct w:val="0"/>
      <w:adjustRightInd w:val="0"/>
      <w:textAlignment w:val="baseline"/>
    </w:pPr>
    <w:rPr>
      <w:rFonts w:ascii="Times New Roman" w:hAnsi="Times New Roman" w:eastAsia="宋体" w:cs="Times New Roman"/>
      <w:snapToGrid w:val="0"/>
      <w:sz w:val="21"/>
      <w:lang w:val="en-US" w:eastAsia="zh-CN" w:bidi="ar-SA"/>
    </w:rPr>
  </w:style>
  <w:style w:type="character" w:customStyle="1" w:styleId="139">
    <w:name w:val="不明显强调1"/>
    <w:qFormat/>
    <w:uiPriority w:val="19"/>
    <w:rPr>
      <w:i/>
      <w:iCs/>
      <w:color w:val="404040"/>
    </w:rPr>
  </w:style>
  <w:style w:type="character" w:customStyle="1" w:styleId="140">
    <w:name w:val="Char Char8"/>
    <w:qFormat/>
    <w:locked/>
    <w:uiPriority w:val="0"/>
    <w:rPr>
      <w:rFonts w:eastAsia="仿宋_GB2312"/>
      <w:b/>
      <w:bCs/>
      <w:kern w:val="2"/>
      <w:sz w:val="28"/>
      <w:szCs w:val="24"/>
      <w:u w:color="FF0000"/>
      <w:lang w:val="en-US" w:eastAsia="zh-CN" w:bidi="ar-SA"/>
    </w:rPr>
  </w:style>
  <w:style w:type="character" w:customStyle="1" w:styleId="141">
    <w:name w:val="Char Char2"/>
    <w:qFormat/>
    <w:uiPriority w:val="0"/>
    <w:rPr>
      <w:rFonts w:eastAsia="宋体"/>
      <w:b/>
      <w:kern w:val="2"/>
      <w:sz w:val="28"/>
      <w:lang w:val="en-US" w:eastAsia="zh-CN" w:bidi="ar-SA"/>
    </w:rPr>
  </w:style>
  <w:style w:type="character" w:customStyle="1" w:styleId="142">
    <w:name w:val="Char Char31"/>
    <w:qFormat/>
    <w:uiPriority w:val="99"/>
    <w:rPr>
      <w:rFonts w:eastAsia="仿宋_GB2312"/>
      <w:b/>
      <w:bCs/>
      <w:kern w:val="2"/>
      <w:sz w:val="28"/>
      <w:szCs w:val="24"/>
      <w:u w:color="FF0000"/>
    </w:rPr>
  </w:style>
  <w:style w:type="character" w:customStyle="1" w:styleId="143">
    <w:name w:val="Char Char4"/>
    <w:qFormat/>
    <w:uiPriority w:val="0"/>
    <w:rPr>
      <w:rFonts w:ascii="Times New Roman" w:hAnsi="Times New Roman" w:eastAsia="宋体"/>
      <w:b/>
      <w:kern w:val="44"/>
      <w:sz w:val="30"/>
    </w:rPr>
  </w:style>
  <w:style w:type="character" w:customStyle="1" w:styleId="144">
    <w:name w:val="页眉（无底线） Char Char"/>
    <w:qFormat/>
    <w:locked/>
    <w:uiPriority w:val="0"/>
    <w:rPr>
      <w:rFonts w:eastAsia="宋体"/>
      <w:kern w:val="2"/>
      <w:sz w:val="18"/>
      <w:szCs w:val="18"/>
      <w:lang w:val="en-US" w:eastAsia="zh-CN" w:bidi="ar-SA"/>
    </w:rPr>
  </w:style>
  <w:style w:type="character" w:customStyle="1" w:styleId="145">
    <w:name w:val="文字1 Char"/>
    <w:link w:val="146"/>
    <w:qFormat/>
    <w:uiPriority w:val="0"/>
    <w:rPr>
      <w:kern w:val="2"/>
      <w:sz w:val="28"/>
    </w:rPr>
  </w:style>
  <w:style w:type="paragraph" w:customStyle="1" w:styleId="146">
    <w:name w:val="文字1"/>
    <w:link w:val="145"/>
    <w:qFormat/>
    <w:uiPriority w:val="0"/>
    <w:pPr>
      <w:widowControl w:val="0"/>
      <w:ind w:firstLine="200" w:firstLineChars="200"/>
    </w:pPr>
    <w:rPr>
      <w:rFonts w:ascii="Times New Roman" w:hAnsi="Times New Roman" w:eastAsia="宋体" w:cs="Times New Roman"/>
      <w:kern w:val="2"/>
      <w:sz w:val="28"/>
      <w:lang w:val="en-US" w:eastAsia="zh-CN" w:bidi="ar-SA"/>
    </w:rPr>
  </w:style>
  <w:style w:type="character" w:customStyle="1" w:styleId="147">
    <w:name w:val="文1 Char"/>
    <w:link w:val="148"/>
    <w:qFormat/>
    <w:uiPriority w:val="0"/>
    <w:rPr>
      <w:color w:val="000000"/>
      <w:kern w:val="2"/>
      <w:sz w:val="28"/>
      <w:szCs w:val="28"/>
    </w:rPr>
  </w:style>
  <w:style w:type="paragraph" w:customStyle="1" w:styleId="148">
    <w:name w:val="文1"/>
    <w:link w:val="147"/>
    <w:qFormat/>
    <w:uiPriority w:val="0"/>
    <w:pPr>
      <w:widowControl w:val="0"/>
      <w:ind w:firstLine="700" w:firstLineChars="250"/>
      <w:jc w:val="both"/>
    </w:pPr>
    <w:rPr>
      <w:rFonts w:ascii="Times New Roman" w:hAnsi="Times New Roman" w:eastAsia="宋体" w:cs="Times New Roman"/>
      <w:color w:val="000000"/>
      <w:kern w:val="2"/>
      <w:sz w:val="28"/>
      <w:szCs w:val="28"/>
      <w:lang w:val="en-US" w:eastAsia="zh-CN" w:bidi="ar-SA"/>
    </w:rPr>
  </w:style>
  <w:style w:type="character" w:customStyle="1" w:styleId="149">
    <w:name w:val="hei141"/>
    <w:qFormat/>
    <w:uiPriority w:val="0"/>
    <w:rPr>
      <w:color w:val="000000"/>
      <w:sz w:val="19"/>
    </w:rPr>
  </w:style>
  <w:style w:type="paragraph" w:customStyle="1" w:styleId="150">
    <w:name w:val="xl66"/>
    <w:basedOn w:val="1"/>
    <w:qFormat/>
    <w:uiPriority w:val="0"/>
    <w:pPr>
      <w:widowControl/>
      <w:spacing w:before="100" w:beforeAutospacing="1" w:after="100" w:afterAutospacing="1"/>
      <w:jc w:val="center"/>
    </w:pPr>
    <w:rPr>
      <w:rFonts w:ascii="宋体" w:hAnsi="宋体" w:cs="宋体"/>
      <w:b w:val="0"/>
      <w:kern w:val="0"/>
      <w:sz w:val="24"/>
    </w:rPr>
  </w:style>
  <w:style w:type="paragraph" w:customStyle="1" w:styleId="151">
    <w:name w:val="五级条标题"/>
    <w:basedOn w:val="1"/>
    <w:next w:val="1"/>
    <w:qFormat/>
    <w:uiPriority w:val="0"/>
    <w:pPr>
      <w:tabs>
        <w:tab w:val="left" w:pos="5400"/>
      </w:tabs>
      <w:outlineLvl w:val="6"/>
    </w:pPr>
    <w:rPr>
      <w:rFonts w:ascii="黑体" w:hAnsi="宋体" w:eastAsia="黑体"/>
      <w:b w:val="0"/>
      <w:szCs w:val="32"/>
    </w:rPr>
  </w:style>
  <w:style w:type="paragraph" w:customStyle="1" w:styleId="152">
    <w:name w:val="列出段落1"/>
    <w:basedOn w:val="1"/>
    <w:qFormat/>
    <w:uiPriority w:val="0"/>
    <w:pPr>
      <w:ind w:firstLine="420" w:firstLineChars="200"/>
    </w:pPr>
    <w:rPr>
      <w:rFonts w:ascii="Times New Roman" w:hAnsi="Times New Roman"/>
    </w:rPr>
  </w:style>
  <w:style w:type="paragraph" w:customStyle="1" w:styleId="153">
    <w:name w:val="表头"/>
    <w:qFormat/>
    <w:uiPriority w:val="0"/>
    <w:pPr>
      <w:widowControl w:val="0"/>
    </w:pPr>
    <w:rPr>
      <w:rFonts w:ascii="Times New Roman" w:hAnsi="Times New Roman" w:eastAsia="宋体" w:cs="Times New Roman"/>
      <w:b/>
      <w:color w:val="000000"/>
      <w:kern w:val="2"/>
      <w:sz w:val="28"/>
      <w:szCs w:val="28"/>
      <w:lang w:val="en-US" w:eastAsia="zh-CN" w:bidi="ar-SA"/>
    </w:rPr>
  </w:style>
  <w:style w:type="paragraph" w:customStyle="1" w:styleId="154">
    <w:name w:val="_Style 57"/>
    <w:next w:val="1"/>
    <w:qFormat/>
    <w:uiPriority w:val="0"/>
    <w:pPr>
      <w:widowControl w:val="0"/>
      <w:jc w:val="both"/>
    </w:pPr>
    <w:rPr>
      <w:rFonts w:ascii="Times New Roman" w:hAnsi="Times New Roman" w:eastAsia="宋体" w:cs="Times New Roman"/>
      <w:b/>
      <w:kern w:val="2"/>
      <w:sz w:val="21"/>
      <w:szCs w:val="24"/>
      <w:u w:color="FF0000"/>
      <w:lang w:val="en-US" w:eastAsia="zh-CN" w:bidi="ar-SA"/>
    </w:rPr>
  </w:style>
  <w:style w:type="paragraph" w:customStyle="1" w:styleId="155">
    <w:name w:val="xl65"/>
    <w:basedOn w:val="1"/>
    <w:qFormat/>
    <w:uiPriority w:val="0"/>
    <w:pPr>
      <w:widowControl/>
      <w:spacing w:before="100" w:beforeAutospacing="1" w:after="100" w:afterAutospacing="1"/>
      <w:jc w:val="center"/>
    </w:pPr>
    <w:rPr>
      <w:rFonts w:ascii="宋体" w:hAnsi="宋体" w:cs="宋体"/>
      <w:b w:val="0"/>
      <w:kern w:val="0"/>
      <w:sz w:val="24"/>
    </w:rPr>
  </w:style>
  <w:style w:type="paragraph" w:customStyle="1" w:styleId="156">
    <w:name w:val="font6"/>
    <w:basedOn w:val="1"/>
    <w:qFormat/>
    <w:uiPriority w:val="0"/>
    <w:pPr>
      <w:widowControl/>
      <w:spacing w:before="100" w:beforeAutospacing="1" w:after="100" w:afterAutospacing="1"/>
      <w:jc w:val="left"/>
    </w:pPr>
    <w:rPr>
      <w:rFonts w:ascii="宋体" w:hAnsi="宋体" w:cs="宋体"/>
      <w:b w:val="0"/>
      <w:color w:val="000000"/>
      <w:kern w:val="0"/>
      <w:sz w:val="22"/>
      <w:szCs w:val="22"/>
    </w:rPr>
  </w:style>
  <w:style w:type="paragraph" w:customStyle="1" w:styleId="157">
    <w:name w:val="p0"/>
    <w:basedOn w:val="1"/>
    <w:qFormat/>
    <w:uiPriority w:val="0"/>
    <w:pPr>
      <w:widowControl/>
    </w:pPr>
    <w:rPr>
      <w:rFonts w:ascii="Times New Roman" w:hAnsi="Times New Roman"/>
      <w:b w:val="0"/>
      <w:kern w:val="0"/>
      <w:szCs w:val="21"/>
    </w:rPr>
  </w:style>
  <w:style w:type="paragraph" w:customStyle="1" w:styleId="158">
    <w:name w:val="TOC 标题2"/>
    <w:basedOn w:val="4"/>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59">
    <w:name w:val="font0"/>
    <w:basedOn w:val="1"/>
    <w:qFormat/>
    <w:uiPriority w:val="0"/>
    <w:pPr>
      <w:widowControl/>
      <w:spacing w:before="100" w:beforeAutospacing="1" w:after="100" w:afterAutospacing="1"/>
      <w:jc w:val="left"/>
    </w:pPr>
    <w:rPr>
      <w:rFonts w:ascii="宋体" w:hAnsi="宋体" w:cs="宋体"/>
      <w:b w:val="0"/>
      <w:color w:val="000000"/>
      <w:kern w:val="0"/>
      <w:sz w:val="22"/>
      <w:szCs w:val="22"/>
    </w:rPr>
  </w:style>
  <w:style w:type="paragraph" w:customStyle="1" w:styleId="160">
    <w:name w:val="报告正文"/>
    <w:basedOn w:val="48"/>
    <w:qFormat/>
    <w:uiPriority w:val="0"/>
    <w:pPr>
      <w:ind w:firstLine="560" w:firstLineChars="200"/>
    </w:pPr>
    <w:rPr>
      <w:rFonts w:hAnsi="Times New Roman"/>
      <w:sz w:val="28"/>
    </w:rPr>
  </w:style>
  <w:style w:type="paragraph" w:customStyle="1" w:styleId="161">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62">
    <w:name w:val="附录图标号"/>
    <w:basedOn w:val="1"/>
    <w:qFormat/>
    <w:uiPriority w:val="0"/>
    <w:pPr>
      <w:keepNext/>
      <w:pageBreakBefore/>
      <w:widowControl/>
      <w:tabs>
        <w:tab w:val="left" w:pos="425"/>
      </w:tabs>
      <w:spacing w:line="14" w:lineRule="exact"/>
      <w:ind w:firstLine="363"/>
      <w:jc w:val="center"/>
      <w:outlineLvl w:val="0"/>
    </w:pPr>
    <w:rPr>
      <w:rFonts w:ascii="Times New Roman" w:hAnsi="Times New Roman"/>
      <w:b w:val="0"/>
      <w:color w:val="FFFFFF"/>
    </w:rPr>
  </w:style>
  <w:style w:type="paragraph" w:customStyle="1" w:styleId="163">
    <w:name w:val="_Style 11"/>
    <w:basedOn w:val="1"/>
    <w:qFormat/>
    <w:uiPriority w:val="0"/>
    <w:rPr>
      <w:rFonts w:ascii="Times New Roman" w:hAnsi="Times New Roman"/>
      <w:b w:val="0"/>
      <w:szCs w:val="20"/>
    </w:rPr>
  </w:style>
  <w:style w:type="paragraph" w:customStyle="1" w:styleId="164">
    <w:name w:val="xl68"/>
    <w:basedOn w:val="1"/>
    <w:qFormat/>
    <w:uiPriority w:val="0"/>
    <w:pPr>
      <w:widowControl/>
      <w:spacing w:before="100" w:beforeAutospacing="1" w:after="100" w:afterAutospacing="1"/>
      <w:jc w:val="center"/>
    </w:pPr>
    <w:rPr>
      <w:rFonts w:ascii="宋体" w:hAnsi="宋体" w:cs="宋体"/>
      <w:b w:val="0"/>
      <w:kern w:val="0"/>
      <w:sz w:val="24"/>
    </w:rPr>
  </w:style>
  <w:style w:type="paragraph" w:customStyle="1" w:styleId="165">
    <w:name w:val="font5"/>
    <w:basedOn w:val="1"/>
    <w:qFormat/>
    <w:uiPriority w:val="0"/>
    <w:pPr>
      <w:widowControl/>
      <w:spacing w:before="100" w:beforeAutospacing="1" w:after="100" w:afterAutospacing="1"/>
      <w:jc w:val="left"/>
    </w:pPr>
    <w:rPr>
      <w:rFonts w:ascii="宋体" w:hAnsi="宋体" w:cs="宋体"/>
      <w:b w:val="0"/>
      <w:color w:val="000000"/>
      <w:kern w:val="0"/>
      <w:sz w:val="22"/>
      <w:szCs w:val="22"/>
    </w:rPr>
  </w:style>
  <w:style w:type="paragraph" w:customStyle="1" w:styleId="166">
    <w:name w:val="正文 + 宋体"/>
    <w:basedOn w:val="1"/>
    <w:qFormat/>
    <w:uiPriority w:val="0"/>
    <w:rPr>
      <w:rFonts w:ascii="Times New Roman" w:hAnsi="Times New Roman"/>
      <w:b w:val="0"/>
      <w:szCs w:val="20"/>
    </w:rPr>
  </w:style>
  <w:style w:type="paragraph" w:customStyle="1" w:styleId="167">
    <w:name w:val="表格文字（中）"/>
    <w:qFormat/>
    <w:uiPriority w:val="0"/>
    <w:pPr>
      <w:jc w:val="center"/>
    </w:pPr>
    <w:rPr>
      <w:rFonts w:ascii="宋体" w:hAnsi="宋体" w:eastAsia="宋体" w:cs="Times New Roman"/>
      <w:kern w:val="2"/>
      <w:sz w:val="21"/>
      <w:lang w:val="en-US" w:eastAsia="zh-CN" w:bidi="ar-SA"/>
    </w:rPr>
  </w:style>
  <w:style w:type="paragraph" w:customStyle="1" w:styleId="168">
    <w:name w:val="xl67"/>
    <w:basedOn w:val="1"/>
    <w:qFormat/>
    <w:uiPriority w:val="0"/>
    <w:pPr>
      <w:widowControl/>
      <w:spacing w:before="100" w:beforeAutospacing="1" w:after="100" w:afterAutospacing="1"/>
      <w:jc w:val="center"/>
    </w:pPr>
    <w:rPr>
      <w:rFonts w:ascii="宋体" w:hAnsi="宋体" w:cs="宋体"/>
      <w:b w:val="0"/>
      <w:kern w:val="0"/>
      <w:sz w:val="24"/>
    </w:rPr>
  </w:style>
  <w:style w:type="paragraph" w:customStyle="1" w:styleId="169">
    <w:name w:val="正文11"/>
    <w:qFormat/>
    <w:uiPriority w:val="0"/>
    <w:pPr>
      <w:widowControl w:val="0"/>
      <w:jc w:val="both"/>
    </w:pPr>
    <w:rPr>
      <w:rFonts w:ascii="Calibri" w:hAnsi="Calibri" w:eastAsia="宋体" w:cs="Times New Roman"/>
      <w:kern w:val="2"/>
      <w:sz w:val="21"/>
      <w:szCs w:val="24"/>
      <w:lang w:val="en-US" w:eastAsia="zh-CN" w:bidi="ar-SA"/>
    </w:rPr>
  </w:style>
  <w:style w:type="character" w:customStyle="1" w:styleId="170">
    <w:name w:val="标题 Char"/>
    <w:basedOn w:val="52"/>
    <w:link w:val="46"/>
    <w:qFormat/>
    <w:uiPriority w:val="0"/>
    <w:rPr>
      <w:rFonts w:ascii="Cambria" w:hAnsi="Cambria"/>
      <w:b/>
      <w:bCs/>
      <w:kern w:val="2"/>
      <w:sz w:val="32"/>
      <w:szCs w:val="32"/>
    </w:rPr>
  </w:style>
  <w:style w:type="table" w:customStyle="1" w:styleId="171">
    <w:name w:val="网格型1"/>
    <w:basedOn w:val="4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2">
    <w:name w:val="§1.1.1. Char2"/>
    <w:basedOn w:val="52"/>
    <w:qFormat/>
    <w:locked/>
    <w:uiPriority w:val="99"/>
    <w:rPr>
      <w:rFonts w:ascii="Times New Roman" w:hAnsi="Times New Roman" w:eastAsia="宋体" w:cs="Times New Roman"/>
      <w:b/>
      <w:sz w:val="32"/>
    </w:rPr>
  </w:style>
  <w:style w:type="character" w:customStyle="1" w:styleId="173">
    <w:name w:val="书籍标题1"/>
    <w:basedOn w:val="52"/>
    <w:qFormat/>
    <w:uiPriority w:val="0"/>
    <w:rPr>
      <w:b/>
      <w:bCs/>
      <w:smallCaps/>
      <w:spacing w:val="5"/>
    </w:rPr>
  </w:style>
  <w:style w:type="character" w:customStyle="1" w:styleId="174">
    <w:name w:val="font61"/>
    <w:basedOn w:val="52"/>
    <w:qFormat/>
    <w:uiPriority w:val="0"/>
    <w:rPr>
      <w:rFonts w:hint="default" w:ascii="Times New Roman" w:hAnsi="Times New Roman" w:cs="Times New Roman"/>
      <w:color w:val="auto"/>
      <w:sz w:val="20"/>
      <w:szCs w:val="20"/>
      <w:u w:val="none"/>
    </w:rPr>
  </w:style>
  <w:style w:type="character" w:customStyle="1" w:styleId="175">
    <w:name w:val="_Style 3"/>
    <w:basedOn w:val="52"/>
    <w:qFormat/>
    <w:uiPriority w:val="0"/>
    <w:rPr>
      <w:b/>
      <w:bCs/>
      <w:smallCaps/>
      <w:spacing w:val="5"/>
    </w:rPr>
  </w:style>
  <w:style w:type="character" w:customStyle="1" w:styleId="176">
    <w:name w:val="font71"/>
    <w:basedOn w:val="52"/>
    <w:qFormat/>
    <w:uiPriority w:val="0"/>
    <w:rPr>
      <w:rFonts w:hint="eastAsia" w:ascii="宋体" w:hAnsi="宋体" w:eastAsia="宋体" w:cs="宋体"/>
      <w:color w:val="auto"/>
      <w:sz w:val="20"/>
      <w:szCs w:val="20"/>
      <w:u w:val="none"/>
    </w:rPr>
  </w:style>
  <w:style w:type="character" w:customStyle="1" w:styleId="177">
    <w:name w:val="font81"/>
    <w:basedOn w:val="52"/>
    <w:qFormat/>
    <w:uiPriority w:val="0"/>
    <w:rPr>
      <w:rFonts w:hint="default" w:ascii="Times New Roman" w:hAnsi="Times New Roman" w:cs="Times New Roman"/>
      <w:b/>
      <w:color w:val="auto"/>
      <w:sz w:val="24"/>
      <w:szCs w:val="24"/>
      <w:u w:val="none"/>
    </w:rPr>
  </w:style>
  <w:style w:type="character" w:customStyle="1" w:styleId="178">
    <w:name w:val="_Style 6"/>
    <w:basedOn w:val="52"/>
    <w:qFormat/>
    <w:uiPriority w:val="0"/>
    <w:rPr>
      <w:b/>
      <w:bCs/>
      <w:smallCaps/>
      <w:spacing w:val="5"/>
    </w:rPr>
  </w:style>
  <w:style w:type="character" w:customStyle="1" w:styleId="179">
    <w:name w:val="_Style 4"/>
    <w:basedOn w:val="52"/>
    <w:qFormat/>
    <w:uiPriority w:val="0"/>
    <w:rPr>
      <w:b/>
      <w:bCs/>
      <w:smallCaps/>
      <w:spacing w:val="5"/>
    </w:rPr>
  </w:style>
  <w:style w:type="character" w:customStyle="1" w:styleId="180">
    <w:name w:val="apple-converted-space"/>
    <w:basedOn w:val="52"/>
    <w:qFormat/>
    <w:uiPriority w:val="0"/>
  </w:style>
  <w:style w:type="character" w:customStyle="1" w:styleId="181">
    <w:name w:val="_Style 1"/>
    <w:basedOn w:val="52"/>
    <w:qFormat/>
    <w:uiPriority w:val="0"/>
    <w:rPr>
      <w:b/>
      <w:bCs/>
      <w:smallCaps/>
      <w:spacing w:val="5"/>
    </w:rPr>
  </w:style>
  <w:style w:type="character" w:customStyle="1" w:styleId="182">
    <w:name w:val="_Style 2"/>
    <w:basedOn w:val="52"/>
    <w:qFormat/>
    <w:uiPriority w:val="0"/>
    <w:rPr>
      <w:b/>
      <w:bCs/>
      <w:smallCaps/>
      <w:spacing w:val="5"/>
    </w:rPr>
  </w:style>
  <w:style w:type="character" w:customStyle="1" w:styleId="183">
    <w:name w:val="书籍标题111"/>
    <w:basedOn w:val="52"/>
    <w:qFormat/>
    <w:uiPriority w:val="0"/>
    <w:rPr>
      <w:rFonts w:cs="Times New Roman"/>
      <w:b/>
      <w:bCs/>
      <w:smallCaps/>
      <w:spacing w:val="5"/>
    </w:rPr>
  </w:style>
  <w:style w:type="character" w:customStyle="1" w:styleId="184">
    <w:name w:val="font91"/>
    <w:basedOn w:val="52"/>
    <w:qFormat/>
    <w:uiPriority w:val="0"/>
    <w:rPr>
      <w:rFonts w:hint="eastAsia" w:ascii="宋体" w:hAnsi="宋体" w:eastAsia="宋体" w:cs="宋体"/>
      <w:color w:val="auto"/>
      <w:sz w:val="18"/>
      <w:szCs w:val="18"/>
      <w:u w:val="none"/>
    </w:rPr>
  </w:style>
  <w:style w:type="character" w:customStyle="1" w:styleId="185">
    <w:name w:val="书籍标题11"/>
    <w:basedOn w:val="52"/>
    <w:qFormat/>
    <w:uiPriority w:val="0"/>
    <w:rPr>
      <w:rFonts w:cs="Times New Roman"/>
      <w:b/>
      <w:bCs/>
      <w:smallCaps/>
      <w:spacing w:val="5"/>
    </w:rPr>
  </w:style>
  <w:style w:type="character" w:customStyle="1" w:styleId="186">
    <w:name w:val="_Style 5"/>
    <w:basedOn w:val="52"/>
    <w:qFormat/>
    <w:uiPriority w:val="0"/>
    <w:rPr>
      <w:b/>
      <w:bCs/>
      <w:smallCaps/>
      <w:spacing w:val="5"/>
    </w:rPr>
  </w:style>
  <w:style w:type="character" w:customStyle="1" w:styleId="187">
    <w:name w:val="书籍标题2"/>
    <w:basedOn w:val="52"/>
    <w:qFormat/>
    <w:uiPriority w:val="33"/>
    <w:rPr>
      <w:b/>
      <w:bCs/>
      <w:smallCaps/>
      <w:spacing w:val="5"/>
    </w:rPr>
  </w:style>
  <w:style w:type="paragraph" w:customStyle="1" w:styleId="188">
    <w:name w:val="a5正文"/>
    <w:basedOn w:val="1"/>
    <w:qFormat/>
    <w:uiPriority w:val="0"/>
    <w:pPr>
      <w:adjustRightInd w:val="0"/>
      <w:snapToGrid w:val="0"/>
      <w:spacing w:line="360" w:lineRule="auto"/>
      <w:jc w:val="left"/>
    </w:pPr>
    <w:rPr>
      <w:rFonts w:ascii="Times New Roman" w:hAnsi="Times New Roman"/>
      <w:b w:val="0"/>
      <w:szCs w:val="20"/>
    </w:rPr>
  </w:style>
  <w:style w:type="paragraph" w:customStyle="1" w:styleId="189">
    <w:name w:val="xl83"/>
    <w:basedOn w:val="1"/>
    <w:qFormat/>
    <w:uiPriority w:val="0"/>
    <w:pPr>
      <w:widowControl/>
      <w:pBdr>
        <w:top w:val="single" w:color="auto" w:sz="4" w:space="0"/>
        <w:left w:val="single" w:color="auto" w:sz="4" w:space="0"/>
        <w:bottom w:val="single" w:color="auto" w:sz="8" w:space="0"/>
      </w:pBdr>
      <w:spacing w:before="100" w:beforeAutospacing="1" w:after="100" w:afterAutospacing="1"/>
      <w:jc w:val="center"/>
    </w:pPr>
    <w:rPr>
      <w:rFonts w:ascii="宋体" w:hAnsi="宋体" w:cs="宋体"/>
      <w:b w:val="0"/>
      <w:kern w:val="0"/>
      <w:sz w:val="24"/>
    </w:rPr>
  </w:style>
  <w:style w:type="paragraph" w:customStyle="1" w:styleId="190">
    <w:name w:val="四级条标题"/>
    <w:basedOn w:val="191"/>
    <w:next w:val="1"/>
    <w:qFormat/>
    <w:uiPriority w:val="0"/>
    <w:pPr>
      <w:tabs>
        <w:tab w:val="left" w:pos="992"/>
        <w:tab w:val="left" w:pos="2100"/>
        <w:tab w:val="left" w:pos="2520"/>
      </w:tabs>
      <w:ind w:left="2520"/>
      <w:outlineLvl w:val="5"/>
    </w:pPr>
  </w:style>
  <w:style w:type="paragraph" w:customStyle="1" w:styleId="191">
    <w:name w:val="三级条标题"/>
    <w:basedOn w:val="102"/>
    <w:next w:val="1"/>
    <w:qFormat/>
    <w:uiPriority w:val="0"/>
    <w:pPr>
      <w:widowControl/>
      <w:tabs>
        <w:tab w:val="left" w:pos="992"/>
        <w:tab w:val="left" w:pos="2100"/>
        <w:tab w:val="clear" w:pos="5400"/>
      </w:tabs>
      <w:ind w:left="2100" w:hanging="420"/>
      <w:jc w:val="both"/>
      <w:outlineLvl w:val="4"/>
    </w:pPr>
    <w:rPr>
      <w:rFonts w:ascii="宋体" w:hAnsi="Times New Roman" w:eastAsia="宋体"/>
      <w:kern w:val="0"/>
    </w:rPr>
  </w:style>
  <w:style w:type="paragraph" w:customStyle="1" w:styleId="19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val="0"/>
      <w:kern w:val="0"/>
      <w:sz w:val="20"/>
      <w:szCs w:val="20"/>
    </w:rPr>
  </w:style>
  <w:style w:type="paragraph" w:customStyle="1" w:styleId="193">
    <w:name w:val="Normal_4"/>
    <w:qFormat/>
    <w:uiPriority w:val="0"/>
    <w:pPr>
      <w:spacing w:before="120" w:after="240"/>
      <w:jc w:val="both"/>
    </w:pPr>
    <w:rPr>
      <w:rFonts w:ascii="Calibri" w:hAnsi="Calibri" w:eastAsia="Calibri" w:cs="Times New Roman"/>
      <w:sz w:val="22"/>
      <w:szCs w:val="22"/>
      <w:lang w:val="ru-RU" w:eastAsia="en-US" w:bidi="ar-SA"/>
    </w:rPr>
  </w:style>
  <w:style w:type="paragraph" w:customStyle="1" w:styleId="194">
    <w:name w:val="xl7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val="0"/>
      <w:kern w:val="0"/>
      <w:sz w:val="24"/>
    </w:rPr>
  </w:style>
  <w:style w:type="paragraph" w:customStyle="1" w:styleId="195">
    <w:name w:val="xl86"/>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val="0"/>
      <w:kern w:val="0"/>
      <w:sz w:val="24"/>
    </w:rPr>
  </w:style>
  <w:style w:type="paragraph" w:customStyle="1" w:styleId="196">
    <w:name w:val="附录标题"/>
    <w:basedOn w:val="103"/>
    <w:next w:val="103"/>
    <w:qFormat/>
    <w:uiPriority w:val="0"/>
    <w:pPr>
      <w:tabs>
        <w:tab w:val="center" w:pos="4201"/>
        <w:tab w:val="right" w:leader="dot" w:pos="9298"/>
      </w:tabs>
      <w:ind w:firstLine="0" w:firstLineChars="0"/>
      <w:jc w:val="center"/>
    </w:pPr>
    <w:rPr>
      <w:rFonts w:ascii="黑体" w:hAnsi="Times New Roman" w:eastAsia="黑体"/>
      <w:kern w:val="0"/>
      <w:szCs w:val="20"/>
    </w:rPr>
  </w:style>
  <w:style w:type="paragraph" w:customStyle="1" w:styleId="197">
    <w:name w:val="xl7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val="0"/>
      <w:kern w:val="0"/>
      <w:sz w:val="24"/>
    </w:rPr>
  </w:style>
  <w:style w:type="paragraph" w:customStyle="1" w:styleId="198">
    <w:name w:val="xl79"/>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b w:val="0"/>
      <w:kern w:val="0"/>
      <w:sz w:val="24"/>
    </w:rPr>
  </w:style>
  <w:style w:type="paragraph" w:customStyle="1" w:styleId="199">
    <w:name w:val="xl84"/>
    <w:basedOn w:val="1"/>
    <w:qFormat/>
    <w:uiPriority w:val="0"/>
    <w:pPr>
      <w:widowControl/>
      <w:pBdr>
        <w:top w:val="single" w:color="auto" w:sz="4" w:space="0"/>
        <w:bottom w:val="single" w:color="auto" w:sz="8" w:space="0"/>
        <w:right w:val="single" w:color="auto" w:sz="8" w:space="0"/>
      </w:pBdr>
      <w:spacing w:before="100" w:beforeAutospacing="1" w:after="100" w:afterAutospacing="1"/>
      <w:jc w:val="center"/>
    </w:pPr>
    <w:rPr>
      <w:rFonts w:ascii="宋体" w:hAnsi="宋体" w:cs="宋体"/>
      <w:b w:val="0"/>
      <w:kern w:val="0"/>
      <w:sz w:val="24"/>
    </w:rPr>
  </w:style>
  <w:style w:type="paragraph" w:customStyle="1" w:styleId="200">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val="0"/>
      <w:kern w:val="0"/>
      <w:sz w:val="20"/>
      <w:szCs w:val="20"/>
    </w:rPr>
  </w:style>
  <w:style w:type="paragraph" w:customStyle="1" w:styleId="20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val="0"/>
      <w:kern w:val="0"/>
      <w:sz w:val="24"/>
    </w:rPr>
  </w:style>
  <w:style w:type="paragraph" w:styleId="202">
    <w:name w:val="No Spacing"/>
    <w:link w:val="318"/>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03">
    <w:name w:val="xl7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val="0"/>
      <w:kern w:val="0"/>
      <w:sz w:val="24"/>
    </w:rPr>
  </w:style>
  <w:style w:type="paragraph" w:customStyle="1" w:styleId="204">
    <w:name w:val="xl7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val="0"/>
      <w:kern w:val="0"/>
      <w:sz w:val="24"/>
    </w:rPr>
  </w:style>
  <w:style w:type="paragraph" w:customStyle="1" w:styleId="205">
    <w:name w:val="正文LXF"/>
    <w:basedOn w:val="1"/>
    <w:qFormat/>
    <w:uiPriority w:val="0"/>
    <w:pPr>
      <w:spacing w:line="580" w:lineRule="atLeast"/>
      <w:ind w:firstLine="560" w:firstLineChars="200"/>
    </w:pPr>
    <w:rPr>
      <w:rFonts w:ascii="宋体" w:hAnsi="宋体"/>
      <w:b w:val="0"/>
      <w:bCs/>
      <w:smallCaps/>
      <w:sz w:val="28"/>
    </w:rPr>
  </w:style>
  <w:style w:type="paragraph" w:customStyle="1" w:styleId="206">
    <w:name w:val="xl8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b w:val="0"/>
      <w:kern w:val="0"/>
      <w:sz w:val="24"/>
    </w:rPr>
  </w:style>
  <w:style w:type="paragraph" w:customStyle="1" w:styleId="207">
    <w:name w:val="xl29"/>
    <w:basedOn w:val="1"/>
    <w:qFormat/>
    <w:uiPriority w:val="0"/>
    <w:pPr>
      <w:widowControl/>
      <w:pBdr>
        <w:left w:val="single" w:color="auto" w:sz="4" w:space="0"/>
        <w:right w:val="single" w:color="auto" w:sz="4" w:space="0"/>
      </w:pBdr>
      <w:spacing w:before="100" w:beforeAutospacing="1" w:after="100" w:afterAutospacing="1"/>
      <w:jc w:val="center"/>
    </w:pPr>
    <w:rPr>
      <w:rFonts w:hint="eastAsia" w:ascii="宋体" w:hAnsi="宋体"/>
      <w:b w:val="0"/>
      <w:kern w:val="0"/>
      <w:sz w:val="28"/>
      <w:szCs w:val="28"/>
    </w:rPr>
  </w:style>
  <w:style w:type="paragraph" w:customStyle="1" w:styleId="20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val="0"/>
      <w:kern w:val="0"/>
      <w:szCs w:val="21"/>
    </w:rPr>
  </w:style>
  <w:style w:type="paragraph" w:customStyle="1" w:styleId="209">
    <w:name w:val="正文文本缩进3"/>
    <w:basedOn w:val="1"/>
    <w:qFormat/>
    <w:uiPriority w:val="0"/>
    <w:pPr>
      <w:widowControl/>
      <w:spacing w:line="360" w:lineRule="auto"/>
      <w:ind w:firstLine="570"/>
    </w:pPr>
    <w:rPr>
      <w:rFonts w:ascii="Times New Roman" w:hAnsi="Times New Roman" w:eastAsia="隶书"/>
      <w:b w:val="0"/>
      <w:kern w:val="0"/>
      <w:sz w:val="28"/>
      <w:szCs w:val="20"/>
    </w:rPr>
  </w:style>
  <w:style w:type="paragraph" w:customStyle="1" w:styleId="210">
    <w:name w:val="xl8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cs="宋体"/>
      <w:b w:val="0"/>
      <w:kern w:val="0"/>
      <w:sz w:val="24"/>
    </w:rPr>
  </w:style>
  <w:style w:type="paragraph" w:customStyle="1" w:styleId="211">
    <w:name w:val="font1"/>
    <w:basedOn w:val="1"/>
    <w:qFormat/>
    <w:uiPriority w:val="0"/>
    <w:pPr>
      <w:widowControl/>
      <w:spacing w:before="100" w:beforeAutospacing="1" w:after="100" w:afterAutospacing="1"/>
      <w:jc w:val="left"/>
    </w:pPr>
    <w:rPr>
      <w:rFonts w:ascii="宋体" w:hAnsi="宋体" w:cs="宋体"/>
      <w:b w:val="0"/>
      <w:kern w:val="0"/>
      <w:sz w:val="24"/>
    </w:rPr>
  </w:style>
  <w:style w:type="paragraph" w:customStyle="1" w:styleId="212">
    <w:name w:val="xl71"/>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val="0"/>
      <w:kern w:val="0"/>
      <w:sz w:val="24"/>
    </w:rPr>
  </w:style>
  <w:style w:type="paragraph" w:customStyle="1" w:styleId="213">
    <w:name w:val="xl7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val="0"/>
      <w:kern w:val="0"/>
      <w:sz w:val="24"/>
    </w:rPr>
  </w:style>
  <w:style w:type="paragraph" w:customStyle="1" w:styleId="214">
    <w:name w:val="xl7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b w:val="0"/>
      <w:kern w:val="0"/>
      <w:sz w:val="24"/>
    </w:rPr>
  </w:style>
  <w:style w:type="paragraph" w:customStyle="1" w:styleId="2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16">
    <w:name w:val="WPSOffice手动目录 1"/>
    <w:qFormat/>
    <w:uiPriority w:val="0"/>
    <w:rPr>
      <w:rFonts w:ascii="Times New Roman" w:hAnsi="Times New Roman" w:eastAsia="宋体" w:cs="Times New Roman"/>
      <w:lang w:val="en-US" w:eastAsia="zh-CN" w:bidi="ar-SA"/>
    </w:rPr>
  </w:style>
  <w:style w:type="paragraph" w:customStyle="1" w:styleId="21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18">
    <w:name w:val="xl7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b w:val="0"/>
      <w:kern w:val="0"/>
      <w:sz w:val="24"/>
    </w:rPr>
  </w:style>
  <w:style w:type="paragraph" w:customStyle="1" w:styleId="21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20">
    <w:name w:val="列出段落2"/>
    <w:basedOn w:val="1"/>
    <w:qFormat/>
    <w:uiPriority w:val="0"/>
    <w:pPr>
      <w:ind w:firstLine="420" w:firstLineChars="200"/>
    </w:pPr>
    <w:rPr>
      <w:rFonts w:ascii="Times New Roman" w:hAnsi="Times New Roman"/>
      <w:b w:val="0"/>
    </w:rPr>
  </w:style>
  <w:style w:type="paragraph" w:customStyle="1" w:styleId="221">
    <w:name w:val="前言、引言标题"/>
    <w:next w:val="1"/>
    <w:qFormat/>
    <w:uiPriority w:val="0"/>
    <w:pPr>
      <w:shd w:val="clear" w:color="FFFFFF" w:fill="FFFFFF"/>
      <w:tabs>
        <w:tab w:val="left" w:pos="425"/>
      </w:tabs>
      <w:spacing w:before="640" w:after="560"/>
      <w:ind w:left="425" w:hanging="425"/>
      <w:jc w:val="center"/>
      <w:outlineLvl w:val="0"/>
    </w:pPr>
    <w:rPr>
      <w:rFonts w:ascii="黑体" w:hAnsi="Times New Roman" w:eastAsia="黑体" w:cs="Times New Roman"/>
      <w:sz w:val="32"/>
      <w:lang w:val="en-US" w:eastAsia="zh-CN" w:bidi="ar-SA"/>
    </w:rPr>
  </w:style>
  <w:style w:type="character" w:customStyle="1" w:styleId="222">
    <w:name w:val="标题 8 Char"/>
    <w:basedOn w:val="52"/>
    <w:link w:val="11"/>
    <w:qFormat/>
    <w:uiPriority w:val="0"/>
    <w:rPr>
      <w:rFonts w:ascii="Arial" w:hAnsi="Arial" w:eastAsia="黑体"/>
      <w:sz w:val="24"/>
    </w:rPr>
  </w:style>
  <w:style w:type="character" w:customStyle="1" w:styleId="223">
    <w:name w:val="标题 9 Char"/>
    <w:basedOn w:val="52"/>
    <w:link w:val="12"/>
    <w:qFormat/>
    <w:uiPriority w:val="0"/>
    <w:rPr>
      <w:rFonts w:ascii="Arial" w:hAnsi="Arial" w:eastAsia="黑体"/>
      <w:sz w:val="28"/>
    </w:rPr>
  </w:style>
  <w:style w:type="character" w:customStyle="1" w:styleId="224">
    <w:name w:val="Char Char32"/>
    <w:qFormat/>
    <w:uiPriority w:val="0"/>
    <w:rPr>
      <w:rFonts w:eastAsia="仿宋_GB2312"/>
      <w:b/>
      <w:bCs/>
      <w:kern w:val="2"/>
      <w:sz w:val="28"/>
      <w:szCs w:val="24"/>
      <w:u w:color="FF0000"/>
    </w:rPr>
  </w:style>
  <w:style w:type="paragraph" w:customStyle="1" w:styleId="225">
    <w:name w:val="修订3"/>
    <w:hidden/>
    <w:qFormat/>
    <w:uiPriority w:val="0"/>
    <w:rPr>
      <w:rFonts w:ascii="Times New Roman" w:hAnsi="Times New Roman" w:eastAsia="宋体" w:cs="Times New Roman"/>
      <w:kern w:val="2"/>
      <w:sz w:val="21"/>
      <w:szCs w:val="24"/>
      <w:lang w:val="en-US" w:eastAsia="zh-CN" w:bidi="ar-SA"/>
    </w:rPr>
  </w:style>
  <w:style w:type="character" w:customStyle="1" w:styleId="226">
    <w:name w:val="Char Char51"/>
    <w:semiHidden/>
    <w:qFormat/>
    <w:uiPriority w:val="0"/>
    <w:rPr>
      <w:rFonts w:eastAsia="宋体"/>
      <w:color w:val="000000"/>
      <w:kern w:val="2"/>
      <w:sz w:val="18"/>
      <w:lang w:val="en-US" w:eastAsia="zh-CN" w:bidi="ar-SA"/>
    </w:rPr>
  </w:style>
  <w:style w:type="character" w:customStyle="1" w:styleId="227">
    <w:name w:val="Char Char81"/>
    <w:qFormat/>
    <w:locked/>
    <w:uiPriority w:val="0"/>
    <w:rPr>
      <w:rFonts w:eastAsia="仿宋_GB2312"/>
      <w:b/>
      <w:bCs/>
      <w:kern w:val="2"/>
      <w:sz w:val="28"/>
      <w:szCs w:val="24"/>
      <w:u w:color="FF0000"/>
      <w:lang w:val="en-US" w:eastAsia="zh-CN" w:bidi="ar-SA"/>
    </w:rPr>
  </w:style>
  <w:style w:type="character" w:customStyle="1" w:styleId="228">
    <w:name w:val="Heading 2 Char"/>
    <w:semiHidden/>
    <w:qFormat/>
    <w:uiPriority w:val="9"/>
    <w:rPr>
      <w:rFonts w:ascii="Cambria" w:hAnsi="Cambria" w:eastAsia="宋体" w:cs="Times New Roman"/>
      <w:b/>
      <w:bCs/>
      <w:sz w:val="32"/>
      <w:szCs w:val="32"/>
      <w:u w:color="FF0000"/>
    </w:rPr>
  </w:style>
  <w:style w:type="character" w:customStyle="1" w:styleId="229">
    <w:name w:val="Heading 3 Char"/>
    <w:semiHidden/>
    <w:qFormat/>
    <w:uiPriority w:val="9"/>
    <w:rPr>
      <w:b/>
      <w:bCs/>
      <w:sz w:val="32"/>
      <w:szCs w:val="32"/>
      <w:u w:color="FF0000"/>
    </w:rPr>
  </w:style>
  <w:style w:type="character" w:customStyle="1" w:styleId="230">
    <w:name w:val="Comment Text Char"/>
    <w:semiHidden/>
    <w:qFormat/>
    <w:uiPriority w:val="99"/>
    <w:rPr>
      <w:b/>
      <w:szCs w:val="24"/>
      <w:u w:color="FF0000"/>
    </w:rPr>
  </w:style>
  <w:style w:type="character" w:customStyle="1" w:styleId="231">
    <w:name w:val="Comment Subject Char"/>
    <w:semiHidden/>
    <w:qFormat/>
    <w:uiPriority w:val="99"/>
    <w:rPr>
      <w:b/>
      <w:bCs/>
      <w:szCs w:val="24"/>
      <w:u w:color="FF0000"/>
    </w:rPr>
  </w:style>
  <w:style w:type="character" w:customStyle="1" w:styleId="232">
    <w:name w:val="Body Text Char"/>
    <w:semiHidden/>
    <w:qFormat/>
    <w:uiPriority w:val="99"/>
    <w:rPr>
      <w:b/>
      <w:szCs w:val="24"/>
      <w:u w:color="FF0000"/>
    </w:rPr>
  </w:style>
  <w:style w:type="character" w:customStyle="1" w:styleId="233">
    <w:name w:val="Plain Text Char"/>
    <w:semiHidden/>
    <w:qFormat/>
    <w:uiPriority w:val="99"/>
    <w:rPr>
      <w:rFonts w:ascii="宋体" w:hAnsi="Courier New" w:cs="Courier New"/>
      <w:b/>
      <w:szCs w:val="21"/>
      <w:u w:color="FF0000"/>
    </w:rPr>
  </w:style>
  <w:style w:type="character" w:customStyle="1" w:styleId="234">
    <w:name w:val="Header Char"/>
    <w:semiHidden/>
    <w:qFormat/>
    <w:uiPriority w:val="99"/>
    <w:rPr>
      <w:b/>
      <w:sz w:val="18"/>
      <w:szCs w:val="18"/>
      <w:u w:color="FF0000"/>
    </w:rPr>
  </w:style>
  <w:style w:type="character" w:customStyle="1" w:styleId="235">
    <w:name w:val="Char Char21"/>
    <w:qFormat/>
    <w:uiPriority w:val="0"/>
    <w:rPr>
      <w:rFonts w:eastAsia="宋体"/>
      <w:b/>
      <w:kern w:val="2"/>
      <w:sz w:val="28"/>
      <w:lang w:val="en-US" w:eastAsia="zh-CN" w:bidi="ar-SA"/>
    </w:rPr>
  </w:style>
  <w:style w:type="character" w:customStyle="1" w:styleId="236">
    <w:name w:val="Char Char41"/>
    <w:qFormat/>
    <w:uiPriority w:val="0"/>
    <w:rPr>
      <w:rFonts w:ascii="Times New Roman" w:hAnsi="Times New Roman" w:eastAsia="宋体"/>
      <w:b/>
      <w:kern w:val="44"/>
      <w:sz w:val="30"/>
    </w:rPr>
  </w:style>
  <w:style w:type="character" w:customStyle="1" w:styleId="237">
    <w:name w:val="正文文本缩进 Char Char"/>
    <w:link w:val="238"/>
    <w:qFormat/>
    <w:uiPriority w:val="0"/>
    <w:rPr>
      <w:rFonts w:eastAsia="隶书"/>
      <w:sz w:val="28"/>
      <w:u w:color="FF0000"/>
    </w:rPr>
  </w:style>
  <w:style w:type="paragraph" w:customStyle="1" w:styleId="238">
    <w:name w:val="正文文本缩进4"/>
    <w:basedOn w:val="1"/>
    <w:link w:val="237"/>
    <w:qFormat/>
    <w:uiPriority w:val="0"/>
    <w:pPr>
      <w:widowControl/>
      <w:spacing w:line="360" w:lineRule="auto"/>
      <w:ind w:firstLine="570"/>
    </w:pPr>
    <w:rPr>
      <w:rFonts w:ascii="Times New Roman" w:hAnsi="Times New Roman" w:eastAsia="隶书"/>
      <w:b w:val="0"/>
      <w:kern w:val="0"/>
      <w:sz w:val="28"/>
      <w:szCs w:val="20"/>
    </w:rPr>
  </w:style>
  <w:style w:type="table" w:customStyle="1" w:styleId="239">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40">
    <w:name w:val="Table Paragraph"/>
    <w:basedOn w:val="1"/>
    <w:qFormat/>
    <w:uiPriority w:val="1"/>
    <w:pPr>
      <w:autoSpaceDE w:val="0"/>
      <w:autoSpaceDN w:val="0"/>
      <w:jc w:val="center"/>
    </w:pPr>
    <w:rPr>
      <w:rFonts w:ascii="宋体" w:hAnsi="宋体" w:cs="宋体"/>
      <w:b w:val="0"/>
      <w:kern w:val="0"/>
      <w:sz w:val="22"/>
      <w:szCs w:val="22"/>
      <w:lang w:val="zh-CN" w:bidi="zh-CN"/>
    </w:rPr>
  </w:style>
  <w:style w:type="paragraph" w:customStyle="1" w:styleId="241">
    <w:name w:val="正文缩进小四"/>
    <w:basedOn w:val="1"/>
    <w:qFormat/>
    <w:uiPriority w:val="0"/>
    <w:pPr>
      <w:spacing w:line="360" w:lineRule="auto"/>
      <w:ind w:firstLine="200" w:firstLineChars="200"/>
    </w:pPr>
    <w:rPr>
      <w:rFonts w:ascii="Times New Roman" w:hAnsi="Times New Roman"/>
      <w:b w:val="0"/>
      <w:sz w:val="24"/>
      <w:szCs w:val="28"/>
    </w:rPr>
  </w:style>
  <w:style w:type="paragraph" w:customStyle="1" w:styleId="242">
    <w:name w:val="Normal_80"/>
    <w:qFormat/>
    <w:uiPriority w:val="0"/>
    <w:pPr>
      <w:spacing w:before="120" w:after="240"/>
      <w:jc w:val="both"/>
    </w:pPr>
    <w:rPr>
      <w:rFonts w:ascii="Calibri" w:hAnsi="Calibri" w:eastAsia="Calibri" w:cs="Times New Roman"/>
      <w:sz w:val="22"/>
      <w:szCs w:val="22"/>
      <w:lang w:val="ru-RU" w:eastAsia="en-US" w:bidi="ar-SA"/>
    </w:rPr>
  </w:style>
  <w:style w:type="paragraph" w:customStyle="1" w:styleId="243">
    <w:name w:val="Normal_101"/>
    <w:qFormat/>
    <w:uiPriority w:val="0"/>
    <w:pPr>
      <w:spacing w:before="120" w:after="240"/>
      <w:jc w:val="both"/>
    </w:pPr>
    <w:rPr>
      <w:rFonts w:ascii="Calibri" w:hAnsi="Calibri" w:eastAsia="Calibri" w:cs="Times New Roman"/>
      <w:sz w:val="22"/>
      <w:szCs w:val="22"/>
      <w:lang w:val="ru-RU" w:eastAsia="en-US" w:bidi="ar-SA"/>
    </w:rPr>
  </w:style>
  <w:style w:type="paragraph" w:customStyle="1" w:styleId="244">
    <w:name w:val="Normal_8"/>
    <w:qFormat/>
    <w:uiPriority w:val="0"/>
    <w:pPr>
      <w:spacing w:before="120" w:after="240"/>
      <w:jc w:val="both"/>
    </w:pPr>
    <w:rPr>
      <w:rFonts w:ascii="Calibri" w:hAnsi="Calibri" w:eastAsia="Calibri" w:cs="Times New Roman"/>
      <w:sz w:val="22"/>
      <w:szCs w:val="22"/>
      <w:lang w:val="ru-RU" w:eastAsia="en-US" w:bidi="ar-SA"/>
    </w:rPr>
  </w:style>
  <w:style w:type="paragraph" w:customStyle="1" w:styleId="245">
    <w:name w:val="Normal_33"/>
    <w:qFormat/>
    <w:uiPriority w:val="0"/>
    <w:pPr>
      <w:spacing w:before="120" w:after="240"/>
      <w:jc w:val="both"/>
    </w:pPr>
    <w:rPr>
      <w:rFonts w:ascii="Calibri" w:hAnsi="Calibri" w:eastAsia="Calibri" w:cs="Times New Roman"/>
      <w:sz w:val="22"/>
      <w:szCs w:val="22"/>
      <w:lang w:val="ru-RU" w:eastAsia="en-US" w:bidi="ar-SA"/>
    </w:rPr>
  </w:style>
  <w:style w:type="paragraph" w:customStyle="1" w:styleId="246">
    <w:name w:val="Normal_87"/>
    <w:qFormat/>
    <w:uiPriority w:val="0"/>
    <w:pPr>
      <w:spacing w:before="120" w:after="240"/>
      <w:jc w:val="both"/>
    </w:pPr>
    <w:rPr>
      <w:rFonts w:ascii="Calibri" w:hAnsi="Calibri" w:eastAsia="Calibri" w:cs="Times New Roman"/>
      <w:sz w:val="22"/>
      <w:szCs w:val="22"/>
      <w:lang w:val="ru-RU" w:eastAsia="en-US" w:bidi="ar-SA"/>
    </w:rPr>
  </w:style>
  <w:style w:type="paragraph" w:customStyle="1" w:styleId="247">
    <w:name w:val="Normal_75"/>
    <w:qFormat/>
    <w:uiPriority w:val="0"/>
    <w:pPr>
      <w:spacing w:before="120" w:after="240"/>
      <w:jc w:val="both"/>
    </w:pPr>
    <w:rPr>
      <w:rFonts w:ascii="Calibri" w:hAnsi="Calibri" w:eastAsia="Calibri" w:cs="Times New Roman"/>
      <w:sz w:val="22"/>
      <w:szCs w:val="22"/>
      <w:lang w:val="ru-RU" w:eastAsia="en-US" w:bidi="ar-SA"/>
    </w:rPr>
  </w:style>
  <w:style w:type="paragraph" w:customStyle="1" w:styleId="248">
    <w:name w:val="Normal_14"/>
    <w:qFormat/>
    <w:uiPriority w:val="0"/>
    <w:pPr>
      <w:spacing w:before="120" w:after="240"/>
      <w:jc w:val="both"/>
    </w:pPr>
    <w:rPr>
      <w:rFonts w:ascii="Calibri" w:hAnsi="Calibri" w:eastAsia="Calibri" w:cs="Times New Roman"/>
      <w:sz w:val="22"/>
      <w:szCs w:val="22"/>
      <w:lang w:val="ru-RU" w:eastAsia="en-US" w:bidi="ar-SA"/>
    </w:rPr>
  </w:style>
  <w:style w:type="paragraph" w:customStyle="1" w:styleId="249">
    <w:name w:val="Normal_31"/>
    <w:qFormat/>
    <w:uiPriority w:val="0"/>
    <w:pPr>
      <w:spacing w:before="120" w:after="240"/>
      <w:jc w:val="both"/>
    </w:pPr>
    <w:rPr>
      <w:rFonts w:ascii="Calibri" w:hAnsi="Calibri" w:eastAsia="Calibri" w:cs="Times New Roman"/>
      <w:sz w:val="22"/>
      <w:szCs w:val="22"/>
      <w:lang w:val="ru-RU" w:eastAsia="en-US" w:bidi="ar-SA"/>
    </w:rPr>
  </w:style>
  <w:style w:type="paragraph" w:customStyle="1" w:styleId="250">
    <w:name w:val="Normal_17"/>
    <w:qFormat/>
    <w:uiPriority w:val="0"/>
    <w:pPr>
      <w:spacing w:before="120" w:after="240"/>
      <w:jc w:val="both"/>
    </w:pPr>
    <w:rPr>
      <w:rFonts w:ascii="Calibri" w:hAnsi="Calibri" w:eastAsia="Calibri" w:cs="Times New Roman"/>
      <w:sz w:val="22"/>
      <w:szCs w:val="22"/>
      <w:lang w:val="ru-RU" w:eastAsia="en-US" w:bidi="ar-SA"/>
    </w:rPr>
  </w:style>
  <w:style w:type="paragraph" w:customStyle="1" w:styleId="251">
    <w:name w:val="Normal_32"/>
    <w:qFormat/>
    <w:uiPriority w:val="0"/>
    <w:pPr>
      <w:spacing w:before="120" w:after="240"/>
      <w:jc w:val="both"/>
    </w:pPr>
    <w:rPr>
      <w:rFonts w:ascii="Calibri" w:hAnsi="Calibri" w:eastAsia="Calibri" w:cs="Times New Roman"/>
      <w:sz w:val="22"/>
      <w:szCs w:val="22"/>
      <w:lang w:val="ru-RU" w:eastAsia="en-US" w:bidi="ar-SA"/>
    </w:rPr>
  </w:style>
  <w:style w:type="paragraph" w:customStyle="1" w:styleId="252">
    <w:name w:val="Normal_21"/>
    <w:qFormat/>
    <w:uiPriority w:val="0"/>
    <w:pPr>
      <w:spacing w:before="120" w:after="240"/>
      <w:jc w:val="both"/>
    </w:pPr>
    <w:rPr>
      <w:rFonts w:ascii="Calibri" w:hAnsi="Calibri" w:eastAsia="Calibri" w:cs="Times New Roman"/>
      <w:sz w:val="22"/>
      <w:szCs w:val="22"/>
      <w:lang w:val="ru-RU" w:eastAsia="en-US" w:bidi="ar-SA"/>
    </w:rPr>
  </w:style>
  <w:style w:type="paragraph" w:customStyle="1" w:styleId="253">
    <w:name w:val="Normal_115"/>
    <w:qFormat/>
    <w:uiPriority w:val="0"/>
    <w:pPr>
      <w:spacing w:before="120" w:after="240"/>
      <w:jc w:val="both"/>
    </w:pPr>
    <w:rPr>
      <w:rFonts w:ascii="Calibri" w:hAnsi="Calibri" w:eastAsia="Calibri" w:cs="Times New Roman"/>
      <w:sz w:val="22"/>
      <w:szCs w:val="22"/>
      <w:lang w:val="ru-RU" w:eastAsia="en-US" w:bidi="ar-SA"/>
    </w:rPr>
  </w:style>
  <w:style w:type="paragraph" w:customStyle="1" w:styleId="254">
    <w:name w:val="Normal_108"/>
    <w:qFormat/>
    <w:uiPriority w:val="0"/>
    <w:pPr>
      <w:spacing w:before="120" w:after="240"/>
      <w:jc w:val="both"/>
    </w:pPr>
    <w:rPr>
      <w:rFonts w:ascii="Calibri" w:hAnsi="Calibri" w:eastAsia="Calibri" w:cs="Times New Roman"/>
      <w:sz w:val="22"/>
      <w:szCs w:val="22"/>
      <w:lang w:val="ru-RU" w:eastAsia="en-US" w:bidi="ar-SA"/>
    </w:rPr>
  </w:style>
  <w:style w:type="paragraph" w:customStyle="1" w:styleId="255">
    <w:name w:val="Normal_11"/>
    <w:qFormat/>
    <w:uiPriority w:val="0"/>
    <w:pPr>
      <w:spacing w:before="120" w:after="240"/>
      <w:jc w:val="both"/>
    </w:pPr>
    <w:rPr>
      <w:rFonts w:ascii="Calibri" w:hAnsi="Calibri" w:eastAsia="Calibri" w:cs="Times New Roman"/>
      <w:sz w:val="22"/>
      <w:szCs w:val="22"/>
      <w:lang w:val="ru-RU" w:eastAsia="en-US" w:bidi="ar-SA"/>
    </w:rPr>
  </w:style>
  <w:style w:type="paragraph" w:customStyle="1" w:styleId="256">
    <w:name w:val="Normal_109"/>
    <w:qFormat/>
    <w:uiPriority w:val="0"/>
    <w:pPr>
      <w:spacing w:before="120" w:after="240"/>
      <w:jc w:val="both"/>
    </w:pPr>
    <w:rPr>
      <w:rFonts w:ascii="Calibri" w:hAnsi="Calibri" w:eastAsia="Calibri" w:cs="Times New Roman"/>
      <w:sz w:val="22"/>
      <w:szCs w:val="22"/>
      <w:lang w:val="ru-RU" w:eastAsia="en-US" w:bidi="ar-SA"/>
    </w:rPr>
  </w:style>
  <w:style w:type="paragraph" w:customStyle="1" w:styleId="257">
    <w:name w:val="Normal_74"/>
    <w:qFormat/>
    <w:uiPriority w:val="0"/>
    <w:pPr>
      <w:spacing w:before="120" w:after="240"/>
      <w:jc w:val="both"/>
    </w:pPr>
    <w:rPr>
      <w:rFonts w:ascii="Calibri" w:hAnsi="Calibri" w:eastAsia="Calibri" w:cs="Times New Roman"/>
      <w:sz w:val="22"/>
      <w:szCs w:val="22"/>
      <w:lang w:val="ru-RU" w:eastAsia="en-US" w:bidi="ar-SA"/>
    </w:rPr>
  </w:style>
  <w:style w:type="paragraph" w:customStyle="1" w:styleId="258">
    <w:name w:val="Normal_96"/>
    <w:qFormat/>
    <w:uiPriority w:val="0"/>
    <w:pPr>
      <w:spacing w:before="120" w:after="240"/>
      <w:jc w:val="both"/>
    </w:pPr>
    <w:rPr>
      <w:rFonts w:ascii="Calibri" w:hAnsi="Calibri" w:eastAsia="Calibri" w:cs="Times New Roman"/>
      <w:sz w:val="22"/>
      <w:szCs w:val="22"/>
      <w:lang w:val="ru-RU" w:eastAsia="en-US" w:bidi="ar-SA"/>
    </w:rPr>
  </w:style>
  <w:style w:type="paragraph" w:customStyle="1" w:styleId="259">
    <w:name w:val="Normal_81"/>
    <w:qFormat/>
    <w:uiPriority w:val="0"/>
    <w:pPr>
      <w:spacing w:before="120" w:after="240"/>
      <w:jc w:val="both"/>
    </w:pPr>
    <w:rPr>
      <w:rFonts w:ascii="Calibri" w:hAnsi="Calibri" w:eastAsia="Calibri" w:cs="Times New Roman"/>
      <w:sz w:val="22"/>
      <w:szCs w:val="22"/>
      <w:lang w:val="ru-RU" w:eastAsia="en-US" w:bidi="ar-SA"/>
    </w:rPr>
  </w:style>
  <w:style w:type="paragraph" w:customStyle="1" w:styleId="260">
    <w:name w:val="Normal_83"/>
    <w:qFormat/>
    <w:uiPriority w:val="0"/>
    <w:pPr>
      <w:spacing w:before="120" w:after="240"/>
      <w:jc w:val="both"/>
    </w:pPr>
    <w:rPr>
      <w:rFonts w:ascii="Calibri" w:hAnsi="Calibri" w:eastAsia="Calibri" w:cs="Times New Roman"/>
      <w:sz w:val="22"/>
      <w:szCs w:val="22"/>
      <w:lang w:val="ru-RU" w:eastAsia="en-US" w:bidi="ar-SA"/>
    </w:rPr>
  </w:style>
  <w:style w:type="paragraph" w:customStyle="1" w:styleId="261">
    <w:name w:val="Normal_93"/>
    <w:qFormat/>
    <w:uiPriority w:val="0"/>
    <w:pPr>
      <w:spacing w:before="120" w:after="240"/>
      <w:jc w:val="both"/>
    </w:pPr>
    <w:rPr>
      <w:rFonts w:ascii="Calibri" w:hAnsi="Calibri" w:eastAsia="Calibri" w:cs="Times New Roman"/>
      <w:sz w:val="22"/>
      <w:szCs w:val="22"/>
      <w:lang w:val="ru-RU" w:eastAsia="en-US" w:bidi="ar-SA"/>
    </w:rPr>
  </w:style>
  <w:style w:type="paragraph" w:customStyle="1" w:styleId="262">
    <w:name w:val="Normal_105"/>
    <w:qFormat/>
    <w:uiPriority w:val="0"/>
    <w:pPr>
      <w:spacing w:before="120" w:after="240"/>
      <w:jc w:val="both"/>
    </w:pPr>
    <w:rPr>
      <w:rFonts w:ascii="Calibri" w:hAnsi="Calibri" w:eastAsia="Calibri" w:cs="Times New Roman"/>
      <w:sz w:val="22"/>
      <w:szCs w:val="22"/>
      <w:lang w:val="ru-RU" w:eastAsia="en-US" w:bidi="ar-SA"/>
    </w:rPr>
  </w:style>
  <w:style w:type="paragraph" w:customStyle="1" w:styleId="263">
    <w:name w:val="Normal_98"/>
    <w:qFormat/>
    <w:uiPriority w:val="0"/>
    <w:pPr>
      <w:spacing w:before="120" w:after="240"/>
      <w:jc w:val="both"/>
    </w:pPr>
    <w:rPr>
      <w:rFonts w:ascii="Calibri" w:hAnsi="Calibri" w:eastAsia="Calibri" w:cs="Times New Roman"/>
      <w:sz w:val="22"/>
      <w:szCs w:val="22"/>
      <w:lang w:val="ru-RU" w:eastAsia="en-US" w:bidi="ar-SA"/>
    </w:rPr>
  </w:style>
  <w:style w:type="paragraph" w:customStyle="1" w:styleId="264">
    <w:name w:val="Normal_26"/>
    <w:qFormat/>
    <w:uiPriority w:val="0"/>
    <w:pPr>
      <w:spacing w:before="120" w:after="240"/>
      <w:jc w:val="both"/>
    </w:pPr>
    <w:rPr>
      <w:rFonts w:ascii="Calibri" w:hAnsi="Calibri" w:eastAsia="Calibri" w:cs="Times New Roman"/>
      <w:sz w:val="22"/>
      <w:szCs w:val="22"/>
      <w:lang w:val="ru-RU" w:eastAsia="en-US" w:bidi="ar-SA"/>
    </w:rPr>
  </w:style>
  <w:style w:type="paragraph" w:customStyle="1" w:styleId="265">
    <w:name w:val="Normal_91"/>
    <w:qFormat/>
    <w:uiPriority w:val="0"/>
    <w:pPr>
      <w:spacing w:before="120" w:after="240"/>
      <w:jc w:val="both"/>
    </w:pPr>
    <w:rPr>
      <w:rFonts w:ascii="Calibri" w:hAnsi="Calibri" w:eastAsia="Calibri" w:cs="Times New Roman"/>
      <w:sz w:val="22"/>
      <w:szCs w:val="22"/>
      <w:lang w:val="ru-RU" w:eastAsia="en-US" w:bidi="ar-SA"/>
    </w:rPr>
  </w:style>
  <w:style w:type="paragraph" w:customStyle="1" w:styleId="266">
    <w:name w:val="Normal_86"/>
    <w:qFormat/>
    <w:uiPriority w:val="0"/>
    <w:pPr>
      <w:spacing w:before="120" w:after="240"/>
      <w:jc w:val="both"/>
    </w:pPr>
    <w:rPr>
      <w:rFonts w:ascii="Calibri" w:hAnsi="Calibri" w:eastAsia="Calibri" w:cs="Times New Roman"/>
      <w:sz w:val="22"/>
      <w:szCs w:val="22"/>
      <w:lang w:val="ru-RU" w:eastAsia="en-US" w:bidi="ar-SA"/>
    </w:rPr>
  </w:style>
  <w:style w:type="paragraph" w:customStyle="1" w:styleId="267">
    <w:name w:val="Normal_117"/>
    <w:qFormat/>
    <w:uiPriority w:val="0"/>
    <w:pPr>
      <w:spacing w:before="120" w:after="240"/>
      <w:jc w:val="both"/>
    </w:pPr>
    <w:rPr>
      <w:rFonts w:ascii="Calibri" w:hAnsi="Calibri" w:eastAsia="Calibri" w:cs="Times New Roman"/>
      <w:sz w:val="22"/>
      <w:szCs w:val="22"/>
      <w:lang w:val="ru-RU" w:eastAsia="en-US" w:bidi="ar-SA"/>
    </w:rPr>
  </w:style>
  <w:style w:type="paragraph" w:customStyle="1" w:styleId="268">
    <w:name w:val="Normal_95"/>
    <w:qFormat/>
    <w:uiPriority w:val="0"/>
    <w:pPr>
      <w:spacing w:before="120" w:after="240"/>
      <w:jc w:val="both"/>
    </w:pPr>
    <w:rPr>
      <w:rFonts w:ascii="Calibri" w:hAnsi="Calibri" w:eastAsia="Calibri" w:cs="Times New Roman"/>
      <w:sz w:val="22"/>
      <w:szCs w:val="22"/>
      <w:lang w:val="ru-RU" w:eastAsia="en-US" w:bidi="ar-SA"/>
    </w:rPr>
  </w:style>
  <w:style w:type="paragraph" w:customStyle="1" w:styleId="269">
    <w:name w:val="Normal_82"/>
    <w:qFormat/>
    <w:uiPriority w:val="0"/>
    <w:pPr>
      <w:spacing w:before="120" w:after="240"/>
      <w:jc w:val="both"/>
    </w:pPr>
    <w:rPr>
      <w:rFonts w:ascii="Calibri" w:hAnsi="Calibri" w:eastAsia="Calibri" w:cs="Times New Roman"/>
      <w:sz w:val="22"/>
      <w:szCs w:val="22"/>
      <w:lang w:val="ru-RU" w:eastAsia="en-US" w:bidi="ar-SA"/>
    </w:rPr>
  </w:style>
  <w:style w:type="paragraph" w:customStyle="1" w:styleId="270">
    <w:name w:val="Normal_92"/>
    <w:qFormat/>
    <w:uiPriority w:val="0"/>
    <w:pPr>
      <w:spacing w:before="120" w:after="240"/>
      <w:jc w:val="both"/>
    </w:pPr>
    <w:rPr>
      <w:rFonts w:ascii="Calibri" w:hAnsi="Calibri" w:eastAsia="Calibri" w:cs="Times New Roman"/>
      <w:sz w:val="22"/>
      <w:szCs w:val="22"/>
      <w:lang w:val="ru-RU" w:eastAsia="en-US" w:bidi="ar-SA"/>
    </w:rPr>
  </w:style>
  <w:style w:type="paragraph" w:customStyle="1" w:styleId="271">
    <w:name w:val="Normal_114"/>
    <w:qFormat/>
    <w:uiPriority w:val="0"/>
    <w:pPr>
      <w:spacing w:before="120" w:after="240"/>
      <w:jc w:val="both"/>
    </w:pPr>
    <w:rPr>
      <w:rFonts w:ascii="Calibri" w:hAnsi="Calibri" w:eastAsia="Calibri" w:cs="Times New Roman"/>
      <w:sz w:val="22"/>
      <w:szCs w:val="22"/>
      <w:lang w:val="ru-RU" w:eastAsia="en-US" w:bidi="ar-SA"/>
    </w:rPr>
  </w:style>
  <w:style w:type="paragraph" w:customStyle="1" w:styleId="272">
    <w:name w:val="Normal_94"/>
    <w:qFormat/>
    <w:uiPriority w:val="0"/>
    <w:pPr>
      <w:spacing w:before="120" w:after="240"/>
      <w:jc w:val="both"/>
    </w:pPr>
    <w:rPr>
      <w:rFonts w:ascii="Calibri" w:hAnsi="Calibri" w:eastAsia="Calibri" w:cs="Times New Roman"/>
      <w:sz w:val="22"/>
      <w:szCs w:val="22"/>
      <w:lang w:val="ru-RU" w:eastAsia="en-US" w:bidi="ar-SA"/>
    </w:rPr>
  </w:style>
  <w:style w:type="paragraph" w:customStyle="1" w:styleId="273">
    <w:name w:val="Normal_10"/>
    <w:qFormat/>
    <w:uiPriority w:val="0"/>
    <w:pPr>
      <w:spacing w:before="120" w:after="240"/>
      <w:jc w:val="both"/>
    </w:pPr>
    <w:rPr>
      <w:rFonts w:ascii="Calibri" w:hAnsi="Calibri" w:eastAsia="Calibri" w:cs="Times New Roman"/>
      <w:sz w:val="22"/>
      <w:szCs w:val="22"/>
      <w:lang w:val="ru-RU" w:eastAsia="en-US" w:bidi="ar-SA"/>
    </w:rPr>
  </w:style>
  <w:style w:type="paragraph" w:customStyle="1" w:styleId="274">
    <w:name w:val="Normal_84"/>
    <w:qFormat/>
    <w:uiPriority w:val="0"/>
    <w:pPr>
      <w:spacing w:before="120" w:after="240"/>
      <w:jc w:val="both"/>
    </w:pPr>
    <w:rPr>
      <w:rFonts w:ascii="Calibri" w:hAnsi="Calibri" w:eastAsia="Calibri" w:cs="Times New Roman"/>
      <w:sz w:val="22"/>
      <w:szCs w:val="22"/>
      <w:lang w:val="ru-RU" w:eastAsia="en-US" w:bidi="ar-SA"/>
    </w:rPr>
  </w:style>
  <w:style w:type="paragraph" w:customStyle="1" w:styleId="275">
    <w:name w:val="Normal_99"/>
    <w:qFormat/>
    <w:uiPriority w:val="0"/>
    <w:pPr>
      <w:spacing w:before="120" w:after="240"/>
      <w:jc w:val="both"/>
    </w:pPr>
    <w:rPr>
      <w:rFonts w:ascii="Calibri" w:hAnsi="Calibri" w:eastAsia="Calibri" w:cs="Times New Roman"/>
      <w:sz w:val="22"/>
      <w:szCs w:val="22"/>
      <w:lang w:val="ru-RU" w:eastAsia="en-US" w:bidi="ar-SA"/>
    </w:rPr>
  </w:style>
  <w:style w:type="paragraph" w:customStyle="1" w:styleId="276">
    <w:name w:val="Normal_100"/>
    <w:qFormat/>
    <w:uiPriority w:val="0"/>
    <w:pPr>
      <w:spacing w:before="120" w:after="240"/>
      <w:jc w:val="both"/>
    </w:pPr>
    <w:rPr>
      <w:rFonts w:ascii="Calibri" w:hAnsi="Calibri" w:eastAsia="Calibri" w:cs="Times New Roman"/>
      <w:sz w:val="22"/>
      <w:szCs w:val="22"/>
      <w:lang w:val="ru-RU" w:eastAsia="en-US" w:bidi="ar-SA"/>
    </w:rPr>
  </w:style>
  <w:style w:type="paragraph" w:customStyle="1" w:styleId="277">
    <w:name w:val="aa正文"/>
    <w:basedOn w:val="1"/>
    <w:qFormat/>
    <w:uiPriority w:val="0"/>
    <w:pPr>
      <w:spacing w:line="360" w:lineRule="auto"/>
      <w:ind w:firstLine="200" w:firstLineChars="200"/>
    </w:pPr>
    <w:rPr>
      <w:rFonts w:ascii="Times New Roman" w:hAnsi="Times New Roman"/>
      <w:b w:val="0"/>
      <w:sz w:val="24"/>
    </w:rPr>
  </w:style>
  <w:style w:type="paragraph" w:customStyle="1" w:styleId="278">
    <w:name w:val="Normal_5"/>
    <w:qFormat/>
    <w:uiPriority w:val="0"/>
    <w:pPr>
      <w:spacing w:before="120" w:after="240"/>
      <w:jc w:val="both"/>
    </w:pPr>
    <w:rPr>
      <w:rFonts w:ascii="Calibri" w:hAnsi="Calibri" w:eastAsia="Calibri" w:cs="Times New Roman"/>
      <w:sz w:val="22"/>
      <w:szCs w:val="22"/>
      <w:lang w:val="ru-RU" w:eastAsia="en-US" w:bidi="ar-SA"/>
    </w:rPr>
  </w:style>
  <w:style w:type="paragraph" w:customStyle="1" w:styleId="279">
    <w:name w:val="Normal_34"/>
    <w:qFormat/>
    <w:uiPriority w:val="0"/>
    <w:pPr>
      <w:spacing w:before="120" w:after="240"/>
      <w:jc w:val="both"/>
    </w:pPr>
    <w:rPr>
      <w:rFonts w:ascii="Calibri" w:hAnsi="Calibri" w:eastAsia="Calibri" w:cs="Times New Roman"/>
      <w:sz w:val="22"/>
      <w:szCs w:val="22"/>
      <w:lang w:val="ru-RU" w:eastAsia="en-US" w:bidi="ar-SA"/>
    </w:rPr>
  </w:style>
  <w:style w:type="paragraph" w:customStyle="1" w:styleId="280">
    <w:name w:val="Normal_15"/>
    <w:qFormat/>
    <w:uiPriority w:val="0"/>
    <w:pPr>
      <w:spacing w:before="120" w:after="240"/>
      <w:jc w:val="both"/>
    </w:pPr>
    <w:rPr>
      <w:rFonts w:ascii="Calibri" w:hAnsi="Calibri" w:eastAsia="Calibri" w:cs="Times New Roman"/>
      <w:sz w:val="22"/>
      <w:szCs w:val="22"/>
      <w:lang w:val="ru-RU" w:eastAsia="en-US" w:bidi="ar-SA"/>
    </w:rPr>
  </w:style>
  <w:style w:type="paragraph" w:customStyle="1" w:styleId="281">
    <w:name w:val="Normal_90"/>
    <w:qFormat/>
    <w:uiPriority w:val="0"/>
    <w:pPr>
      <w:spacing w:before="120" w:after="240"/>
      <w:jc w:val="both"/>
    </w:pPr>
    <w:rPr>
      <w:rFonts w:ascii="Calibri" w:hAnsi="Calibri" w:eastAsia="Calibri" w:cs="Times New Roman"/>
      <w:sz w:val="22"/>
      <w:szCs w:val="22"/>
      <w:lang w:val="ru-RU" w:eastAsia="en-US" w:bidi="ar-SA"/>
    </w:rPr>
  </w:style>
  <w:style w:type="paragraph" w:customStyle="1" w:styleId="282">
    <w:name w:val="Normal_88"/>
    <w:qFormat/>
    <w:uiPriority w:val="0"/>
    <w:pPr>
      <w:spacing w:before="120" w:after="240"/>
      <w:jc w:val="both"/>
    </w:pPr>
    <w:rPr>
      <w:rFonts w:ascii="Calibri" w:hAnsi="Calibri" w:eastAsia="Calibri" w:cs="Times New Roman"/>
      <w:sz w:val="22"/>
      <w:szCs w:val="22"/>
      <w:lang w:val="ru-RU" w:eastAsia="en-US" w:bidi="ar-SA"/>
    </w:rPr>
  </w:style>
  <w:style w:type="paragraph" w:customStyle="1" w:styleId="283">
    <w:name w:val="Normal_111"/>
    <w:qFormat/>
    <w:uiPriority w:val="0"/>
    <w:pPr>
      <w:spacing w:before="120" w:after="240"/>
      <w:jc w:val="both"/>
    </w:pPr>
    <w:rPr>
      <w:rFonts w:ascii="Calibri" w:hAnsi="Calibri" w:eastAsia="Calibri" w:cs="Times New Roman"/>
      <w:sz w:val="22"/>
      <w:szCs w:val="22"/>
      <w:lang w:val="ru-RU" w:eastAsia="en-US" w:bidi="ar-SA"/>
    </w:rPr>
  </w:style>
  <w:style w:type="paragraph" w:customStyle="1" w:styleId="284">
    <w:name w:val="Normal_23"/>
    <w:qFormat/>
    <w:uiPriority w:val="0"/>
    <w:pPr>
      <w:spacing w:before="120" w:after="240"/>
      <w:jc w:val="both"/>
    </w:pPr>
    <w:rPr>
      <w:rFonts w:ascii="Calibri" w:hAnsi="Calibri" w:eastAsia="Calibri" w:cs="Times New Roman"/>
      <w:sz w:val="22"/>
      <w:szCs w:val="22"/>
      <w:lang w:val="ru-RU" w:eastAsia="en-US" w:bidi="ar-SA"/>
    </w:rPr>
  </w:style>
  <w:style w:type="paragraph" w:customStyle="1" w:styleId="285">
    <w:name w:val="Normal_113"/>
    <w:qFormat/>
    <w:uiPriority w:val="0"/>
    <w:pPr>
      <w:spacing w:before="120" w:after="240"/>
      <w:jc w:val="both"/>
    </w:pPr>
    <w:rPr>
      <w:rFonts w:ascii="Calibri" w:hAnsi="Calibri" w:eastAsia="Calibri" w:cs="Times New Roman"/>
      <w:sz w:val="22"/>
      <w:szCs w:val="22"/>
      <w:lang w:val="ru-RU" w:eastAsia="en-US" w:bidi="ar-SA"/>
    </w:rPr>
  </w:style>
  <w:style w:type="paragraph" w:customStyle="1" w:styleId="286">
    <w:name w:val="Normal_112"/>
    <w:qFormat/>
    <w:uiPriority w:val="0"/>
    <w:pPr>
      <w:spacing w:before="120" w:after="240"/>
      <w:jc w:val="both"/>
    </w:pPr>
    <w:rPr>
      <w:rFonts w:ascii="Calibri" w:hAnsi="Calibri" w:eastAsia="Calibri" w:cs="Times New Roman"/>
      <w:sz w:val="22"/>
      <w:szCs w:val="22"/>
      <w:lang w:val="ru-RU" w:eastAsia="en-US" w:bidi="ar-SA"/>
    </w:rPr>
  </w:style>
  <w:style w:type="paragraph" w:customStyle="1" w:styleId="287">
    <w:name w:val="Normal_35"/>
    <w:qFormat/>
    <w:uiPriority w:val="0"/>
    <w:pPr>
      <w:spacing w:before="120" w:after="240"/>
      <w:jc w:val="both"/>
    </w:pPr>
    <w:rPr>
      <w:rFonts w:ascii="Calibri" w:hAnsi="Calibri" w:eastAsia="Calibri" w:cs="Times New Roman"/>
      <w:sz w:val="22"/>
      <w:szCs w:val="22"/>
      <w:lang w:val="ru-RU" w:eastAsia="en-US" w:bidi="ar-SA"/>
    </w:rPr>
  </w:style>
  <w:style w:type="paragraph" w:customStyle="1" w:styleId="288">
    <w:name w:val="Normal_89"/>
    <w:qFormat/>
    <w:uiPriority w:val="0"/>
    <w:pPr>
      <w:spacing w:before="120" w:after="240"/>
      <w:jc w:val="both"/>
    </w:pPr>
    <w:rPr>
      <w:rFonts w:ascii="Calibri" w:hAnsi="Calibri" w:eastAsia="Calibri" w:cs="Times New Roman"/>
      <w:sz w:val="22"/>
      <w:szCs w:val="22"/>
      <w:lang w:val="ru-RU" w:eastAsia="en-US" w:bidi="ar-SA"/>
    </w:rPr>
  </w:style>
  <w:style w:type="paragraph" w:customStyle="1" w:styleId="289">
    <w:name w:val="Normal_22"/>
    <w:qFormat/>
    <w:uiPriority w:val="0"/>
    <w:pPr>
      <w:spacing w:before="120" w:after="240"/>
      <w:jc w:val="both"/>
    </w:pPr>
    <w:rPr>
      <w:rFonts w:ascii="Calibri" w:hAnsi="Calibri" w:eastAsia="Calibri" w:cs="Times New Roman"/>
      <w:sz w:val="22"/>
      <w:szCs w:val="22"/>
      <w:lang w:val="ru-RU" w:eastAsia="en-US" w:bidi="ar-SA"/>
    </w:rPr>
  </w:style>
  <w:style w:type="paragraph" w:customStyle="1" w:styleId="290">
    <w:name w:val="Normal_110"/>
    <w:qFormat/>
    <w:uiPriority w:val="0"/>
    <w:pPr>
      <w:spacing w:before="120" w:after="240"/>
      <w:jc w:val="both"/>
    </w:pPr>
    <w:rPr>
      <w:rFonts w:ascii="Calibri" w:hAnsi="Calibri" w:eastAsia="Calibri" w:cs="Times New Roman"/>
      <w:sz w:val="22"/>
      <w:szCs w:val="22"/>
      <w:lang w:val="ru-RU" w:eastAsia="en-US" w:bidi="ar-SA"/>
    </w:rPr>
  </w:style>
  <w:style w:type="paragraph" w:customStyle="1" w:styleId="291">
    <w:name w:val="Normal_116"/>
    <w:qFormat/>
    <w:uiPriority w:val="0"/>
    <w:pPr>
      <w:spacing w:before="120" w:after="240"/>
      <w:jc w:val="both"/>
    </w:pPr>
    <w:rPr>
      <w:rFonts w:ascii="Calibri" w:hAnsi="Calibri" w:eastAsia="Calibri" w:cs="Times New Roman"/>
      <w:sz w:val="22"/>
      <w:szCs w:val="22"/>
      <w:lang w:val="ru-RU" w:eastAsia="en-US" w:bidi="ar-SA"/>
    </w:rPr>
  </w:style>
  <w:style w:type="paragraph" w:customStyle="1" w:styleId="292">
    <w:name w:val="Normal_97"/>
    <w:qFormat/>
    <w:uiPriority w:val="0"/>
    <w:pPr>
      <w:spacing w:before="120" w:after="240"/>
      <w:jc w:val="both"/>
    </w:pPr>
    <w:rPr>
      <w:rFonts w:ascii="Calibri" w:hAnsi="Calibri" w:eastAsia="Calibri" w:cs="Times New Roman"/>
      <w:sz w:val="22"/>
      <w:szCs w:val="22"/>
      <w:lang w:val="ru-RU" w:eastAsia="en-US" w:bidi="ar-SA"/>
    </w:rPr>
  </w:style>
  <w:style w:type="paragraph" w:customStyle="1" w:styleId="293">
    <w:name w:val="Normal_16"/>
    <w:qFormat/>
    <w:uiPriority w:val="0"/>
    <w:pPr>
      <w:spacing w:before="120" w:after="240"/>
      <w:jc w:val="both"/>
    </w:pPr>
    <w:rPr>
      <w:rFonts w:ascii="Calibri" w:hAnsi="Calibri" w:eastAsia="Calibri" w:cs="Times New Roman"/>
      <w:sz w:val="22"/>
      <w:szCs w:val="22"/>
      <w:lang w:val="ru-RU" w:eastAsia="en-US" w:bidi="ar-SA"/>
    </w:rPr>
  </w:style>
  <w:style w:type="character" w:customStyle="1" w:styleId="294">
    <w:name w:val="正文首行缩进 2 Char"/>
    <w:link w:val="2"/>
    <w:qFormat/>
    <w:uiPriority w:val="99"/>
    <w:rPr>
      <w:rFonts w:ascii="Calibri" w:hAnsi="Calibri" w:eastAsia="隶书"/>
      <w:b/>
      <w:sz w:val="28"/>
      <w:u w:color="FF0000"/>
    </w:rPr>
  </w:style>
  <w:style w:type="character" w:customStyle="1" w:styleId="295">
    <w:name w:val="标题 3 Char1"/>
    <w:qFormat/>
    <w:locked/>
    <w:uiPriority w:val="0"/>
    <w:rPr>
      <w:rFonts w:eastAsia="黑体"/>
      <w:b/>
      <w:bCs/>
      <w:kern w:val="2"/>
      <w:sz w:val="28"/>
      <w:szCs w:val="32"/>
    </w:rPr>
  </w:style>
  <w:style w:type="character" w:customStyle="1" w:styleId="296">
    <w:name w:val="Char Char33"/>
    <w:qFormat/>
    <w:uiPriority w:val="0"/>
    <w:rPr>
      <w:rFonts w:eastAsia="仿宋_GB2312"/>
      <w:b/>
      <w:bCs/>
      <w:kern w:val="2"/>
      <w:sz w:val="28"/>
      <w:szCs w:val="24"/>
      <w:u w:color="FF0000"/>
    </w:rPr>
  </w:style>
  <w:style w:type="character" w:customStyle="1" w:styleId="297">
    <w:name w:val="Char Char52"/>
    <w:qFormat/>
    <w:uiPriority w:val="0"/>
    <w:rPr>
      <w:rFonts w:eastAsia="宋体"/>
      <w:color w:val="000000"/>
      <w:kern w:val="2"/>
      <w:sz w:val="18"/>
      <w:lang w:val="en-US" w:eastAsia="zh-CN" w:bidi="ar-SA"/>
    </w:rPr>
  </w:style>
  <w:style w:type="character" w:customStyle="1" w:styleId="298">
    <w:name w:val="Char Char82"/>
    <w:qFormat/>
    <w:locked/>
    <w:uiPriority w:val="0"/>
    <w:rPr>
      <w:rFonts w:eastAsia="仿宋_GB2312"/>
      <w:b/>
      <w:bCs/>
      <w:kern w:val="2"/>
      <w:sz w:val="28"/>
      <w:szCs w:val="24"/>
      <w:u w:color="FF0000"/>
      <w:lang w:val="en-US" w:eastAsia="zh-CN" w:bidi="ar-SA"/>
    </w:rPr>
  </w:style>
  <w:style w:type="character" w:customStyle="1" w:styleId="299">
    <w:name w:val="Char Char22"/>
    <w:qFormat/>
    <w:uiPriority w:val="0"/>
    <w:rPr>
      <w:rFonts w:eastAsia="宋体"/>
      <w:b/>
      <w:kern w:val="2"/>
      <w:sz w:val="28"/>
      <w:lang w:val="en-US" w:eastAsia="zh-CN" w:bidi="ar-SA"/>
    </w:rPr>
  </w:style>
  <w:style w:type="character" w:customStyle="1" w:styleId="300">
    <w:name w:val="Char Char42"/>
    <w:qFormat/>
    <w:uiPriority w:val="0"/>
    <w:rPr>
      <w:rFonts w:ascii="Times New Roman" w:hAnsi="Times New Roman" w:eastAsia="宋体"/>
      <w:b/>
      <w:kern w:val="44"/>
      <w:sz w:val="30"/>
    </w:rPr>
  </w:style>
  <w:style w:type="character" w:customStyle="1" w:styleId="301">
    <w:name w:val="纯文本 Char1"/>
    <w:qFormat/>
    <w:uiPriority w:val="0"/>
    <w:rPr>
      <w:rFonts w:ascii="宋体" w:hAnsi="Courier New" w:cs="Courier New"/>
      <w:kern w:val="2"/>
      <w:sz w:val="21"/>
      <w:szCs w:val="21"/>
    </w:rPr>
  </w:style>
  <w:style w:type="character" w:customStyle="1" w:styleId="302">
    <w:name w:val="正文文本 Char1"/>
    <w:qFormat/>
    <w:uiPriority w:val="0"/>
    <w:rPr>
      <w:kern w:val="2"/>
      <w:sz w:val="21"/>
    </w:rPr>
  </w:style>
  <w:style w:type="character" w:customStyle="1" w:styleId="303">
    <w:name w:val="文1 Char Char"/>
    <w:qFormat/>
    <w:uiPriority w:val="0"/>
    <w:rPr>
      <w:kern w:val="2"/>
      <w:sz w:val="28"/>
    </w:rPr>
  </w:style>
  <w:style w:type="character" w:customStyle="1" w:styleId="304">
    <w:name w:val="标题 Char1"/>
    <w:qFormat/>
    <w:uiPriority w:val="10"/>
    <w:rPr>
      <w:rFonts w:ascii="Cambria" w:hAnsi="Cambria" w:cs="Times New Roman"/>
      <w:b/>
      <w:bCs/>
      <w:kern w:val="2"/>
      <w:sz w:val="32"/>
      <w:szCs w:val="32"/>
      <w:u w:color="FF0000"/>
    </w:rPr>
  </w:style>
  <w:style w:type="paragraph" w:customStyle="1" w:styleId="305">
    <w:name w:val="_Style 8"/>
    <w:basedOn w:val="1"/>
    <w:qFormat/>
    <w:uiPriority w:val="0"/>
    <w:rPr>
      <w:b w:val="0"/>
    </w:rPr>
  </w:style>
  <w:style w:type="paragraph" w:customStyle="1" w:styleId="306">
    <w:name w:val="编号列项（三级）"/>
    <w:qFormat/>
    <w:uiPriority w:val="0"/>
    <w:pPr>
      <w:numPr>
        <w:ilvl w:val="2"/>
        <w:numId w:val="1"/>
      </w:numPr>
      <w:tabs>
        <w:tab w:val="left" w:pos="0"/>
      </w:tabs>
    </w:pPr>
    <w:rPr>
      <w:rFonts w:ascii="宋体" w:hAnsi="Times New Roman" w:eastAsia="宋体" w:cs="Times New Roman"/>
      <w:sz w:val="21"/>
      <w:lang w:val="en-US" w:eastAsia="zh-CN" w:bidi="ar-SA"/>
    </w:rPr>
  </w:style>
  <w:style w:type="paragraph" w:customStyle="1" w:styleId="307">
    <w:name w:val="参考文献"/>
    <w:basedOn w:val="1"/>
    <w:next w:val="103"/>
    <w:qFormat/>
    <w:uiPriority w:val="0"/>
    <w:pPr>
      <w:keepNext/>
      <w:pageBreakBefore/>
      <w:widowControl/>
      <w:shd w:val="clear" w:color="FFFFFF" w:fill="FFFFFF"/>
      <w:spacing w:before="640" w:after="200"/>
      <w:jc w:val="center"/>
      <w:outlineLvl w:val="0"/>
    </w:pPr>
    <w:rPr>
      <w:rFonts w:ascii="黑体" w:hAnsi="Times New Roman" w:eastAsia="黑体"/>
      <w:b w:val="0"/>
      <w:kern w:val="0"/>
      <w:szCs w:val="20"/>
    </w:rPr>
  </w:style>
  <w:style w:type="paragraph" w:customStyle="1" w:styleId="308">
    <w:name w:val="数字编号列项（二级）"/>
    <w:qFormat/>
    <w:uiPriority w:val="0"/>
    <w:pPr>
      <w:numPr>
        <w:ilvl w:val="1"/>
        <w:numId w:val="1"/>
      </w:numPr>
      <w:tabs>
        <w:tab w:val="left" w:pos="1259"/>
      </w:tabs>
      <w:jc w:val="both"/>
    </w:pPr>
    <w:rPr>
      <w:rFonts w:ascii="宋体" w:hAnsi="Times New Roman" w:eastAsia="宋体" w:cs="Times New Roman"/>
      <w:sz w:val="21"/>
      <w:lang w:val="en-US" w:eastAsia="zh-CN" w:bidi="ar-SA"/>
    </w:rPr>
  </w:style>
  <w:style w:type="paragraph" w:customStyle="1" w:styleId="309">
    <w:name w:val="3"/>
    <w:next w:val="1"/>
    <w:qFormat/>
    <w:uiPriority w:val="0"/>
    <w:pPr>
      <w:widowControl w:val="0"/>
      <w:jc w:val="both"/>
    </w:pPr>
    <w:rPr>
      <w:rFonts w:ascii="Times New Roman" w:hAnsi="Times New Roman" w:eastAsia="宋体" w:cs="Times New Roman"/>
      <w:b/>
      <w:kern w:val="2"/>
      <w:sz w:val="21"/>
      <w:szCs w:val="24"/>
      <w:u w:color="FF0000"/>
      <w:lang w:val="en-US" w:eastAsia="zh-CN" w:bidi="ar-SA"/>
    </w:rPr>
  </w:style>
  <w:style w:type="table" w:customStyle="1" w:styleId="310">
    <w:name w:val="网格型 71"/>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311">
    <w:name w:val="HTML 预设格式 Char"/>
    <w:basedOn w:val="52"/>
    <w:link w:val="44"/>
    <w:qFormat/>
    <w:uiPriority w:val="0"/>
    <w:rPr>
      <w:rFonts w:ascii="Courier New" w:hAnsi="Courier New" w:cs="Courier New"/>
      <w:kern w:val="2"/>
    </w:rPr>
  </w:style>
  <w:style w:type="table" w:customStyle="1" w:styleId="312">
    <w:name w:val="网格型 711"/>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character" w:customStyle="1" w:styleId="313">
    <w:name w:val="Char Char7"/>
    <w:qFormat/>
    <w:uiPriority w:val="0"/>
    <w:rPr>
      <w:rFonts w:eastAsia="仿宋_GB2312"/>
      <w:b/>
      <w:bCs/>
      <w:kern w:val="2"/>
      <w:sz w:val="28"/>
      <w:szCs w:val="24"/>
      <w:u w:color="FF0000"/>
      <w:lang w:val="en-US" w:eastAsia="zh-CN" w:bidi="ar-SA"/>
    </w:rPr>
  </w:style>
  <w:style w:type="character" w:customStyle="1" w:styleId="314">
    <w:name w:val="样式1 Char Char"/>
    <w:link w:val="101"/>
    <w:qFormat/>
    <w:uiPriority w:val="0"/>
    <w:rPr>
      <w:rFonts w:ascii="仿宋_GB2312" w:hAnsi="Calibri" w:eastAsia="仿宋_GB2312"/>
      <w:b/>
      <w:kern w:val="2"/>
      <w:sz w:val="44"/>
      <w:szCs w:val="24"/>
      <w:u w:color="FF0000"/>
    </w:rPr>
  </w:style>
  <w:style w:type="character" w:customStyle="1" w:styleId="315">
    <w:name w:val="链接"/>
    <w:qFormat/>
    <w:uiPriority w:val="0"/>
    <w:rPr>
      <w:rFonts w:ascii="Times New Roman" w:eastAsia="宋体"/>
      <w:color w:val="0000FF"/>
      <w:sz w:val="21"/>
      <w:u w:val="single" w:color="0000FF"/>
      <w:vertAlign w:val="baseline"/>
      <w:lang w:val="en-US" w:eastAsia="zh-CN"/>
    </w:rPr>
  </w:style>
  <w:style w:type="character" w:customStyle="1" w:styleId="316">
    <w:name w:val="p1"/>
    <w:qFormat/>
    <w:uiPriority w:val="0"/>
    <w:rPr>
      <w:sz w:val="21"/>
      <w:szCs w:val="21"/>
    </w:rPr>
  </w:style>
  <w:style w:type="character" w:customStyle="1" w:styleId="317">
    <w:name w:val="批注文字 Char1"/>
    <w:semiHidden/>
    <w:qFormat/>
    <w:uiPriority w:val="99"/>
    <w:rPr>
      <w:rFonts w:ascii="Times New Roman" w:hAnsi="Times New Roman" w:eastAsia="宋体" w:cs="Times New Roman"/>
      <w:szCs w:val="24"/>
    </w:rPr>
  </w:style>
  <w:style w:type="character" w:customStyle="1" w:styleId="318">
    <w:name w:val="无间隔 Char"/>
    <w:link w:val="202"/>
    <w:qFormat/>
    <w:uiPriority w:val="1"/>
    <w:rPr>
      <w:kern w:val="2"/>
      <w:sz w:val="21"/>
      <w:szCs w:val="24"/>
    </w:rPr>
  </w:style>
  <w:style w:type="character" w:customStyle="1" w:styleId="319">
    <w:name w:val="副标题 Char"/>
    <w:link w:val="36"/>
    <w:qFormat/>
    <w:uiPriority w:val="0"/>
    <w:rPr>
      <w:rFonts w:ascii="Cambria" w:hAnsi="Cambria"/>
      <w:b/>
      <w:bCs/>
      <w:kern w:val="28"/>
      <w:sz w:val="32"/>
      <w:szCs w:val="32"/>
    </w:rPr>
  </w:style>
  <w:style w:type="character" w:customStyle="1" w:styleId="320">
    <w:name w:val="副标题 Char1"/>
    <w:basedOn w:val="52"/>
    <w:qFormat/>
    <w:uiPriority w:val="11"/>
    <w:rPr>
      <w:rFonts w:asciiTheme="majorHAnsi" w:hAnsiTheme="majorHAnsi" w:cstheme="majorBidi"/>
      <w:b/>
      <w:bCs/>
      <w:kern w:val="28"/>
      <w:sz w:val="32"/>
      <w:szCs w:val="32"/>
      <w:u w:color="FF0000"/>
    </w:rPr>
  </w:style>
  <w:style w:type="character" w:customStyle="1" w:styleId="321">
    <w:name w:val="正文1"/>
    <w:qFormat/>
    <w:uiPriority w:val="0"/>
    <w:rPr>
      <w:rFonts w:hint="eastAsia" w:ascii="宋体" w:hAnsi="宋体" w:eastAsia="宋体"/>
      <w:sz w:val="22"/>
      <w:szCs w:val="22"/>
    </w:rPr>
  </w:style>
  <w:style w:type="character" w:customStyle="1" w:styleId="322">
    <w:name w:val="tpc_content1"/>
    <w:qFormat/>
    <w:uiPriority w:val="0"/>
    <w:rPr>
      <w:sz w:val="20"/>
      <w:szCs w:val="20"/>
    </w:rPr>
  </w:style>
  <w:style w:type="character" w:customStyle="1" w:styleId="323">
    <w:name w:val="HTML 预设格式 Char1"/>
    <w:qFormat/>
    <w:uiPriority w:val="99"/>
    <w:rPr>
      <w:rFonts w:ascii="Courier New" w:hAnsi="Courier New" w:cs="Courier New"/>
      <w:b/>
      <w:kern w:val="2"/>
      <w:u w:color="FF0000"/>
    </w:rPr>
  </w:style>
  <w:style w:type="character" w:customStyle="1" w:styleId="324">
    <w:name w:val="正文文本 2 Char1"/>
    <w:semiHidden/>
    <w:qFormat/>
    <w:uiPriority w:val="99"/>
    <w:rPr>
      <w:rFonts w:ascii="Times New Roman" w:hAnsi="Times New Roman" w:eastAsia="宋体" w:cs="Times New Roman"/>
      <w:szCs w:val="24"/>
    </w:rPr>
  </w:style>
  <w:style w:type="character" w:customStyle="1" w:styleId="325">
    <w:name w:val="批注主题 Char1"/>
    <w:semiHidden/>
    <w:qFormat/>
    <w:uiPriority w:val="99"/>
    <w:rPr>
      <w:rFonts w:ascii="Times New Roman" w:hAnsi="Times New Roman" w:eastAsia="宋体" w:cs="Times New Roman"/>
      <w:b/>
      <w:bCs/>
      <w:szCs w:val="24"/>
    </w:rPr>
  </w:style>
  <w:style w:type="paragraph" w:customStyle="1" w:styleId="326">
    <w:name w:val="font9"/>
    <w:basedOn w:val="1"/>
    <w:qFormat/>
    <w:uiPriority w:val="0"/>
    <w:pPr>
      <w:widowControl/>
      <w:spacing w:before="100" w:beforeAutospacing="1" w:after="100" w:afterAutospacing="1"/>
      <w:jc w:val="left"/>
    </w:pPr>
    <w:rPr>
      <w:rFonts w:hint="eastAsia" w:ascii="仿宋_GB2312" w:hAnsi="宋体" w:eastAsia="仿宋_GB2312"/>
      <w:b w:val="0"/>
      <w:color w:val="FF0000"/>
      <w:kern w:val="0"/>
      <w:sz w:val="18"/>
      <w:szCs w:val="18"/>
    </w:rPr>
  </w:style>
  <w:style w:type="character" w:customStyle="1" w:styleId="327">
    <w:name w:val="日期 Char1"/>
    <w:semiHidden/>
    <w:qFormat/>
    <w:uiPriority w:val="99"/>
    <w:rPr>
      <w:rFonts w:ascii="Times New Roman" w:hAnsi="Times New Roman" w:eastAsia="宋体" w:cs="Times New Roman"/>
      <w:szCs w:val="24"/>
    </w:rPr>
  </w:style>
  <w:style w:type="character" w:customStyle="1" w:styleId="328">
    <w:name w:val="正文文本缩进 Char1"/>
    <w:semiHidden/>
    <w:qFormat/>
    <w:uiPriority w:val="99"/>
    <w:rPr>
      <w:rFonts w:ascii="Times New Roman" w:hAnsi="Times New Roman" w:eastAsia="宋体" w:cs="Times New Roman"/>
      <w:szCs w:val="24"/>
    </w:rPr>
  </w:style>
  <w:style w:type="character" w:customStyle="1" w:styleId="329">
    <w:name w:val="批注框文本 Char1"/>
    <w:semiHidden/>
    <w:qFormat/>
    <w:uiPriority w:val="99"/>
    <w:rPr>
      <w:rFonts w:ascii="Times New Roman" w:hAnsi="Times New Roman" w:eastAsia="宋体" w:cs="Times New Roman"/>
      <w:sz w:val="18"/>
      <w:szCs w:val="18"/>
    </w:rPr>
  </w:style>
  <w:style w:type="character" w:customStyle="1" w:styleId="330">
    <w:name w:val="正文文本缩进 2 Char1"/>
    <w:semiHidden/>
    <w:qFormat/>
    <w:uiPriority w:val="99"/>
    <w:rPr>
      <w:rFonts w:ascii="Times New Roman" w:hAnsi="Times New Roman" w:eastAsia="宋体" w:cs="Times New Roman"/>
      <w:szCs w:val="24"/>
    </w:rPr>
  </w:style>
  <w:style w:type="character" w:customStyle="1" w:styleId="331">
    <w:name w:val="脚注文本 Char1"/>
    <w:semiHidden/>
    <w:qFormat/>
    <w:uiPriority w:val="99"/>
    <w:rPr>
      <w:rFonts w:ascii="Times New Roman" w:hAnsi="Times New Roman" w:eastAsia="宋体" w:cs="Times New Roman"/>
      <w:sz w:val="18"/>
      <w:szCs w:val="18"/>
    </w:rPr>
  </w:style>
  <w:style w:type="character" w:customStyle="1" w:styleId="332">
    <w:name w:val="文档结构图 Char1"/>
    <w:semiHidden/>
    <w:qFormat/>
    <w:uiPriority w:val="99"/>
    <w:rPr>
      <w:rFonts w:ascii="宋体" w:hAnsi="Times New Roman" w:eastAsia="宋体" w:cs="Times New Roman"/>
      <w:sz w:val="18"/>
      <w:szCs w:val="18"/>
    </w:rPr>
  </w:style>
  <w:style w:type="paragraph" w:customStyle="1" w:styleId="333">
    <w:name w:val="font8"/>
    <w:basedOn w:val="1"/>
    <w:qFormat/>
    <w:uiPriority w:val="0"/>
    <w:pPr>
      <w:widowControl/>
      <w:spacing w:before="100" w:beforeAutospacing="1" w:after="100" w:afterAutospacing="1"/>
      <w:jc w:val="left"/>
    </w:pPr>
    <w:rPr>
      <w:rFonts w:hint="eastAsia" w:ascii="仿宋_GB2312" w:hAnsi="宋体" w:eastAsia="仿宋_GB2312"/>
      <w:b w:val="0"/>
      <w:color w:val="000000"/>
      <w:kern w:val="0"/>
      <w:sz w:val="18"/>
      <w:szCs w:val="18"/>
    </w:rPr>
  </w:style>
  <w:style w:type="character" w:customStyle="1" w:styleId="334">
    <w:name w:val="正文文本缩进 3 Char1"/>
    <w:semiHidden/>
    <w:qFormat/>
    <w:uiPriority w:val="99"/>
    <w:rPr>
      <w:rFonts w:ascii="Times New Roman" w:hAnsi="Times New Roman" w:eastAsia="宋体" w:cs="Times New Roman"/>
      <w:sz w:val="16"/>
      <w:szCs w:val="16"/>
    </w:rPr>
  </w:style>
  <w:style w:type="character" w:customStyle="1" w:styleId="335">
    <w:name w:val="页眉 Char1"/>
    <w:semiHidden/>
    <w:qFormat/>
    <w:uiPriority w:val="99"/>
    <w:rPr>
      <w:rFonts w:ascii="Times New Roman" w:hAnsi="Times New Roman" w:eastAsia="宋体" w:cs="Times New Roman"/>
      <w:sz w:val="18"/>
      <w:szCs w:val="18"/>
    </w:rPr>
  </w:style>
  <w:style w:type="paragraph" w:customStyle="1" w:styleId="336">
    <w:name w:val="font7"/>
    <w:basedOn w:val="1"/>
    <w:qFormat/>
    <w:uiPriority w:val="0"/>
    <w:pPr>
      <w:widowControl/>
      <w:spacing w:before="100" w:beforeAutospacing="1" w:after="100" w:afterAutospacing="1"/>
      <w:jc w:val="left"/>
    </w:pPr>
    <w:rPr>
      <w:rFonts w:ascii="Times New Roman" w:hAnsi="Times New Roman"/>
      <w:b w:val="0"/>
      <w:kern w:val="0"/>
      <w:sz w:val="24"/>
    </w:rPr>
  </w:style>
  <w:style w:type="character" w:customStyle="1" w:styleId="337">
    <w:name w:val="正文文本 3 Char1"/>
    <w:semiHidden/>
    <w:qFormat/>
    <w:uiPriority w:val="99"/>
    <w:rPr>
      <w:rFonts w:ascii="Times New Roman" w:hAnsi="Times New Roman" w:eastAsia="宋体" w:cs="Times New Roman"/>
      <w:sz w:val="16"/>
      <w:szCs w:val="16"/>
    </w:rPr>
  </w:style>
  <w:style w:type="character" w:customStyle="1" w:styleId="338">
    <w:name w:val="正文首行缩进 Char1"/>
    <w:semiHidden/>
    <w:qFormat/>
    <w:uiPriority w:val="99"/>
    <w:rPr>
      <w:rFonts w:ascii="Times New Roman" w:hAnsi="Times New Roman" w:eastAsia="宋体" w:cs="Times New Roman"/>
      <w:szCs w:val="24"/>
    </w:rPr>
  </w:style>
  <w:style w:type="character" w:customStyle="1" w:styleId="339">
    <w:name w:val="页脚 Char1"/>
    <w:semiHidden/>
    <w:qFormat/>
    <w:uiPriority w:val="99"/>
    <w:rPr>
      <w:rFonts w:ascii="Times New Roman" w:hAnsi="Times New Roman" w:eastAsia="宋体" w:cs="Times New Roman"/>
      <w:sz w:val="18"/>
      <w:szCs w:val="18"/>
    </w:rPr>
  </w:style>
  <w:style w:type="paragraph" w:customStyle="1" w:styleId="340">
    <w:name w:val="节标题"/>
    <w:basedOn w:val="1"/>
    <w:next w:val="341"/>
    <w:qFormat/>
    <w:uiPriority w:val="0"/>
    <w:pPr>
      <w:widowControl/>
      <w:spacing w:line="289" w:lineRule="atLeast"/>
      <w:jc w:val="center"/>
      <w:textAlignment w:val="baseline"/>
    </w:pPr>
    <w:rPr>
      <w:rFonts w:ascii="Times New Roman" w:hAnsi="Times New Roman"/>
      <w:b w:val="0"/>
      <w:color w:val="000000"/>
      <w:kern w:val="0"/>
      <w:sz w:val="28"/>
      <w:szCs w:val="20"/>
      <w:u w:color="000000"/>
    </w:rPr>
  </w:style>
  <w:style w:type="paragraph" w:customStyle="1" w:styleId="341">
    <w:name w:val="小节标题"/>
    <w:basedOn w:val="1"/>
    <w:next w:val="1"/>
    <w:qFormat/>
    <w:uiPriority w:val="0"/>
    <w:pPr>
      <w:widowControl/>
      <w:spacing w:before="175" w:after="102" w:line="351" w:lineRule="atLeast"/>
      <w:textAlignment w:val="baseline"/>
    </w:pPr>
    <w:rPr>
      <w:rFonts w:ascii="Times New Roman" w:hAnsi="Times New Roman" w:eastAsia="黑体"/>
      <w:b w:val="0"/>
      <w:color w:val="000000"/>
      <w:kern w:val="0"/>
      <w:szCs w:val="20"/>
      <w:u w:color="000000"/>
    </w:rPr>
  </w:style>
  <w:style w:type="paragraph" w:customStyle="1" w:styleId="342">
    <w:name w:val="xl28"/>
    <w:basedOn w:val="1"/>
    <w:qFormat/>
    <w:uiPriority w:val="0"/>
    <w:pPr>
      <w:widowControl/>
      <w:spacing w:before="100" w:beforeAutospacing="1" w:after="100" w:afterAutospacing="1"/>
      <w:jc w:val="left"/>
    </w:pPr>
    <w:rPr>
      <w:rFonts w:ascii="Times New Roman" w:hAnsi="Times New Roman"/>
      <w:b w:val="0"/>
      <w:kern w:val="0"/>
      <w:sz w:val="24"/>
    </w:rPr>
  </w:style>
  <w:style w:type="paragraph" w:customStyle="1" w:styleId="343">
    <w:name w:val="Char Char Char Char Char Char Char Char Char Char Char Char Char Char Char Char"/>
    <w:basedOn w:val="1"/>
    <w:qFormat/>
    <w:uiPriority w:val="0"/>
    <w:pPr>
      <w:widowControl/>
      <w:spacing w:line="240" w:lineRule="exact"/>
      <w:jc w:val="left"/>
    </w:pPr>
    <w:rPr>
      <w:rFonts w:ascii="Verdana" w:hAnsi="Verdana"/>
      <w:b w:val="0"/>
      <w:color w:val="000000"/>
      <w:kern w:val="0"/>
      <w:sz w:val="20"/>
      <w:szCs w:val="20"/>
      <w:u w:color="000000"/>
      <w:lang w:eastAsia="en-US"/>
    </w:rPr>
  </w:style>
  <w:style w:type="paragraph" w:customStyle="1" w:styleId="34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bCs/>
      <w:kern w:val="0"/>
      <w:sz w:val="18"/>
      <w:szCs w:val="18"/>
    </w:rPr>
  </w:style>
  <w:style w:type="paragraph" w:customStyle="1" w:styleId="345">
    <w:name w:val="xl2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bCs/>
      <w:kern w:val="0"/>
      <w:sz w:val="18"/>
      <w:szCs w:val="18"/>
    </w:rPr>
  </w:style>
  <w:style w:type="paragraph" w:customStyle="1" w:styleId="346">
    <w:name w:val="文章总标题"/>
    <w:basedOn w:val="1"/>
    <w:next w:val="347"/>
    <w:qFormat/>
    <w:uiPriority w:val="0"/>
    <w:pPr>
      <w:widowControl/>
      <w:spacing w:before="566" w:after="544" w:line="566" w:lineRule="atLeast"/>
      <w:jc w:val="center"/>
      <w:textAlignment w:val="baseline"/>
    </w:pPr>
    <w:rPr>
      <w:rFonts w:ascii="Arial" w:hAnsi="Times New Roman" w:eastAsia="黑体"/>
      <w:b w:val="0"/>
      <w:color w:val="000000"/>
      <w:kern w:val="0"/>
      <w:sz w:val="54"/>
      <w:szCs w:val="20"/>
      <w:u w:color="000000"/>
    </w:rPr>
  </w:style>
  <w:style w:type="paragraph" w:customStyle="1" w:styleId="347">
    <w:name w:val="文章副标题"/>
    <w:basedOn w:val="1"/>
    <w:next w:val="114"/>
    <w:qFormat/>
    <w:uiPriority w:val="0"/>
    <w:pPr>
      <w:widowControl/>
      <w:spacing w:before="187" w:after="175" w:line="374" w:lineRule="atLeast"/>
      <w:jc w:val="center"/>
      <w:textAlignment w:val="baseline"/>
    </w:pPr>
    <w:rPr>
      <w:rFonts w:ascii="Times New Roman" w:hAnsi="Times New Roman"/>
      <w:b w:val="0"/>
      <w:color w:val="000000"/>
      <w:kern w:val="0"/>
      <w:sz w:val="36"/>
      <w:szCs w:val="20"/>
      <w:u w:color="000000"/>
    </w:rPr>
  </w:style>
  <w:style w:type="paragraph" w:customStyle="1" w:styleId="348">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hint="eastAsia" w:ascii="仿宋_GB2312" w:hAnsi="宋体" w:eastAsia="仿宋_GB2312"/>
      <w:b w:val="0"/>
      <w:kern w:val="0"/>
      <w:sz w:val="18"/>
      <w:szCs w:val="18"/>
    </w:rPr>
  </w:style>
  <w:style w:type="paragraph" w:customStyle="1" w:styleId="349">
    <w:name w:val="正文图标题"/>
    <w:next w:val="103"/>
    <w:qFormat/>
    <w:uiPriority w:val="0"/>
    <w:pPr>
      <w:tabs>
        <w:tab w:val="left" w:pos="360"/>
        <w:tab w:val="left" w:pos="720"/>
      </w:tabs>
      <w:spacing w:before="156" w:beforeLines="50" w:after="156" w:afterLines="50"/>
      <w:ind w:left="720" w:hanging="720"/>
      <w:jc w:val="center"/>
    </w:pPr>
    <w:rPr>
      <w:rFonts w:ascii="黑体" w:hAnsi="Times New Roman" w:eastAsia="黑体" w:cs="Times New Roman"/>
      <w:sz w:val="21"/>
      <w:lang w:val="en-US" w:eastAsia="zh-CN" w:bidi="ar-SA"/>
    </w:rPr>
  </w:style>
  <w:style w:type="paragraph" w:customStyle="1" w:styleId="350">
    <w:name w:val="xl27"/>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宋体" w:eastAsia="仿宋_GB2312"/>
      <w:b w:val="0"/>
      <w:kern w:val="0"/>
      <w:sz w:val="18"/>
      <w:szCs w:val="18"/>
    </w:rPr>
  </w:style>
  <w:style w:type="paragraph" w:customStyle="1" w:styleId="351">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仿宋_GB2312" w:hAnsi="宋体" w:eastAsia="仿宋_GB2312"/>
      <w:b w:val="0"/>
      <w:kern w:val="0"/>
      <w:sz w:val="18"/>
      <w:szCs w:val="18"/>
    </w:rPr>
  </w:style>
  <w:style w:type="paragraph" w:customStyle="1" w:styleId="352">
    <w:name w:val="xl3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b w:val="0"/>
      <w:kern w:val="0"/>
      <w:sz w:val="18"/>
      <w:szCs w:val="18"/>
    </w:rPr>
  </w:style>
  <w:style w:type="paragraph" w:customStyle="1" w:styleId="353">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hint="eastAsia" w:ascii="仿宋_GB2312" w:hAnsi="宋体" w:eastAsia="仿宋_GB2312"/>
      <w:b w:val="0"/>
      <w:color w:val="000000"/>
      <w:kern w:val="0"/>
      <w:sz w:val="18"/>
      <w:szCs w:val="18"/>
    </w:rPr>
  </w:style>
  <w:style w:type="paragraph" w:customStyle="1" w:styleId="354">
    <w:name w:val="xl3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b w:val="0"/>
      <w:color w:val="000000"/>
      <w:kern w:val="0"/>
      <w:sz w:val="18"/>
      <w:szCs w:val="18"/>
    </w:rPr>
  </w:style>
  <w:style w:type="paragraph" w:customStyle="1" w:styleId="355">
    <w:name w:val="xl35"/>
    <w:basedOn w:val="1"/>
    <w:qFormat/>
    <w:uiPriority w:val="0"/>
    <w:pPr>
      <w:widowControl/>
      <w:spacing w:before="100" w:beforeAutospacing="1" w:after="100" w:afterAutospacing="1"/>
      <w:jc w:val="center"/>
    </w:pPr>
    <w:rPr>
      <w:rFonts w:ascii="宋体" w:hAnsi="宋体"/>
      <w:b w:val="0"/>
      <w:color w:val="FF6600"/>
      <w:kern w:val="0"/>
      <w:sz w:val="24"/>
    </w:rPr>
  </w:style>
  <w:style w:type="paragraph" w:customStyle="1" w:styleId="356">
    <w:name w:val="xl36"/>
    <w:basedOn w:val="1"/>
    <w:qFormat/>
    <w:uiPriority w:val="0"/>
    <w:pPr>
      <w:widowControl/>
      <w:pBdr>
        <w:right w:val="single" w:color="auto" w:sz="4" w:space="0"/>
      </w:pBdr>
      <w:spacing w:before="100" w:beforeAutospacing="1" w:after="100" w:afterAutospacing="1"/>
      <w:jc w:val="center"/>
    </w:pPr>
    <w:rPr>
      <w:rFonts w:ascii="Times New Roman" w:hAnsi="Times New Roman"/>
      <w:b w:val="0"/>
      <w:kern w:val="0"/>
      <w:sz w:val="18"/>
      <w:szCs w:val="18"/>
    </w:rPr>
  </w:style>
  <w:style w:type="paragraph" w:customStyle="1" w:styleId="357">
    <w:name w:val="xl37"/>
    <w:basedOn w:val="1"/>
    <w:qFormat/>
    <w:uiPriority w:val="0"/>
    <w:pPr>
      <w:widowControl/>
      <w:pBdr>
        <w:right w:val="single" w:color="auto" w:sz="4" w:space="0"/>
      </w:pBdr>
      <w:spacing w:before="100" w:beforeAutospacing="1" w:after="100" w:afterAutospacing="1"/>
      <w:jc w:val="center"/>
      <w:textAlignment w:val="center"/>
    </w:pPr>
    <w:rPr>
      <w:rFonts w:ascii="Times New Roman" w:hAnsi="Times New Roman"/>
      <w:b w:val="0"/>
      <w:kern w:val="0"/>
      <w:sz w:val="24"/>
    </w:rPr>
  </w:style>
  <w:style w:type="paragraph" w:customStyle="1" w:styleId="358">
    <w:name w:val="目录1"/>
    <w:basedOn w:val="1"/>
    <w:next w:val="1"/>
    <w:qFormat/>
    <w:uiPriority w:val="0"/>
    <w:pPr>
      <w:widowControl/>
      <w:tabs>
        <w:tab w:val="left" w:leader="dot" w:pos="8503"/>
      </w:tabs>
      <w:spacing w:after="102" w:line="215" w:lineRule="atLeast"/>
      <w:ind w:firstLine="419"/>
      <w:jc w:val="left"/>
      <w:textAlignment w:val="baseline"/>
    </w:pPr>
    <w:rPr>
      <w:rFonts w:ascii="Times New Roman" w:hAnsi="Times New Roman"/>
      <w:b w:val="0"/>
      <w:color w:val="000000"/>
      <w:kern w:val="0"/>
      <w:szCs w:val="20"/>
      <w:u w:color="000000"/>
    </w:rPr>
  </w:style>
  <w:style w:type="paragraph" w:customStyle="1" w:styleId="359">
    <w:name w:val="三级无"/>
    <w:basedOn w:val="191"/>
    <w:qFormat/>
    <w:uiPriority w:val="0"/>
    <w:pPr>
      <w:tabs>
        <w:tab w:val="clear" w:pos="992"/>
        <w:tab w:val="clear" w:pos="2100"/>
      </w:tabs>
      <w:ind w:left="0" w:firstLine="0"/>
      <w:jc w:val="left"/>
    </w:pPr>
    <w:rPr>
      <w:szCs w:val="21"/>
    </w:rPr>
  </w:style>
  <w:style w:type="paragraph" w:customStyle="1" w:styleId="360">
    <w:name w:val="二级无"/>
    <w:basedOn w:val="102"/>
    <w:qFormat/>
    <w:uiPriority w:val="0"/>
    <w:pPr>
      <w:widowControl/>
      <w:tabs>
        <w:tab w:val="clear" w:pos="5400"/>
      </w:tabs>
      <w:jc w:val="left"/>
    </w:pPr>
    <w:rPr>
      <w:rFonts w:ascii="宋体" w:hAnsi="Times New Roman" w:eastAsia="宋体"/>
      <w:kern w:val="0"/>
      <w:szCs w:val="21"/>
    </w:rPr>
  </w:style>
  <w:style w:type="paragraph" w:customStyle="1" w:styleId="361">
    <w:name w:val="4"/>
    <w:basedOn w:val="1"/>
    <w:next w:val="3"/>
    <w:qFormat/>
    <w:uiPriority w:val="0"/>
    <w:pPr>
      <w:ind w:firstLine="560" w:firstLineChars="200"/>
    </w:pPr>
    <w:rPr>
      <w:rFonts w:ascii="Times New Roman" w:hAnsi="Times New Roman"/>
      <w:b w:val="0"/>
      <w:sz w:val="28"/>
    </w:rPr>
  </w:style>
  <w:style w:type="paragraph" w:customStyle="1" w:styleId="362">
    <w:name w:val="目录3"/>
    <w:basedOn w:val="1"/>
    <w:next w:val="1"/>
    <w:qFormat/>
    <w:uiPriority w:val="0"/>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363">
    <w:name w:val="发布日期"/>
    <w:qFormat/>
    <w:uiPriority w:val="0"/>
    <w:rPr>
      <w:rFonts w:ascii="Times New Roman" w:hAnsi="Times New Roman" w:eastAsia="黑体" w:cs="Times New Roman"/>
      <w:sz w:val="28"/>
      <w:lang w:val="en-US" w:eastAsia="zh-CN" w:bidi="ar-SA"/>
    </w:rPr>
  </w:style>
  <w:style w:type="paragraph" w:customStyle="1" w:styleId="364">
    <w:name w:val="目录4"/>
    <w:basedOn w:val="1"/>
    <w:next w:val="1"/>
    <w:qFormat/>
    <w:uiPriority w:val="0"/>
    <w:pPr>
      <w:widowControl/>
      <w:tabs>
        <w:tab w:val="left" w:leader="dot" w:pos="8503"/>
      </w:tabs>
      <w:spacing w:line="317" w:lineRule="atLeast"/>
      <w:ind w:left="419" w:firstLine="629"/>
      <w:textAlignment w:val="baseline"/>
    </w:pPr>
    <w:rPr>
      <w:rFonts w:ascii="Times New Roman" w:hAnsi="Times New Roman"/>
      <w:b w:val="0"/>
      <w:color w:val="000000"/>
      <w:kern w:val="0"/>
      <w:szCs w:val="20"/>
      <w:u w:color="000000"/>
    </w:rPr>
  </w:style>
  <w:style w:type="paragraph" w:customStyle="1" w:styleId="365">
    <w:name w:val="封面正文"/>
    <w:qFormat/>
    <w:uiPriority w:val="0"/>
    <w:pPr>
      <w:jc w:val="both"/>
    </w:pPr>
    <w:rPr>
      <w:rFonts w:ascii="Times New Roman" w:hAnsi="Times New Roman" w:eastAsia="宋体" w:cs="Times New Roman"/>
      <w:lang w:val="en-US" w:eastAsia="zh-CN" w:bidi="ar-SA"/>
    </w:rPr>
  </w:style>
  <w:style w:type="paragraph" w:customStyle="1" w:styleId="366">
    <w:name w:val="目录标题"/>
    <w:basedOn w:val="1"/>
    <w:next w:val="1"/>
    <w:qFormat/>
    <w:uiPriority w:val="0"/>
    <w:pPr>
      <w:widowControl/>
      <w:spacing w:before="215" w:after="419" w:line="436" w:lineRule="atLeast"/>
      <w:ind w:firstLine="419"/>
      <w:jc w:val="center"/>
      <w:textAlignment w:val="baseline"/>
    </w:pPr>
    <w:rPr>
      <w:rFonts w:ascii="Arial" w:hAnsi="Times New Roman" w:eastAsia="黑体"/>
      <w:b w:val="0"/>
      <w:color w:val="000000"/>
      <w:spacing w:val="283"/>
      <w:kern w:val="0"/>
      <w:sz w:val="42"/>
      <w:szCs w:val="20"/>
      <w:u w:color="000000"/>
    </w:rPr>
  </w:style>
  <w:style w:type="paragraph" w:customStyle="1" w:styleId="367">
    <w:name w:val="目录2"/>
    <w:basedOn w:val="1"/>
    <w:next w:val="1"/>
    <w:qFormat/>
    <w:uiPriority w:val="0"/>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368">
    <w:name w:val="普通(网站)1"/>
    <w:basedOn w:val="1"/>
    <w:qFormat/>
    <w:uiPriority w:val="0"/>
    <w:pPr>
      <w:widowControl/>
      <w:spacing w:before="100" w:beforeAutospacing="1" w:after="100" w:afterAutospacing="1"/>
      <w:jc w:val="left"/>
    </w:pPr>
    <w:rPr>
      <w:rFonts w:ascii="宋体" w:hAnsi="宋体" w:cs="宋体"/>
      <w:b w:val="0"/>
      <w:kern w:val="0"/>
      <w:sz w:val="24"/>
    </w:rPr>
  </w:style>
  <w:style w:type="paragraph" w:customStyle="1" w:styleId="369">
    <w:name w:val="正文+宋体"/>
    <w:basedOn w:val="32"/>
    <w:qFormat/>
    <w:uiPriority w:val="0"/>
    <w:pPr>
      <w:widowControl/>
      <w:tabs>
        <w:tab w:val="right" w:leader="dot" w:pos="8494"/>
      </w:tabs>
      <w:spacing w:before="0" w:after="0" w:line="280" w:lineRule="exact"/>
      <w:jc w:val="center"/>
    </w:pPr>
    <w:rPr>
      <w:rFonts w:ascii="宋体" w:hAnsi="宋体" w:cs="Times New Roman"/>
      <w:b w:val="0"/>
      <w:bCs w:val="0"/>
      <w:caps w:val="0"/>
      <w:color w:val="000000"/>
      <w:sz w:val="21"/>
      <w:szCs w:val="21"/>
    </w:rPr>
  </w:style>
  <w:style w:type="paragraph" w:customStyle="1" w:styleId="370">
    <w:name w:val="reader-word-layer"/>
    <w:basedOn w:val="1"/>
    <w:qFormat/>
    <w:uiPriority w:val="0"/>
    <w:pPr>
      <w:widowControl/>
      <w:spacing w:before="100" w:beforeAutospacing="1" w:after="100" w:afterAutospacing="1"/>
      <w:jc w:val="left"/>
    </w:pPr>
    <w:rPr>
      <w:rFonts w:ascii="宋体" w:hAnsi="宋体" w:cs="宋体"/>
      <w:b w:val="0"/>
      <w:kern w:val="0"/>
      <w:sz w:val="24"/>
    </w:rPr>
  </w:style>
  <w:style w:type="character" w:customStyle="1" w:styleId="371">
    <w:name w:val="Char Char34"/>
    <w:qFormat/>
    <w:uiPriority w:val="0"/>
    <w:rPr>
      <w:rFonts w:eastAsia="仿宋_GB2312"/>
      <w:b/>
      <w:bCs/>
      <w:kern w:val="2"/>
      <w:sz w:val="28"/>
      <w:szCs w:val="24"/>
      <w:u w:color="FF0000"/>
    </w:rPr>
  </w:style>
  <w:style w:type="character" w:customStyle="1" w:styleId="372">
    <w:name w:val="Char Char53"/>
    <w:qFormat/>
    <w:uiPriority w:val="0"/>
    <w:rPr>
      <w:rFonts w:eastAsia="宋体"/>
      <w:color w:val="000000"/>
      <w:kern w:val="2"/>
      <w:sz w:val="18"/>
      <w:lang w:val="en-US" w:eastAsia="zh-CN" w:bidi="ar-SA"/>
    </w:rPr>
  </w:style>
  <w:style w:type="character" w:customStyle="1" w:styleId="373">
    <w:name w:val="Char Char83"/>
    <w:qFormat/>
    <w:locked/>
    <w:uiPriority w:val="0"/>
    <w:rPr>
      <w:rFonts w:eastAsia="仿宋_GB2312"/>
      <w:b/>
      <w:bCs/>
      <w:kern w:val="2"/>
      <w:sz w:val="28"/>
      <w:szCs w:val="24"/>
      <w:u w:color="FF0000"/>
      <w:lang w:val="en-US" w:eastAsia="zh-CN" w:bidi="ar-SA"/>
    </w:rPr>
  </w:style>
  <w:style w:type="character" w:customStyle="1" w:styleId="374">
    <w:name w:val="Char Char23"/>
    <w:qFormat/>
    <w:uiPriority w:val="0"/>
    <w:rPr>
      <w:rFonts w:eastAsia="宋体"/>
      <w:b/>
      <w:kern w:val="2"/>
      <w:sz w:val="28"/>
      <w:lang w:val="en-US" w:eastAsia="zh-CN" w:bidi="ar-SA"/>
    </w:rPr>
  </w:style>
  <w:style w:type="character" w:customStyle="1" w:styleId="375">
    <w:name w:val="Char Char43"/>
    <w:qFormat/>
    <w:uiPriority w:val="0"/>
    <w:rPr>
      <w:rFonts w:ascii="Times New Roman" w:hAnsi="Times New Roman" w:eastAsia="宋体"/>
      <w:b/>
      <w:kern w:val="44"/>
      <w:sz w:val="30"/>
    </w:rPr>
  </w:style>
  <w:style w:type="paragraph" w:customStyle="1" w:styleId="376">
    <w:name w:val="正文文本缩进5"/>
    <w:basedOn w:val="1"/>
    <w:qFormat/>
    <w:uiPriority w:val="0"/>
    <w:pPr>
      <w:widowControl/>
      <w:spacing w:line="360" w:lineRule="auto"/>
      <w:ind w:firstLine="570"/>
    </w:pPr>
    <w:rPr>
      <w:rFonts w:ascii="Times New Roman" w:hAnsi="Times New Roman" w:eastAsia="隶书"/>
      <w:b w:val="0"/>
      <w:kern w:val="0"/>
      <w:sz w:val="28"/>
      <w:szCs w:val="20"/>
    </w:rPr>
  </w:style>
  <w:style w:type="table" w:customStyle="1" w:styleId="377">
    <w:name w:val="网格型 712"/>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378">
    <w:name w:val="Char Char71"/>
    <w:qFormat/>
    <w:uiPriority w:val="0"/>
    <w:rPr>
      <w:rFonts w:eastAsia="仿宋_GB2312"/>
      <w:b/>
      <w:bCs/>
      <w:kern w:val="2"/>
      <w:sz w:val="28"/>
      <w:szCs w:val="24"/>
      <w:u w:color="FF0000"/>
      <w:lang w:val="en-US" w:eastAsia="zh-CN" w:bidi="ar-SA"/>
    </w:rPr>
  </w:style>
  <w:style w:type="character" w:customStyle="1" w:styleId="379">
    <w:name w:val="Char Char35"/>
    <w:qFormat/>
    <w:uiPriority w:val="0"/>
    <w:rPr>
      <w:rFonts w:eastAsia="仿宋_GB2312"/>
      <w:b/>
      <w:bCs/>
      <w:kern w:val="2"/>
      <w:sz w:val="28"/>
      <w:szCs w:val="24"/>
      <w:u w:color="FF0000"/>
    </w:rPr>
  </w:style>
  <w:style w:type="character" w:customStyle="1" w:styleId="380">
    <w:name w:val="Char Char54"/>
    <w:qFormat/>
    <w:uiPriority w:val="0"/>
    <w:rPr>
      <w:rFonts w:eastAsia="宋体"/>
      <w:color w:val="000000"/>
      <w:kern w:val="2"/>
      <w:sz w:val="18"/>
      <w:lang w:val="en-US" w:eastAsia="zh-CN" w:bidi="ar-SA"/>
    </w:rPr>
  </w:style>
  <w:style w:type="character" w:customStyle="1" w:styleId="381">
    <w:name w:val="Char Char84"/>
    <w:qFormat/>
    <w:locked/>
    <w:uiPriority w:val="0"/>
    <w:rPr>
      <w:rFonts w:eastAsia="仿宋_GB2312"/>
      <w:b/>
      <w:bCs/>
      <w:kern w:val="2"/>
      <w:sz w:val="28"/>
      <w:szCs w:val="24"/>
      <w:u w:color="FF0000"/>
      <w:lang w:val="en-US" w:eastAsia="zh-CN" w:bidi="ar-SA"/>
    </w:rPr>
  </w:style>
  <w:style w:type="character" w:customStyle="1" w:styleId="382">
    <w:name w:val="Char Char24"/>
    <w:qFormat/>
    <w:uiPriority w:val="0"/>
    <w:rPr>
      <w:rFonts w:eastAsia="宋体"/>
      <w:b/>
      <w:kern w:val="2"/>
      <w:sz w:val="28"/>
      <w:lang w:val="en-US" w:eastAsia="zh-CN" w:bidi="ar-SA"/>
    </w:rPr>
  </w:style>
  <w:style w:type="character" w:customStyle="1" w:styleId="383">
    <w:name w:val="Char Char44"/>
    <w:qFormat/>
    <w:uiPriority w:val="0"/>
    <w:rPr>
      <w:rFonts w:ascii="Times New Roman" w:hAnsi="Times New Roman" w:eastAsia="宋体"/>
      <w:b/>
      <w:kern w:val="44"/>
      <w:sz w:val="30"/>
    </w:rPr>
  </w:style>
  <w:style w:type="paragraph" w:customStyle="1" w:styleId="384">
    <w:name w:val="正文文本缩进6"/>
    <w:basedOn w:val="1"/>
    <w:qFormat/>
    <w:uiPriority w:val="0"/>
    <w:pPr>
      <w:widowControl/>
      <w:spacing w:line="360" w:lineRule="auto"/>
      <w:ind w:firstLine="570"/>
    </w:pPr>
    <w:rPr>
      <w:rFonts w:ascii="Times New Roman" w:hAnsi="Times New Roman" w:eastAsia="隶书"/>
      <w:b w:val="0"/>
      <w:kern w:val="0"/>
      <w:sz w:val="28"/>
      <w:szCs w:val="20"/>
    </w:rPr>
  </w:style>
  <w:style w:type="table" w:customStyle="1" w:styleId="385">
    <w:name w:val="网格型 713"/>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386">
    <w:name w:val="Char Char72"/>
    <w:qFormat/>
    <w:uiPriority w:val="0"/>
    <w:rPr>
      <w:rFonts w:eastAsia="仿宋_GB2312"/>
      <w:b/>
      <w:bCs/>
      <w:kern w:val="2"/>
      <w:sz w:val="28"/>
      <w:szCs w:val="24"/>
      <w:u w:color="FF0000"/>
      <w:lang w:val="en-US" w:eastAsia="zh-CN" w:bidi="ar-SA"/>
    </w:rPr>
  </w:style>
  <w:style w:type="character" w:customStyle="1" w:styleId="387">
    <w:name w:val="Char Char36"/>
    <w:qFormat/>
    <w:uiPriority w:val="0"/>
    <w:rPr>
      <w:rFonts w:eastAsia="仿宋_GB2312"/>
      <w:b/>
      <w:bCs/>
      <w:kern w:val="2"/>
      <w:sz w:val="28"/>
      <w:szCs w:val="24"/>
      <w:u w:color="FF0000"/>
    </w:rPr>
  </w:style>
  <w:style w:type="character" w:customStyle="1" w:styleId="388">
    <w:name w:val="Char Char55"/>
    <w:qFormat/>
    <w:uiPriority w:val="0"/>
    <w:rPr>
      <w:rFonts w:eastAsia="宋体"/>
      <w:color w:val="000000"/>
      <w:kern w:val="2"/>
      <w:sz w:val="18"/>
      <w:lang w:val="en-US" w:eastAsia="zh-CN" w:bidi="ar-SA"/>
    </w:rPr>
  </w:style>
  <w:style w:type="character" w:customStyle="1" w:styleId="389">
    <w:name w:val="Char Char85"/>
    <w:qFormat/>
    <w:locked/>
    <w:uiPriority w:val="0"/>
    <w:rPr>
      <w:rFonts w:eastAsia="仿宋_GB2312"/>
      <w:b/>
      <w:bCs/>
      <w:kern w:val="2"/>
      <w:sz w:val="28"/>
      <w:szCs w:val="24"/>
      <w:u w:color="FF0000"/>
      <w:lang w:val="en-US" w:eastAsia="zh-CN" w:bidi="ar-SA"/>
    </w:rPr>
  </w:style>
  <w:style w:type="character" w:customStyle="1" w:styleId="390">
    <w:name w:val="Char Char25"/>
    <w:qFormat/>
    <w:uiPriority w:val="0"/>
    <w:rPr>
      <w:rFonts w:eastAsia="宋体"/>
      <w:b/>
      <w:kern w:val="2"/>
      <w:sz w:val="28"/>
      <w:lang w:val="en-US" w:eastAsia="zh-CN" w:bidi="ar-SA"/>
    </w:rPr>
  </w:style>
  <w:style w:type="character" w:customStyle="1" w:styleId="391">
    <w:name w:val="Char Char45"/>
    <w:qFormat/>
    <w:uiPriority w:val="0"/>
    <w:rPr>
      <w:rFonts w:ascii="Times New Roman" w:hAnsi="Times New Roman" w:eastAsia="宋体"/>
      <w:b/>
      <w:kern w:val="44"/>
      <w:sz w:val="30"/>
    </w:rPr>
  </w:style>
  <w:style w:type="paragraph" w:customStyle="1" w:styleId="392">
    <w:name w:val="正文文本缩进7"/>
    <w:basedOn w:val="1"/>
    <w:qFormat/>
    <w:uiPriority w:val="0"/>
    <w:pPr>
      <w:widowControl/>
      <w:spacing w:line="360" w:lineRule="auto"/>
      <w:ind w:firstLine="570"/>
    </w:pPr>
    <w:rPr>
      <w:rFonts w:ascii="Times New Roman" w:hAnsi="Times New Roman" w:eastAsia="隶书"/>
      <w:b w:val="0"/>
      <w:kern w:val="0"/>
      <w:sz w:val="28"/>
      <w:szCs w:val="20"/>
    </w:rPr>
  </w:style>
  <w:style w:type="table" w:customStyle="1" w:styleId="393">
    <w:name w:val="网格型 714"/>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394">
    <w:name w:val="Char Char73"/>
    <w:qFormat/>
    <w:uiPriority w:val="0"/>
    <w:rPr>
      <w:rFonts w:eastAsia="仿宋_GB2312"/>
      <w:b/>
      <w:bCs/>
      <w:kern w:val="2"/>
      <w:sz w:val="28"/>
      <w:szCs w:val="24"/>
      <w:u w:color="FF0000"/>
      <w:lang w:val="en-US" w:eastAsia="zh-CN" w:bidi="ar-SA"/>
    </w:rPr>
  </w:style>
  <w:style w:type="character" w:customStyle="1" w:styleId="395">
    <w:name w:val="Char Char37"/>
    <w:qFormat/>
    <w:uiPriority w:val="0"/>
    <w:rPr>
      <w:rFonts w:eastAsia="仿宋_GB2312"/>
      <w:b/>
      <w:bCs/>
      <w:kern w:val="2"/>
      <w:sz w:val="28"/>
      <w:szCs w:val="24"/>
      <w:u w:color="FF0000"/>
    </w:rPr>
  </w:style>
  <w:style w:type="character" w:customStyle="1" w:styleId="396">
    <w:name w:val="Char Char56"/>
    <w:qFormat/>
    <w:uiPriority w:val="0"/>
    <w:rPr>
      <w:rFonts w:eastAsia="宋体"/>
      <w:color w:val="000000"/>
      <w:kern w:val="2"/>
      <w:sz w:val="18"/>
      <w:lang w:val="en-US" w:eastAsia="zh-CN" w:bidi="ar-SA"/>
    </w:rPr>
  </w:style>
  <w:style w:type="character" w:customStyle="1" w:styleId="397">
    <w:name w:val="Char Char86"/>
    <w:qFormat/>
    <w:locked/>
    <w:uiPriority w:val="0"/>
    <w:rPr>
      <w:rFonts w:eastAsia="仿宋_GB2312"/>
      <w:b/>
      <w:bCs/>
      <w:kern w:val="2"/>
      <w:sz w:val="28"/>
      <w:szCs w:val="24"/>
      <w:u w:color="FF0000"/>
      <w:lang w:val="en-US" w:eastAsia="zh-CN" w:bidi="ar-SA"/>
    </w:rPr>
  </w:style>
  <w:style w:type="character" w:customStyle="1" w:styleId="398">
    <w:name w:val="Char Char26"/>
    <w:qFormat/>
    <w:uiPriority w:val="0"/>
    <w:rPr>
      <w:rFonts w:eastAsia="宋体"/>
      <w:b/>
      <w:kern w:val="2"/>
      <w:sz w:val="28"/>
      <w:lang w:val="en-US" w:eastAsia="zh-CN" w:bidi="ar-SA"/>
    </w:rPr>
  </w:style>
  <w:style w:type="character" w:customStyle="1" w:styleId="399">
    <w:name w:val="Char Char46"/>
    <w:qFormat/>
    <w:uiPriority w:val="0"/>
    <w:rPr>
      <w:rFonts w:ascii="Times New Roman" w:hAnsi="Times New Roman" w:eastAsia="宋体"/>
      <w:b/>
      <w:kern w:val="44"/>
      <w:sz w:val="30"/>
    </w:rPr>
  </w:style>
  <w:style w:type="paragraph" w:customStyle="1" w:styleId="400">
    <w:name w:val="正文文本缩进8"/>
    <w:basedOn w:val="1"/>
    <w:qFormat/>
    <w:uiPriority w:val="0"/>
    <w:pPr>
      <w:widowControl/>
      <w:spacing w:line="360" w:lineRule="auto"/>
      <w:ind w:firstLine="570"/>
    </w:pPr>
    <w:rPr>
      <w:rFonts w:ascii="Times New Roman" w:hAnsi="Times New Roman" w:eastAsia="隶书"/>
      <w:b w:val="0"/>
      <w:kern w:val="0"/>
      <w:sz w:val="28"/>
      <w:szCs w:val="20"/>
    </w:rPr>
  </w:style>
  <w:style w:type="table" w:customStyle="1" w:styleId="401">
    <w:name w:val="网格型 715"/>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402">
    <w:name w:val="Char Char74"/>
    <w:qFormat/>
    <w:uiPriority w:val="0"/>
    <w:rPr>
      <w:rFonts w:eastAsia="仿宋_GB2312"/>
      <w:b/>
      <w:bCs/>
      <w:kern w:val="2"/>
      <w:sz w:val="28"/>
      <w:szCs w:val="24"/>
      <w:u w:color="FF0000"/>
      <w:lang w:val="en-US" w:eastAsia="zh-CN" w:bidi="ar-SA"/>
    </w:rPr>
  </w:style>
  <w:style w:type="character" w:customStyle="1" w:styleId="403">
    <w:name w:val="纯文本 Char2"/>
    <w:semiHidden/>
    <w:qFormat/>
    <w:uiPriority w:val="99"/>
    <w:rPr>
      <w:rFonts w:ascii="宋体" w:hAnsi="Courier New" w:cs="Courier New"/>
      <w:kern w:val="2"/>
      <w:sz w:val="21"/>
      <w:szCs w:val="21"/>
    </w:rPr>
  </w:style>
  <w:style w:type="character" w:customStyle="1" w:styleId="404">
    <w:name w:val="正文文本 Char2"/>
    <w:semiHidden/>
    <w:qFormat/>
    <w:uiPriority w:val="99"/>
    <w:rPr>
      <w:kern w:val="2"/>
      <w:sz w:val="21"/>
      <w:szCs w:val="24"/>
    </w:rPr>
  </w:style>
  <w:style w:type="table" w:customStyle="1" w:styleId="405">
    <w:name w:val="网格型 72"/>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6">
    <w:name w:val="网格型 7111"/>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7">
    <w:name w:val="网格型 716"/>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408">
    <w:name w:val="Char Char38"/>
    <w:qFormat/>
    <w:uiPriority w:val="0"/>
    <w:rPr>
      <w:rFonts w:eastAsia="仿宋_GB2312"/>
      <w:b/>
      <w:bCs/>
      <w:kern w:val="2"/>
      <w:sz w:val="28"/>
      <w:szCs w:val="24"/>
      <w:u w:color="FF0000"/>
    </w:rPr>
  </w:style>
  <w:style w:type="character" w:customStyle="1" w:styleId="409">
    <w:name w:val="Char Char57"/>
    <w:qFormat/>
    <w:uiPriority w:val="0"/>
    <w:rPr>
      <w:rFonts w:eastAsia="宋体"/>
      <w:color w:val="000000"/>
      <w:kern w:val="2"/>
      <w:sz w:val="18"/>
      <w:lang w:val="en-US" w:eastAsia="zh-CN" w:bidi="ar-SA"/>
    </w:rPr>
  </w:style>
  <w:style w:type="character" w:customStyle="1" w:styleId="410">
    <w:name w:val="Char Char87"/>
    <w:qFormat/>
    <w:locked/>
    <w:uiPriority w:val="0"/>
    <w:rPr>
      <w:rFonts w:eastAsia="仿宋_GB2312"/>
      <w:b/>
      <w:bCs/>
      <w:kern w:val="2"/>
      <w:sz w:val="28"/>
      <w:szCs w:val="24"/>
      <w:u w:color="FF0000"/>
      <w:lang w:val="en-US" w:eastAsia="zh-CN" w:bidi="ar-SA"/>
    </w:rPr>
  </w:style>
  <w:style w:type="character" w:customStyle="1" w:styleId="411">
    <w:name w:val="Char Char27"/>
    <w:qFormat/>
    <w:uiPriority w:val="0"/>
    <w:rPr>
      <w:rFonts w:eastAsia="宋体"/>
      <w:b/>
      <w:kern w:val="2"/>
      <w:sz w:val="28"/>
      <w:lang w:val="en-US" w:eastAsia="zh-CN" w:bidi="ar-SA"/>
    </w:rPr>
  </w:style>
  <w:style w:type="character" w:customStyle="1" w:styleId="412">
    <w:name w:val="Char Char47"/>
    <w:qFormat/>
    <w:uiPriority w:val="0"/>
    <w:rPr>
      <w:rFonts w:ascii="Times New Roman" w:hAnsi="Times New Roman" w:eastAsia="宋体"/>
      <w:b/>
      <w:kern w:val="44"/>
      <w:sz w:val="30"/>
    </w:rPr>
  </w:style>
  <w:style w:type="paragraph" w:customStyle="1" w:styleId="413">
    <w:name w:val="正文文本缩进9"/>
    <w:basedOn w:val="1"/>
    <w:qFormat/>
    <w:uiPriority w:val="0"/>
    <w:pPr>
      <w:widowControl/>
      <w:spacing w:line="360" w:lineRule="auto"/>
      <w:ind w:firstLine="570"/>
    </w:pPr>
    <w:rPr>
      <w:rFonts w:ascii="Times New Roman" w:hAnsi="Times New Roman" w:eastAsia="隶书"/>
      <w:b w:val="0"/>
      <w:kern w:val="0"/>
      <w:sz w:val="28"/>
      <w:szCs w:val="20"/>
    </w:rPr>
  </w:style>
  <w:style w:type="table" w:customStyle="1" w:styleId="414">
    <w:name w:val="网格型 717"/>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415">
    <w:name w:val="Char Char75"/>
    <w:qFormat/>
    <w:uiPriority w:val="0"/>
    <w:rPr>
      <w:rFonts w:eastAsia="仿宋_GB2312"/>
      <w:b/>
      <w:bCs/>
      <w:kern w:val="2"/>
      <w:sz w:val="28"/>
      <w:szCs w:val="24"/>
      <w:u w:color="FF0000"/>
      <w:lang w:val="en-US" w:eastAsia="zh-CN" w:bidi="ar-SA"/>
    </w:rPr>
  </w:style>
  <w:style w:type="table" w:customStyle="1" w:styleId="416">
    <w:name w:val="网格型 718"/>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17">
    <w:name w:val="网格型 73"/>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18">
    <w:name w:val="网格型 7112"/>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19">
    <w:name w:val="网格型 721"/>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420">
    <w:name w:val="网格型 71111"/>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421">
    <w:name w:val="网格型 7211"/>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22">
    <w:name w:val="网格型 711111"/>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23">
    <w:name w:val="网格型 7121"/>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24">
    <w:name w:val="网格型 74"/>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25">
    <w:name w:val="网格型 7113"/>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26">
    <w:name w:val="网格型 722"/>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427">
    <w:name w:val="网格型 71112"/>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428">
    <w:name w:val="网格型 7212"/>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29">
    <w:name w:val="网格型 711112"/>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30">
    <w:name w:val="网格型 75"/>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31">
    <w:name w:val="网格型 7114"/>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32">
    <w:name w:val="网格型 723"/>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433">
    <w:name w:val="网格型 71113"/>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434">
    <w:name w:val="网格型 7213"/>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35">
    <w:name w:val="网格型 711113"/>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36">
    <w:name w:val="网格型 76"/>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37">
    <w:name w:val="网格型 7115"/>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38">
    <w:name w:val="网格型 724"/>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439">
    <w:name w:val="网格型 71114"/>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440">
    <w:name w:val="网格型 7214"/>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41">
    <w:name w:val="网格型 711114"/>
    <w:basedOn w:val="4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442">
    <w:name w:val="注释标题 Char"/>
    <w:basedOn w:val="52"/>
    <w:link w:val="14"/>
    <w:qFormat/>
    <w:uiPriority w:val="0"/>
    <w:rPr>
      <w:rFonts w:ascii="宋体"/>
      <w:kern w:val="2"/>
      <w:sz w:val="21"/>
    </w:rPr>
  </w:style>
  <w:style w:type="paragraph" w:customStyle="1" w:styleId="443">
    <w:name w:val="11正文"/>
    <w:basedOn w:val="1"/>
    <w:qFormat/>
    <w:uiPriority w:val="0"/>
    <w:pPr>
      <w:spacing w:line="460" w:lineRule="exact"/>
      <w:ind w:firstLine="200" w:firstLineChars="200"/>
    </w:pPr>
    <w:rPr>
      <w:rFonts w:ascii="Times New Roman" w:hAnsi="Times New Roman"/>
      <w:b w:val="0"/>
      <w:bCs/>
      <w:sz w:val="24"/>
    </w:rPr>
  </w:style>
  <w:style w:type="character" w:customStyle="1" w:styleId="444">
    <w:name w:val="font441"/>
    <w:qFormat/>
    <w:uiPriority w:val="0"/>
    <w:rPr>
      <w:rFonts w:hint="eastAsia" w:ascii="仿宋" w:hAnsi="仿宋" w:eastAsia="仿宋" w:cs="仿宋"/>
      <w:color w:val="000000"/>
      <w:sz w:val="22"/>
      <w:szCs w:val="22"/>
      <w:u w:val="none"/>
    </w:rPr>
  </w:style>
  <w:style w:type="character" w:customStyle="1" w:styleId="445">
    <w:name w:val="表格题目 Char"/>
    <w:link w:val="446"/>
    <w:qFormat/>
    <w:uiPriority w:val="0"/>
    <w:rPr>
      <w:rFonts w:eastAsia="黑体"/>
      <w:kern w:val="2"/>
      <w:sz w:val="24"/>
    </w:rPr>
  </w:style>
  <w:style w:type="paragraph" w:customStyle="1" w:styleId="446">
    <w:name w:val="表格题目"/>
    <w:basedOn w:val="1"/>
    <w:link w:val="445"/>
    <w:qFormat/>
    <w:uiPriority w:val="0"/>
    <w:pPr>
      <w:adjustRightInd w:val="0"/>
      <w:snapToGrid w:val="0"/>
      <w:spacing w:line="520" w:lineRule="exact"/>
      <w:jc w:val="center"/>
    </w:pPr>
    <w:rPr>
      <w:rFonts w:ascii="Times New Roman" w:hAnsi="Times New Roman" w:eastAsia="黑体"/>
      <w:b w:val="0"/>
      <w:sz w:val="24"/>
      <w:szCs w:val="20"/>
    </w:rPr>
  </w:style>
  <w:style w:type="character" w:customStyle="1" w:styleId="447">
    <w:name w:val="b a Char"/>
    <w:link w:val="448"/>
    <w:qFormat/>
    <w:uiPriority w:val="0"/>
    <w:rPr>
      <w:kern w:val="2"/>
      <w:sz w:val="28"/>
    </w:rPr>
  </w:style>
  <w:style w:type="paragraph" w:customStyle="1" w:styleId="448">
    <w:name w:val="b a"/>
    <w:basedOn w:val="1"/>
    <w:link w:val="447"/>
    <w:qFormat/>
    <w:uiPriority w:val="0"/>
    <w:pPr>
      <w:adjustRightInd w:val="0"/>
      <w:snapToGrid w:val="0"/>
      <w:spacing w:line="520" w:lineRule="exact"/>
      <w:ind w:firstLine="200" w:firstLineChars="200"/>
    </w:pPr>
    <w:rPr>
      <w:rFonts w:ascii="Times New Roman" w:hAnsi="Times New Roman"/>
      <w:b w:val="0"/>
      <w:sz w:val="28"/>
      <w:szCs w:val="20"/>
    </w:rPr>
  </w:style>
  <w:style w:type="character" w:customStyle="1" w:styleId="449">
    <w:name w:val="报告正文 Char Char"/>
    <w:link w:val="450"/>
    <w:qFormat/>
    <w:uiPriority w:val="0"/>
    <w:rPr>
      <w:rFonts w:ascii="宋体" w:hAnsi="宋体"/>
      <w:kern w:val="2"/>
      <w:sz w:val="24"/>
      <w:szCs w:val="24"/>
    </w:rPr>
  </w:style>
  <w:style w:type="paragraph" w:customStyle="1" w:styleId="450">
    <w:name w:val="报告正文 Char"/>
    <w:basedOn w:val="1"/>
    <w:link w:val="449"/>
    <w:qFormat/>
    <w:uiPriority w:val="0"/>
    <w:pPr>
      <w:spacing w:line="360" w:lineRule="auto"/>
      <w:ind w:firstLine="480" w:firstLineChars="200"/>
    </w:pPr>
    <w:rPr>
      <w:rFonts w:ascii="宋体" w:hAnsi="宋体"/>
      <w:b w:val="0"/>
      <w:sz w:val="24"/>
    </w:rPr>
  </w:style>
  <w:style w:type="character" w:customStyle="1" w:styleId="451">
    <w:name w:val="font221"/>
    <w:qFormat/>
    <w:uiPriority w:val="0"/>
    <w:rPr>
      <w:rFonts w:hint="default" w:ascii="Times New Roman" w:hAnsi="Times New Roman" w:cs="Times New Roman"/>
      <w:color w:val="000000"/>
      <w:sz w:val="22"/>
      <w:szCs w:val="22"/>
      <w:u w:val="none"/>
    </w:rPr>
  </w:style>
  <w:style w:type="character" w:customStyle="1" w:styleId="452">
    <w:name w:val="段 Char"/>
    <w:link w:val="103"/>
    <w:uiPriority w:val="0"/>
    <w:rPr>
      <w:rFonts w:ascii="宋体" w:hAnsi="Calibri"/>
      <w:kern w:val="2"/>
      <w:sz w:val="21"/>
      <w:szCs w:val="24"/>
      <w:u w:color="FF0000"/>
    </w:rPr>
  </w:style>
  <w:style w:type="character" w:customStyle="1" w:styleId="453">
    <w:name w:val="b正文 Char"/>
    <w:link w:val="454"/>
    <w:qFormat/>
    <w:uiPriority w:val="0"/>
    <w:rPr>
      <w:rFonts w:ascii="Arial" w:hAnsi="Arial"/>
      <w:kern w:val="2"/>
      <w:sz w:val="28"/>
      <w:szCs w:val="28"/>
    </w:rPr>
  </w:style>
  <w:style w:type="paragraph" w:customStyle="1" w:styleId="454">
    <w:name w:val="b正文"/>
    <w:basedOn w:val="1"/>
    <w:link w:val="453"/>
    <w:qFormat/>
    <w:uiPriority w:val="0"/>
    <w:pPr>
      <w:adjustRightInd w:val="0"/>
      <w:snapToGrid w:val="0"/>
      <w:spacing w:line="520" w:lineRule="exact"/>
      <w:ind w:firstLine="700" w:firstLineChars="250"/>
    </w:pPr>
    <w:rPr>
      <w:rFonts w:ascii="Arial" w:hAnsi="Arial"/>
      <w:b w:val="0"/>
      <w:sz w:val="28"/>
      <w:szCs w:val="28"/>
    </w:rPr>
  </w:style>
  <w:style w:type="paragraph" w:customStyle="1" w:styleId="455">
    <w:name w:val="Char"/>
    <w:basedOn w:val="1"/>
    <w:qFormat/>
    <w:uiPriority w:val="0"/>
    <w:pPr>
      <w:spacing w:line="360" w:lineRule="auto"/>
      <w:ind w:firstLine="200" w:firstLineChars="200"/>
    </w:pPr>
    <w:rPr>
      <w:rFonts w:ascii="宋体" w:hAnsi="宋体" w:cs="宋体"/>
      <w:b w:val="0"/>
      <w:sz w:val="24"/>
    </w:rPr>
  </w:style>
  <w:style w:type="paragraph" w:customStyle="1" w:styleId="456">
    <w:name w:val="cjh"/>
    <w:basedOn w:val="1"/>
    <w:next w:val="1"/>
    <w:qFormat/>
    <w:uiPriority w:val="0"/>
    <w:pPr>
      <w:keepLines/>
      <w:suppressLineNumbers/>
      <w:suppressAutoHyphens/>
      <w:jc w:val="center"/>
      <w:outlineLvl w:val="0"/>
    </w:pPr>
    <w:rPr>
      <w:rFonts w:ascii="宋体" w:hAnsi="Times New Roman"/>
      <w:b w:val="0"/>
      <w:kern w:val="24"/>
      <w:szCs w:val="20"/>
    </w:rPr>
  </w:style>
  <w:style w:type="paragraph" w:customStyle="1" w:styleId="457">
    <w:name w:val="默认段落字体 Para Char Char Char Char"/>
    <w:basedOn w:val="1"/>
    <w:uiPriority w:val="0"/>
    <w:rPr>
      <w:rFonts w:ascii="Times New Roman" w:hAnsi="Times New Roman"/>
      <w:b w:val="0"/>
    </w:rPr>
  </w:style>
  <w:style w:type="paragraph" w:customStyle="1" w:styleId="458">
    <w:name w:val="默认段落字体 Para Char Char Char Char Char Char Char Char Char Char Char"/>
    <w:basedOn w:val="6"/>
    <w:qFormat/>
    <w:uiPriority w:val="0"/>
    <w:pPr>
      <w:widowControl w:val="0"/>
      <w:tabs>
        <w:tab w:val="left" w:pos="360"/>
        <w:tab w:val="left" w:pos="900"/>
      </w:tabs>
      <w:snapToGrid w:val="0"/>
      <w:spacing w:before="120" w:after="120"/>
      <w:ind w:left="542" w:leftChars="-12" w:firstLine="200" w:firstLineChars="200"/>
      <w:jc w:val="both"/>
    </w:pPr>
    <w:rPr>
      <w:rFonts w:ascii="Times New Roman" w:hAnsi="Times New Roman" w:eastAsia="黑体"/>
      <w:b w:val="0"/>
      <w:bCs w:val="0"/>
      <w:szCs w:val="36"/>
    </w:rPr>
  </w:style>
  <w:style w:type="paragraph" w:customStyle="1" w:styleId="459">
    <w:name w:val="样式 标题 3标3Section + 黑色 段前: 0.5 行 段后: 0.5 行"/>
    <w:basedOn w:val="6"/>
    <w:qFormat/>
    <w:uiPriority w:val="0"/>
    <w:pPr>
      <w:keepNext w:val="0"/>
      <w:keepLines w:val="0"/>
      <w:widowControl w:val="0"/>
      <w:snapToGrid w:val="0"/>
      <w:spacing w:line="520" w:lineRule="exact"/>
    </w:pPr>
    <w:rPr>
      <w:rFonts w:ascii="Arial" w:hAnsi="Arial" w:eastAsia="宋体" w:cs="宋体"/>
      <w:color w:val="000000"/>
    </w:rPr>
  </w:style>
  <w:style w:type="paragraph" w:customStyle="1" w:styleId="460">
    <w:name w:val="基准篇眉"/>
    <w:basedOn w:val="1"/>
    <w:uiPriority w:val="0"/>
    <w:pPr>
      <w:tabs>
        <w:tab w:val="center" w:pos="3780"/>
        <w:tab w:val="right" w:pos="7560"/>
      </w:tabs>
    </w:pPr>
    <w:rPr>
      <w:rFonts w:ascii="Times New Roman" w:hAnsi="Times New Roman"/>
      <w:b w:val="0"/>
    </w:rPr>
  </w:style>
  <w:style w:type="paragraph" w:customStyle="1" w:styleId="461">
    <w:name w:val="单位名称"/>
    <w:basedOn w:val="21"/>
    <w:qFormat/>
    <w:uiPriority w:val="0"/>
    <w:pPr>
      <w:keepNext/>
      <w:spacing w:before="160"/>
    </w:pPr>
    <w:rPr>
      <w:rFonts w:ascii="Arial" w:hAnsi="Arial"/>
      <w:b/>
      <w:sz w:val="21"/>
      <w:szCs w:val="24"/>
    </w:rPr>
  </w:style>
  <w:style w:type="paragraph" w:customStyle="1" w:styleId="462">
    <w:name w:val="表格样式"/>
    <w:basedOn w:val="1"/>
    <w:qFormat/>
    <w:uiPriority w:val="0"/>
    <w:pPr>
      <w:adjustRightInd w:val="0"/>
      <w:snapToGrid w:val="0"/>
      <w:jc w:val="center"/>
    </w:pPr>
    <w:rPr>
      <w:rFonts w:ascii="Times New Roman" w:hAnsi="Times New Roman"/>
      <w:b w:val="0"/>
      <w:szCs w:val="20"/>
    </w:rPr>
  </w:style>
  <w:style w:type="paragraph" w:customStyle="1" w:styleId="463">
    <w:name w:val="表头b"/>
    <w:basedOn w:val="1"/>
    <w:qFormat/>
    <w:uiPriority w:val="0"/>
    <w:pPr>
      <w:adjustRightInd w:val="0"/>
      <w:snapToGrid w:val="0"/>
      <w:spacing w:line="520" w:lineRule="exact"/>
      <w:ind w:firstLine="482" w:firstLineChars="200"/>
      <w:jc w:val="center"/>
    </w:pPr>
    <w:rPr>
      <w:rFonts w:ascii="宋体" w:hAnsi="宋体"/>
      <w:sz w:val="24"/>
    </w:rPr>
  </w:style>
  <w:style w:type="paragraph" w:customStyle="1" w:styleId="464">
    <w:name w:val="方框"/>
    <w:basedOn w:val="1"/>
    <w:qFormat/>
    <w:uiPriority w:val="0"/>
    <w:pPr>
      <w:widowControl/>
      <w:spacing w:line="240" w:lineRule="atLeast"/>
    </w:pPr>
    <w:rPr>
      <w:rFonts w:ascii="宋体" w:hAnsi="Times New Roman"/>
      <w:b w:val="0"/>
      <w:kern w:val="0"/>
      <w:sz w:val="24"/>
      <w:szCs w:val="20"/>
    </w:rPr>
  </w:style>
  <w:style w:type="paragraph" w:customStyle="1" w:styleId="465">
    <w:name w:val="样式 正文首行缩进正文首行缩进 Char + 段前: 0.5 行"/>
    <w:basedOn w:val="48"/>
    <w:qFormat/>
    <w:uiPriority w:val="0"/>
    <w:pPr>
      <w:spacing w:before="156" w:beforeLines="50" w:after="0" w:line="360" w:lineRule="auto"/>
      <w:ind w:firstLine="567" w:firstLineChars="0"/>
    </w:pPr>
    <w:rPr>
      <w:rFonts w:hAnsi="Times New Roman" w:eastAsia="宋体" w:cs="宋体"/>
      <w:b w:val="0"/>
      <w:sz w:val="28"/>
      <w:szCs w:val="20"/>
    </w:rPr>
  </w:style>
  <w:style w:type="paragraph" w:customStyle="1" w:styleId="466">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467">
    <w:name w:val="样式 正文首行缩进 + 段前: 0.5 行"/>
    <w:basedOn w:val="48"/>
    <w:qFormat/>
    <w:uiPriority w:val="0"/>
    <w:pPr>
      <w:spacing w:before="156" w:beforeLines="50" w:after="0" w:line="360" w:lineRule="auto"/>
      <w:ind w:firstLine="567" w:firstLineChars="0"/>
    </w:pPr>
    <w:rPr>
      <w:rFonts w:hAnsi="Times New Roman" w:eastAsia="宋体" w:cs="宋体"/>
      <w:b w:val="0"/>
      <w:sz w:val="28"/>
      <w:szCs w:val="20"/>
    </w:rPr>
  </w:style>
  <w:style w:type="paragraph" w:customStyle="1" w:styleId="468">
    <w:name w:val="图"/>
    <w:basedOn w:val="16"/>
    <w:next w:val="1"/>
    <w:qFormat/>
    <w:uiPriority w:val="0"/>
    <w:pPr>
      <w:widowControl w:val="0"/>
      <w:spacing w:line="240" w:lineRule="auto"/>
      <w:ind w:firstLine="0" w:firstLineChars="0"/>
      <w:jc w:val="center"/>
    </w:pPr>
    <w:rPr>
      <w:rFonts w:ascii="宋体" w:hAnsi="Times New Roman"/>
      <w:b w:val="0"/>
      <w:kern w:val="2"/>
      <w:sz w:val="21"/>
      <w:szCs w:val="21"/>
    </w:rPr>
  </w:style>
  <w:style w:type="paragraph" w:customStyle="1" w:styleId="469">
    <w:name w:val="表格2"/>
    <w:basedOn w:val="1"/>
    <w:uiPriority w:val="0"/>
    <w:pPr>
      <w:adjustRightInd w:val="0"/>
      <w:jc w:val="center"/>
      <w:textAlignment w:val="baseline"/>
    </w:pPr>
    <w:rPr>
      <w:rFonts w:ascii="宋体" w:hAnsi="Times New Roman"/>
      <w:b w:val="0"/>
      <w:kern w:val="0"/>
      <w:szCs w:val="20"/>
    </w:rPr>
  </w:style>
  <w:style w:type="paragraph" w:customStyle="1" w:styleId="470">
    <w:name w:val="表格内容b"/>
    <w:basedOn w:val="1"/>
    <w:qFormat/>
    <w:uiPriority w:val="0"/>
    <w:pPr>
      <w:adjustRightInd w:val="0"/>
      <w:snapToGrid w:val="0"/>
      <w:jc w:val="center"/>
    </w:pPr>
    <w:rPr>
      <w:rFonts w:ascii="宋体" w:hAnsi="宋体"/>
      <w:b w:val="0"/>
      <w:szCs w:val="21"/>
    </w:rPr>
  </w:style>
  <w:style w:type="paragraph" w:customStyle="1" w:styleId="471">
    <w:name w:val="表题"/>
    <w:basedOn w:val="1"/>
    <w:next w:val="1"/>
    <w:qFormat/>
    <w:uiPriority w:val="0"/>
    <w:pPr>
      <w:widowControl/>
      <w:overflowPunct w:val="0"/>
      <w:autoSpaceDE w:val="0"/>
      <w:autoSpaceDN w:val="0"/>
      <w:adjustRightInd w:val="0"/>
      <w:spacing w:before="120" w:after="120" w:line="360" w:lineRule="auto"/>
      <w:jc w:val="center"/>
      <w:textAlignment w:val="baseline"/>
    </w:pPr>
    <w:rPr>
      <w:rFonts w:ascii="Times New Roman" w:hAnsi="Times New Roman"/>
      <w:kern w:val="0"/>
      <w:szCs w:val="20"/>
      <w:lang w:val="en-GB"/>
    </w:rPr>
  </w:style>
  <w:style w:type="paragraph" w:customStyle="1" w:styleId="472">
    <w:name w:val="样式 标题 4标题 4 Char +"/>
    <w:basedOn w:val="7"/>
    <w:qFormat/>
    <w:uiPriority w:val="0"/>
    <w:pPr>
      <w:keepNext w:val="0"/>
      <w:keepLines w:val="0"/>
      <w:widowControl w:val="0"/>
      <w:tabs>
        <w:tab w:val="left" w:pos="1440"/>
      </w:tabs>
      <w:spacing w:before="0" w:after="0" w:line="240" w:lineRule="auto"/>
      <w:ind w:left="-567" w:firstLine="567"/>
      <w:jc w:val="both"/>
    </w:pPr>
    <w:rPr>
      <w:rFonts w:ascii="Times New Roman" w:hAnsi="Times New Roman"/>
      <w:bCs w:val="0"/>
      <w:szCs w:val="28"/>
    </w:rPr>
  </w:style>
  <w:style w:type="paragraph" w:customStyle="1" w:styleId="473">
    <w:name w:val="表格1"/>
    <w:basedOn w:val="1"/>
    <w:qFormat/>
    <w:uiPriority w:val="0"/>
    <w:pPr>
      <w:snapToGrid w:val="0"/>
    </w:pPr>
    <w:rPr>
      <w:rFonts w:ascii="Times New Roman" w:hAnsi="Times New Roman" w:eastAsia="仿宋_GB2312"/>
      <w:b w:val="0"/>
    </w:rPr>
  </w:style>
  <w:style w:type="paragraph" w:customStyle="1" w:styleId="474">
    <w:name w:val="样式 宋体 小四 段前: 7.8 磅 段后: 7.8 磅 行距: 固定值 20 磅"/>
    <w:basedOn w:val="1"/>
    <w:qFormat/>
    <w:uiPriority w:val="0"/>
    <w:pPr>
      <w:spacing w:before="156" w:after="156" w:line="400" w:lineRule="exact"/>
      <w:ind w:left="100" w:leftChars="100" w:firstLine="200" w:firstLineChars="200"/>
    </w:pPr>
    <w:rPr>
      <w:rFonts w:ascii="宋体" w:hAnsi="宋体"/>
      <w:b w:val="0"/>
      <w:sz w:val="24"/>
      <w:szCs w:val="20"/>
    </w:rPr>
  </w:style>
  <w:style w:type="paragraph" w:customStyle="1" w:styleId="475">
    <w:name w:val="一级无"/>
    <w:basedOn w:val="108"/>
    <w:qFormat/>
    <w:uiPriority w:val="0"/>
    <w:pPr>
      <w:widowControl/>
      <w:tabs>
        <w:tab w:val="clear" w:pos="5400"/>
      </w:tabs>
      <w:jc w:val="left"/>
    </w:pPr>
    <w:rPr>
      <w:rFonts w:ascii="宋体" w:hAnsi="Times New Roman" w:eastAsia="宋体"/>
      <w:kern w:val="0"/>
      <w:szCs w:val="21"/>
    </w:rPr>
  </w:style>
  <w:style w:type="paragraph" w:customStyle="1" w:styleId="476">
    <w:name w:val="图表脚注"/>
    <w:next w:val="103"/>
    <w:qFormat/>
    <w:uiPriority w:val="0"/>
    <w:pPr>
      <w:ind w:left="300" w:leftChars="200" w:hanging="100" w:hangingChars="100"/>
      <w:jc w:val="both"/>
    </w:pPr>
    <w:rPr>
      <w:rFonts w:ascii="宋体" w:hAnsi="Times New Roman" w:eastAsia="宋体" w:cs="Times New Roman"/>
      <w:sz w:val="18"/>
      <w:lang w:val="en-US" w:eastAsia="zh-CN" w:bidi="ar-SA"/>
    </w:rPr>
  </w:style>
  <w:style w:type="character" w:customStyle="1" w:styleId="477">
    <w:name w:val="未处理的提及1"/>
    <w:basedOn w:val="5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png"/><Relationship Id="rId27" Type="http://schemas.openxmlformats.org/officeDocument/2006/relationships/image" Target="media/image5.wmf"/><Relationship Id="rId26" Type="http://schemas.openxmlformats.org/officeDocument/2006/relationships/oleObject" Target="embeddings/oleObject1.bin"/><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30A678-51C4-4FB2-941D-6E40FA5B8A2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113</Pages>
  <Words>6054</Words>
  <Characters>7449</Characters>
  <Lines>491</Lines>
  <Paragraphs>138</Paragraphs>
  <TotalTime>0</TotalTime>
  <ScaleCrop>false</ScaleCrop>
  <LinksUpToDate>false</LinksUpToDate>
  <CharactersWithSpaces>7646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2022-05-06T07:50:00Z</dcterms:created>
  <dc:creator>Administrator</dc:creator>
  <cp:lastModifiedBy>月儿的宝贝</cp:lastModifiedBy>
  <cp:lastPrinted>2023-10-18T01:32:00Z</cp:lastPrinted>
  <dcterms:modified xsi:type="dcterms:W3CDTF">2026-03-26T23:53:29Z</dcterms:modified>
  <dc:title>编号：GTA-YBS(现状)-2015-0006</dc:title>
  <cp:revision>1413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7B6BE4CC4DFB49BB8F30A72A3025BD8B_13</vt:lpwstr>
  </property>
  <property fmtid="{D5CDD505-2E9C-101B-9397-08002B2CF9AE}" pid="4" name="KSOTemplateDocerSaveRecord">
    <vt:lpwstr>eyJoZGlkIjoiZDllZTdkOTgzYmNkNDNlNmFlMDI3MTI0YjA5NWI5OTkiLCJ1c2VySWQiOiI2MzI3MTA0NjMifQ==</vt:lpwstr>
  </property>
</Properties>
</file>