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6E5B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color w:val="auto"/>
          <w:sz w:val="44"/>
          <w:szCs w:val="44"/>
          <w:lang w:val="en-US" w:eastAsia="zh-CN"/>
        </w:rPr>
      </w:pPr>
    </w:p>
    <w:p w14:paraId="362B2D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color w:val="auto"/>
          <w:sz w:val="44"/>
          <w:szCs w:val="44"/>
          <w:lang w:val="en-US" w:eastAsia="zh-CN"/>
        </w:rPr>
      </w:pPr>
    </w:p>
    <w:p w14:paraId="74EB56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color w:val="auto"/>
          <w:sz w:val="44"/>
          <w:szCs w:val="44"/>
        </w:rPr>
      </w:pPr>
    </w:p>
    <w:p w14:paraId="7C6BCE8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color w:val="auto"/>
          <w:sz w:val="52"/>
          <w:szCs w:val="52"/>
        </w:rPr>
      </w:pPr>
      <w:r>
        <w:rPr>
          <w:rFonts w:hint="eastAsia"/>
          <w:b/>
          <w:color w:val="auto"/>
          <w:sz w:val="52"/>
          <w:szCs w:val="52"/>
        </w:rPr>
        <w:t>江西三和金业有限公司</w:t>
      </w:r>
    </w:p>
    <w:p w14:paraId="2387D4B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cs="Times New Roman"/>
          <w:b/>
          <w:color w:val="auto"/>
          <w:sz w:val="52"/>
          <w:szCs w:val="52"/>
        </w:rPr>
      </w:pPr>
      <w:r>
        <w:rPr>
          <w:rFonts w:hint="eastAsia"/>
          <w:b/>
          <w:color w:val="auto"/>
          <w:sz w:val="52"/>
          <w:szCs w:val="52"/>
          <w:lang w:val="en-US" w:eastAsia="zh-CN"/>
        </w:rPr>
        <w:t>三</w:t>
      </w:r>
      <w:r>
        <w:rPr>
          <w:rFonts w:hint="eastAsia"/>
          <w:b/>
          <w:color w:val="auto"/>
          <w:sz w:val="52"/>
          <w:szCs w:val="52"/>
        </w:rPr>
        <w:t>号（氰化渣）尾矿库</w:t>
      </w:r>
    </w:p>
    <w:p w14:paraId="652EABA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eastAsia="黑体"/>
          <w:b/>
          <w:color w:val="auto"/>
          <w:sz w:val="52"/>
          <w:szCs w:val="52"/>
        </w:rPr>
      </w:pPr>
      <w:r>
        <w:rPr>
          <w:rFonts w:hint="eastAsia" w:eastAsia="黑体"/>
          <w:b/>
          <w:color w:val="auto"/>
          <w:sz w:val="52"/>
          <w:szCs w:val="52"/>
        </w:rPr>
        <w:t>安全现状评价报告</w:t>
      </w:r>
    </w:p>
    <w:p w14:paraId="579F55C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黑体"/>
          <w:b/>
          <w:color w:val="auto"/>
          <w:sz w:val="44"/>
          <w:szCs w:val="44"/>
        </w:rPr>
      </w:pPr>
      <w:r>
        <w:rPr>
          <w:rFonts w:hint="eastAsia" w:eastAsia="黑体"/>
          <w:b/>
          <w:color w:val="auto"/>
          <w:sz w:val="44"/>
          <w:szCs w:val="44"/>
        </w:rPr>
        <w:t>（</w:t>
      </w:r>
      <w:r>
        <w:rPr>
          <w:rFonts w:hint="eastAsia" w:eastAsia="黑体"/>
          <w:b/>
          <w:color w:val="auto"/>
          <w:sz w:val="44"/>
          <w:szCs w:val="44"/>
          <w:lang w:val="en-US" w:eastAsia="zh-CN"/>
        </w:rPr>
        <w:t>终稿</w:t>
      </w:r>
      <w:r>
        <w:rPr>
          <w:rFonts w:hint="eastAsia" w:eastAsia="黑体"/>
          <w:b/>
          <w:color w:val="auto"/>
          <w:sz w:val="44"/>
          <w:szCs w:val="44"/>
        </w:rPr>
        <w:t>）</w:t>
      </w:r>
    </w:p>
    <w:p w14:paraId="2761FE6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黑体"/>
          <w:b/>
          <w:color w:val="auto"/>
          <w:sz w:val="52"/>
          <w:szCs w:val="52"/>
        </w:rPr>
      </w:pPr>
    </w:p>
    <w:p w14:paraId="013AE29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黑体"/>
          <w:b/>
          <w:color w:val="auto"/>
          <w:sz w:val="52"/>
          <w:szCs w:val="52"/>
        </w:rPr>
      </w:pPr>
    </w:p>
    <w:p w14:paraId="5178D5F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黑体"/>
          <w:b/>
          <w:color w:val="auto"/>
          <w:sz w:val="52"/>
          <w:szCs w:val="52"/>
        </w:rPr>
      </w:pPr>
    </w:p>
    <w:p w14:paraId="2A0EF81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eastAsia="黑体"/>
          <w:b/>
          <w:color w:val="auto"/>
          <w:sz w:val="52"/>
          <w:szCs w:val="52"/>
        </w:rPr>
      </w:pPr>
    </w:p>
    <w:p w14:paraId="41D7CDED">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b/>
          <w:bCs/>
          <w:color w:val="auto"/>
          <w:sz w:val="44"/>
        </w:rPr>
      </w:pPr>
    </w:p>
    <w:p w14:paraId="539E5479">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b/>
          <w:bCs/>
          <w:color w:val="auto"/>
          <w:sz w:val="44"/>
        </w:rPr>
      </w:pPr>
    </w:p>
    <w:p w14:paraId="0F2AADD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b/>
          <w:bCs/>
          <w:color w:val="auto"/>
          <w:sz w:val="44"/>
        </w:rPr>
      </w:pPr>
      <w:r>
        <w:rPr>
          <w:b/>
          <w:bCs/>
          <w:color w:val="auto"/>
          <w:sz w:val="44"/>
        </w:rPr>
        <w:t>江西赣安安全生产科学技术咨询服务中心</w:t>
      </w:r>
    </w:p>
    <w:p w14:paraId="0DEE1DA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color w:val="auto"/>
          <w:sz w:val="32"/>
        </w:rPr>
      </w:pPr>
      <w:r>
        <w:rPr>
          <w:rFonts w:hint="eastAsia"/>
          <w:b/>
          <w:bCs/>
          <w:color w:val="auto"/>
          <w:sz w:val="32"/>
        </w:rPr>
        <w:t>资质证书编号：</w:t>
      </w:r>
      <w:r>
        <w:rPr>
          <w:b/>
          <w:bCs/>
          <w:color w:val="auto"/>
          <w:sz w:val="32"/>
        </w:rPr>
        <w:t>APJ</w:t>
      </w:r>
      <w:r>
        <w:rPr>
          <w:rFonts w:hint="eastAsia"/>
          <w:b/>
          <w:bCs/>
          <w:color w:val="auto"/>
          <w:sz w:val="32"/>
        </w:rPr>
        <w:t>-（赣）-002</w:t>
      </w:r>
    </w:p>
    <w:p w14:paraId="0A5A6D9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color w:val="auto"/>
          <w:sz w:val="32"/>
        </w:rPr>
      </w:pPr>
      <w:r>
        <w:rPr>
          <w:rFonts w:hint="eastAsia" w:hAnsi="宋体"/>
          <w:b/>
          <w:bCs/>
          <w:color w:val="auto"/>
          <w:sz w:val="32"/>
        </w:rPr>
        <w:t>202</w:t>
      </w:r>
      <w:r>
        <w:rPr>
          <w:rFonts w:hint="eastAsia" w:hAnsi="宋体"/>
          <w:b/>
          <w:bCs/>
          <w:color w:val="auto"/>
          <w:sz w:val="32"/>
          <w:lang w:val="en-US" w:eastAsia="zh-CN"/>
        </w:rPr>
        <w:t>5</w:t>
      </w:r>
      <w:r>
        <w:rPr>
          <w:rFonts w:hAnsi="宋体"/>
          <w:b/>
          <w:bCs/>
          <w:color w:val="auto"/>
          <w:sz w:val="32"/>
        </w:rPr>
        <w:t>年</w:t>
      </w:r>
      <w:r>
        <w:rPr>
          <w:rFonts w:hint="eastAsia" w:hAnsi="宋体"/>
          <w:b/>
          <w:bCs/>
          <w:color w:val="auto"/>
          <w:sz w:val="32"/>
          <w:lang w:val="en-US" w:eastAsia="zh-CN"/>
        </w:rPr>
        <w:t>10</w:t>
      </w:r>
      <w:r>
        <w:rPr>
          <w:rFonts w:hAnsi="宋体"/>
          <w:b/>
          <w:bCs/>
          <w:color w:val="auto"/>
          <w:sz w:val="32"/>
        </w:rPr>
        <w:t>月</w:t>
      </w:r>
      <w:r>
        <w:rPr>
          <w:rFonts w:hint="eastAsia" w:hAnsi="宋体"/>
          <w:b/>
          <w:bCs/>
          <w:color w:val="auto"/>
          <w:sz w:val="32"/>
          <w:lang w:val="en-US" w:eastAsia="zh-CN"/>
        </w:rPr>
        <w:t>27</w:t>
      </w:r>
      <w:r>
        <w:rPr>
          <w:rFonts w:hint="eastAsia" w:hAnsi="宋体"/>
          <w:b/>
          <w:bCs/>
          <w:color w:val="auto"/>
          <w:sz w:val="32"/>
        </w:rPr>
        <w:t>日</w:t>
      </w:r>
    </w:p>
    <w:p w14:paraId="30952803">
      <w:pPr>
        <w:spacing w:line="600" w:lineRule="exact"/>
        <w:jc w:val="center"/>
        <w:rPr>
          <w:b/>
          <w:color w:val="auto"/>
          <w:sz w:val="32"/>
          <w:szCs w:val="32"/>
        </w:rPr>
        <w:sectPr>
          <w:pgSz w:w="11906" w:h="16839"/>
          <w:pgMar w:top="1417" w:right="1417" w:bottom="1417" w:left="1417" w:header="850" w:footer="964" w:gutter="0"/>
          <w:cols w:space="425" w:num="1"/>
          <w:rtlGutter w:val="0"/>
          <w:docGrid w:linePitch="312" w:charSpace="0"/>
        </w:sectPr>
      </w:pPr>
    </w:p>
    <w:p w14:paraId="4A0F7EDA">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b/>
          <w:color w:val="auto"/>
          <w:sz w:val="32"/>
          <w:szCs w:val="32"/>
        </w:rPr>
      </w:pPr>
    </w:p>
    <w:p w14:paraId="439B32A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color w:val="auto"/>
          <w:sz w:val="32"/>
          <w:szCs w:val="32"/>
        </w:rPr>
      </w:pPr>
    </w:p>
    <w:p w14:paraId="4606063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color w:val="auto"/>
          <w:sz w:val="32"/>
          <w:szCs w:val="32"/>
        </w:rPr>
      </w:pPr>
    </w:p>
    <w:p w14:paraId="1D55904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color w:val="auto"/>
          <w:sz w:val="36"/>
          <w:szCs w:val="36"/>
        </w:rPr>
      </w:pPr>
      <w:r>
        <w:rPr>
          <w:rFonts w:hint="eastAsia"/>
          <w:b/>
          <w:color w:val="auto"/>
          <w:sz w:val="36"/>
          <w:szCs w:val="36"/>
        </w:rPr>
        <w:t>江西三和金业有限公司</w:t>
      </w:r>
    </w:p>
    <w:p w14:paraId="481985D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color w:val="auto"/>
          <w:sz w:val="36"/>
          <w:szCs w:val="36"/>
        </w:rPr>
      </w:pPr>
      <w:r>
        <w:rPr>
          <w:rFonts w:hint="eastAsia"/>
          <w:b/>
          <w:color w:val="auto"/>
          <w:sz w:val="36"/>
          <w:szCs w:val="36"/>
        </w:rPr>
        <w:t>三号（氰化渣）尾矿库</w:t>
      </w:r>
    </w:p>
    <w:p w14:paraId="333D3DB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b/>
          <w:color w:val="auto"/>
          <w:sz w:val="44"/>
          <w:szCs w:val="44"/>
        </w:rPr>
      </w:pPr>
      <w:r>
        <w:rPr>
          <w:rFonts w:hint="eastAsia"/>
          <w:b/>
          <w:color w:val="auto"/>
          <w:sz w:val="44"/>
          <w:szCs w:val="44"/>
        </w:rPr>
        <w:t>安全现状评价报告</w:t>
      </w:r>
    </w:p>
    <w:p w14:paraId="68670D1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黑体"/>
          <w:b/>
          <w:color w:val="auto"/>
          <w:sz w:val="44"/>
          <w:szCs w:val="44"/>
        </w:rPr>
      </w:pPr>
      <w:r>
        <w:rPr>
          <w:rFonts w:hint="eastAsia" w:eastAsia="黑体"/>
          <w:b/>
          <w:color w:val="auto"/>
          <w:sz w:val="44"/>
          <w:szCs w:val="44"/>
        </w:rPr>
        <w:t>（</w:t>
      </w:r>
      <w:r>
        <w:rPr>
          <w:rFonts w:hint="eastAsia" w:eastAsia="黑体"/>
          <w:b/>
          <w:color w:val="auto"/>
          <w:sz w:val="44"/>
          <w:szCs w:val="44"/>
          <w:lang w:val="en-US" w:eastAsia="zh-CN"/>
        </w:rPr>
        <w:t>终稿</w:t>
      </w:r>
      <w:r>
        <w:rPr>
          <w:rFonts w:hint="eastAsia" w:eastAsia="黑体"/>
          <w:b/>
          <w:color w:val="auto"/>
          <w:sz w:val="44"/>
          <w:szCs w:val="44"/>
        </w:rPr>
        <w:t>）</w:t>
      </w:r>
    </w:p>
    <w:p w14:paraId="74959F7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eastAsia="黑体"/>
          <w:b/>
          <w:color w:val="auto"/>
          <w:sz w:val="44"/>
          <w:szCs w:val="44"/>
        </w:rPr>
      </w:pPr>
    </w:p>
    <w:p w14:paraId="44B869D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eastAsia="黑体"/>
          <w:b/>
          <w:color w:val="auto"/>
          <w:sz w:val="44"/>
          <w:szCs w:val="44"/>
        </w:rPr>
      </w:pPr>
    </w:p>
    <w:p w14:paraId="6770B87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eastAsia="黑体"/>
          <w:b/>
          <w:color w:val="auto"/>
          <w:sz w:val="44"/>
          <w:szCs w:val="44"/>
        </w:rPr>
      </w:pPr>
    </w:p>
    <w:p w14:paraId="07B9717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eastAsia="黑体"/>
          <w:b/>
          <w:color w:val="auto"/>
          <w:sz w:val="44"/>
          <w:szCs w:val="44"/>
        </w:rPr>
      </w:pPr>
    </w:p>
    <w:p w14:paraId="06417EA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黑体"/>
          <w:b/>
          <w:color w:val="auto"/>
          <w:sz w:val="44"/>
          <w:szCs w:val="44"/>
        </w:rPr>
      </w:pPr>
    </w:p>
    <w:p w14:paraId="60C9A19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黑体"/>
          <w:b/>
          <w:color w:val="auto"/>
          <w:sz w:val="44"/>
          <w:szCs w:val="44"/>
        </w:rPr>
      </w:pPr>
    </w:p>
    <w:p w14:paraId="13B9EDF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color w:val="auto"/>
          <w:lang w:eastAsia="zh-CN"/>
        </w:rPr>
      </w:pPr>
      <w:r>
        <w:rPr>
          <w:color w:val="auto"/>
        </w:rPr>
        <w:t>法</w:t>
      </w:r>
      <w:r>
        <w:rPr>
          <w:rFonts w:hint="eastAsia"/>
          <w:color w:val="auto"/>
        </w:rPr>
        <w:t xml:space="preserve"> 定 </w:t>
      </w:r>
      <w:r>
        <w:rPr>
          <w:color w:val="auto"/>
        </w:rPr>
        <w:t>代</w:t>
      </w:r>
      <w:r>
        <w:rPr>
          <w:rFonts w:hint="eastAsia"/>
          <w:color w:val="auto"/>
        </w:rPr>
        <w:t xml:space="preserve"> </w:t>
      </w:r>
      <w:r>
        <w:rPr>
          <w:color w:val="auto"/>
        </w:rPr>
        <w:t>表</w:t>
      </w:r>
      <w:r>
        <w:rPr>
          <w:rFonts w:hint="eastAsia"/>
          <w:color w:val="auto"/>
        </w:rPr>
        <w:t xml:space="preserve"> </w:t>
      </w:r>
      <w:r>
        <w:rPr>
          <w:color w:val="auto"/>
        </w:rPr>
        <w:t>人：</w:t>
      </w:r>
      <w:r>
        <w:rPr>
          <w:rFonts w:hint="eastAsia"/>
          <w:color w:val="auto"/>
          <w:lang w:val="en-US" w:eastAsia="zh-CN"/>
        </w:rPr>
        <w:t>应  宏</w:t>
      </w:r>
    </w:p>
    <w:p w14:paraId="35FF3EE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rPr>
      </w:pPr>
      <w:r>
        <w:rPr>
          <w:color w:val="auto"/>
        </w:rPr>
        <w:t>技</w:t>
      </w:r>
      <w:r>
        <w:rPr>
          <w:rFonts w:hint="eastAsia"/>
          <w:color w:val="auto"/>
        </w:rPr>
        <w:t xml:space="preserve"> </w:t>
      </w:r>
      <w:r>
        <w:rPr>
          <w:color w:val="auto"/>
        </w:rPr>
        <w:t>术</w:t>
      </w:r>
      <w:r>
        <w:rPr>
          <w:rFonts w:hint="eastAsia"/>
          <w:color w:val="auto"/>
        </w:rPr>
        <w:t xml:space="preserve"> </w:t>
      </w:r>
      <w:r>
        <w:rPr>
          <w:color w:val="auto"/>
        </w:rPr>
        <w:t>负</w:t>
      </w:r>
      <w:r>
        <w:rPr>
          <w:rFonts w:hint="eastAsia"/>
          <w:color w:val="auto"/>
        </w:rPr>
        <w:t xml:space="preserve"> </w:t>
      </w:r>
      <w:r>
        <w:rPr>
          <w:color w:val="auto"/>
        </w:rPr>
        <w:t>责</w:t>
      </w:r>
      <w:r>
        <w:rPr>
          <w:rFonts w:hint="eastAsia"/>
          <w:color w:val="auto"/>
        </w:rPr>
        <w:t xml:space="preserve"> </w:t>
      </w:r>
      <w:r>
        <w:rPr>
          <w:color w:val="auto"/>
        </w:rPr>
        <w:t>人：</w:t>
      </w:r>
      <w:r>
        <w:rPr>
          <w:rFonts w:hint="eastAsia"/>
          <w:color w:val="auto"/>
        </w:rPr>
        <w:t>管自强</w:t>
      </w:r>
    </w:p>
    <w:p w14:paraId="70F1820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color w:val="auto"/>
          <w:lang w:eastAsia="zh-CN"/>
        </w:rPr>
      </w:pPr>
      <w:r>
        <w:rPr>
          <w:color w:val="auto"/>
        </w:rPr>
        <w:t>评价项目负责人：</w:t>
      </w:r>
      <w:r>
        <w:rPr>
          <w:rFonts w:hint="eastAsia"/>
          <w:color w:val="auto"/>
          <w:lang w:val="en-US" w:eastAsia="zh-CN"/>
        </w:rPr>
        <w:t>许玉才</w:t>
      </w:r>
    </w:p>
    <w:p w14:paraId="3C6E82B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rPr>
      </w:pPr>
    </w:p>
    <w:p w14:paraId="014634B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rPr>
      </w:pPr>
    </w:p>
    <w:p w14:paraId="48C6B79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rPr>
      </w:pPr>
      <w:r>
        <w:rPr>
          <w:b/>
          <w:bCs/>
          <w:color w:val="auto"/>
          <w:sz w:val="24"/>
        </w:rPr>
        <w:t>评价报告完成日期：</w:t>
      </w:r>
      <w:r>
        <w:rPr>
          <w:rFonts w:hint="eastAsia" w:hAnsi="宋体"/>
          <w:b/>
          <w:bCs/>
          <w:color w:val="auto"/>
          <w:spacing w:val="20"/>
          <w:sz w:val="24"/>
        </w:rPr>
        <w:t>2025年</w:t>
      </w:r>
      <w:r>
        <w:rPr>
          <w:rFonts w:hint="eastAsia" w:hAnsi="宋体"/>
          <w:b/>
          <w:bCs/>
          <w:color w:val="auto"/>
          <w:spacing w:val="20"/>
          <w:sz w:val="24"/>
          <w:lang w:val="en-US" w:eastAsia="zh-CN"/>
        </w:rPr>
        <w:t>10</w:t>
      </w:r>
      <w:r>
        <w:rPr>
          <w:rFonts w:hint="eastAsia" w:hAnsi="宋体"/>
          <w:b/>
          <w:bCs/>
          <w:color w:val="auto"/>
          <w:spacing w:val="20"/>
          <w:sz w:val="24"/>
        </w:rPr>
        <w:t>月</w:t>
      </w:r>
      <w:r>
        <w:rPr>
          <w:rFonts w:hint="eastAsia" w:hAnsi="宋体"/>
          <w:b/>
          <w:bCs/>
          <w:color w:val="auto"/>
          <w:spacing w:val="20"/>
          <w:sz w:val="24"/>
          <w:lang w:val="en-US" w:eastAsia="zh-CN"/>
        </w:rPr>
        <w:t>27</w:t>
      </w:r>
      <w:r>
        <w:rPr>
          <w:rFonts w:hint="eastAsia" w:hAnsi="宋体"/>
          <w:b/>
          <w:bCs/>
          <w:color w:val="auto"/>
          <w:spacing w:val="20"/>
          <w:sz w:val="24"/>
        </w:rPr>
        <w:t>日</w:t>
      </w:r>
    </w:p>
    <w:p w14:paraId="6CB34F2E">
      <w:pPr>
        <w:spacing w:line="600" w:lineRule="exact"/>
        <w:jc w:val="center"/>
        <w:rPr>
          <w:b/>
          <w:color w:val="auto"/>
          <w:sz w:val="32"/>
          <w:szCs w:val="32"/>
        </w:rPr>
      </w:pPr>
      <w:r>
        <w:rPr>
          <w:b/>
          <w:color w:val="auto"/>
          <w:sz w:val="32"/>
          <w:szCs w:val="32"/>
        </w:rPr>
        <w:br w:type="page"/>
      </w:r>
    </w:p>
    <w:p w14:paraId="0554C0B7">
      <w:pPr>
        <w:keepNext w:val="0"/>
        <w:keepLines w:val="0"/>
        <w:pageBreakBefore w:val="0"/>
        <w:kinsoku/>
        <w:wordWrap/>
        <w:overflowPunct/>
        <w:topLinePunct w:val="0"/>
        <w:autoSpaceDE/>
        <w:autoSpaceDN/>
        <w:bidi w:val="0"/>
        <w:adjustRightInd/>
        <w:snapToGrid/>
        <w:spacing w:beforeAutospacing="0" w:afterAutospacing="0" w:line="360" w:lineRule="auto"/>
        <w:ind w:firstLine="0" w:firstLineChars="0"/>
        <w:jc w:val="center"/>
        <w:textAlignment w:val="auto"/>
        <w:rPr>
          <w:rFonts w:hint="eastAsia" w:ascii="宋体" w:hAnsi="宋体"/>
          <w:color w:val="auto"/>
          <w:sz w:val="36"/>
          <w:szCs w:val="36"/>
        </w:rPr>
      </w:pPr>
      <w:r>
        <w:rPr>
          <w:rFonts w:hint="eastAsia" w:ascii="宋体" w:hAnsi="宋体"/>
          <w:color w:val="auto"/>
          <w:sz w:val="36"/>
          <w:szCs w:val="36"/>
        </w:rPr>
        <w:t>江西三和金业有限公司</w:t>
      </w:r>
    </w:p>
    <w:p w14:paraId="50F1057C">
      <w:pPr>
        <w:keepNext w:val="0"/>
        <w:keepLines w:val="0"/>
        <w:pageBreakBefore w:val="0"/>
        <w:kinsoku/>
        <w:wordWrap/>
        <w:overflowPunct/>
        <w:topLinePunct w:val="0"/>
        <w:autoSpaceDE/>
        <w:autoSpaceDN/>
        <w:bidi w:val="0"/>
        <w:adjustRightInd/>
        <w:snapToGrid/>
        <w:spacing w:beforeAutospacing="0" w:afterAutospacing="0" w:line="360" w:lineRule="auto"/>
        <w:ind w:firstLine="0" w:firstLineChars="0"/>
        <w:jc w:val="center"/>
        <w:textAlignment w:val="auto"/>
        <w:rPr>
          <w:rFonts w:hint="eastAsia" w:ascii="宋体" w:hAnsi="宋体"/>
          <w:color w:val="auto"/>
          <w:sz w:val="36"/>
          <w:szCs w:val="36"/>
        </w:rPr>
      </w:pPr>
      <w:r>
        <w:rPr>
          <w:rFonts w:hint="eastAsia" w:ascii="宋体" w:hAnsi="宋体"/>
          <w:color w:val="auto"/>
          <w:sz w:val="36"/>
          <w:szCs w:val="36"/>
        </w:rPr>
        <w:t>三号（氰化渣）尾矿库</w:t>
      </w:r>
    </w:p>
    <w:p w14:paraId="00A25C37">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0" w:firstLineChars="0"/>
        <w:jc w:val="center"/>
        <w:textAlignment w:val="auto"/>
        <w:rPr>
          <w:rFonts w:hint="eastAsia" w:ascii="宋体" w:hAnsi="宋体" w:cs="宋体"/>
          <w:color w:val="auto"/>
          <w:kern w:val="0"/>
          <w:sz w:val="36"/>
          <w:szCs w:val="36"/>
        </w:rPr>
      </w:pPr>
      <w:r>
        <w:rPr>
          <w:rFonts w:hint="eastAsia" w:ascii="宋体" w:hAnsi="宋体" w:cs="宋体"/>
          <w:color w:val="auto"/>
          <w:kern w:val="0"/>
          <w:sz w:val="36"/>
          <w:szCs w:val="36"/>
        </w:rPr>
        <w:t>安全现状</w:t>
      </w:r>
      <w:r>
        <w:rPr>
          <w:rFonts w:ascii="宋体" w:hAnsi="宋体" w:cs="宋体"/>
          <w:color w:val="auto"/>
          <w:kern w:val="0"/>
          <w:sz w:val="36"/>
          <w:szCs w:val="36"/>
        </w:rPr>
        <w:t>评价</w:t>
      </w:r>
      <w:r>
        <w:rPr>
          <w:rFonts w:hint="eastAsia" w:ascii="宋体" w:hAnsi="宋体" w:cs="宋体"/>
          <w:color w:val="auto"/>
          <w:kern w:val="0"/>
          <w:sz w:val="36"/>
          <w:szCs w:val="36"/>
        </w:rPr>
        <w:t>技术服务</w:t>
      </w:r>
      <w:r>
        <w:rPr>
          <w:rFonts w:ascii="宋体" w:hAnsi="宋体" w:cs="宋体"/>
          <w:color w:val="auto"/>
          <w:kern w:val="0"/>
          <w:sz w:val="36"/>
          <w:szCs w:val="36"/>
        </w:rPr>
        <w:t>承诺书</w:t>
      </w:r>
    </w:p>
    <w:p w14:paraId="2EE982FB">
      <w:pPr>
        <w:keepNext w:val="0"/>
        <w:keepLines w:val="0"/>
        <w:pageBreakBefore w:val="0"/>
        <w:widowControl/>
        <w:kinsoku/>
        <w:wordWrap/>
        <w:overflowPunct/>
        <w:topLinePunct w:val="0"/>
        <w:autoSpaceDE/>
        <w:autoSpaceDN/>
        <w:bidi w:val="0"/>
        <w:adjustRightInd/>
        <w:snapToGrid/>
        <w:spacing w:line="480" w:lineRule="auto"/>
        <w:ind w:firstLine="560" w:firstLineChars="200"/>
        <w:textAlignment w:val="auto"/>
        <w:rPr>
          <w:rFonts w:hint="eastAsia" w:ascii="仿宋" w:hAnsi="仿宋" w:eastAsia="仿宋" w:cs="宋体"/>
          <w:color w:val="auto"/>
          <w:kern w:val="0"/>
          <w:sz w:val="28"/>
          <w:szCs w:val="28"/>
        </w:rPr>
      </w:pPr>
    </w:p>
    <w:p w14:paraId="6A0E05A7">
      <w:pPr>
        <w:keepNext w:val="0"/>
        <w:keepLines w:val="0"/>
        <w:pageBreakBefore w:val="0"/>
        <w:widowControl/>
        <w:kinsoku/>
        <w:wordWrap/>
        <w:overflowPunct/>
        <w:topLinePunct w:val="0"/>
        <w:autoSpaceDE/>
        <w:autoSpaceDN/>
        <w:bidi w:val="0"/>
        <w:adjustRightInd/>
        <w:snapToGrid/>
        <w:spacing w:line="480" w:lineRule="auto"/>
        <w:ind w:firstLine="640" w:firstLineChars="200"/>
        <w:textAlignment w:val="auto"/>
        <w:rPr>
          <w:rFonts w:hint="eastAsia" w:ascii="仿宋" w:hAnsi="仿宋" w:eastAsia="仿宋" w:cs="宋体"/>
          <w:color w:val="auto"/>
          <w:kern w:val="0"/>
          <w:sz w:val="32"/>
          <w:szCs w:val="32"/>
        </w:rPr>
      </w:pPr>
      <w:r>
        <w:rPr>
          <w:rFonts w:hint="eastAsia" w:ascii="仿宋" w:hAnsi="仿宋" w:eastAsia="仿宋" w:cs="宋体"/>
          <w:color w:val="auto"/>
          <w:kern w:val="0"/>
          <w:sz w:val="32"/>
          <w:szCs w:val="32"/>
        </w:rPr>
        <w:t>一、在本项目安全评价活动过程中，我单位严格遵守《安全生产法》及相关法律、法规和标准的要求。</w:t>
      </w:r>
    </w:p>
    <w:p w14:paraId="522E8E4A">
      <w:pPr>
        <w:keepNext w:val="0"/>
        <w:keepLines w:val="0"/>
        <w:pageBreakBefore w:val="0"/>
        <w:widowControl/>
        <w:kinsoku/>
        <w:wordWrap/>
        <w:overflowPunct/>
        <w:topLinePunct w:val="0"/>
        <w:autoSpaceDE/>
        <w:autoSpaceDN/>
        <w:bidi w:val="0"/>
        <w:adjustRightInd/>
        <w:snapToGrid/>
        <w:spacing w:line="480" w:lineRule="auto"/>
        <w:ind w:firstLine="640" w:firstLineChars="200"/>
        <w:textAlignment w:val="auto"/>
        <w:rPr>
          <w:rFonts w:hint="eastAsia" w:ascii="宋体" w:hAnsi="宋体" w:cs="宋体"/>
          <w:color w:val="auto"/>
          <w:kern w:val="0"/>
          <w:sz w:val="36"/>
          <w:szCs w:val="36"/>
        </w:rPr>
      </w:pPr>
      <w:r>
        <w:rPr>
          <w:rFonts w:hint="eastAsia" w:ascii="仿宋" w:hAnsi="仿宋" w:eastAsia="仿宋" w:cs="宋体"/>
          <w:color w:val="auto"/>
          <w:kern w:val="0"/>
          <w:sz w:val="32"/>
          <w:szCs w:val="32"/>
        </w:rPr>
        <w:t>二、在本项目安全评价活动过程中，我单位作为第三方，未受到任何组织和个人的干预和影响，依法独立开展工作，保证了技术服务活动的客观公正性。</w:t>
      </w:r>
    </w:p>
    <w:p w14:paraId="338974C1">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宋体"/>
          <w:color w:val="auto"/>
          <w:kern w:val="0"/>
          <w:sz w:val="32"/>
          <w:szCs w:val="32"/>
        </w:rPr>
      </w:pPr>
      <w:r>
        <w:rPr>
          <w:rFonts w:hint="eastAsia" w:ascii="仿宋" w:hAnsi="仿宋" w:eastAsia="仿宋" w:cs="宋体"/>
          <w:color w:val="auto"/>
          <w:kern w:val="0"/>
          <w:sz w:val="32"/>
          <w:szCs w:val="32"/>
        </w:rPr>
        <w:t>三、我单位按照实事求是的原则，对本项目进行安全评价，确保出具的报告均真实有效，报告所提出的措施具有针对性、有效性和可行性。</w:t>
      </w:r>
    </w:p>
    <w:p w14:paraId="301E2149">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宋体"/>
          <w:color w:val="auto"/>
          <w:kern w:val="0"/>
          <w:sz w:val="32"/>
          <w:szCs w:val="32"/>
        </w:rPr>
      </w:pPr>
      <w:r>
        <w:rPr>
          <w:rFonts w:hint="eastAsia" w:ascii="仿宋" w:hAnsi="仿宋" w:eastAsia="仿宋" w:cs="宋体"/>
          <w:color w:val="auto"/>
          <w:kern w:val="0"/>
          <w:sz w:val="32"/>
          <w:szCs w:val="32"/>
        </w:rPr>
        <w:t>四、我单位对本项目安全评价报告中结论性内容承担法律责任。</w:t>
      </w:r>
    </w:p>
    <w:p w14:paraId="248DBA77">
      <w:pPr>
        <w:keepNext w:val="0"/>
        <w:keepLines w:val="0"/>
        <w:pageBreakBefore w:val="0"/>
        <w:widowControl/>
        <w:kinsoku/>
        <w:wordWrap/>
        <w:overflowPunct/>
        <w:topLinePunct w:val="0"/>
        <w:autoSpaceDE/>
        <w:autoSpaceDN/>
        <w:bidi w:val="0"/>
        <w:adjustRightInd/>
        <w:snapToGrid/>
        <w:spacing w:before="100" w:beforeAutospacing="1" w:after="100" w:afterAutospacing="1" w:line="400" w:lineRule="exact"/>
        <w:ind w:left="5258" w:leftChars="228" w:hanging="4620" w:hangingChars="1650"/>
        <w:jc w:val="right"/>
        <w:textAlignment w:val="auto"/>
        <w:rPr>
          <w:rFonts w:hint="eastAsia" w:hAnsi="宋体"/>
          <w:color w:val="auto"/>
          <w:szCs w:val="28"/>
        </w:rPr>
      </w:pPr>
    </w:p>
    <w:p w14:paraId="2C8AD663">
      <w:pPr>
        <w:keepNext w:val="0"/>
        <w:keepLines w:val="0"/>
        <w:pageBreakBefore w:val="0"/>
        <w:widowControl/>
        <w:kinsoku/>
        <w:wordWrap/>
        <w:overflowPunct/>
        <w:topLinePunct w:val="0"/>
        <w:autoSpaceDE/>
        <w:autoSpaceDN/>
        <w:bidi w:val="0"/>
        <w:adjustRightInd/>
        <w:snapToGrid/>
        <w:spacing w:before="100" w:beforeAutospacing="1" w:after="100" w:afterAutospacing="1" w:line="400" w:lineRule="exact"/>
        <w:ind w:left="5258" w:leftChars="228" w:hanging="4620" w:hangingChars="1650"/>
        <w:jc w:val="right"/>
        <w:textAlignment w:val="auto"/>
        <w:rPr>
          <w:color w:val="auto"/>
          <w:kern w:val="0"/>
          <w:szCs w:val="28"/>
        </w:rPr>
      </w:pPr>
      <w:r>
        <w:rPr>
          <w:color w:val="auto"/>
          <w:szCs w:val="28"/>
        </w:rPr>
        <w:t>江西赣安安全生产科学技术咨询服务中心</w:t>
      </w:r>
    </w:p>
    <w:p w14:paraId="6FF5D5F5">
      <w:pPr>
        <w:keepNext w:val="0"/>
        <w:keepLines w:val="0"/>
        <w:pageBreakBefore w:val="0"/>
        <w:widowControl/>
        <w:kinsoku/>
        <w:wordWrap/>
        <w:overflowPunct/>
        <w:topLinePunct w:val="0"/>
        <w:autoSpaceDE/>
        <w:autoSpaceDN/>
        <w:bidi w:val="0"/>
        <w:adjustRightInd/>
        <w:snapToGrid/>
        <w:spacing w:beforeAutospacing="0" w:afterAutospacing="0" w:line="400" w:lineRule="exact"/>
        <w:ind w:firstLine="0" w:firstLineChars="0"/>
        <w:jc w:val="center"/>
        <w:textAlignment w:val="auto"/>
        <w:rPr>
          <w:b/>
          <w:color w:val="auto"/>
          <w:szCs w:val="28"/>
        </w:rPr>
      </w:pPr>
      <w:r>
        <w:rPr>
          <w:rFonts w:hint="eastAsia"/>
          <w:color w:val="auto"/>
          <w:kern w:val="0"/>
          <w:szCs w:val="28"/>
          <w:lang w:val="en-US" w:eastAsia="zh-CN"/>
        </w:rPr>
        <w:t xml:space="preserve">                              </w:t>
      </w:r>
      <w:r>
        <w:rPr>
          <w:rFonts w:hint="eastAsia"/>
          <w:color w:val="auto"/>
          <w:kern w:val="0"/>
          <w:szCs w:val="28"/>
        </w:rPr>
        <w:t>2025年</w:t>
      </w:r>
      <w:r>
        <w:rPr>
          <w:rFonts w:hint="eastAsia"/>
          <w:color w:val="auto"/>
          <w:kern w:val="0"/>
          <w:szCs w:val="28"/>
          <w:lang w:val="en-US" w:eastAsia="zh-CN"/>
        </w:rPr>
        <w:t>10</w:t>
      </w:r>
      <w:r>
        <w:rPr>
          <w:rFonts w:hint="eastAsia"/>
          <w:color w:val="auto"/>
          <w:kern w:val="0"/>
          <w:szCs w:val="28"/>
        </w:rPr>
        <w:t>月</w:t>
      </w:r>
      <w:r>
        <w:rPr>
          <w:rFonts w:hint="eastAsia"/>
          <w:color w:val="auto"/>
          <w:kern w:val="0"/>
          <w:szCs w:val="28"/>
          <w:lang w:val="en-US" w:eastAsia="zh-CN"/>
        </w:rPr>
        <w:t>27</w:t>
      </w:r>
      <w:r>
        <w:rPr>
          <w:rFonts w:hint="eastAsia"/>
          <w:color w:val="auto"/>
          <w:kern w:val="0"/>
          <w:szCs w:val="28"/>
        </w:rPr>
        <w:t>日</w:t>
      </w:r>
      <w:r>
        <w:rPr>
          <w:b/>
          <w:color w:val="auto"/>
          <w:szCs w:val="28"/>
        </w:rPr>
        <w:br w:type="page"/>
      </w:r>
    </w:p>
    <w:p w14:paraId="17492A56">
      <w:pPr>
        <w:keepNext w:val="0"/>
        <w:keepLines w:val="0"/>
        <w:pageBreakBefore w:val="0"/>
        <w:widowControl/>
        <w:kinsoku/>
        <w:wordWrap/>
        <w:overflowPunct/>
        <w:topLinePunct w:val="0"/>
        <w:autoSpaceDE/>
        <w:autoSpaceDN/>
        <w:bidi w:val="0"/>
        <w:adjustRightInd/>
        <w:snapToGrid/>
        <w:spacing w:beforeAutospacing="0" w:afterAutospacing="0" w:line="400" w:lineRule="exact"/>
        <w:ind w:firstLine="0" w:firstLineChars="0"/>
        <w:jc w:val="center"/>
        <w:textAlignment w:val="auto"/>
        <w:rPr>
          <w:b/>
          <w:color w:val="auto"/>
          <w:szCs w:val="28"/>
        </w:rPr>
      </w:pPr>
    </w:p>
    <w:p w14:paraId="29FAE40B">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firstLine="0" w:firstLineChars="0"/>
        <w:jc w:val="center"/>
        <w:textAlignment w:val="auto"/>
        <w:rPr>
          <w:rFonts w:hint="eastAsia" w:ascii="Times New Roman" w:hAnsi="Times New Roman" w:eastAsia="方正小标宋简体" w:cs="Times New Roman"/>
          <w:color w:val="auto"/>
          <w:kern w:val="0"/>
          <w:sz w:val="44"/>
          <w:szCs w:val="44"/>
          <w:lang w:val="en-US" w:eastAsia="zh-CN" w:bidi="ar-SA"/>
        </w:rPr>
      </w:pPr>
      <w:r>
        <w:rPr>
          <w:rFonts w:hint="eastAsia" w:ascii="Times New Roman" w:hAnsi="Times New Roman" w:eastAsia="方正小标宋简体" w:cs="Times New Roman"/>
          <w:color w:val="auto"/>
          <w:kern w:val="0"/>
          <w:sz w:val="44"/>
          <w:szCs w:val="44"/>
          <w:lang w:val="en-US" w:eastAsia="zh-CN" w:bidi="ar-SA"/>
        </w:rPr>
        <w:t>规范安全生产中介行为的九条禁令</w:t>
      </w:r>
    </w:p>
    <w:p w14:paraId="4194D9FF">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firstLine="0" w:firstLineChars="0"/>
        <w:jc w:val="center"/>
        <w:textAlignment w:val="auto"/>
        <w:rPr>
          <w:rFonts w:hint="eastAsia" w:ascii="Times New Roman" w:hAnsi="Times New Roman" w:eastAsia="方正小标宋简体" w:cs="Times New Roman"/>
          <w:color w:val="auto"/>
          <w:kern w:val="0"/>
          <w:sz w:val="32"/>
          <w:szCs w:val="32"/>
          <w:lang w:val="en-US" w:eastAsia="zh-CN" w:bidi="ar-SA"/>
        </w:rPr>
      </w:pPr>
      <w:r>
        <w:rPr>
          <w:rFonts w:hint="eastAsia" w:ascii="Times New Roman" w:hAnsi="Times New Roman" w:eastAsia="方正小标宋简体" w:cs="Times New Roman"/>
          <w:color w:val="auto"/>
          <w:kern w:val="0"/>
          <w:sz w:val="32"/>
          <w:szCs w:val="32"/>
          <w:lang w:val="en-US" w:eastAsia="zh-CN" w:bidi="ar-SA"/>
        </w:rPr>
        <w:t>赣安监管规划字〔2017〕178号</w:t>
      </w:r>
    </w:p>
    <w:p w14:paraId="77F321EB">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420" w:lineRule="auto"/>
        <w:ind w:firstLine="560" w:firstLineChars="200"/>
        <w:jc w:val="left"/>
        <w:textAlignment w:val="auto"/>
        <w:rPr>
          <w:rFonts w:ascii="Times New Roman" w:hAnsi="Times New Roman" w:eastAsia="宋体" w:cs="Times New Roman"/>
          <w:color w:val="auto"/>
          <w:kern w:val="0"/>
          <w:sz w:val="28"/>
          <w:szCs w:val="28"/>
          <w:lang w:val="en-US" w:eastAsia="zh-CN" w:bidi="ar-SA"/>
        </w:rPr>
      </w:pPr>
      <w:r>
        <w:rPr>
          <w:rFonts w:ascii="Times New Roman" w:hAnsi="Times New Roman" w:eastAsia="宋体" w:cs="Times New Roman"/>
          <w:color w:val="auto"/>
          <w:kern w:val="0"/>
          <w:sz w:val="28"/>
          <w:szCs w:val="28"/>
          <w:lang w:val="en-US" w:eastAsia="zh-CN" w:bidi="ar-SA"/>
        </w:rPr>
        <w:t>一、禁止从事安全生产服务的中介服务机构（以下统称中介机构）租借资质证书、非法挂靠、转包服务项目的行为</w:t>
      </w:r>
      <w:r>
        <w:rPr>
          <w:rFonts w:hint="eastAsia" w:ascii="Times New Roman" w:hAnsi="Times New Roman" w:eastAsia="宋体" w:cs="Times New Roman"/>
          <w:color w:val="auto"/>
          <w:kern w:val="0"/>
          <w:sz w:val="28"/>
          <w:szCs w:val="28"/>
          <w:lang w:val="en-US" w:eastAsia="zh-CN" w:bidi="ar-SA"/>
        </w:rPr>
        <w:t>；</w:t>
      </w:r>
    </w:p>
    <w:p w14:paraId="63308A7F">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420" w:lineRule="auto"/>
        <w:ind w:firstLine="560" w:firstLineChars="200"/>
        <w:jc w:val="left"/>
        <w:textAlignment w:val="auto"/>
        <w:rPr>
          <w:rFonts w:ascii="Times New Roman" w:hAnsi="Times New Roman" w:eastAsia="宋体" w:cs="Times New Roman"/>
          <w:color w:val="auto"/>
          <w:kern w:val="0"/>
          <w:sz w:val="28"/>
          <w:szCs w:val="28"/>
          <w:lang w:val="en-US" w:eastAsia="zh-CN" w:bidi="ar-SA"/>
        </w:rPr>
      </w:pPr>
      <w:r>
        <w:rPr>
          <w:rFonts w:ascii="Times New Roman" w:hAnsi="Times New Roman" w:eastAsia="宋体" w:cs="Times New Roman"/>
          <w:color w:val="auto"/>
          <w:kern w:val="0"/>
          <w:sz w:val="28"/>
          <w:szCs w:val="28"/>
          <w:lang w:val="en-US" w:eastAsia="zh-CN" w:bidi="ar-SA"/>
        </w:rPr>
        <w:t>二、禁止中介机构假借、冒用他人名义要求服务对象接受有偿服务，或者恶意低价竞争以及采取串标、围标等不正当竞争手段，扰乱技术服务市场秩序的行为；</w:t>
      </w:r>
    </w:p>
    <w:p w14:paraId="4216FD63">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420" w:lineRule="auto"/>
        <w:ind w:firstLine="560" w:firstLineChars="200"/>
        <w:jc w:val="left"/>
        <w:textAlignment w:val="auto"/>
        <w:rPr>
          <w:rFonts w:ascii="Times New Roman" w:hAnsi="Times New Roman" w:eastAsia="宋体" w:cs="Times New Roman"/>
          <w:color w:val="auto"/>
          <w:kern w:val="0"/>
          <w:sz w:val="28"/>
          <w:szCs w:val="28"/>
          <w:lang w:val="en-US" w:eastAsia="zh-CN" w:bidi="ar-SA"/>
        </w:rPr>
      </w:pPr>
      <w:r>
        <w:rPr>
          <w:rFonts w:ascii="Times New Roman" w:hAnsi="Times New Roman" w:eastAsia="宋体" w:cs="Times New Roman"/>
          <w:color w:val="auto"/>
          <w:kern w:val="0"/>
          <w:sz w:val="28"/>
          <w:szCs w:val="28"/>
          <w:lang w:val="en-US" w:eastAsia="zh-CN" w:bidi="ar-SA"/>
        </w:rPr>
        <w:t>三、禁止中介机构出具虚假或漏项、缺项技术报告的行为；</w:t>
      </w:r>
    </w:p>
    <w:p w14:paraId="4FA30D18">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420" w:lineRule="auto"/>
        <w:ind w:firstLine="560" w:firstLineChars="200"/>
        <w:jc w:val="left"/>
        <w:textAlignment w:val="auto"/>
        <w:rPr>
          <w:rFonts w:ascii="Times New Roman" w:hAnsi="Times New Roman" w:eastAsia="宋体" w:cs="Times New Roman"/>
          <w:color w:val="auto"/>
          <w:kern w:val="0"/>
          <w:sz w:val="28"/>
          <w:szCs w:val="28"/>
          <w:lang w:val="en-US" w:eastAsia="zh-CN" w:bidi="ar-SA"/>
        </w:rPr>
      </w:pPr>
      <w:r>
        <w:rPr>
          <w:rFonts w:ascii="Times New Roman" w:hAnsi="Times New Roman" w:eastAsia="宋体" w:cs="Times New Roman"/>
          <w:color w:val="auto"/>
          <w:kern w:val="0"/>
          <w:sz w:val="28"/>
          <w:szCs w:val="28"/>
          <w:lang w:val="en-US" w:eastAsia="zh-CN" w:bidi="ar-SA"/>
        </w:rPr>
        <w:t>四</w:t>
      </w:r>
      <w:r>
        <w:rPr>
          <w:rFonts w:ascii="Times New Roman" w:hAnsi="Times New Roman" w:eastAsia="宋体"/>
          <w:color w:val="auto"/>
          <w:kern w:val="0"/>
          <w:sz w:val="28"/>
          <w:szCs w:val="28"/>
        </w:rPr>
        <w:t>、</w:t>
      </w:r>
      <w:r>
        <w:rPr>
          <w:rFonts w:hint="eastAsia" w:ascii="Times New Roman" w:hAnsi="Times New Roman" w:eastAsia="宋体" w:cs="Times New Roman"/>
          <w:color w:val="auto"/>
          <w:kern w:val="0"/>
          <w:sz w:val="28"/>
          <w:szCs w:val="28"/>
          <w:lang w:val="en-US" w:eastAsia="zh-CN" w:bidi="ar-SA"/>
        </w:rPr>
        <w:t>禁止中介机构出租、出借资格证书、在报告上冒用他人签名的行为；</w:t>
      </w:r>
    </w:p>
    <w:p w14:paraId="22D55C78">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420" w:lineRule="auto"/>
        <w:ind w:firstLine="560" w:firstLineChars="200"/>
        <w:jc w:val="left"/>
        <w:textAlignment w:val="auto"/>
        <w:rPr>
          <w:rFonts w:ascii="Times New Roman" w:hAnsi="Times New Roman" w:eastAsia="宋体" w:cs="Times New Roman"/>
          <w:color w:val="auto"/>
          <w:kern w:val="0"/>
          <w:sz w:val="28"/>
          <w:szCs w:val="28"/>
          <w:lang w:val="en-US" w:eastAsia="zh-CN" w:bidi="ar-SA"/>
        </w:rPr>
      </w:pPr>
      <w:r>
        <w:rPr>
          <w:rFonts w:ascii="Times New Roman" w:hAnsi="Times New Roman" w:eastAsia="宋体" w:cs="Times New Roman"/>
          <w:color w:val="auto"/>
          <w:kern w:val="0"/>
          <w:sz w:val="28"/>
          <w:szCs w:val="28"/>
          <w:lang w:val="en-US" w:eastAsia="zh-CN" w:bidi="ar-SA"/>
        </w:rPr>
        <w:t>五、禁止中介机构有应到而不到现场开展技术服务的行为；</w:t>
      </w:r>
    </w:p>
    <w:p w14:paraId="305E9EF9">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420" w:lineRule="auto"/>
        <w:ind w:firstLine="560" w:firstLineChars="200"/>
        <w:jc w:val="left"/>
        <w:textAlignment w:val="auto"/>
        <w:rPr>
          <w:rFonts w:ascii="Times New Roman" w:hAnsi="Times New Roman" w:eastAsia="宋体" w:cs="Times New Roman"/>
          <w:color w:val="auto"/>
          <w:kern w:val="0"/>
          <w:sz w:val="28"/>
          <w:szCs w:val="28"/>
          <w:lang w:val="en-US" w:eastAsia="zh-CN" w:bidi="ar-SA"/>
        </w:rPr>
      </w:pPr>
      <w:r>
        <w:rPr>
          <w:rFonts w:ascii="Times New Roman" w:hAnsi="Times New Roman" w:eastAsia="宋体" w:cs="Times New Roman"/>
          <w:color w:val="auto"/>
          <w:kern w:val="0"/>
          <w:sz w:val="28"/>
          <w:szCs w:val="28"/>
          <w:lang w:val="en-US" w:eastAsia="zh-CN" w:bidi="ar-SA"/>
        </w:rPr>
        <w:t>六、禁止安全生产监管部门及其工作人员要求生产经营单位接受指定的中介机构开展技术服务的行为；</w:t>
      </w:r>
    </w:p>
    <w:p w14:paraId="50DB7715">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420" w:lineRule="auto"/>
        <w:ind w:firstLine="560" w:firstLineChars="200"/>
        <w:jc w:val="left"/>
        <w:textAlignment w:val="auto"/>
        <w:rPr>
          <w:rFonts w:ascii="Times New Roman" w:hAnsi="Times New Roman" w:eastAsia="宋体" w:cs="Times New Roman"/>
          <w:color w:val="auto"/>
          <w:kern w:val="0"/>
          <w:sz w:val="28"/>
          <w:szCs w:val="28"/>
          <w:lang w:val="en-US" w:eastAsia="zh-CN" w:bidi="ar-SA"/>
        </w:rPr>
      </w:pPr>
      <w:r>
        <w:rPr>
          <w:rFonts w:ascii="Times New Roman" w:hAnsi="Times New Roman" w:eastAsia="宋体" w:cs="Times New Roman"/>
          <w:color w:val="auto"/>
          <w:kern w:val="0"/>
          <w:sz w:val="28"/>
          <w:szCs w:val="28"/>
          <w:lang w:val="en-US" w:eastAsia="zh-CN" w:bidi="ar-SA"/>
        </w:rPr>
        <w:t>七、禁止安全生产监管部门及其工作人员没有法律依据组织由生产经营单位或机构支付费用的行政性评审的行为；</w:t>
      </w:r>
    </w:p>
    <w:p w14:paraId="2C234CF8">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420" w:lineRule="auto"/>
        <w:ind w:firstLine="560" w:firstLineChars="200"/>
        <w:jc w:val="left"/>
        <w:textAlignment w:val="auto"/>
        <w:rPr>
          <w:rFonts w:ascii="Times New Roman" w:hAnsi="Times New Roman" w:eastAsia="宋体" w:cs="Times New Roman"/>
          <w:color w:val="auto"/>
          <w:kern w:val="0"/>
          <w:sz w:val="28"/>
          <w:szCs w:val="28"/>
          <w:lang w:val="en-US" w:eastAsia="zh-CN" w:bidi="ar-SA"/>
        </w:rPr>
      </w:pPr>
      <w:r>
        <w:rPr>
          <w:rFonts w:ascii="Times New Roman" w:hAnsi="Times New Roman" w:eastAsia="宋体" w:cs="Times New Roman"/>
          <w:color w:val="auto"/>
          <w:kern w:val="0"/>
          <w:sz w:val="28"/>
          <w:szCs w:val="28"/>
          <w:lang w:val="en-US" w:eastAsia="zh-CN" w:bidi="ar-SA"/>
        </w:rPr>
        <w:t>八、禁止安全生产监管部门及其工作人员干预市场定价，违规擅自出台技术服务收费标准的行为；</w:t>
      </w:r>
    </w:p>
    <w:p w14:paraId="490F08CB">
      <w:pPr>
        <w:keepNext w:val="0"/>
        <w:keepLines w:val="0"/>
        <w:pageBreakBefore w:val="0"/>
        <w:kinsoku/>
        <w:wordWrap/>
        <w:overflowPunct/>
        <w:topLinePunct w:val="0"/>
        <w:autoSpaceDE/>
        <w:autoSpaceDN/>
        <w:bidi w:val="0"/>
        <w:adjustRightInd/>
        <w:snapToGrid/>
        <w:spacing w:line="420" w:lineRule="auto"/>
        <w:ind w:firstLine="560" w:firstLineChars="200"/>
        <w:jc w:val="left"/>
        <w:textAlignment w:val="auto"/>
        <w:rPr>
          <w:rFonts w:ascii="Times New Roman" w:hAnsi="Times New Roman" w:eastAsia="宋体"/>
          <w:color w:val="auto"/>
          <w:kern w:val="0"/>
          <w:szCs w:val="28"/>
        </w:rPr>
      </w:pPr>
      <w:r>
        <w:rPr>
          <w:rFonts w:ascii="Times New Roman" w:hAnsi="Times New Roman" w:eastAsia="宋体"/>
          <w:color w:val="auto"/>
          <w:kern w:val="0"/>
          <w:szCs w:val="28"/>
        </w:rPr>
        <w:t>九、禁止安全生产监管部门及其工作人员参与、擅自干预中介机构从业活动，或者有获取不正当利益的行为。</w:t>
      </w:r>
    </w:p>
    <w:p w14:paraId="3CB608A5">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640" w:firstLineChars="200"/>
        <w:textAlignment w:val="auto"/>
        <w:rPr>
          <w:rFonts w:hint="default" w:ascii="Times New Roman" w:hAnsi="Times New Roman" w:cs="Times New Roman"/>
          <w:color w:val="auto"/>
          <w:sz w:val="32"/>
          <w:szCs w:val="32"/>
        </w:rPr>
      </w:pPr>
    </w:p>
    <w:p w14:paraId="4E77486D">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640" w:firstLineChars="200"/>
        <w:textAlignment w:val="auto"/>
        <w:rPr>
          <w:rFonts w:hint="default" w:ascii="Times New Roman" w:hAnsi="Times New Roman" w:cs="Times New Roman"/>
          <w:color w:val="auto"/>
          <w:sz w:val="32"/>
          <w:szCs w:val="32"/>
        </w:rPr>
      </w:pPr>
    </w:p>
    <w:p w14:paraId="425FE16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黑体" w:cs="Times New Roman"/>
          <w:b/>
          <w:color w:val="auto"/>
          <w:sz w:val="32"/>
          <w:szCs w:val="32"/>
        </w:rPr>
      </w:pPr>
    </w:p>
    <w:p w14:paraId="3D4BB78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黑体" w:cs="Times New Roman"/>
          <w:b/>
          <w:color w:val="auto"/>
          <w:sz w:val="32"/>
          <w:szCs w:val="32"/>
        </w:rPr>
      </w:pPr>
      <w:r>
        <w:rPr>
          <w:rFonts w:ascii="Times New Roman" w:hAnsi="Times New Roman" w:eastAsia="黑体" w:cs="Times New Roman"/>
          <w:b/>
          <w:color w:val="auto"/>
          <w:sz w:val="32"/>
          <w:szCs w:val="32"/>
        </w:rPr>
        <w:t>评 价 人 员</w:t>
      </w:r>
    </w:p>
    <w:p w14:paraId="6BB95049">
      <w:pPr>
        <w:pStyle w:val="28"/>
        <w:rPr>
          <w:color w:val="auto"/>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7"/>
        <w:gridCol w:w="1290"/>
        <w:gridCol w:w="3018"/>
        <w:gridCol w:w="1564"/>
        <w:gridCol w:w="1301"/>
      </w:tblGrid>
      <w:tr w14:paraId="72A9C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1947" w:type="dxa"/>
            <w:tcBorders>
              <w:top w:val="single" w:color="auto" w:sz="4" w:space="0"/>
              <w:left w:val="single" w:color="auto" w:sz="4" w:space="0"/>
              <w:bottom w:val="single" w:color="auto" w:sz="4" w:space="0"/>
              <w:right w:val="single" w:color="auto" w:sz="4" w:space="0"/>
            </w:tcBorders>
            <w:noWrap w:val="0"/>
            <w:vAlign w:val="center"/>
          </w:tcPr>
          <w:p w14:paraId="3A4AFFF8">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c>
          <w:tcPr>
            <w:tcW w:w="1290" w:type="dxa"/>
            <w:tcBorders>
              <w:top w:val="single" w:color="auto" w:sz="4" w:space="0"/>
              <w:left w:val="single" w:color="auto" w:sz="4" w:space="0"/>
              <w:bottom w:val="single" w:color="auto" w:sz="4" w:space="0"/>
              <w:right w:val="single" w:color="auto" w:sz="4" w:space="0"/>
            </w:tcBorders>
            <w:noWrap w:val="0"/>
            <w:vAlign w:val="center"/>
          </w:tcPr>
          <w:p w14:paraId="6B311BB5">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姓  名</w:t>
            </w:r>
          </w:p>
        </w:tc>
        <w:tc>
          <w:tcPr>
            <w:tcW w:w="3018" w:type="dxa"/>
            <w:tcBorders>
              <w:top w:val="single" w:color="auto" w:sz="4" w:space="0"/>
              <w:left w:val="single" w:color="auto" w:sz="4" w:space="0"/>
              <w:bottom w:val="single" w:color="auto" w:sz="4" w:space="0"/>
              <w:right w:val="single" w:color="auto" w:sz="4" w:space="0"/>
            </w:tcBorders>
            <w:noWrap w:val="0"/>
            <w:vAlign w:val="center"/>
          </w:tcPr>
          <w:p w14:paraId="04B6E938">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证书编号</w:t>
            </w:r>
          </w:p>
        </w:tc>
        <w:tc>
          <w:tcPr>
            <w:tcW w:w="1564" w:type="dxa"/>
            <w:tcBorders>
              <w:top w:val="single" w:color="auto" w:sz="4" w:space="0"/>
              <w:left w:val="single" w:color="auto" w:sz="4" w:space="0"/>
              <w:bottom w:val="single" w:color="auto" w:sz="4" w:space="0"/>
              <w:right w:val="single" w:color="auto" w:sz="4" w:space="0"/>
            </w:tcBorders>
            <w:noWrap w:val="0"/>
            <w:vAlign w:val="center"/>
          </w:tcPr>
          <w:p w14:paraId="6C94CACF">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从业登记号</w:t>
            </w:r>
          </w:p>
        </w:tc>
        <w:tc>
          <w:tcPr>
            <w:tcW w:w="1301" w:type="dxa"/>
            <w:tcBorders>
              <w:top w:val="single" w:color="auto" w:sz="4" w:space="0"/>
              <w:left w:val="single" w:color="auto" w:sz="4" w:space="0"/>
              <w:bottom w:val="single" w:color="auto" w:sz="4" w:space="0"/>
              <w:right w:val="single" w:color="auto" w:sz="4" w:space="0"/>
            </w:tcBorders>
            <w:noWrap w:val="0"/>
            <w:vAlign w:val="center"/>
          </w:tcPr>
          <w:p w14:paraId="1651FACA">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签字</w:t>
            </w:r>
          </w:p>
        </w:tc>
      </w:tr>
      <w:tr w14:paraId="6B97C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exact"/>
          <w:jc w:val="center"/>
        </w:trPr>
        <w:tc>
          <w:tcPr>
            <w:tcW w:w="1947" w:type="dxa"/>
            <w:tcBorders>
              <w:top w:val="single" w:color="auto" w:sz="4" w:space="0"/>
              <w:left w:val="single" w:color="auto" w:sz="4" w:space="0"/>
              <w:bottom w:val="single" w:color="auto" w:sz="4" w:space="0"/>
              <w:right w:val="single" w:color="auto" w:sz="4" w:space="0"/>
            </w:tcBorders>
            <w:noWrap w:val="0"/>
            <w:vAlign w:val="center"/>
          </w:tcPr>
          <w:p w14:paraId="23B51FD4">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项目负责人</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64990F36">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许玉才</w:t>
            </w:r>
          </w:p>
        </w:tc>
        <w:tc>
          <w:tcPr>
            <w:tcW w:w="3018" w:type="dxa"/>
            <w:tcBorders>
              <w:top w:val="single" w:color="auto" w:sz="4" w:space="0"/>
              <w:left w:val="single" w:color="auto" w:sz="4" w:space="0"/>
              <w:bottom w:val="single" w:color="auto" w:sz="4" w:space="0"/>
              <w:right w:val="single" w:color="auto" w:sz="4" w:space="0"/>
            </w:tcBorders>
            <w:noWrap w:val="0"/>
            <w:vAlign w:val="center"/>
          </w:tcPr>
          <w:p w14:paraId="22644293">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1800000000200658</w:t>
            </w:r>
          </w:p>
        </w:tc>
        <w:tc>
          <w:tcPr>
            <w:tcW w:w="1564" w:type="dxa"/>
            <w:tcBorders>
              <w:top w:val="single" w:color="auto" w:sz="4" w:space="0"/>
              <w:left w:val="single" w:color="auto" w:sz="4" w:space="0"/>
              <w:bottom w:val="single" w:color="auto" w:sz="4" w:space="0"/>
              <w:right w:val="single" w:color="auto" w:sz="4" w:space="0"/>
            </w:tcBorders>
            <w:noWrap w:val="0"/>
            <w:vAlign w:val="center"/>
          </w:tcPr>
          <w:p w14:paraId="5469B6F1">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033460</w:t>
            </w:r>
          </w:p>
        </w:tc>
        <w:tc>
          <w:tcPr>
            <w:tcW w:w="1301" w:type="dxa"/>
            <w:tcBorders>
              <w:top w:val="single" w:color="auto" w:sz="4" w:space="0"/>
              <w:left w:val="single" w:color="auto" w:sz="4" w:space="0"/>
              <w:bottom w:val="single" w:color="auto" w:sz="4" w:space="0"/>
              <w:right w:val="single" w:color="auto" w:sz="4" w:space="0"/>
            </w:tcBorders>
            <w:noWrap w:val="0"/>
            <w:vAlign w:val="center"/>
          </w:tcPr>
          <w:p w14:paraId="692FFA8F">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r>
      <w:tr w14:paraId="1E812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exact"/>
          <w:jc w:val="center"/>
        </w:trPr>
        <w:tc>
          <w:tcPr>
            <w:tcW w:w="1947" w:type="dxa"/>
            <w:vMerge w:val="restart"/>
            <w:tcBorders>
              <w:top w:val="single" w:color="auto" w:sz="4" w:space="0"/>
              <w:left w:val="single" w:color="auto" w:sz="4" w:space="0"/>
              <w:right w:val="single" w:color="auto" w:sz="4" w:space="0"/>
            </w:tcBorders>
            <w:noWrap w:val="0"/>
            <w:vAlign w:val="center"/>
          </w:tcPr>
          <w:p w14:paraId="5528E202">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项目组成员</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6C747956">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管自强</w:t>
            </w:r>
          </w:p>
        </w:tc>
        <w:tc>
          <w:tcPr>
            <w:tcW w:w="3018" w:type="dxa"/>
            <w:tcBorders>
              <w:top w:val="single" w:color="auto" w:sz="4" w:space="0"/>
              <w:left w:val="single" w:color="auto" w:sz="4" w:space="0"/>
              <w:bottom w:val="single" w:color="auto" w:sz="4" w:space="0"/>
              <w:right w:val="single" w:color="auto" w:sz="4" w:space="0"/>
            </w:tcBorders>
            <w:noWrap w:val="0"/>
            <w:vAlign w:val="center"/>
          </w:tcPr>
          <w:p w14:paraId="06838B77">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S011035000110191000614</w:t>
            </w:r>
          </w:p>
        </w:tc>
        <w:tc>
          <w:tcPr>
            <w:tcW w:w="1564" w:type="dxa"/>
            <w:tcBorders>
              <w:top w:val="single" w:color="auto" w:sz="4" w:space="0"/>
              <w:left w:val="single" w:color="auto" w:sz="4" w:space="0"/>
              <w:bottom w:val="single" w:color="auto" w:sz="4" w:space="0"/>
              <w:right w:val="single" w:color="auto" w:sz="4" w:space="0"/>
            </w:tcBorders>
            <w:noWrap w:val="0"/>
            <w:vAlign w:val="center"/>
          </w:tcPr>
          <w:p w14:paraId="05B2AF0E">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020516</w:t>
            </w:r>
          </w:p>
        </w:tc>
        <w:tc>
          <w:tcPr>
            <w:tcW w:w="1301" w:type="dxa"/>
            <w:tcBorders>
              <w:top w:val="single" w:color="auto" w:sz="4" w:space="0"/>
              <w:left w:val="single" w:color="auto" w:sz="4" w:space="0"/>
              <w:bottom w:val="single" w:color="auto" w:sz="4" w:space="0"/>
              <w:right w:val="single" w:color="auto" w:sz="4" w:space="0"/>
            </w:tcBorders>
            <w:noWrap w:val="0"/>
            <w:vAlign w:val="center"/>
          </w:tcPr>
          <w:p w14:paraId="585386E4">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r>
      <w:tr w14:paraId="6A609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exact"/>
          <w:jc w:val="center"/>
        </w:trPr>
        <w:tc>
          <w:tcPr>
            <w:tcW w:w="1947" w:type="dxa"/>
            <w:vMerge w:val="continue"/>
            <w:tcBorders>
              <w:left w:val="single" w:color="auto" w:sz="4" w:space="0"/>
              <w:right w:val="single" w:color="auto" w:sz="4" w:space="0"/>
            </w:tcBorders>
            <w:noWrap w:val="0"/>
            <w:vAlign w:val="center"/>
          </w:tcPr>
          <w:p w14:paraId="24464CC7">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c>
          <w:tcPr>
            <w:tcW w:w="1290" w:type="dxa"/>
            <w:tcBorders>
              <w:top w:val="single" w:color="auto" w:sz="4" w:space="0"/>
              <w:left w:val="single" w:color="auto" w:sz="4" w:space="0"/>
              <w:bottom w:val="single" w:color="auto" w:sz="4" w:space="0"/>
              <w:right w:val="single" w:color="auto" w:sz="4" w:space="0"/>
            </w:tcBorders>
            <w:noWrap w:val="0"/>
            <w:vAlign w:val="center"/>
          </w:tcPr>
          <w:p w14:paraId="2CA18B5F">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郑  强</w:t>
            </w:r>
          </w:p>
        </w:tc>
        <w:tc>
          <w:tcPr>
            <w:tcW w:w="3018" w:type="dxa"/>
            <w:tcBorders>
              <w:top w:val="single" w:color="auto" w:sz="4" w:space="0"/>
              <w:left w:val="single" w:color="auto" w:sz="4" w:space="0"/>
              <w:bottom w:val="single" w:color="auto" w:sz="4" w:space="0"/>
              <w:right w:val="single" w:color="auto" w:sz="4" w:space="0"/>
            </w:tcBorders>
            <w:noWrap w:val="0"/>
            <w:vAlign w:val="center"/>
          </w:tcPr>
          <w:p w14:paraId="19320020">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0800000000101605</w:t>
            </w:r>
          </w:p>
        </w:tc>
        <w:tc>
          <w:tcPr>
            <w:tcW w:w="1564" w:type="dxa"/>
            <w:tcBorders>
              <w:top w:val="single" w:color="auto" w:sz="4" w:space="0"/>
              <w:left w:val="single" w:color="auto" w:sz="4" w:space="0"/>
              <w:bottom w:val="single" w:color="auto" w:sz="4" w:space="0"/>
              <w:right w:val="single" w:color="auto" w:sz="4" w:space="0"/>
            </w:tcBorders>
            <w:noWrap w:val="0"/>
            <w:vAlign w:val="center"/>
          </w:tcPr>
          <w:p w14:paraId="1AEBEE4F">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001851</w:t>
            </w:r>
          </w:p>
        </w:tc>
        <w:tc>
          <w:tcPr>
            <w:tcW w:w="1301" w:type="dxa"/>
            <w:tcBorders>
              <w:top w:val="single" w:color="auto" w:sz="4" w:space="0"/>
              <w:left w:val="single" w:color="auto" w:sz="4" w:space="0"/>
              <w:bottom w:val="single" w:color="auto" w:sz="4" w:space="0"/>
              <w:right w:val="single" w:color="auto" w:sz="4" w:space="0"/>
            </w:tcBorders>
            <w:noWrap w:val="0"/>
            <w:vAlign w:val="center"/>
          </w:tcPr>
          <w:p w14:paraId="58D5C139">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r>
      <w:tr w14:paraId="17D4F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1947" w:type="dxa"/>
            <w:vMerge w:val="continue"/>
            <w:tcBorders>
              <w:left w:val="single" w:color="auto" w:sz="4" w:space="0"/>
              <w:right w:val="single" w:color="auto" w:sz="4" w:space="0"/>
            </w:tcBorders>
            <w:noWrap w:val="0"/>
            <w:vAlign w:val="center"/>
          </w:tcPr>
          <w:p w14:paraId="05A4C205">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c>
          <w:tcPr>
            <w:tcW w:w="1290" w:type="dxa"/>
            <w:tcBorders>
              <w:top w:val="single" w:color="auto" w:sz="4" w:space="0"/>
              <w:left w:val="single" w:color="auto" w:sz="4" w:space="0"/>
              <w:bottom w:val="single" w:color="auto" w:sz="4" w:space="0"/>
              <w:right w:val="single" w:color="auto" w:sz="4" w:space="0"/>
            </w:tcBorders>
            <w:noWrap w:val="0"/>
            <w:vAlign w:val="center"/>
          </w:tcPr>
          <w:p w14:paraId="0F202A55">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黄伯扬</w:t>
            </w:r>
          </w:p>
        </w:tc>
        <w:tc>
          <w:tcPr>
            <w:tcW w:w="3018" w:type="dxa"/>
            <w:tcBorders>
              <w:top w:val="single" w:color="auto" w:sz="4" w:space="0"/>
              <w:left w:val="single" w:color="auto" w:sz="4" w:space="0"/>
              <w:bottom w:val="single" w:color="auto" w:sz="4" w:space="0"/>
              <w:right w:val="single" w:color="auto" w:sz="4" w:space="0"/>
            </w:tcBorders>
            <w:noWrap w:val="0"/>
            <w:vAlign w:val="center"/>
          </w:tcPr>
          <w:p w14:paraId="17F54AE1">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1</w:t>
            </w:r>
            <w:r>
              <w:rPr>
                <w:rFonts w:hint="default" w:ascii="Times New Roman" w:hAnsi="Times New Roman" w:eastAsia="宋体" w:cs="Times New Roman"/>
                <w:color w:val="auto"/>
                <w:sz w:val="24"/>
              </w:rPr>
              <w:t>800000000</w:t>
            </w:r>
            <w:r>
              <w:rPr>
                <w:rFonts w:hint="default" w:ascii="Times New Roman" w:hAnsi="Times New Roman" w:cs="Times New Roman"/>
                <w:color w:val="auto"/>
                <w:sz w:val="24"/>
                <w:lang w:val="en-US" w:eastAsia="zh-CN"/>
              </w:rPr>
              <w:t>3</w:t>
            </w:r>
            <w:r>
              <w:rPr>
                <w:rFonts w:hint="default" w:ascii="Times New Roman" w:hAnsi="Times New Roman" w:eastAsia="宋体" w:cs="Times New Roman"/>
                <w:color w:val="auto"/>
                <w:sz w:val="24"/>
              </w:rPr>
              <w:t>0</w:t>
            </w:r>
            <w:r>
              <w:rPr>
                <w:rFonts w:hint="default" w:ascii="Times New Roman" w:hAnsi="Times New Roman" w:cs="Times New Roman"/>
                <w:color w:val="auto"/>
                <w:sz w:val="24"/>
                <w:lang w:val="en-US" w:eastAsia="zh-CN"/>
              </w:rPr>
              <w:t>0643</w:t>
            </w:r>
          </w:p>
        </w:tc>
        <w:tc>
          <w:tcPr>
            <w:tcW w:w="1564" w:type="dxa"/>
            <w:tcBorders>
              <w:top w:val="single" w:color="auto" w:sz="4" w:space="0"/>
              <w:left w:val="single" w:color="auto" w:sz="4" w:space="0"/>
              <w:bottom w:val="single" w:color="auto" w:sz="4" w:space="0"/>
              <w:right w:val="single" w:color="auto" w:sz="4" w:space="0"/>
            </w:tcBorders>
            <w:noWrap w:val="0"/>
            <w:vAlign w:val="center"/>
          </w:tcPr>
          <w:p w14:paraId="184C7D89">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032737</w:t>
            </w:r>
          </w:p>
        </w:tc>
        <w:tc>
          <w:tcPr>
            <w:tcW w:w="1301" w:type="dxa"/>
            <w:tcBorders>
              <w:top w:val="single" w:color="auto" w:sz="4" w:space="0"/>
              <w:left w:val="single" w:color="auto" w:sz="4" w:space="0"/>
              <w:bottom w:val="single" w:color="auto" w:sz="4" w:space="0"/>
              <w:right w:val="single" w:color="auto" w:sz="4" w:space="0"/>
            </w:tcBorders>
            <w:noWrap w:val="0"/>
            <w:vAlign w:val="center"/>
          </w:tcPr>
          <w:p w14:paraId="126CA83A">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r>
      <w:tr w14:paraId="6AAEB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exact"/>
          <w:jc w:val="center"/>
        </w:trPr>
        <w:tc>
          <w:tcPr>
            <w:tcW w:w="1947" w:type="dxa"/>
            <w:vMerge w:val="continue"/>
            <w:tcBorders>
              <w:left w:val="single" w:color="auto" w:sz="4" w:space="0"/>
              <w:right w:val="single" w:color="auto" w:sz="4" w:space="0"/>
            </w:tcBorders>
            <w:noWrap w:val="0"/>
            <w:vAlign w:val="center"/>
          </w:tcPr>
          <w:p w14:paraId="03DA24EA">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c>
          <w:tcPr>
            <w:tcW w:w="1290" w:type="dxa"/>
            <w:tcBorders>
              <w:top w:val="single" w:color="auto" w:sz="4" w:space="0"/>
              <w:left w:val="single" w:color="auto" w:sz="4" w:space="0"/>
              <w:bottom w:val="single" w:color="auto" w:sz="4" w:space="0"/>
              <w:right w:val="single" w:color="auto" w:sz="4" w:space="0"/>
            </w:tcBorders>
            <w:noWrap w:val="0"/>
            <w:vAlign w:val="center"/>
          </w:tcPr>
          <w:p w14:paraId="3621BC97">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许玉才</w:t>
            </w:r>
          </w:p>
        </w:tc>
        <w:tc>
          <w:tcPr>
            <w:tcW w:w="3018" w:type="dxa"/>
            <w:tcBorders>
              <w:top w:val="single" w:color="auto" w:sz="4" w:space="0"/>
              <w:left w:val="single" w:color="auto" w:sz="4" w:space="0"/>
              <w:bottom w:val="single" w:color="auto" w:sz="4" w:space="0"/>
              <w:right w:val="single" w:color="auto" w:sz="4" w:space="0"/>
            </w:tcBorders>
            <w:noWrap w:val="0"/>
            <w:vAlign w:val="center"/>
          </w:tcPr>
          <w:p w14:paraId="1D078611">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1800000000200658</w:t>
            </w:r>
          </w:p>
        </w:tc>
        <w:tc>
          <w:tcPr>
            <w:tcW w:w="1564" w:type="dxa"/>
            <w:tcBorders>
              <w:top w:val="single" w:color="auto" w:sz="4" w:space="0"/>
              <w:left w:val="single" w:color="auto" w:sz="4" w:space="0"/>
              <w:bottom w:val="single" w:color="auto" w:sz="4" w:space="0"/>
              <w:right w:val="single" w:color="auto" w:sz="4" w:space="0"/>
            </w:tcBorders>
            <w:noWrap w:val="0"/>
            <w:vAlign w:val="center"/>
          </w:tcPr>
          <w:p w14:paraId="78DC5AF5">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033460</w:t>
            </w:r>
          </w:p>
        </w:tc>
        <w:tc>
          <w:tcPr>
            <w:tcW w:w="1301" w:type="dxa"/>
            <w:tcBorders>
              <w:top w:val="single" w:color="auto" w:sz="4" w:space="0"/>
              <w:left w:val="single" w:color="auto" w:sz="4" w:space="0"/>
              <w:bottom w:val="single" w:color="auto" w:sz="4" w:space="0"/>
              <w:right w:val="single" w:color="auto" w:sz="4" w:space="0"/>
            </w:tcBorders>
            <w:noWrap w:val="0"/>
            <w:vAlign w:val="center"/>
          </w:tcPr>
          <w:p w14:paraId="7835EC04">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r>
      <w:tr w14:paraId="04160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exact"/>
          <w:jc w:val="center"/>
        </w:trPr>
        <w:tc>
          <w:tcPr>
            <w:tcW w:w="1947" w:type="dxa"/>
            <w:vMerge w:val="continue"/>
            <w:tcBorders>
              <w:left w:val="single" w:color="auto" w:sz="4" w:space="0"/>
              <w:right w:val="single" w:color="auto" w:sz="4" w:space="0"/>
            </w:tcBorders>
            <w:noWrap w:val="0"/>
            <w:vAlign w:val="center"/>
          </w:tcPr>
          <w:p w14:paraId="68C10DB5">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c>
          <w:tcPr>
            <w:tcW w:w="1290" w:type="dxa"/>
            <w:tcBorders>
              <w:top w:val="single" w:color="auto" w:sz="4" w:space="0"/>
              <w:left w:val="single" w:color="auto" w:sz="4" w:space="0"/>
              <w:bottom w:val="single" w:color="auto" w:sz="4" w:space="0"/>
              <w:right w:val="single" w:color="auto" w:sz="4" w:space="0"/>
            </w:tcBorders>
            <w:noWrap w:val="0"/>
            <w:vAlign w:val="center"/>
          </w:tcPr>
          <w:p w14:paraId="7E26D9BA">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rPr>
              <w:t>王纪鹏</w:t>
            </w:r>
          </w:p>
        </w:tc>
        <w:tc>
          <w:tcPr>
            <w:tcW w:w="3018" w:type="dxa"/>
            <w:tcBorders>
              <w:top w:val="single" w:color="auto" w:sz="4" w:space="0"/>
              <w:left w:val="single" w:color="auto" w:sz="4" w:space="0"/>
              <w:bottom w:val="single" w:color="auto" w:sz="4" w:space="0"/>
              <w:right w:val="single" w:color="auto" w:sz="4" w:space="0"/>
            </w:tcBorders>
            <w:noWrap w:val="0"/>
            <w:vAlign w:val="center"/>
          </w:tcPr>
          <w:p w14:paraId="27D51E95">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rPr>
              <w:t>S01103500011019</w:t>
            </w:r>
            <w:r>
              <w:rPr>
                <w:rFonts w:hint="default" w:ascii="Times New Roman" w:hAnsi="Times New Roman" w:cs="Times New Roman"/>
                <w:color w:val="auto"/>
                <w:sz w:val="24"/>
                <w:lang w:val="en-US" w:eastAsia="zh-CN"/>
              </w:rPr>
              <w:t>2</w:t>
            </w:r>
            <w:r>
              <w:rPr>
                <w:rFonts w:hint="default" w:ascii="Times New Roman" w:hAnsi="Times New Roman" w:eastAsia="宋体" w:cs="Times New Roman"/>
                <w:color w:val="auto"/>
                <w:sz w:val="24"/>
              </w:rPr>
              <w:t>00</w:t>
            </w:r>
            <w:r>
              <w:rPr>
                <w:rFonts w:hint="default" w:ascii="Times New Roman" w:hAnsi="Times New Roman" w:cs="Times New Roman"/>
                <w:color w:val="auto"/>
                <w:sz w:val="24"/>
                <w:lang w:val="en-US" w:eastAsia="zh-CN"/>
              </w:rPr>
              <w:t>155</w:t>
            </w:r>
            <w:r>
              <w:rPr>
                <w:rFonts w:hint="eastAsia" w:cs="Times New Roman"/>
                <w:color w:val="auto"/>
                <w:sz w:val="24"/>
                <w:lang w:val="en-US" w:eastAsia="zh-CN"/>
              </w:rPr>
              <w:t>2</w:t>
            </w:r>
          </w:p>
        </w:tc>
        <w:tc>
          <w:tcPr>
            <w:tcW w:w="1564" w:type="dxa"/>
            <w:tcBorders>
              <w:top w:val="single" w:color="auto" w:sz="4" w:space="0"/>
              <w:left w:val="single" w:color="auto" w:sz="4" w:space="0"/>
              <w:bottom w:val="single" w:color="auto" w:sz="4" w:space="0"/>
              <w:right w:val="single" w:color="auto" w:sz="4" w:space="0"/>
            </w:tcBorders>
            <w:noWrap w:val="0"/>
            <w:vAlign w:val="center"/>
          </w:tcPr>
          <w:p w14:paraId="59E2DBCF">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rPr>
              <w:t>036830</w:t>
            </w:r>
          </w:p>
        </w:tc>
        <w:tc>
          <w:tcPr>
            <w:tcW w:w="1301" w:type="dxa"/>
            <w:tcBorders>
              <w:top w:val="single" w:color="auto" w:sz="4" w:space="0"/>
              <w:left w:val="single" w:color="auto" w:sz="4" w:space="0"/>
              <w:bottom w:val="single" w:color="auto" w:sz="4" w:space="0"/>
              <w:right w:val="single" w:color="auto" w:sz="4" w:space="0"/>
            </w:tcBorders>
            <w:noWrap w:val="0"/>
            <w:vAlign w:val="center"/>
          </w:tcPr>
          <w:p w14:paraId="3826168B">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r>
      <w:tr w14:paraId="7EC8E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exact"/>
          <w:jc w:val="center"/>
        </w:trPr>
        <w:tc>
          <w:tcPr>
            <w:tcW w:w="1947" w:type="dxa"/>
            <w:tcBorders>
              <w:top w:val="single" w:color="auto" w:sz="4" w:space="0"/>
              <w:left w:val="single" w:color="auto" w:sz="4" w:space="0"/>
              <w:right w:val="single" w:color="auto" w:sz="4" w:space="0"/>
            </w:tcBorders>
            <w:noWrap w:val="0"/>
            <w:vAlign w:val="center"/>
          </w:tcPr>
          <w:p w14:paraId="27E54449">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报告编制人</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3B6D3AFA">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许玉才</w:t>
            </w:r>
          </w:p>
        </w:tc>
        <w:tc>
          <w:tcPr>
            <w:tcW w:w="3018" w:type="dxa"/>
            <w:tcBorders>
              <w:top w:val="single" w:color="auto" w:sz="4" w:space="0"/>
              <w:left w:val="single" w:color="auto" w:sz="4" w:space="0"/>
              <w:bottom w:val="single" w:color="auto" w:sz="4" w:space="0"/>
              <w:right w:val="single" w:color="auto" w:sz="4" w:space="0"/>
            </w:tcBorders>
            <w:noWrap w:val="0"/>
            <w:vAlign w:val="center"/>
          </w:tcPr>
          <w:p w14:paraId="709D9570">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1800000000200658</w:t>
            </w:r>
          </w:p>
        </w:tc>
        <w:tc>
          <w:tcPr>
            <w:tcW w:w="1564" w:type="dxa"/>
            <w:tcBorders>
              <w:top w:val="single" w:color="auto" w:sz="4" w:space="0"/>
              <w:left w:val="single" w:color="auto" w:sz="4" w:space="0"/>
              <w:bottom w:val="single" w:color="auto" w:sz="4" w:space="0"/>
              <w:right w:val="single" w:color="auto" w:sz="4" w:space="0"/>
            </w:tcBorders>
            <w:noWrap w:val="0"/>
            <w:vAlign w:val="center"/>
          </w:tcPr>
          <w:p w14:paraId="51B975F3">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033460</w:t>
            </w:r>
          </w:p>
        </w:tc>
        <w:tc>
          <w:tcPr>
            <w:tcW w:w="1301" w:type="dxa"/>
            <w:tcBorders>
              <w:top w:val="single" w:color="auto" w:sz="4" w:space="0"/>
              <w:left w:val="single" w:color="auto" w:sz="4" w:space="0"/>
              <w:bottom w:val="single" w:color="auto" w:sz="4" w:space="0"/>
              <w:right w:val="single" w:color="auto" w:sz="4" w:space="0"/>
            </w:tcBorders>
            <w:noWrap w:val="0"/>
            <w:vAlign w:val="center"/>
          </w:tcPr>
          <w:p w14:paraId="4EDEC407">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r>
      <w:tr w14:paraId="58B6A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exact"/>
          <w:jc w:val="center"/>
        </w:trPr>
        <w:tc>
          <w:tcPr>
            <w:tcW w:w="1947" w:type="dxa"/>
            <w:tcBorders>
              <w:top w:val="single" w:color="auto" w:sz="4" w:space="0"/>
              <w:left w:val="single" w:color="auto" w:sz="4" w:space="0"/>
              <w:bottom w:val="single" w:color="auto" w:sz="4" w:space="0"/>
              <w:right w:val="single" w:color="auto" w:sz="4" w:space="0"/>
            </w:tcBorders>
            <w:noWrap w:val="0"/>
            <w:vAlign w:val="center"/>
          </w:tcPr>
          <w:p w14:paraId="709C597E">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报告审核人</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1CC7AC94">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李强</w:t>
            </w:r>
          </w:p>
        </w:tc>
        <w:tc>
          <w:tcPr>
            <w:tcW w:w="3018" w:type="dxa"/>
            <w:tcBorders>
              <w:top w:val="single" w:color="auto" w:sz="4" w:space="0"/>
              <w:left w:val="single" w:color="auto" w:sz="4" w:space="0"/>
              <w:bottom w:val="single" w:color="auto" w:sz="4" w:space="0"/>
              <w:right w:val="single" w:color="auto" w:sz="4" w:space="0"/>
            </w:tcBorders>
            <w:noWrap w:val="0"/>
            <w:vAlign w:val="center"/>
          </w:tcPr>
          <w:p w14:paraId="50AB4F63">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0800000000204055</w:t>
            </w:r>
          </w:p>
        </w:tc>
        <w:tc>
          <w:tcPr>
            <w:tcW w:w="1564" w:type="dxa"/>
            <w:tcBorders>
              <w:top w:val="single" w:color="auto" w:sz="4" w:space="0"/>
              <w:left w:val="single" w:color="auto" w:sz="4" w:space="0"/>
              <w:bottom w:val="single" w:color="auto" w:sz="4" w:space="0"/>
              <w:right w:val="single" w:color="auto" w:sz="4" w:space="0"/>
            </w:tcBorders>
            <w:noWrap w:val="0"/>
            <w:vAlign w:val="center"/>
          </w:tcPr>
          <w:p w14:paraId="286CC255">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007079</w:t>
            </w:r>
          </w:p>
        </w:tc>
        <w:tc>
          <w:tcPr>
            <w:tcW w:w="1301" w:type="dxa"/>
            <w:tcBorders>
              <w:top w:val="single" w:color="auto" w:sz="4" w:space="0"/>
              <w:left w:val="single" w:color="auto" w:sz="4" w:space="0"/>
              <w:bottom w:val="single" w:color="auto" w:sz="4" w:space="0"/>
              <w:right w:val="single" w:color="auto" w:sz="4" w:space="0"/>
            </w:tcBorders>
            <w:noWrap w:val="0"/>
            <w:vAlign w:val="center"/>
          </w:tcPr>
          <w:p w14:paraId="79007A28">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r>
      <w:tr w14:paraId="4828E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1947" w:type="dxa"/>
            <w:tcBorders>
              <w:top w:val="single" w:color="auto" w:sz="4" w:space="0"/>
              <w:left w:val="single" w:color="auto" w:sz="4" w:space="0"/>
              <w:bottom w:val="single" w:color="auto" w:sz="4" w:space="0"/>
              <w:right w:val="single" w:color="auto" w:sz="4" w:space="0"/>
            </w:tcBorders>
            <w:noWrap w:val="0"/>
            <w:vAlign w:val="center"/>
          </w:tcPr>
          <w:p w14:paraId="7D86BF6F">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过程控制负责</w:t>
            </w:r>
            <w:r>
              <w:rPr>
                <w:rFonts w:hint="eastAsia" w:ascii="Times New Roman" w:hAnsi="Times New Roman" w:cs="Times New Roman"/>
                <w:color w:val="auto"/>
                <w:sz w:val="24"/>
                <w:lang w:val="en-US" w:eastAsia="zh-CN"/>
              </w:rPr>
              <w:t>人</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1C1F6C0F">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檀廷斌</w:t>
            </w:r>
          </w:p>
        </w:tc>
        <w:tc>
          <w:tcPr>
            <w:tcW w:w="3018" w:type="dxa"/>
            <w:tcBorders>
              <w:top w:val="single" w:color="auto" w:sz="4" w:space="0"/>
              <w:left w:val="single" w:color="auto" w:sz="4" w:space="0"/>
              <w:bottom w:val="single" w:color="auto" w:sz="4" w:space="0"/>
              <w:right w:val="single" w:color="auto" w:sz="4" w:space="0"/>
            </w:tcBorders>
            <w:noWrap w:val="0"/>
            <w:vAlign w:val="center"/>
          </w:tcPr>
          <w:p w14:paraId="250DB476">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1600000000200717</w:t>
            </w:r>
          </w:p>
        </w:tc>
        <w:tc>
          <w:tcPr>
            <w:tcW w:w="1564" w:type="dxa"/>
            <w:tcBorders>
              <w:top w:val="single" w:color="auto" w:sz="4" w:space="0"/>
              <w:left w:val="single" w:color="auto" w:sz="4" w:space="0"/>
              <w:bottom w:val="single" w:color="auto" w:sz="4" w:space="0"/>
              <w:right w:val="single" w:color="auto" w:sz="4" w:space="0"/>
            </w:tcBorders>
            <w:noWrap w:val="0"/>
            <w:vAlign w:val="center"/>
          </w:tcPr>
          <w:p w14:paraId="38C7C0E6">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029648</w:t>
            </w:r>
          </w:p>
        </w:tc>
        <w:tc>
          <w:tcPr>
            <w:tcW w:w="1301" w:type="dxa"/>
            <w:tcBorders>
              <w:top w:val="single" w:color="auto" w:sz="4" w:space="0"/>
              <w:left w:val="single" w:color="auto" w:sz="4" w:space="0"/>
              <w:bottom w:val="single" w:color="auto" w:sz="4" w:space="0"/>
              <w:right w:val="single" w:color="auto" w:sz="4" w:space="0"/>
            </w:tcBorders>
            <w:noWrap w:val="0"/>
            <w:vAlign w:val="center"/>
          </w:tcPr>
          <w:p w14:paraId="58CD7EAE">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r>
      <w:tr w14:paraId="6ECBB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exact"/>
          <w:jc w:val="center"/>
        </w:trPr>
        <w:tc>
          <w:tcPr>
            <w:tcW w:w="1947" w:type="dxa"/>
            <w:tcBorders>
              <w:top w:val="single" w:color="auto" w:sz="4" w:space="0"/>
              <w:left w:val="single" w:color="auto" w:sz="4" w:space="0"/>
              <w:bottom w:val="single" w:color="auto" w:sz="4" w:space="0"/>
              <w:right w:val="single" w:color="auto" w:sz="4" w:space="0"/>
            </w:tcBorders>
            <w:noWrap w:val="0"/>
            <w:vAlign w:val="center"/>
          </w:tcPr>
          <w:p w14:paraId="74BC25AE">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技术负责人</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0F957522">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管自强</w:t>
            </w:r>
          </w:p>
        </w:tc>
        <w:tc>
          <w:tcPr>
            <w:tcW w:w="3018" w:type="dxa"/>
            <w:tcBorders>
              <w:top w:val="single" w:color="auto" w:sz="4" w:space="0"/>
              <w:left w:val="single" w:color="auto" w:sz="4" w:space="0"/>
              <w:bottom w:val="single" w:color="auto" w:sz="4" w:space="0"/>
              <w:right w:val="single" w:color="auto" w:sz="4" w:space="0"/>
            </w:tcBorders>
            <w:noWrap w:val="0"/>
            <w:vAlign w:val="center"/>
          </w:tcPr>
          <w:p w14:paraId="097CFA80">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S011035000110191000614</w:t>
            </w:r>
          </w:p>
        </w:tc>
        <w:tc>
          <w:tcPr>
            <w:tcW w:w="1564" w:type="dxa"/>
            <w:tcBorders>
              <w:top w:val="single" w:color="auto" w:sz="4" w:space="0"/>
              <w:left w:val="single" w:color="auto" w:sz="4" w:space="0"/>
              <w:bottom w:val="single" w:color="auto" w:sz="4" w:space="0"/>
              <w:right w:val="single" w:color="auto" w:sz="4" w:space="0"/>
            </w:tcBorders>
            <w:noWrap w:val="0"/>
            <w:vAlign w:val="center"/>
          </w:tcPr>
          <w:p w14:paraId="003D801D">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020516</w:t>
            </w:r>
          </w:p>
        </w:tc>
        <w:tc>
          <w:tcPr>
            <w:tcW w:w="1301" w:type="dxa"/>
            <w:tcBorders>
              <w:top w:val="single" w:color="auto" w:sz="4" w:space="0"/>
              <w:left w:val="single" w:color="auto" w:sz="4" w:space="0"/>
              <w:bottom w:val="single" w:color="auto" w:sz="4" w:space="0"/>
              <w:right w:val="single" w:color="auto" w:sz="4" w:space="0"/>
            </w:tcBorders>
            <w:noWrap w:val="0"/>
            <w:vAlign w:val="center"/>
          </w:tcPr>
          <w:p w14:paraId="0FBCF6FB">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r>
    </w:tbl>
    <w:p w14:paraId="67522D7E">
      <w:pPr>
        <w:spacing w:before="234" w:beforeLines="75" w:after="234" w:afterLines="75" w:line="560" w:lineRule="exact"/>
        <w:jc w:val="center"/>
        <w:rPr>
          <w:rFonts w:ascii="宋体" w:hAnsi="宋体" w:eastAsia="宋体" w:cs="Times New Roman"/>
          <w:b/>
          <w:color w:val="auto"/>
          <w:sz w:val="36"/>
          <w:szCs w:val="36"/>
        </w:rPr>
      </w:pPr>
    </w:p>
    <w:p w14:paraId="71D1C154">
      <w:pPr>
        <w:rPr>
          <w:color w:val="auto"/>
        </w:rPr>
      </w:pPr>
    </w:p>
    <w:p w14:paraId="2401C47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b/>
          <w:bCs/>
          <w:color w:val="auto"/>
          <w:szCs w:val="28"/>
        </w:rPr>
      </w:pPr>
      <w:r>
        <w:rPr>
          <w:rFonts w:ascii="宋体" w:hAnsi="宋体"/>
          <w:color w:val="auto"/>
          <w:sz w:val="28"/>
          <w:szCs w:val="28"/>
        </w:rPr>
        <w:br w:type="page"/>
      </w:r>
      <w:r>
        <w:rPr>
          <w:rFonts w:hint="eastAsia" w:ascii="黑体" w:hAnsi="黑体" w:eastAsia="黑体" w:cs="黑体"/>
          <w:b/>
          <w:bCs/>
          <w:color w:val="auto"/>
          <w:sz w:val="32"/>
          <w:szCs w:val="32"/>
        </w:rPr>
        <w:t>前    言</w:t>
      </w:r>
    </w:p>
    <w:p w14:paraId="0F1586FD">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imes New Roman" w:hAnsi="Times New Roman" w:eastAsia="宋体" w:cs="Times New Roman"/>
          <w:sz w:val="28"/>
          <w:szCs w:val="28"/>
          <w:lang w:val="en-US" w:eastAsia="zh-CN"/>
        </w:rPr>
      </w:pPr>
      <w:r>
        <w:rPr>
          <w:rFonts w:hint="eastAsia"/>
          <w:color w:val="auto"/>
          <w:highlight w:val="none"/>
        </w:rPr>
        <w:t>江西三和金业有限公司成立于2004年9月，是一座采用生物氧化工艺的湿法黄金冶炼厂</w:t>
      </w:r>
      <w:r>
        <w:rPr>
          <w:rFonts w:hint="eastAsia" w:ascii="Times New Roman" w:hAnsi="Times New Roman" w:eastAsia="宋体" w:cs="Times New Roman"/>
          <w:sz w:val="28"/>
          <w:szCs w:val="28"/>
          <w:lang w:val="en-US" w:eastAsia="zh-CN"/>
        </w:rPr>
        <w:t>。</w:t>
      </w:r>
    </w:p>
    <w:p w14:paraId="06F2BC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highlight w:val="none"/>
        </w:rPr>
      </w:pPr>
      <w:r>
        <w:rPr>
          <w:rFonts w:hint="eastAsia"/>
          <w:color w:val="auto"/>
          <w:highlight w:val="none"/>
          <w:lang w:val="en-US" w:eastAsia="zh-CN"/>
        </w:rPr>
        <w:t>三</w:t>
      </w:r>
      <w:r>
        <w:rPr>
          <w:rFonts w:hint="eastAsia"/>
          <w:color w:val="auto"/>
          <w:highlight w:val="none"/>
        </w:rPr>
        <w:t>号（氰化渣）尾矿库位于冶炼厂西南侧，直线距离约0.7km的田坑口东支沟内，为山谷型五等尾矿库，汇水面积0.134km</w:t>
      </w:r>
      <w:r>
        <w:rPr>
          <w:rFonts w:hint="eastAsia"/>
          <w:color w:val="auto"/>
          <w:highlight w:val="none"/>
          <w:vertAlign w:val="superscript"/>
        </w:rPr>
        <w:t>2</w:t>
      </w:r>
      <w:r>
        <w:rPr>
          <w:rFonts w:hint="eastAsia"/>
          <w:color w:val="auto"/>
          <w:highlight w:val="none"/>
        </w:rPr>
        <w:t>。该库初期坝为碾压土坝，后期采用干式尾矿上游法放矿，总坝高26.5m，总库容45.0万m</w:t>
      </w:r>
      <w:r>
        <w:rPr>
          <w:rFonts w:hint="eastAsia"/>
          <w:color w:val="auto"/>
          <w:highlight w:val="none"/>
          <w:vertAlign w:val="superscript"/>
        </w:rPr>
        <w:t>3</w:t>
      </w:r>
      <w:r>
        <w:rPr>
          <w:rFonts w:hint="eastAsia"/>
          <w:color w:val="auto"/>
          <w:highlight w:val="none"/>
        </w:rPr>
        <w:t>，有效库容36.0万m</w:t>
      </w:r>
      <w:r>
        <w:rPr>
          <w:rFonts w:hint="eastAsia"/>
          <w:color w:val="auto"/>
          <w:highlight w:val="none"/>
          <w:vertAlign w:val="superscript"/>
        </w:rPr>
        <w:t>3</w:t>
      </w:r>
      <w:r>
        <w:rPr>
          <w:rFonts w:hint="eastAsia"/>
          <w:color w:val="auto"/>
          <w:highlight w:val="none"/>
        </w:rPr>
        <w:t>。</w:t>
      </w:r>
    </w:p>
    <w:p w14:paraId="6B57225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highlight w:val="none"/>
        </w:rPr>
      </w:pPr>
      <w:r>
        <w:rPr>
          <w:rFonts w:hint="eastAsia"/>
          <w:color w:val="auto"/>
          <w:highlight w:val="none"/>
        </w:rPr>
        <w:t>2016年11月，江西三和金业有限公司取得了由原上饶市安全生产监督管理局颁发的江西三和金业有限公司</w:t>
      </w:r>
      <w:r>
        <w:rPr>
          <w:rFonts w:hint="eastAsia"/>
          <w:color w:val="auto"/>
          <w:highlight w:val="none"/>
          <w:lang w:val="en-US" w:eastAsia="zh-CN"/>
        </w:rPr>
        <w:t>三</w:t>
      </w:r>
      <w:r>
        <w:rPr>
          <w:rFonts w:hint="eastAsia"/>
          <w:color w:val="auto"/>
          <w:highlight w:val="none"/>
        </w:rPr>
        <w:t>号（氰化渣）尾矿库安全生产许可证，证书编号：（赣）FM安许证字（2016）E190号，有效期：2016年11月12日至2019年11月11日。其后进行了延期换证，并按要求进行了年审。现按照《安全生产许可证条例》《非煤矿山企业安全生产许可证实施办法》《江西省非煤矿矿山企业安全生产许可证办法》的有关要求，</w:t>
      </w:r>
      <w:r>
        <w:rPr>
          <w:rFonts w:hint="eastAsia"/>
          <w:color w:val="auto"/>
          <w:highlight w:val="none"/>
          <w:lang w:val="en-US" w:eastAsia="zh-CN"/>
        </w:rPr>
        <w:t>三</w:t>
      </w:r>
      <w:r>
        <w:rPr>
          <w:rFonts w:hint="eastAsia"/>
          <w:color w:val="auto"/>
          <w:highlight w:val="none"/>
        </w:rPr>
        <w:t>号（氰化渣）尾矿库需办理安全生产许可证（期满三年）延期手续。</w:t>
      </w:r>
    </w:p>
    <w:p w14:paraId="0450A45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highlight w:val="none"/>
        </w:rPr>
      </w:pPr>
      <w:r>
        <w:rPr>
          <w:rFonts w:hint="eastAsia"/>
          <w:color w:val="auto"/>
          <w:highlight w:val="none"/>
        </w:rPr>
        <w:t>受江西三和金业有限公司委托，江西赣安安全生产科学技术咨询服务中心承担</w:t>
      </w:r>
      <w:r>
        <w:rPr>
          <w:rFonts w:hint="eastAsia"/>
          <w:color w:val="auto"/>
          <w:highlight w:val="none"/>
          <w:lang w:val="en-US" w:eastAsia="zh-CN"/>
        </w:rPr>
        <w:t>三</w:t>
      </w:r>
      <w:r>
        <w:rPr>
          <w:rFonts w:hint="eastAsia"/>
          <w:color w:val="auto"/>
          <w:highlight w:val="none"/>
        </w:rPr>
        <w:t>号（氰化渣）尾矿库的安全现状评价工作。按照国家有关法律、法规和技术标准的要求，202</w:t>
      </w:r>
      <w:r>
        <w:rPr>
          <w:rFonts w:hint="eastAsia"/>
          <w:color w:val="auto"/>
          <w:highlight w:val="none"/>
          <w:lang w:val="en-US" w:eastAsia="zh-CN"/>
        </w:rPr>
        <w:t>5</w:t>
      </w:r>
      <w:r>
        <w:rPr>
          <w:rFonts w:hint="eastAsia"/>
          <w:color w:val="auto"/>
          <w:highlight w:val="none"/>
        </w:rPr>
        <w:t>年</w:t>
      </w:r>
      <w:r>
        <w:rPr>
          <w:rFonts w:hint="eastAsia"/>
          <w:color w:val="auto"/>
          <w:highlight w:val="none"/>
          <w:lang w:val="en-US" w:eastAsia="zh-CN"/>
        </w:rPr>
        <w:t>8</w:t>
      </w:r>
      <w:r>
        <w:rPr>
          <w:rFonts w:hint="eastAsia"/>
          <w:color w:val="auto"/>
          <w:highlight w:val="none"/>
        </w:rPr>
        <w:t>月</w:t>
      </w:r>
      <w:r>
        <w:rPr>
          <w:rFonts w:hint="eastAsia"/>
          <w:color w:val="auto"/>
          <w:highlight w:val="none"/>
          <w:lang w:val="en-US" w:eastAsia="zh-CN"/>
        </w:rPr>
        <w:t>19</w:t>
      </w:r>
      <w:r>
        <w:rPr>
          <w:rFonts w:hint="eastAsia"/>
          <w:color w:val="auto"/>
          <w:highlight w:val="none"/>
        </w:rPr>
        <w:t>日、</w:t>
      </w:r>
      <w:r>
        <w:rPr>
          <w:rFonts w:hint="eastAsia"/>
          <w:color w:val="auto"/>
          <w:highlight w:val="none"/>
          <w:lang w:val="en-US" w:eastAsia="zh-CN"/>
        </w:rPr>
        <w:t>10</w:t>
      </w:r>
      <w:r>
        <w:rPr>
          <w:rFonts w:hint="eastAsia"/>
          <w:color w:val="auto"/>
          <w:highlight w:val="none"/>
        </w:rPr>
        <w:t>月</w:t>
      </w:r>
      <w:r>
        <w:rPr>
          <w:rFonts w:hint="eastAsia"/>
          <w:color w:val="auto"/>
          <w:highlight w:val="none"/>
          <w:lang w:val="en-US" w:eastAsia="zh-CN"/>
        </w:rPr>
        <w:t>22</w:t>
      </w:r>
      <w:r>
        <w:rPr>
          <w:rFonts w:hint="eastAsia"/>
          <w:color w:val="auto"/>
          <w:highlight w:val="none"/>
        </w:rPr>
        <w:t>日组织评价专家组到现场检查和调研、复查，收集了相关的资料数据。通过对该库潜在的危险有害因素辨识和危险程度分析，对该库的安全运行现状、安全生产法律法规及有关规程的符合性和适应性进行了安全评价，提出了较为合理可行的安全对策措施。按照《安全评价通则》的要求编制本评价报告。</w:t>
      </w:r>
    </w:p>
    <w:p w14:paraId="46AD347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highlight w:val="none"/>
        </w:rPr>
      </w:pPr>
      <w:r>
        <w:rPr>
          <w:rFonts w:hint="eastAsia"/>
          <w:color w:val="auto"/>
          <w:highlight w:val="none"/>
        </w:rPr>
        <w:t>在评价过程中得到了江西三和金业有限公司领导、安全生产管理人员及员工的大力支持，在此表示感谢！</w:t>
      </w:r>
    </w:p>
    <w:p w14:paraId="73F468FC">
      <w:pPr>
        <w:keepNext w:val="0"/>
        <w:keepLines w:val="0"/>
        <w:pageBreakBefore w:val="0"/>
        <w:widowControl w:val="0"/>
        <w:kinsoku/>
        <w:wordWrap/>
        <w:overflowPunct/>
        <w:topLinePunct w:val="0"/>
        <w:autoSpaceDE/>
        <w:autoSpaceDN/>
        <w:bidi w:val="0"/>
        <w:adjustRightInd/>
        <w:snapToGrid/>
        <w:spacing w:line="336" w:lineRule="auto"/>
        <w:textAlignment w:val="auto"/>
        <w:rPr>
          <w:color w:val="auto"/>
          <w:highlight w:val="none"/>
        </w:rPr>
      </w:pPr>
      <w:r>
        <w:rPr>
          <w:color w:val="auto"/>
          <w:highlight w:val="none"/>
        </w:rPr>
        <w:br w:type="page"/>
      </w:r>
    </w:p>
    <w:p w14:paraId="215C7C0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b/>
          <w:bCs/>
          <w:color w:val="auto"/>
          <w:sz w:val="32"/>
          <w:szCs w:val="32"/>
          <w:lang w:val="en-US" w:eastAsia="zh-CN"/>
        </w:rPr>
      </w:pPr>
      <w:r>
        <w:rPr>
          <w:rFonts w:hint="eastAsia" w:ascii="黑体" w:hAnsi="黑体" w:eastAsia="黑体" w:cs="黑体"/>
          <w:b/>
          <w:bCs/>
          <w:color w:val="auto"/>
          <w:sz w:val="32"/>
          <w:szCs w:val="32"/>
          <w:lang w:val="en-US" w:eastAsia="zh-CN"/>
        </w:rPr>
        <w:t>目    录</w:t>
      </w:r>
    </w:p>
    <w:p w14:paraId="37FC2993">
      <w:pPr>
        <w:pStyle w:val="15"/>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TOC \o "1-3" \h \u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_Toc26295 </w:instrText>
      </w:r>
      <w:r>
        <w:rPr>
          <w:rFonts w:hint="default" w:ascii="Times New Roman" w:hAnsi="Times New Roman" w:eastAsia="宋体" w:cs="Times New Roman"/>
        </w:rPr>
        <w:fldChar w:fldCharType="separate"/>
      </w:r>
      <w:r>
        <w:rPr>
          <w:rFonts w:hint="default" w:ascii="Times New Roman" w:hAnsi="Times New Roman" w:eastAsia="宋体" w:cs="Times New Roman"/>
        </w:rPr>
        <w:t>1. 概述</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_Toc26295 \h </w:instrText>
      </w:r>
      <w:r>
        <w:rPr>
          <w:rFonts w:hint="default" w:ascii="Times New Roman" w:hAnsi="Times New Roman" w:eastAsia="宋体" w:cs="Times New Roman"/>
        </w:rPr>
        <w:fldChar w:fldCharType="separate"/>
      </w:r>
      <w:r>
        <w:rPr>
          <w:rFonts w:hint="default" w:ascii="Times New Roman" w:hAnsi="Times New Roman" w:eastAsia="宋体" w:cs="Times New Roman"/>
        </w:rPr>
        <w:t>1</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0DA1DA19">
      <w:pPr>
        <w:pStyle w:val="16"/>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_Toc28456 </w:instrText>
      </w:r>
      <w:r>
        <w:rPr>
          <w:rFonts w:hint="default" w:ascii="Times New Roman" w:hAnsi="Times New Roman" w:eastAsia="宋体" w:cs="Times New Roman"/>
        </w:rPr>
        <w:fldChar w:fldCharType="separate"/>
      </w:r>
      <w:r>
        <w:rPr>
          <w:rFonts w:hint="default" w:ascii="Times New Roman" w:hAnsi="Times New Roman" w:eastAsia="宋体" w:cs="Times New Roman"/>
        </w:rPr>
        <w:t>1.1</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rPr>
        <w:t>评价目的和原则</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_Toc28456 \h </w:instrText>
      </w:r>
      <w:r>
        <w:rPr>
          <w:rFonts w:hint="default" w:ascii="Times New Roman" w:hAnsi="Times New Roman" w:eastAsia="宋体" w:cs="Times New Roman"/>
        </w:rPr>
        <w:fldChar w:fldCharType="separate"/>
      </w:r>
      <w:r>
        <w:rPr>
          <w:rFonts w:hint="default" w:ascii="Times New Roman" w:hAnsi="Times New Roman" w:eastAsia="宋体" w:cs="Times New Roman"/>
        </w:rPr>
        <w:t>1</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1D352C3E">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_Toc15324 </w:instrText>
      </w:r>
      <w:r>
        <w:rPr>
          <w:rFonts w:hint="default" w:ascii="Times New Roman" w:hAnsi="Times New Roman" w:eastAsia="宋体" w:cs="Times New Roman"/>
        </w:rPr>
        <w:fldChar w:fldCharType="separate"/>
      </w:r>
      <w:r>
        <w:rPr>
          <w:rFonts w:hint="default" w:ascii="Times New Roman" w:hAnsi="Times New Roman" w:eastAsia="宋体" w:cs="Times New Roman"/>
        </w:rPr>
        <w:t>1.1.1</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rPr>
        <w:t>评价目的</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_Toc15324 \h </w:instrText>
      </w:r>
      <w:r>
        <w:rPr>
          <w:rFonts w:hint="default" w:ascii="Times New Roman" w:hAnsi="Times New Roman" w:eastAsia="宋体" w:cs="Times New Roman"/>
        </w:rPr>
        <w:fldChar w:fldCharType="separate"/>
      </w:r>
      <w:r>
        <w:rPr>
          <w:rFonts w:hint="default" w:ascii="Times New Roman" w:hAnsi="Times New Roman" w:eastAsia="宋体" w:cs="Times New Roman"/>
        </w:rPr>
        <w:t>1</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17146133">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_Toc32026 </w:instrText>
      </w:r>
      <w:r>
        <w:rPr>
          <w:rFonts w:hint="default" w:ascii="Times New Roman" w:hAnsi="Times New Roman" w:eastAsia="宋体" w:cs="Times New Roman"/>
        </w:rPr>
        <w:fldChar w:fldCharType="separate"/>
      </w:r>
      <w:r>
        <w:rPr>
          <w:rFonts w:hint="default" w:ascii="Times New Roman" w:hAnsi="Times New Roman" w:eastAsia="宋体" w:cs="Times New Roman"/>
        </w:rPr>
        <w:t>1.1.2</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rPr>
        <w:t>评价原则</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_Toc32026 \h </w:instrText>
      </w:r>
      <w:r>
        <w:rPr>
          <w:rFonts w:hint="default" w:ascii="Times New Roman" w:hAnsi="Times New Roman" w:eastAsia="宋体" w:cs="Times New Roman"/>
        </w:rPr>
        <w:fldChar w:fldCharType="separate"/>
      </w:r>
      <w:r>
        <w:rPr>
          <w:rFonts w:hint="default" w:ascii="Times New Roman" w:hAnsi="Times New Roman" w:eastAsia="宋体" w:cs="Times New Roman"/>
        </w:rPr>
        <w:t>1</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43D3C5F1">
      <w:pPr>
        <w:pStyle w:val="16"/>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_Toc30469 </w:instrText>
      </w:r>
      <w:r>
        <w:rPr>
          <w:rFonts w:hint="default" w:ascii="Times New Roman" w:hAnsi="Times New Roman" w:eastAsia="宋体" w:cs="Times New Roman"/>
        </w:rPr>
        <w:fldChar w:fldCharType="separate"/>
      </w:r>
      <w:r>
        <w:rPr>
          <w:rFonts w:hint="default" w:ascii="Times New Roman" w:hAnsi="Times New Roman" w:eastAsia="宋体" w:cs="Times New Roman"/>
          <w:bCs/>
          <w:kern w:val="2"/>
          <w:szCs w:val="32"/>
          <w:lang w:val="en-US" w:eastAsia="zh-CN" w:bidi="ar-SA"/>
        </w:rPr>
        <w:t>1.2 评价依据</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_Toc30469 \h </w:instrText>
      </w:r>
      <w:r>
        <w:rPr>
          <w:rFonts w:hint="default" w:ascii="Times New Roman" w:hAnsi="Times New Roman" w:eastAsia="宋体" w:cs="Times New Roman"/>
        </w:rPr>
        <w:fldChar w:fldCharType="separate"/>
      </w:r>
      <w:r>
        <w:rPr>
          <w:rFonts w:hint="default" w:ascii="Times New Roman" w:hAnsi="Times New Roman" w:eastAsia="宋体" w:cs="Times New Roman"/>
        </w:rPr>
        <w:t>1</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424EF5C3">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_Toc30022 </w:instrText>
      </w:r>
      <w:r>
        <w:rPr>
          <w:rFonts w:hint="default" w:ascii="Times New Roman" w:hAnsi="Times New Roman" w:eastAsia="宋体" w:cs="Times New Roman"/>
        </w:rPr>
        <w:fldChar w:fldCharType="separate"/>
      </w:r>
      <w:r>
        <w:rPr>
          <w:rFonts w:hint="default" w:ascii="Times New Roman" w:hAnsi="Times New Roman" w:eastAsia="宋体" w:cs="Times New Roman"/>
          <w:bCs/>
          <w:kern w:val="2"/>
          <w:szCs w:val="32"/>
          <w:lang w:val="en-US" w:eastAsia="zh-CN" w:bidi="ar-SA"/>
        </w:rPr>
        <w:t>1.2.1 法律、法规</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_Toc30022 \h </w:instrText>
      </w:r>
      <w:r>
        <w:rPr>
          <w:rFonts w:hint="default" w:ascii="Times New Roman" w:hAnsi="Times New Roman" w:eastAsia="宋体" w:cs="Times New Roman"/>
        </w:rPr>
        <w:fldChar w:fldCharType="separate"/>
      </w:r>
      <w:r>
        <w:rPr>
          <w:rFonts w:hint="default" w:ascii="Times New Roman" w:hAnsi="Times New Roman" w:eastAsia="宋体" w:cs="Times New Roman"/>
        </w:rPr>
        <w:t>1</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6CBF9B4F">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_Toc1963 </w:instrText>
      </w:r>
      <w:r>
        <w:rPr>
          <w:rFonts w:hint="default" w:ascii="Times New Roman" w:hAnsi="Times New Roman" w:eastAsia="宋体" w:cs="Times New Roman"/>
        </w:rPr>
        <w:fldChar w:fldCharType="separate"/>
      </w:r>
      <w:r>
        <w:rPr>
          <w:rFonts w:hint="default" w:ascii="Times New Roman" w:hAnsi="Times New Roman" w:eastAsia="宋体" w:cs="Times New Roman"/>
        </w:rPr>
        <w:t>1.2.2</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rPr>
        <w:t>规章、</w:t>
      </w:r>
      <w:r>
        <w:rPr>
          <w:rFonts w:hint="default" w:ascii="Times New Roman" w:hAnsi="Times New Roman" w:eastAsia="宋体" w:cs="Times New Roman"/>
          <w:lang w:val="en-US" w:eastAsia="zh-CN"/>
        </w:rPr>
        <w:t>规定</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_Toc1963 \h </w:instrText>
      </w:r>
      <w:r>
        <w:rPr>
          <w:rFonts w:hint="default" w:ascii="Times New Roman" w:hAnsi="Times New Roman" w:eastAsia="宋体" w:cs="Times New Roman"/>
        </w:rPr>
        <w:fldChar w:fldCharType="separate"/>
      </w:r>
      <w:r>
        <w:rPr>
          <w:rFonts w:hint="default" w:ascii="Times New Roman" w:hAnsi="Times New Roman" w:eastAsia="宋体" w:cs="Times New Roman"/>
        </w:rPr>
        <w:t>3</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39CE2BF6">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_Toc30066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1.2.3 规范性文件</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_Toc30066 \h </w:instrText>
      </w:r>
      <w:r>
        <w:rPr>
          <w:rFonts w:hint="default" w:ascii="Times New Roman" w:hAnsi="Times New Roman" w:eastAsia="宋体" w:cs="Times New Roman"/>
        </w:rPr>
        <w:fldChar w:fldCharType="separate"/>
      </w:r>
      <w:r>
        <w:rPr>
          <w:rFonts w:hint="default" w:ascii="Times New Roman" w:hAnsi="Times New Roman" w:eastAsia="宋体" w:cs="Times New Roman"/>
        </w:rPr>
        <w:t>4</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0909BC51">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_Toc6119 </w:instrText>
      </w:r>
      <w:r>
        <w:rPr>
          <w:rFonts w:hint="default" w:ascii="Times New Roman" w:hAnsi="Times New Roman" w:eastAsia="宋体" w:cs="Times New Roman"/>
        </w:rPr>
        <w:fldChar w:fldCharType="separate"/>
      </w:r>
      <w:r>
        <w:rPr>
          <w:rFonts w:hint="default" w:ascii="Times New Roman" w:hAnsi="Times New Roman" w:eastAsia="宋体" w:cs="Times New Roman"/>
          <w:bCs/>
          <w:kern w:val="2"/>
          <w:szCs w:val="32"/>
          <w:lang w:val="en-US" w:eastAsia="zh-CN" w:bidi="ar-SA"/>
        </w:rPr>
        <w:t>1.2.4 标准、规范</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_Toc6119 \h </w:instrText>
      </w:r>
      <w:r>
        <w:rPr>
          <w:rFonts w:hint="default" w:ascii="Times New Roman" w:hAnsi="Times New Roman" w:eastAsia="宋体" w:cs="Times New Roman"/>
        </w:rPr>
        <w:fldChar w:fldCharType="separate"/>
      </w:r>
      <w:r>
        <w:rPr>
          <w:rFonts w:hint="default" w:ascii="Times New Roman" w:hAnsi="Times New Roman" w:eastAsia="宋体" w:cs="Times New Roman"/>
        </w:rPr>
        <w:t>6</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33DE849E">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_Toc7448 </w:instrText>
      </w:r>
      <w:r>
        <w:rPr>
          <w:rFonts w:hint="default" w:ascii="Times New Roman" w:hAnsi="Times New Roman" w:eastAsia="宋体" w:cs="Times New Roman"/>
        </w:rPr>
        <w:fldChar w:fldCharType="separate"/>
      </w:r>
      <w:r>
        <w:rPr>
          <w:rFonts w:hint="default" w:ascii="Times New Roman" w:hAnsi="Times New Roman" w:eastAsia="宋体" w:cs="Times New Roman"/>
        </w:rPr>
        <w:t>1.2.</w:t>
      </w:r>
      <w:r>
        <w:rPr>
          <w:rFonts w:hint="default" w:ascii="Times New Roman" w:hAnsi="Times New Roman" w:eastAsia="宋体" w:cs="Times New Roman"/>
          <w:lang w:val="en-US" w:eastAsia="zh-CN"/>
        </w:rPr>
        <w:t xml:space="preserve">5 </w:t>
      </w:r>
      <w:r>
        <w:rPr>
          <w:rFonts w:hint="default" w:ascii="Times New Roman" w:hAnsi="Times New Roman" w:eastAsia="宋体" w:cs="Times New Roman"/>
        </w:rPr>
        <w:t>其他依据和主要参考资料</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_Toc7448 \h </w:instrText>
      </w:r>
      <w:r>
        <w:rPr>
          <w:rFonts w:hint="default" w:ascii="Times New Roman" w:hAnsi="Times New Roman" w:eastAsia="宋体" w:cs="Times New Roman"/>
        </w:rPr>
        <w:fldChar w:fldCharType="separate"/>
      </w:r>
      <w:r>
        <w:rPr>
          <w:rFonts w:hint="default" w:ascii="Times New Roman" w:hAnsi="Times New Roman" w:eastAsia="宋体" w:cs="Times New Roman"/>
        </w:rPr>
        <w:t>7</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2698F436">
      <w:pPr>
        <w:pStyle w:val="16"/>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_Toc30729 </w:instrText>
      </w:r>
      <w:r>
        <w:rPr>
          <w:rFonts w:hint="default" w:ascii="Times New Roman" w:hAnsi="Times New Roman" w:eastAsia="宋体" w:cs="Times New Roman"/>
        </w:rPr>
        <w:fldChar w:fldCharType="separate"/>
      </w:r>
      <w:r>
        <w:rPr>
          <w:rFonts w:hint="default" w:ascii="Times New Roman" w:hAnsi="Times New Roman" w:eastAsia="宋体" w:cs="Times New Roman"/>
        </w:rPr>
        <w:t>1.3</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rPr>
        <w:t>评价对象、范围和内容</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_Toc30729 \h </w:instrText>
      </w:r>
      <w:r>
        <w:rPr>
          <w:rFonts w:hint="default" w:ascii="Times New Roman" w:hAnsi="Times New Roman" w:eastAsia="宋体" w:cs="Times New Roman"/>
        </w:rPr>
        <w:fldChar w:fldCharType="separate"/>
      </w:r>
      <w:r>
        <w:rPr>
          <w:rFonts w:hint="default" w:ascii="Times New Roman" w:hAnsi="Times New Roman" w:eastAsia="宋体" w:cs="Times New Roman"/>
        </w:rPr>
        <w:t>8</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0E3C8A38">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_Toc22294 </w:instrText>
      </w:r>
      <w:r>
        <w:rPr>
          <w:rFonts w:hint="default" w:ascii="Times New Roman" w:hAnsi="Times New Roman" w:eastAsia="宋体" w:cs="Times New Roman"/>
        </w:rPr>
        <w:fldChar w:fldCharType="separate"/>
      </w:r>
      <w:r>
        <w:rPr>
          <w:rFonts w:hint="default" w:ascii="Times New Roman" w:hAnsi="Times New Roman" w:eastAsia="宋体" w:cs="Times New Roman"/>
        </w:rPr>
        <w:t>1.3.1</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rPr>
        <w:t>评价对象、范围</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_Toc22294 \h </w:instrText>
      </w:r>
      <w:r>
        <w:rPr>
          <w:rFonts w:hint="default" w:ascii="Times New Roman" w:hAnsi="Times New Roman" w:eastAsia="宋体" w:cs="Times New Roman"/>
        </w:rPr>
        <w:fldChar w:fldCharType="separate"/>
      </w:r>
      <w:r>
        <w:rPr>
          <w:rFonts w:hint="default" w:ascii="Times New Roman" w:hAnsi="Times New Roman" w:eastAsia="宋体" w:cs="Times New Roman"/>
        </w:rPr>
        <w:t>8</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2EB672A2">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_Toc7166 </w:instrText>
      </w:r>
      <w:r>
        <w:rPr>
          <w:rFonts w:hint="default" w:ascii="Times New Roman" w:hAnsi="Times New Roman" w:eastAsia="宋体" w:cs="Times New Roman"/>
        </w:rPr>
        <w:fldChar w:fldCharType="separate"/>
      </w:r>
      <w:r>
        <w:rPr>
          <w:rFonts w:hint="default" w:ascii="Times New Roman" w:hAnsi="Times New Roman" w:eastAsia="宋体" w:cs="Times New Roman"/>
        </w:rPr>
        <w:t>1.3.2</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rPr>
        <w:t>评价内容</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_Toc7166 \h </w:instrText>
      </w:r>
      <w:r>
        <w:rPr>
          <w:rFonts w:hint="default" w:ascii="Times New Roman" w:hAnsi="Times New Roman" w:eastAsia="宋体" w:cs="Times New Roman"/>
        </w:rPr>
        <w:fldChar w:fldCharType="separate"/>
      </w:r>
      <w:r>
        <w:rPr>
          <w:rFonts w:hint="default" w:ascii="Times New Roman" w:hAnsi="Times New Roman" w:eastAsia="宋体" w:cs="Times New Roman"/>
        </w:rPr>
        <w:t>8</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516E34B1">
      <w:pPr>
        <w:pStyle w:val="16"/>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_Toc21005 </w:instrText>
      </w:r>
      <w:r>
        <w:rPr>
          <w:rFonts w:hint="default" w:ascii="Times New Roman" w:hAnsi="Times New Roman" w:eastAsia="宋体" w:cs="Times New Roman"/>
        </w:rPr>
        <w:fldChar w:fldCharType="separate"/>
      </w:r>
      <w:r>
        <w:rPr>
          <w:rFonts w:hint="default" w:ascii="Times New Roman" w:hAnsi="Times New Roman" w:eastAsia="宋体" w:cs="Times New Roman"/>
        </w:rPr>
        <w:t>1.4</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rPr>
        <w:t>评价程序</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_Toc21005 \h </w:instrText>
      </w:r>
      <w:r>
        <w:rPr>
          <w:rFonts w:hint="default" w:ascii="Times New Roman" w:hAnsi="Times New Roman" w:eastAsia="宋体" w:cs="Times New Roman"/>
        </w:rPr>
        <w:fldChar w:fldCharType="separate"/>
      </w:r>
      <w:r>
        <w:rPr>
          <w:rFonts w:hint="default" w:ascii="Times New Roman" w:hAnsi="Times New Roman" w:eastAsia="宋体" w:cs="Times New Roman"/>
        </w:rPr>
        <w:t>9</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70301483">
      <w:pPr>
        <w:pStyle w:val="15"/>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_Toc24765 </w:instrText>
      </w:r>
      <w:r>
        <w:rPr>
          <w:rFonts w:hint="default" w:ascii="Times New Roman" w:hAnsi="Times New Roman" w:eastAsia="宋体" w:cs="Times New Roman"/>
        </w:rPr>
        <w:fldChar w:fldCharType="separate"/>
      </w:r>
      <w:r>
        <w:rPr>
          <w:rFonts w:hint="default" w:ascii="Times New Roman" w:hAnsi="Times New Roman" w:eastAsia="宋体" w:cs="Times New Roman"/>
        </w:rPr>
        <w:t>2. 尾矿库概况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_Toc24765 \h </w:instrText>
      </w:r>
      <w:r>
        <w:rPr>
          <w:rFonts w:hint="default" w:ascii="Times New Roman" w:hAnsi="Times New Roman" w:eastAsia="宋体" w:cs="Times New Roman"/>
        </w:rPr>
        <w:fldChar w:fldCharType="separate"/>
      </w:r>
      <w:r>
        <w:rPr>
          <w:rFonts w:hint="default" w:ascii="Times New Roman" w:hAnsi="Times New Roman" w:eastAsia="宋体" w:cs="Times New Roman"/>
        </w:rPr>
        <w:t>12</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54474058">
      <w:pPr>
        <w:pStyle w:val="16"/>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_Toc9349 </w:instrText>
      </w:r>
      <w:r>
        <w:rPr>
          <w:rFonts w:hint="default" w:ascii="Times New Roman" w:hAnsi="Times New Roman" w:eastAsia="宋体" w:cs="Times New Roman"/>
        </w:rPr>
        <w:fldChar w:fldCharType="separate"/>
      </w:r>
      <w:r>
        <w:rPr>
          <w:rFonts w:hint="default" w:ascii="Times New Roman" w:hAnsi="Times New Roman" w:eastAsia="宋体" w:cs="Times New Roman"/>
        </w:rPr>
        <w:t>2.1</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rPr>
        <w:t>建设单位概况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_Toc9349 \h </w:instrText>
      </w:r>
      <w:r>
        <w:rPr>
          <w:rFonts w:hint="default" w:ascii="Times New Roman" w:hAnsi="Times New Roman" w:eastAsia="宋体" w:cs="Times New Roman"/>
        </w:rPr>
        <w:fldChar w:fldCharType="separate"/>
      </w:r>
      <w:r>
        <w:rPr>
          <w:rFonts w:hint="default" w:ascii="Times New Roman" w:hAnsi="Times New Roman" w:eastAsia="宋体" w:cs="Times New Roman"/>
        </w:rPr>
        <w:t>12</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3F3AD700">
      <w:pPr>
        <w:pStyle w:val="16"/>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_Toc16984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2.2 交通位置、自然地理概况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_Toc16984 \h </w:instrText>
      </w:r>
      <w:r>
        <w:rPr>
          <w:rFonts w:hint="default" w:ascii="Times New Roman" w:hAnsi="Times New Roman" w:eastAsia="宋体" w:cs="Times New Roman"/>
        </w:rPr>
        <w:fldChar w:fldCharType="separate"/>
      </w:r>
      <w:r>
        <w:rPr>
          <w:rFonts w:hint="default" w:ascii="Times New Roman" w:hAnsi="Times New Roman" w:eastAsia="宋体" w:cs="Times New Roman"/>
        </w:rPr>
        <w:t>13</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5980DE37">
      <w:pPr>
        <w:pStyle w:val="16"/>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_Toc17225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2.3 尾矿库基本情况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_Toc17225 \h </w:instrText>
      </w:r>
      <w:r>
        <w:rPr>
          <w:rFonts w:hint="default" w:ascii="Times New Roman" w:hAnsi="Times New Roman" w:eastAsia="宋体" w:cs="Times New Roman"/>
        </w:rPr>
        <w:fldChar w:fldCharType="separate"/>
      </w:r>
      <w:r>
        <w:rPr>
          <w:rFonts w:hint="default" w:ascii="Times New Roman" w:hAnsi="Times New Roman" w:eastAsia="宋体" w:cs="Times New Roman"/>
        </w:rPr>
        <w:t>15</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1AFA92E6">
      <w:pPr>
        <w:pStyle w:val="16"/>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_Toc12138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2.4 地质概况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_Toc12138 \h </w:instrText>
      </w:r>
      <w:r>
        <w:rPr>
          <w:rFonts w:hint="default" w:ascii="Times New Roman" w:hAnsi="Times New Roman" w:eastAsia="宋体" w:cs="Times New Roman"/>
        </w:rPr>
        <w:fldChar w:fldCharType="separate"/>
      </w:r>
      <w:r>
        <w:rPr>
          <w:rFonts w:hint="default" w:ascii="Times New Roman" w:hAnsi="Times New Roman" w:eastAsia="宋体" w:cs="Times New Roman"/>
        </w:rPr>
        <w:t>16</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66792178">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_Toc25503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2.4.1 地形地貌</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_Toc25503 \h </w:instrText>
      </w:r>
      <w:r>
        <w:rPr>
          <w:rFonts w:hint="default" w:ascii="Times New Roman" w:hAnsi="Times New Roman" w:eastAsia="宋体" w:cs="Times New Roman"/>
        </w:rPr>
        <w:fldChar w:fldCharType="separate"/>
      </w:r>
      <w:r>
        <w:rPr>
          <w:rFonts w:hint="default" w:ascii="Times New Roman" w:hAnsi="Times New Roman" w:eastAsia="宋体" w:cs="Times New Roman"/>
        </w:rPr>
        <w:t>16</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4C1791C9">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_Toc19687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2.4.2 地质构造</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_Toc19687 \h </w:instrText>
      </w:r>
      <w:r>
        <w:rPr>
          <w:rFonts w:hint="default" w:ascii="Times New Roman" w:hAnsi="Times New Roman" w:eastAsia="宋体" w:cs="Times New Roman"/>
        </w:rPr>
        <w:fldChar w:fldCharType="separate"/>
      </w:r>
      <w:r>
        <w:rPr>
          <w:rFonts w:hint="default" w:ascii="Times New Roman" w:hAnsi="Times New Roman" w:eastAsia="宋体" w:cs="Times New Roman"/>
        </w:rPr>
        <w:t>17</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3DD33BC1">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_Toc28743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2.4.3 地层岩性</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_Toc28743 \h </w:instrText>
      </w:r>
      <w:r>
        <w:rPr>
          <w:rFonts w:hint="default" w:ascii="Times New Roman" w:hAnsi="Times New Roman" w:eastAsia="宋体" w:cs="Times New Roman"/>
        </w:rPr>
        <w:fldChar w:fldCharType="separate"/>
      </w:r>
      <w:r>
        <w:rPr>
          <w:rFonts w:hint="default" w:ascii="Times New Roman" w:hAnsi="Times New Roman" w:eastAsia="宋体" w:cs="Times New Roman"/>
        </w:rPr>
        <w:t>17</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228AD394">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_Toc21931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2.4.4 水文地质条件</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_Toc21931 \h </w:instrText>
      </w:r>
      <w:r>
        <w:rPr>
          <w:rFonts w:hint="default" w:ascii="Times New Roman" w:hAnsi="Times New Roman" w:eastAsia="宋体" w:cs="Times New Roman"/>
        </w:rPr>
        <w:fldChar w:fldCharType="separate"/>
      </w:r>
      <w:r>
        <w:rPr>
          <w:rFonts w:hint="default" w:ascii="Times New Roman" w:hAnsi="Times New Roman" w:eastAsia="宋体" w:cs="Times New Roman"/>
        </w:rPr>
        <w:t>19</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352BAA23">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_Toc12134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2.4.5 尾矿库不良地质现象</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_Toc12134 \h </w:instrText>
      </w:r>
      <w:r>
        <w:rPr>
          <w:rFonts w:hint="default" w:ascii="Times New Roman" w:hAnsi="Times New Roman" w:eastAsia="宋体" w:cs="Times New Roman"/>
        </w:rPr>
        <w:fldChar w:fldCharType="separate"/>
      </w:r>
      <w:r>
        <w:rPr>
          <w:rFonts w:hint="default" w:ascii="Times New Roman" w:hAnsi="Times New Roman" w:eastAsia="宋体" w:cs="Times New Roman"/>
        </w:rPr>
        <w:t>20</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14CD9707">
      <w:pPr>
        <w:pStyle w:val="16"/>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_Toc23346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2.5 尾矿库等别</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_Toc23346 \h </w:instrText>
      </w:r>
      <w:r>
        <w:rPr>
          <w:rFonts w:hint="default" w:ascii="Times New Roman" w:hAnsi="Times New Roman" w:eastAsia="宋体" w:cs="Times New Roman"/>
        </w:rPr>
        <w:fldChar w:fldCharType="separate"/>
      </w:r>
      <w:r>
        <w:rPr>
          <w:rFonts w:hint="default" w:ascii="Times New Roman" w:hAnsi="Times New Roman" w:eastAsia="宋体" w:cs="Times New Roman"/>
        </w:rPr>
        <w:t>20</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10F9B1B8">
      <w:pPr>
        <w:pStyle w:val="16"/>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_Toc26819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2.6 尾矿库安全设施</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_Toc26819 \h </w:instrText>
      </w:r>
      <w:r>
        <w:rPr>
          <w:rFonts w:hint="default" w:ascii="Times New Roman" w:hAnsi="Times New Roman" w:eastAsia="宋体" w:cs="Times New Roman"/>
        </w:rPr>
        <w:fldChar w:fldCharType="separate"/>
      </w:r>
      <w:r>
        <w:rPr>
          <w:rFonts w:hint="default" w:ascii="Times New Roman" w:hAnsi="Times New Roman" w:eastAsia="宋体" w:cs="Times New Roman"/>
        </w:rPr>
        <w:t>20</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4F2958DE">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_Toc6497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2.6.1 尾矿坝</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_Toc6497 \h </w:instrText>
      </w:r>
      <w:r>
        <w:rPr>
          <w:rFonts w:hint="default" w:ascii="Times New Roman" w:hAnsi="Times New Roman" w:eastAsia="宋体" w:cs="Times New Roman"/>
        </w:rPr>
        <w:fldChar w:fldCharType="separate"/>
      </w:r>
      <w:r>
        <w:rPr>
          <w:rFonts w:hint="default" w:ascii="Times New Roman" w:hAnsi="Times New Roman" w:eastAsia="宋体" w:cs="Times New Roman"/>
        </w:rPr>
        <w:t>20</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3B241E54">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_Toc5893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2.6.2 防排洪系统</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_Toc5893 \h </w:instrText>
      </w:r>
      <w:r>
        <w:rPr>
          <w:rFonts w:hint="default" w:ascii="Times New Roman" w:hAnsi="Times New Roman" w:eastAsia="宋体" w:cs="Times New Roman"/>
        </w:rPr>
        <w:fldChar w:fldCharType="separate"/>
      </w:r>
      <w:r>
        <w:rPr>
          <w:rFonts w:hint="default" w:ascii="Times New Roman" w:hAnsi="Times New Roman" w:eastAsia="宋体" w:cs="Times New Roman"/>
        </w:rPr>
        <w:t>23</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0F60B8E8">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_Toc23883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2.6.3 堆存、碾压工艺</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_Toc23883 \h </w:instrText>
      </w:r>
      <w:r>
        <w:rPr>
          <w:rFonts w:hint="default" w:ascii="Times New Roman" w:hAnsi="Times New Roman" w:eastAsia="宋体" w:cs="Times New Roman"/>
        </w:rPr>
        <w:fldChar w:fldCharType="separate"/>
      </w:r>
      <w:r>
        <w:rPr>
          <w:rFonts w:hint="default" w:ascii="Times New Roman" w:hAnsi="Times New Roman" w:eastAsia="宋体" w:cs="Times New Roman"/>
        </w:rPr>
        <w:t>24</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75767CB6">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_Toc17367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2.6.4 安全监测设施</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_Toc17367 \h </w:instrText>
      </w:r>
      <w:r>
        <w:rPr>
          <w:rFonts w:hint="default" w:ascii="Times New Roman" w:hAnsi="Times New Roman" w:eastAsia="宋体" w:cs="Times New Roman"/>
        </w:rPr>
        <w:fldChar w:fldCharType="separate"/>
      </w:r>
      <w:r>
        <w:rPr>
          <w:rFonts w:hint="default" w:ascii="Times New Roman" w:hAnsi="Times New Roman" w:eastAsia="宋体" w:cs="Times New Roman"/>
        </w:rPr>
        <w:t>25</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1FB36C18">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_Toc16204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2.6.5 辅助安全设施</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_Toc16204 \h </w:instrText>
      </w:r>
      <w:r>
        <w:rPr>
          <w:rFonts w:hint="default" w:ascii="Times New Roman" w:hAnsi="Times New Roman" w:eastAsia="宋体" w:cs="Times New Roman"/>
        </w:rPr>
        <w:fldChar w:fldCharType="separate"/>
      </w:r>
      <w:r>
        <w:rPr>
          <w:rFonts w:hint="default" w:ascii="Times New Roman" w:hAnsi="Times New Roman" w:eastAsia="宋体" w:cs="Times New Roman"/>
        </w:rPr>
        <w:t>26</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0F132D07">
      <w:pPr>
        <w:pStyle w:val="16"/>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_Toc28178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2.7 干式尾矿运输</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_Toc28178 \h </w:instrText>
      </w:r>
      <w:r>
        <w:rPr>
          <w:rFonts w:hint="default" w:ascii="Times New Roman" w:hAnsi="Times New Roman" w:eastAsia="宋体" w:cs="Times New Roman"/>
        </w:rPr>
        <w:fldChar w:fldCharType="separate"/>
      </w:r>
      <w:r>
        <w:rPr>
          <w:rFonts w:hint="default" w:ascii="Times New Roman" w:hAnsi="Times New Roman" w:eastAsia="宋体" w:cs="Times New Roman"/>
        </w:rPr>
        <w:t>27</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79ED15E9">
      <w:pPr>
        <w:pStyle w:val="16"/>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_Toc13057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2.8 安全综合管理</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_Toc13057 \h </w:instrText>
      </w:r>
      <w:r>
        <w:rPr>
          <w:rFonts w:hint="default" w:ascii="Times New Roman" w:hAnsi="Times New Roman" w:eastAsia="宋体" w:cs="Times New Roman"/>
        </w:rPr>
        <w:fldChar w:fldCharType="separate"/>
      </w:r>
      <w:r>
        <w:rPr>
          <w:rFonts w:hint="default" w:ascii="Times New Roman" w:hAnsi="Times New Roman" w:eastAsia="宋体" w:cs="Times New Roman"/>
        </w:rPr>
        <w:t>27</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6AF1B715">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_Toc4708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2.8.1 安全机构设置</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_Toc4708 \h </w:instrText>
      </w:r>
      <w:r>
        <w:rPr>
          <w:rFonts w:hint="default" w:ascii="Times New Roman" w:hAnsi="Times New Roman" w:eastAsia="宋体" w:cs="Times New Roman"/>
        </w:rPr>
        <w:fldChar w:fldCharType="separate"/>
      </w:r>
      <w:r>
        <w:rPr>
          <w:rFonts w:hint="default" w:ascii="Times New Roman" w:hAnsi="Times New Roman" w:eastAsia="宋体" w:cs="Times New Roman"/>
        </w:rPr>
        <w:t>27</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615E27B9">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_Toc17369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2.8.2 安全生产管理规章制度</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_Toc17369 \h </w:instrText>
      </w:r>
      <w:r>
        <w:rPr>
          <w:rFonts w:hint="default" w:ascii="Times New Roman" w:hAnsi="Times New Roman" w:eastAsia="宋体" w:cs="Times New Roman"/>
        </w:rPr>
        <w:fldChar w:fldCharType="separate"/>
      </w:r>
      <w:r>
        <w:rPr>
          <w:rFonts w:hint="default" w:ascii="Times New Roman" w:hAnsi="Times New Roman" w:eastAsia="宋体" w:cs="Times New Roman"/>
        </w:rPr>
        <w:t>27</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1A4AE500">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_Toc29200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2.8.3 安全生产应急救援与措施</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_Toc29200 \h </w:instrText>
      </w:r>
      <w:r>
        <w:rPr>
          <w:rFonts w:hint="default" w:ascii="Times New Roman" w:hAnsi="Times New Roman" w:eastAsia="宋体" w:cs="Times New Roman"/>
        </w:rPr>
        <w:fldChar w:fldCharType="separate"/>
      </w:r>
      <w:r>
        <w:rPr>
          <w:rFonts w:hint="default" w:ascii="Times New Roman" w:hAnsi="Times New Roman" w:eastAsia="宋体" w:cs="Times New Roman"/>
        </w:rPr>
        <w:t>27</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0F054217">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_Toc19286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2.8.4 安全教育培训</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_Toc19286 \h </w:instrText>
      </w:r>
      <w:r>
        <w:rPr>
          <w:rFonts w:hint="default" w:ascii="Times New Roman" w:hAnsi="Times New Roman" w:eastAsia="宋体" w:cs="Times New Roman"/>
        </w:rPr>
        <w:fldChar w:fldCharType="separate"/>
      </w:r>
      <w:r>
        <w:rPr>
          <w:rFonts w:hint="default" w:ascii="Times New Roman" w:hAnsi="Times New Roman" w:eastAsia="宋体" w:cs="Times New Roman"/>
        </w:rPr>
        <w:t>28</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1B9EB47B">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_Toc20659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2.8.5 安全措施费用</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_Toc20659 \h </w:instrText>
      </w:r>
      <w:r>
        <w:rPr>
          <w:rFonts w:hint="default" w:ascii="Times New Roman" w:hAnsi="Times New Roman" w:eastAsia="宋体" w:cs="Times New Roman"/>
        </w:rPr>
        <w:fldChar w:fldCharType="separate"/>
      </w:r>
      <w:r>
        <w:rPr>
          <w:rFonts w:hint="default" w:ascii="Times New Roman" w:hAnsi="Times New Roman" w:eastAsia="宋体" w:cs="Times New Roman"/>
        </w:rPr>
        <w:t>28</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2F790B92">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_Toc5691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2.8.6 安全检查</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_Toc5691 \h </w:instrText>
      </w:r>
      <w:r>
        <w:rPr>
          <w:rFonts w:hint="default" w:ascii="Times New Roman" w:hAnsi="Times New Roman" w:eastAsia="宋体" w:cs="Times New Roman"/>
        </w:rPr>
        <w:fldChar w:fldCharType="separate"/>
      </w:r>
      <w:r>
        <w:rPr>
          <w:rFonts w:hint="default" w:ascii="Times New Roman" w:hAnsi="Times New Roman" w:eastAsia="宋体" w:cs="Times New Roman"/>
        </w:rPr>
        <w:t>29</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69375196">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_Toc26936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2.8.7 安全生产标准化</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_Toc26936 \h </w:instrText>
      </w:r>
      <w:r>
        <w:rPr>
          <w:rFonts w:hint="default" w:ascii="Times New Roman" w:hAnsi="Times New Roman" w:eastAsia="宋体" w:cs="Times New Roman"/>
        </w:rPr>
        <w:fldChar w:fldCharType="separate"/>
      </w:r>
      <w:r>
        <w:rPr>
          <w:rFonts w:hint="default" w:ascii="Times New Roman" w:hAnsi="Times New Roman" w:eastAsia="宋体" w:cs="Times New Roman"/>
        </w:rPr>
        <w:t>29</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157D34C4">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_Toc22580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2.8.8 事故情况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_Toc22580 \h </w:instrText>
      </w:r>
      <w:r>
        <w:rPr>
          <w:rFonts w:hint="default" w:ascii="Times New Roman" w:hAnsi="Times New Roman" w:eastAsia="宋体" w:cs="Times New Roman"/>
        </w:rPr>
        <w:fldChar w:fldCharType="separate"/>
      </w:r>
      <w:r>
        <w:rPr>
          <w:rFonts w:hint="default" w:ascii="Times New Roman" w:hAnsi="Times New Roman" w:eastAsia="宋体" w:cs="Times New Roman"/>
        </w:rPr>
        <w:t>29</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0F7DB7AE">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_Toc7004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2.8.9 安全生产责任保险</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_Toc7004 \h </w:instrText>
      </w:r>
      <w:r>
        <w:rPr>
          <w:rFonts w:hint="default" w:ascii="Times New Roman" w:hAnsi="Times New Roman" w:eastAsia="宋体" w:cs="Times New Roman"/>
        </w:rPr>
        <w:fldChar w:fldCharType="separate"/>
      </w:r>
      <w:r>
        <w:rPr>
          <w:rFonts w:hint="default" w:ascii="Times New Roman" w:hAnsi="Times New Roman" w:eastAsia="宋体" w:cs="Times New Roman"/>
        </w:rPr>
        <w:t>29</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6BE05F08">
      <w:pPr>
        <w:pStyle w:val="16"/>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_Toc2493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2.9 隐蔽致灾因素普查</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_Toc2493 \h </w:instrText>
      </w:r>
      <w:r>
        <w:rPr>
          <w:rFonts w:hint="default" w:ascii="Times New Roman" w:hAnsi="Times New Roman" w:eastAsia="宋体" w:cs="Times New Roman"/>
        </w:rPr>
        <w:fldChar w:fldCharType="separate"/>
      </w:r>
      <w:r>
        <w:rPr>
          <w:rFonts w:hint="default" w:ascii="Times New Roman" w:hAnsi="Times New Roman" w:eastAsia="宋体" w:cs="Times New Roman"/>
        </w:rPr>
        <w:t>29</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540691CF">
      <w:pPr>
        <w:pStyle w:val="16"/>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_Toc7801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2.10 周边环境</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_Toc7801 \h </w:instrText>
      </w:r>
      <w:r>
        <w:rPr>
          <w:rFonts w:hint="default" w:ascii="Times New Roman" w:hAnsi="Times New Roman" w:eastAsia="宋体" w:cs="Times New Roman"/>
        </w:rPr>
        <w:fldChar w:fldCharType="separate"/>
      </w:r>
      <w:r>
        <w:rPr>
          <w:rFonts w:hint="default" w:ascii="Times New Roman" w:hAnsi="Times New Roman" w:eastAsia="宋体" w:cs="Times New Roman"/>
        </w:rPr>
        <w:t>30</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6EE9A699">
      <w:pPr>
        <w:pStyle w:val="15"/>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_Toc27227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3. 辩识与分析危险、有害因素</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_Toc27227 \h </w:instrText>
      </w:r>
      <w:r>
        <w:rPr>
          <w:rFonts w:hint="default" w:ascii="Times New Roman" w:hAnsi="Times New Roman" w:eastAsia="宋体" w:cs="Times New Roman"/>
        </w:rPr>
        <w:fldChar w:fldCharType="separate"/>
      </w:r>
      <w:r>
        <w:rPr>
          <w:rFonts w:hint="default" w:ascii="Times New Roman" w:hAnsi="Times New Roman" w:eastAsia="宋体" w:cs="Times New Roman"/>
        </w:rPr>
        <w:t>32</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3A9FDD61">
      <w:pPr>
        <w:pStyle w:val="16"/>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_Toc11111 </w:instrText>
      </w:r>
      <w:r>
        <w:rPr>
          <w:rFonts w:hint="default" w:ascii="Times New Roman" w:hAnsi="Times New Roman" w:eastAsia="宋体" w:cs="Times New Roman"/>
        </w:rPr>
        <w:fldChar w:fldCharType="separate"/>
      </w:r>
      <w:r>
        <w:rPr>
          <w:rFonts w:hint="default" w:ascii="Times New Roman" w:hAnsi="Times New Roman" w:eastAsia="宋体" w:cs="Times New Roman"/>
          <w:kern w:val="2"/>
          <w:szCs w:val="24"/>
          <w:lang w:val="en-US" w:eastAsia="zh-CN" w:bidi="ar-SA"/>
        </w:rPr>
        <w:t xml:space="preserve">3.1 </w:t>
      </w:r>
      <w:r>
        <w:rPr>
          <w:rFonts w:hint="default" w:ascii="Times New Roman" w:hAnsi="Times New Roman" w:eastAsia="宋体" w:cs="Times New Roman"/>
          <w:lang w:eastAsia="zh-CN"/>
        </w:rPr>
        <w:t>尾矿库病害的产生原因</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_Toc11111 \h </w:instrText>
      </w:r>
      <w:r>
        <w:rPr>
          <w:rFonts w:hint="default" w:ascii="Times New Roman" w:hAnsi="Times New Roman" w:eastAsia="宋体" w:cs="Times New Roman"/>
        </w:rPr>
        <w:fldChar w:fldCharType="separate"/>
      </w:r>
      <w:r>
        <w:rPr>
          <w:rFonts w:hint="default" w:ascii="Times New Roman" w:hAnsi="Times New Roman" w:eastAsia="宋体" w:cs="Times New Roman"/>
        </w:rPr>
        <w:t>32</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261F4C48">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_Toc29015 </w:instrText>
      </w:r>
      <w:r>
        <w:rPr>
          <w:rFonts w:hint="default" w:ascii="Times New Roman" w:hAnsi="Times New Roman" w:eastAsia="宋体" w:cs="Times New Roman"/>
        </w:rPr>
        <w:fldChar w:fldCharType="separate"/>
      </w:r>
      <w:r>
        <w:rPr>
          <w:rFonts w:hint="default" w:ascii="Times New Roman" w:hAnsi="Times New Roman" w:eastAsia="宋体" w:cs="Times New Roman"/>
          <w:lang w:eastAsia="zh-CN"/>
        </w:rPr>
        <w:t>3.1.1</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eastAsia="zh-CN"/>
        </w:rPr>
        <w:t>勘察因素造成的病害</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_Toc29015 \h </w:instrText>
      </w:r>
      <w:r>
        <w:rPr>
          <w:rFonts w:hint="default" w:ascii="Times New Roman" w:hAnsi="Times New Roman" w:eastAsia="宋体" w:cs="Times New Roman"/>
        </w:rPr>
        <w:fldChar w:fldCharType="separate"/>
      </w:r>
      <w:r>
        <w:rPr>
          <w:rFonts w:hint="default" w:ascii="Times New Roman" w:hAnsi="Times New Roman" w:eastAsia="宋体" w:cs="Times New Roman"/>
        </w:rPr>
        <w:t>32</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32C52847">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_Toc24253 </w:instrText>
      </w:r>
      <w:r>
        <w:rPr>
          <w:rFonts w:hint="default" w:ascii="Times New Roman" w:hAnsi="Times New Roman" w:eastAsia="宋体" w:cs="Times New Roman"/>
        </w:rPr>
        <w:fldChar w:fldCharType="separate"/>
      </w:r>
      <w:r>
        <w:rPr>
          <w:rFonts w:hint="default" w:ascii="Times New Roman" w:hAnsi="Times New Roman" w:eastAsia="宋体" w:cs="Times New Roman"/>
          <w:lang w:eastAsia="zh-CN"/>
        </w:rPr>
        <w:t>3.1.2</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eastAsia="zh-CN"/>
        </w:rPr>
        <w:t>设计因素造成的病害</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_Toc24253 \h </w:instrText>
      </w:r>
      <w:r>
        <w:rPr>
          <w:rFonts w:hint="default" w:ascii="Times New Roman" w:hAnsi="Times New Roman" w:eastAsia="宋体" w:cs="Times New Roman"/>
        </w:rPr>
        <w:fldChar w:fldCharType="separate"/>
      </w:r>
      <w:r>
        <w:rPr>
          <w:rFonts w:hint="default" w:ascii="Times New Roman" w:hAnsi="Times New Roman" w:eastAsia="宋体" w:cs="Times New Roman"/>
        </w:rPr>
        <w:t>32</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60DA85E9">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_Toc2462 </w:instrText>
      </w:r>
      <w:r>
        <w:rPr>
          <w:rFonts w:hint="default" w:ascii="Times New Roman" w:hAnsi="Times New Roman" w:eastAsia="宋体" w:cs="Times New Roman"/>
        </w:rPr>
        <w:fldChar w:fldCharType="separate"/>
      </w:r>
      <w:r>
        <w:rPr>
          <w:rFonts w:hint="default" w:ascii="Times New Roman" w:hAnsi="Times New Roman" w:eastAsia="宋体" w:cs="Times New Roman"/>
          <w:lang w:eastAsia="zh-CN"/>
        </w:rPr>
        <w:t>3.1.3</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eastAsia="zh-CN"/>
        </w:rPr>
        <w:t>施工因素造成的病害</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_Toc2462 \h </w:instrText>
      </w:r>
      <w:r>
        <w:rPr>
          <w:rFonts w:hint="default" w:ascii="Times New Roman" w:hAnsi="Times New Roman" w:eastAsia="宋体" w:cs="Times New Roman"/>
        </w:rPr>
        <w:fldChar w:fldCharType="separate"/>
      </w:r>
      <w:r>
        <w:rPr>
          <w:rFonts w:hint="default" w:ascii="Times New Roman" w:hAnsi="Times New Roman" w:eastAsia="宋体" w:cs="Times New Roman"/>
        </w:rPr>
        <w:t>33</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24616611">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_Toc23986 </w:instrText>
      </w:r>
      <w:r>
        <w:rPr>
          <w:rFonts w:hint="default" w:ascii="Times New Roman" w:hAnsi="Times New Roman" w:eastAsia="宋体" w:cs="Times New Roman"/>
        </w:rPr>
        <w:fldChar w:fldCharType="separate"/>
      </w:r>
      <w:r>
        <w:rPr>
          <w:rFonts w:hint="default" w:ascii="Times New Roman" w:hAnsi="Times New Roman" w:eastAsia="宋体" w:cs="Times New Roman"/>
          <w:lang w:eastAsia="zh-CN"/>
        </w:rPr>
        <w:t>3.1.4</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eastAsia="zh-CN"/>
        </w:rPr>
        <w:t>操作管理不当造成的病害</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_Toc23986 \h </w:instrText>
      </w:r>
      <w:r>
        <w:rPr>
          <w:rFonts w:hint="default" w:ascii="Times New Roman" w:hAnsi="Times New Roman" w:eastAsia="宋体" w:cs="Times New Roman"/>
        </w:rPr>
        <w:fldChar w:fldCharType="separate"/>
      </w:r>
      <w:r>
        <w:rPr>
          <w:rFonts w:hint="default" w:ascii="Times New Roman" w:hAnsi="Times New Roman" w:eastAsia="宋体" w:cs="Times New Roman"/>
        </w:rPr>
        <w:t>33</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496A25B8">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_Toc6527 </w:instrText>
      </w:r>
      <w:r>
        <w:rPr>
          <w:rFonts w:hint="default" w:ascii="Times New Roman" w:hAnsi="Times New Roman" w:eastAsia="宋体" w:cs="Times New Roman"/>
        </w:rPr>
        <w:fldChar w:fldCharType="separate"/>
      </w:r>
      <w:r>
        <w:rPr>
          <w:rFonts w:hint="default" w:ascii="Times New Roman" w:hAnsi="Times New Roman" w:eastAsia="宋体" w:cs="Times New Roman"/>
          <w:lang w:eastAsia="zh-CN"/>
        </w:rPr>
        <w:t>3.1.5</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eastAsia="zh-CN"/>
        </w:rPr>
        <w:t>其他因素造成的病害</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_Toc6527 \h </w:instrText>
      </w:r>
      <w:r>
        <w:rPr>
          <w:rFonts w:hint="default" w:ascii="Times New Roman" w:hAnsi="Times New Roman" w:eastAsia="宋体" w:cs="Times New Roman"/>
        </w:rPr>
        <w:fldChar w:fldCharType="separate"/>
      </w:r>
      <w:r>
        <w:rPr>
          <w:rFonts w:hint="default" w:ascii="Times New Roman" w:hAnsi="Times New Roman" w:eastAsia="宋体" w:cs="Times New Roman"/>
        </w:rPr>
        <w:t>33</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0F1C0FD0">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_Toc23406 </w:instrText>
      </w:r>
      <w:r>
        <w:rPr>
          <w:rFonts w:hint="default" w:ascii="Times New Roman" w:hAnsi="Times New Roman" w:eastAsia="宋体" w:cs="Times New Roman"/>
        </w:rPr>
        <w:fldChar w:fldCharType="separate"/>
      </w:r>
      <w:r>
        <w:rPr>
          <w:rFonts w:hint="default" w:ascii="Times New Roman" w:hAnsi="Times New Roman" w:eastAsia="宋体" w:cs="Times New Roman"/>
          <w:lang w:eastAsia="zh-CN"/>
        </w:rPr>
        <w:t>3.1.6</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eastAsia="zh-CN"/>
        </w:rPr>
        <w:t>尾矿库失事实例</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_Toc23406 \h </w:instrText>
      </w:r>
      <w:r>
        <w:rPr>
          <w:rFonts w:hint="default" w:ascii="Times New Roman" w:hAnsi="Times New Roman" w:eastAsia="宋体" w:cs="Times New Roman"/>
        </w:rPr>
        <w:fldChar w:fldCharType="separate"/>
      </w:r>
      <w:r>
        <w:rPr>
          <w:rFonts w:hint="default" w:ascii="Times New Roman" w:hAnsi="Times New Roman" w:eastAsia="宋体" w:cs="Times New Roman"/>
        </w:rPr>
        <w:t>35</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108686A8">
      <w:pPr>
        <w:pStyle w:val="16"/>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_Toc7503 </w:instrText>
      </w:r>
      <w:r>
        <w:rPr>
          <w:rFonts w:hint="default" w:ascii="Times New Roman" w:hAnsi="Times New Roman" w:eastAsia="宋体" w:cs="Times New Roman"/>
        </w:rPr>
        <w:fldChar w:fldCharType="separate"/>
      </w:r>
      <w:r>
        <w:rPr>
          <w:rFonts w:hint="default" w:ascii="Times New Roman" w:hAnsi="Times New Roman" w:eastAsia="宋体" w:cs="Times New Roman"/>
          <w:lang w:eastAsia="zh-CN"/>
        </w:rPr>
        <w:t>3.2</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eastAsia="zh-CN"/>
        </w:rPr>
        <w:t>尾矿库危险、有害因素分析</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_Toc7503 \h </w:instrText>
      </w:r>
      <w:r>
        <w:rPr>
          <w:rFonts w:hint="default" w:ascii="Times New Roman" w:hAnsi="Times New Roman" w:eastAsia="宋体" w:cs="Times New Roman"/>
        </w:rPr>
        <w:fldChar w:fldCharType="separate"/>
      </w:r>
      <w:r>
        <w:rPr>
          <w:rFonts w:hint="default" w:ascii="Times New Roman" w:hAnsi="Times New Roman" w:eastAsia="宋体" w:cs="Times New Roman"/>
        </w:rPr>
        <w:t>35</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355B5BD1">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_Toc18834 </w:instrText>
      </w:r>
      <w:r>
        <w:rPr>
          <w:rFonts w:hint="default" w:ascii="Times New Roman" w:hAnsi="Times New Roman" w:eastAsia="宋体" w:cs="Times New Roman"/>
        </w:rPr>
        <w:fldChar w:fldCharType="separate"/>
      </w:r>
      <w:r>
        <w:rPr>
          <w:rFonts w:hint="default" w:ascii="Times New Roman" w:hAnsi="Times New Roman" w:eastAsia="宋体" w:cs="Times New Roman"/>
          <w:lang w:eastAsia="zh-CN"/>
        </w:rPr>
        <w:t>3.2.1</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eastAsia="zh-CN"/>
        </w:rPr>
        <w:t>滑坡（坝坡失稳）</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_Toc18834 \h </w:instrText>
      </w:r>
      <w:r>
        <w:rPr>
          <w:rFonts w:hint="default" w:ascii="Times New Roman" w:hAnsi="Times New Roman" w:eastAsia="宋体" w:cs="Times New Roman"/>
        </w:rPr>
        <w:fldChar w:fldCharType="separate"/>
      </w:r>
      <w:r>
        <w:rPr>
          <w:rFonts w:hint="default" w:ascii="Times New Roman" w:hAnsi="Times New Roman" w:eastAsia="宋体" w:cs="Times New Roman"/>
        </w:rPr>
        <w:t>35</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715BCCA3">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_Toc5185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3.2.2 洪水漫顶</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_Toc5185 \h </w:instrText>
      </w:r>
      <w:r>
        <w:rPr>
          <w:rFonts w:hint="default" w:ascii="Times New Roman" w:hAnsi="Times New Roman" w:eastAsia="宋体" w:cs="Times New Roman"/>
        </w:rPr>
        <w:fldChar w:fldCharType="separate"/>
      </w:r>
      <w:r>
        <w:rPr>
          <w:rFonts w:hint="default" w:ascii="Times New Roman" w:hAnsi="Times New Roman" w:eastAsia="宋体" w:cs="Times New Roman"/>
        </w:rPr>
        <w:t>36</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583894D7">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_Toc5688 </w:instrText>
      </w:r>
      <w:r>
        <w:rPr>
          <w:rFonts w:hint="default" w:ascii="Times New Roman" w:hAnsi="Times New Roman" w:eastAsia="宋体" w:cs="Times New Roman"/>
        </w:rPr>
        <w:fldChar w:fldCharType="separate"/>
      </w:r>
      <w:r>
        <w:rPr>
          <w:rFonts w:hint="default" w:ascii="Times New Roman" w:hAnsi="Times New Roman" w:eastAsia="宋体" w:cs="Times New Roman"/>
          <w:lang w:eastAsia="zh-CN"/>
        </w:rPr>
        <w:t>3.2.3</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eastAsia="zh-CN"/>
        </w:rPr>
        <w:t>渗漏</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_Toc5688 \h </w:instrText>
      </w:r>
      <w:r>
        <w:rPr>
          <w:rFonts w:hint="default" w:ascii="Times New Roman" w:hAnsi="Times New Roman" w:eastAsia="宋体" w:cs="Times New Roman"/>
        </w:rPr>
        <w:fldChar w:fldCharType="separate"/>
      </w:r>
      <w:r>
        <w:rPr>
          <w:rFonts w:hint="default" w:ascii="Times New Roman" w:hAnsi="Times New Roman" w:eastAsia="宋体" w:cs="Times New Roman"/>
        </w:rPr>
        <w:t>36</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212E7827">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_Toc14584 </w:instrText>
      </w:r>
      <w:r>
        <w:rPr>
          <w:rFonts w:hint="default" w:ascii="Times New Roman" w:hAnsi="Times New Roman" w:eastAsia="宋体" w:cs="Times New Roman"/>
        </w:rPr>
        <w:fldChar w:fldCharType="separate"/>
      </w:r>
      <w:r>
        <w:rPr>
          <w:rFonts w:hint="default" w:ascii="Times New Roman" w:hAnsi="Times New Roman" w:eastAsia="宋体" w:cs="Times New Roman"/>
          <w:lang w:eastAsia="zh-CN"/>
        </w:rPr>
        <w:t>3.2.4</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eastAsia="zh-CN"/>
        </w:rPr>
        <w:t>排水、泄洪构筑物破坏</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_Toc14584 \h </w:instrText>
      </w:r>
      <w:r>
        <w:rPr>
          <w:rFonts w:hint="default" w:ascii="Times New Roman" w:hAnsi="Times New Roman" w:eastAsia="宋体" w:cs="Times New Roman"/>
        </w:rPr>
        <w:fldChar w:fldCharType="separate"/>
      </w:r>
      <w:r>
        <w:rPr>
          <w:rFonts w:hint="default" w:ascii="Times New Roman" w:hAnsi="Times New Roman" w:eastAsia="宋体" w:cs="Times New Roman"/>
        </w:rPr>
        <w:t>37</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263949C4">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_Toc2962 </w:instrText>
      </w:r>
      <w:r>
        <w:rPr>
          <w:rFonts w:hint="default" w:ascii="Times New Roman" w:hAnsi="Times New Roman" w:eastAsia="宋体" w:cs="Times New Roman"/>
        </w:rPr>
        <w:fldChar w:fldCharType="separate"/>
      </w:r>
      <w:r>
        <w:rPr>
          <w:rFonts w:hint="default" w:ascii="Times New Roman" w:hAnsi="Times New Roman" w:eastAsia="宋体" w:cs="Times New Roman"/>
          <w:lang w:eastAsia="zh-CN"/>
        </w:rPr>
        <w:t>3.2.5</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eastAsia="zh-CN"/>
        </w:rPr>
        <w:t>调洪库容不足</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_Toc2962 \h </w:instrText>
      </w:r>
      <w:r>
        <w:rPr>
          <w:rFonts w:hint="default" w:ascii="Times New Roman" w:hAnsi="Times New Roman" w:eastAsia="宋体" w:cs="Times New Roman"/>
        </w:rPr>
        <w:fldChar w:fldCharType="separate"/>
      </w:r>
      <w:r>
        <w:rPr>
          <w:rFonts w:hint="default" w:ascii="Times New Roman" w:hAnsi="Times New Roman" w:eastAsia="宋体" w:cs="Times New Roman"/>
        </w:rPr>
        <w:t>38</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6EC643F1">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_Toc14865 </w:instrText>
      </w:r>
      <w:r>
        <w:rPr>
          <w:rFonts w:hint="default" w:ascii="Times New Roman" w:hAnsi="Times New Roman" w:eastAsia="宋体" w:cs="Times New Roman"/>
        </w:rPr>
        <w:fldChar w:fldCharType="separate"/>
      </w:r>
      <w:r>
        <w:rPr>
          <w:rFonts w:hint="default" w:ascii="Times New Roman" w:hAnsi="Times New Roman" w:eastAsia="宋体" w:cs="Times New Roman"/>
          <w:lang w:eastAsia="zh-CN"/>
        </w:rPr>
        <w:t>3.2.6</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eastAsia="zh-CN"/>
        </w:rPr>
        <w:t>裂缝</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_Toc14865 \h </w:instrText>
      </w:r>
      <w:r>
        <w:rPr>
          <w:rFonts w:hint="default" w:ascii="Times New Roman" w:hAnsi="Times New Roman" w:eastAsia="宋体" w:cs="Times New Roman"/>
        </w:rPr>
        <w:fldChar w:fldCharType="separate"/>
      </w:r>
      <w:r>
        <w:rPr>
          <w:rFonts w:hint="default" w:ascii="Times New Roman" w:hAnsi="Times New Roman" w:eastAsia="宋体" w:cs="Times New Roman"/>
        </w:rPr>
        <w:t>38</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54DB153E">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_Toc8523 </w:instrText>
      </w:r>
      <w:r>
        <w:rPr>
          <w:rFonts w:hint="default" w:ascii="Times New Roman" w:hAnsi="Times New Roman" w:eastAsia="宋体" w:cs="Times New Roman"/>
        </w:rPr>
        <w:fldChar w:fldCharType="separate"/>
      </w:r>
      <w:r>
        <w:rPr>
          <w:rFonts w:hint="default" w:ascii="Times New Roman" w:hAnsi="Times New Roman" w:eastAsia="宋体" w:cs="Times New Roman"/>
          <w:lang w:eastAsia="zh-CN"/>
        </w:rPr>
        <w:t>3.2.7</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eastAsia="zh-CN"/>
        </w:rPr>
        <w:t>淹溺</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_Toc8523 \h </w:instrText>
      </w:r>
      <w:r>
        <w:rPr>
          <w:rFonts w:hint="default" w:ascii="Times New Roman" w:hAnsi="Times New Roman" w:eastAsia="宋体" w:cs="Times New Roman"/>
        </w:rPr>
        <w:fldChar w:fldCharType="separate"/>
      </w:r>
      <w:r>
        <w:rPr>
          <w:rFonts w:hint="default" w:ascii="Times New Roman" w:hAnsi="Times New Roman" w:eastAsia="宋体" w:cs="Times New Roman"/>
        </w:rPr>
        <w:t>38</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0C22D189">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_Toc8808 </w:instrText>
      </w:r>
      <w:r>
        <w:rPr>
          <w:rFonts w:hint="default" w:ascii="Times New Roman" w:hAnsi="Times New Roman" w:eastAsia="宋体" w:cs="Times New Roman"/>
        </w:rPr>
        <w:fldChar w:fldCharType="separate"/>
      </w:r>
      <w:r>
        <w:rPr>
          <w:rFonts w:hint="default" w:ascii="Times New Roman" w:hAnsi="Times New Roman" w:eastAsia="宋体" w:cs="Times New Roman"/>
          <w:lang w:eastAsia="zh-CN"/>
        </w:rPr>
        <w:t>3.2.8</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eastAsia="zh-CN"/>
        </w:rPr>
        <w:t>高处坠落</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_Toc8808 \h </w:instrText>
      </w:r>
      <w:r>
        <w:rPr>
          <w:rFonts w:hint="default" w:ascii="Times New Roman" w:hAnsi="Times New Roman" w:eastAsia="宋体" w:cs="Times New Roman"/>
        </w:rPr>
        <w:fldChar w:fldCharType="separate"/>
      </w:r>
      <w:r>
        <w:rPr>
          <w:rFonts w:hint="default" w:ascii="Times New Roman" w:hAnsi="Times New Roman" w:eastAsia="宋体" w:cs="Times New Roman"/>
        </w:rPr>
        <w:t>38</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3D1E6A74">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_Toc3554 </w:instrText>
      </w:r>
      <w:r>
        <w:rPr>
          <w:rFonts w:hint="default" w:ascii="Times New Roman" w:hAnsi="Times New Roman" w:eastAsia="宋体" w:cs="Times New Roman"/>
        </w:rPr>
        <w:fldChar w:fldCharType="separate"/>
      </w:r>
      <w:r>
        <w:rPr>
          <w:rFonts w:hint="default" w:ascii="Times New Roman" w:hAnsi="Times New Roman" w:eastAsia="宋体" w:cs="Times New Roman"/>
          <w:lang w:eastAsia="zh-CN"/>
        </w:rPr>
        <w:t>3.2.9</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eastAsia="zh-CN"/>
        </w:rPr>
        <w:t>库区山体滑坡、塌方和泥石流</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_Toc3554 \h </w:instrText>
      </w:r>
      <w:r>
        <w:rPr>
          <w:rFonts w:hint="default" w:ascii="Times New Roman" w:hAnsi="Times New Roman" w:eastAsia="宋体" w:cs="Times New Roman"/>
        </w:rPr>
        <w:fldChar w:fldCharType="separate"/>
      </w:r>
      <w:r>
        <w:rPr>
          <w:rFonts w:hint="default" w:ascii="Times New Roman" w:hAnsi="Times New Roman" w:eastAsia="宋体" w:cs="Times New Roman"/>
        </w:rPr>
        <w:t>38</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7266E27A">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_Toc1399 </w:instrText>
      </w:r>
      <w:r>
        <w:rPr>
          <w:rFonts w:hint="default" w:ascii="Times New Roman" w:hAnsi="Times New Roman" w:eastAsia="宋体" w:cs="Times New Roman"/>
        </w:rPr>
        <w:fldChar w:fldCharType="separate"/>
      </w:r>
      <w:r>
        <w:rPr>
          <w:rFonts w:hint="default" w:ascii="Times New Roman" w:hAnsi="Times New Roman" w:eastAsia="宋体" w:cs="Times New Roman"/>
          <w:lang w:eastAsia="zh-CN"/>
        </w:rPr>
        <w:t>3.2.10</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eastAsia="zh-CN"/>
        </w:rPr>
        <w:t>不良环境因素</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_Toc1399 \h </w:instrText>
      </w:r>
      <w:r>
        <w:rPr>
          <w:rFonts w:hint="default" w:ascii="Times New Roman" w:hAnsi="Times New Roman" w:eastAsia="宋体" w:cs="Times New Roman"/>
        </w:rPr>
        <w:fldChar w:fldCharType="separate"/>
      </w:r>
      <w:r>
        <w:rPr>
          <w:rFonts w:hint="default" w:ascii="Times New Roman" w:hAnsi="Times New Roman" w:eastAsia="宋体" w:cs="Times New Roman"/>
        </w:rPr>
        <w:t>39</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62E637C6">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_Toc7516 </w:instrText>
      </w:r>
      <w:r>
        <w:rPr>
          <w:rFonts w:hint="default" w:ascii="Times New Roman" w:hAnsi="Times New Roman" w:eastAsia="宋体" w:cs="Times New Roman"/>
        </w:rPr>
        <w:fldChar w:fldCharType="separate"/>
      </w:r>
      <w:r>
        <w:rPr>
          <w:rFonts w:hint="default" w:ascii="Times New Roman" w:hAnsi="Times New Roman" w:eastAsia="宋体" w:cs="Times New Roman"/>
          <w:lang w:eastAsia="zh-CN"/>
        </w:rPr>
        <w:t>3.2.11</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eastAsia="zh-CN"/>
        </w:rPr>
        <w:t>其他因素造成的病害</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_Toc7516 \h </w:instrText>
      </w:r>
      <w:r>
        <w:rPr>
          <w:rFonts w:hint="default" w:ascii="Times New Roman" w:hAnsi="Times New Roman" w:eastAsia="宋体" w:cs="Times New Roman"/>
        </w:rPr>
        <w:fldChar w:fldCharType="separate"/>
      </w:r>
      <w:r>
        <w:rPr>
          <w:rFonts w:hint="default" w:ascii="Times New Roman" w:hAnsi="Times New Roman" w:eastAsia="宋体" w:cs="Times New Roman"/>
        </w:rPr>
        <w:t>39</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07F53999">
      <w:pPr>
        <w:pStyle w:val="16"/>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_Toc5036 </w:instrText>
      </w:r>
      <w:r>
        <w:rPr>
          <w:rFonts w:hint="default" w:ascii="Times New Roman" w:hAnsi="Times New Roman" w:eastAsia="宋体" w:cs="Times New Roman"/>
        </w:rPr>
        <w:fldChar w:fldCharType="separate"/>
      </w:r>
      <w:r>
        <w:rPr>
          <w:rFonts w:hint="default" w:ascii="Times New Roman" w:hAnsi="Times New Roman" w:eastAsia="宋体" w:cs="Times New Roman"/>
          <w:lang w:eastAsia="zh-CN"/>
        </w:rPr>
        <w:t>3.3</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eastAsia="zh-CN"/>
        </w:rPr>
        <w:t>重大危险源辨识与重大生产安全事故隐患识别</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_Toc5036 \h </w:instrText>
      </w:r>
      <w:r>
        <w:rPr>
          <w:rFonts w:hint="default" w:ascii="Times New Roman" w:hAnsi="Times New Roman" w:eastAsia="宋体" w:cs="Times New Roman"/>
        </w:rPr>
        <w:fldChar w:fldCharType="separate"/>
      </w:r>
      <w:r>
        <w:rPr>
          <w:rFonts w:hint="default" w:ascii="Times New Roman" w:hAnsi="Times New Roman" w:eastAsia="宋体" w:cs="Times New Roman"/>
        </w:rPr>
        <w:t>40</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25ECBB20">
      <w:pPr>
        <w:pStyle w:val="16"/>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_Toc2288 </w:instrText>
      </w:r>
      <w:r>
        <w:rPr>
          <w:rFonts w:hint="default" w:ascii="Times New Roman" w:hAnsi="Times New Roman" w:eastAsia="宋体" w:cs="Times New Roman"/>
        </w:rPr>
        <w:fldChar w:fldCharType="separate"/>
      </w:r>
      <w:r>
        <w:rPr>
          <w:rFonts w:hint="default" w:ascii="Times New Roman" w:hAnsi="Times New Roman" w:eastAsia="宋体" w:cs="Times New Roman"/>
          <w:lang w:eastAsia="zh-CN"/>
        </w:rPr>
        <w:t>3.4</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eastAsia="zh-CN"/>
        </w:rPr>
        <w:t>危险、有害因素分析结果</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_Toc2288 \h </w:instrText>
      </w:r>
      <w:r>
        <w:rPr>
          <w:rFonts w:hint="default" w:ascii="Times New Roman" w:hAnsi="Times New Roman" w:eastAsia="宋体" w:cs="Times New Roman"/>
        </w:rPr>
        <w:fldChar w:fldCharType="separate"/>
      </w:r>
      <w:r>
        <w:rPr>
          <w:rFonts w:hint="default" w:ascii="Times New Roman" w:hAnsi="Times New Roman" w:eastAsia="宋体" w:cs="Times New Roman"/>
        </w:rPr>
        <w:t>43</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625269A3">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_Toc10745 </w:instrText>
      </w:r>
      <w:r>
        <w:rPr>
          <w:rFonts w:hint="default" w:ascii="Times New Roman" w:hAnsi="Times New Roman" w:eastAsia="宋体" w:cs="Times New Roman"/>
        </w:rPr>
        <w:fldChar w:fldCharType="separate"/>
      </w:r>
      <w:r>
        <w:rPr>
          <w:rFonts w:hint="default" w:ascii="Times New Roman" w:hAnsi="Times New Roman" w:eastAsia="宋体" w:cs="Times New Roman"/>
          <w:lang w:eastAsia="zh-CN"/>
        </w:rPr>
        <w:t>3.4.1</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eastAsia="zh-CN"/>
        </w:rPr>
        <w:t>危险、有害因素产生的原因</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_Toc10745 \h </w:instrText>
      </w:r>
      <w:r>
        <w:rPr>
          <w:rFonts w:hint="default" w:ascii="Times New Roman" w:hAnsi="Times New Roman" w:eastAsia="宋体" w:cs="Times New Roman"/>
        </w:rPr>
        <w:fldChar w:fldCharType="separate"/>
      </w:r>
      <w:r>
        <w:rPr>
          <w:rFonts w:hint="default" w:ascii="Times New Roman" w:hAnsi="Times New Roman" w:eastAsia="宋体" w:cs="Times New Roman"/>
        </w:rPr>
        <w:t>43</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55825B00">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_Toc26638 </w:instrText>
      </w:r>
      <w:r>
        <w:rPr>
          <w:rFonts w:hint="default" w:ascii="Times New Roman" w:hAnsi="Times New Roman" w:eastAsia="宋体" w:cs="Times New Roman"/>
        </w:rPr>
        <w:fldChar w:fldCharType="separate"/>
      </w:r>
      <w:r>
        <w:rPr>
          <w:rFonts w:hint="default" w:ascii="Times New Roman" w:hAnsi="Times New Roman" w:eastAsia="宋体" w:cs="Times New Roman"/>
          <w:lang w:eastAsia="zh-CN"/>
        </w:rPr>
        <w:t>3.4.2</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eastAsia="zh-CN"/>
        </w:rPr>
        <w:t>危险、有害因素分析结果</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_Toc26638 \h </w:instrText>
      </w:r>
      <w:r>
        <w:rPr>
          <w:rFonts w:hint="default" w:ascii="Times New Roman" w:hAnsi="Times New Roman" w:eastAsia="宋体" w:cs="Times New Roman"/>
        </w:rPr>
        <w:fldChar w:fldCharType="separate"/>
      </w:r>
      <w:r>
        <w:rPr>
          <w:rFonts w:hint="default" w:ascii="Times New Roman" w:hAnsi="Times New Roman" w:eastAsia="宋体" w:cs="Times New Roman"/>
        </w:rPr>
        <w:t>43</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56F33628">
      <w:pPr>
        <w:pStyle w:val="15"/>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_Toc7982 </w:instrText>
      </w:r>
      <w:r>
        <w:rPr>
          <w:rFonts w:hint="default" w:ascii="Times New Roman" w:hAnsi="Times New Roman" w:eastAsia="宋体" w:cs="Times New Roman"/>
        </w:rPr>
        <w:fldChar w:fldCharType="separate"/>
      </w:r>
      <w:r>
        <w:rPr>
          <w:rFonts w:hint="default" w:ascii="Times New Roman" w:hAnsi="Times New Roman" w:eastAsia="宋体" w:cs="Times New Roman"/>
          <w:lang w:eastAsia="zh-CN"/>
        </w:rPr>
        <w:t>4. 安全评价单元划分和选择</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_Toc7982 \h </w:instrText>
      </w:r>
      <w:r>
        <w:rPr>
          <w:rFonts w:hint="default" w:ascii="Times New Roman" w:hAnsi="Times New Roman" w:eastAsia="宋体" w:cs="Times New Roman"/>
        </w:rPr>
        <w:fldChar w:fldCharType="separate"/>
      </w:r>
      <w:r>
        <w:rPr>
          <w:rFonts w:hint="default" w:ascii="Times New Roman" w:hAnsi="Times New Roman" w:eastAsia="宋体" w:cs="Times New Roman"/>
        </w:rPr>
        <w:t>44</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703F4606">
      <w:pPr>
        <w:pStyle w:val="16"/>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_Toc26338 </w:instrText>
      </w:r>
      <w:r>
        <w:rPr>
          <w:rFonts w:hint="default" w:ascii="Times New Roman" w:hAnsi="Times New Roman" w:eastAsia="宋体" w:cs="Times New Roman"/>
        </w:rPr>
        <w:fldChar w:fldCharType="separate"/>
      </w:r>
      <w:r>
        <w:rPr>
          <w:rFonts w:hint="default" w:ascii="Times New Roman" w:hAnsi="Times New Roman" w:eastAsia="宋体" w:cs="Times New Roman"/>
          <w:lang w:eastAsia="zh-CN"/>
        </w:rPr>
        <w:t>4.1</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eastAsia="zh-CN"/>
        </w:rPr>
        <w:t>评价单元划分</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_Toc26338 \h </w:instrText>
      </w:r>
      <w:r>
        <w:rPr>
          <w:rFonts w:hint="default" w:ascii="Times New Roman" w:hAnsi="Times New Roman" w:eastAsia="宋体" w:cs="Times New Roman"/>
        </w:rPr>
        <w:fldChar w:fldCharType="separate"/>
      </w:r>
      <w:r>
        <w:rPr>
          <w:rFonts w:hint="default" w:ascii="Times New Roman" w:hAnsi="Times New Roman" w:eastAsia="宋体" w:cs="Times New Roman"/>
        </w:rPr>
        <w:t>44</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4EA838D1">
      <w:pPr>
        <w:pStyle w:val="16"/>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_Toc17657 </w:instrText>
      </w:r>
      <w:r>
        <w:rPr>
          <w:rFonts w:hint="default" w:ascii="Times New Roman" w:hAnsi="Times New Roman" w:eastAsia="宋体" w:cs="Times New Roman"/>
        </w:rPr>
        <w:fldChar w:fldCharType="separate"/>
      </w:r>
      <w:r>
        <w:rPr>
          <w:rFonts w:hint="default" w:ascii="Times New Roman" w:hAnsi="Times New Roman" w:eastAsia="宋体" w:cs="Times New Roman"/>
          <w:lang w:eastAsia="zh-CN"/>
        </w:rPr>
        <w:t>4.2</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eastAsia="zh-CN"/>
        </w:rPr>
        <w:t>评价方法选择</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_Toc17657 \h </w:instrText>
      </w:r>
      <w:r>
        <w:rPr>
          <w:rFonts w:hint="default" w:ascii="Times New Roman" w:hAnsi="Times New Roman" w:eastAsia="宋体" w:cs="Times New Roman"/>
        </w:rPr>
        <w:fldChar w:fldCharType="separate"/>
      </w:r>
      <w:r>
        <w:rPr>
          <w:rFonts w:hint="default" w:ascii="Times New Roman" w:hAnsi="Times New Roman" w:eastAsia="宋体" w:cs="Times New Roman"/>
        </w:rPr>
        <w:t>44</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78FA40B5">
      <w:pPr>
        <w:pStyle w:val="15"/>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_Toc21963 </w:instrText>
      </w:r>
      <w:r>
        <w:rPr>
          <w:rFonts w:hint="default" w:ascii="Times New Roman" w:hAnsi="Times New Roman" w:eastAsia="宋体" w:cs="Times New Roman"/>
        </w:rPr>
        <w:fldChar w:fldCharType="separate"/>
      </w:r>
      <w:r>
        <w:rPr>
          <w:rFonts w:hint="default" w:ascii="Times New Roman" w:hAnsi="Times New Roman" w:eastAsia="宋体" w:cs="Times New Roman"/>
          <w:lang w:eastAsia="zh-CN"/>
        </w:rPr>
        <w:t>5. 安全评价</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_Toc21963 \h </w:instrText>
      </w:r>
      <w:r>
        <w:rPr>
          <w:rFonts w:hint="default" w:ascii="Times New Roman" w:hAnsi="Times New Roman" w:eastAsia="宋体" w:cs="Times New Roman"/>
        </w:rPr>
        <w:fldChar w:fldCharType="separate"/>
      </w:r>
      <w:r>
        <w:rPr>
          <w:rFonts w:hint="default" w:ascii="Times New Roman" w:hAnsi="Times New Roman" w:eastAsia="宋体" w:cs="Times New Roman"/>
        </w:rPr>
        <w:t>45</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4F8CF0D1">
      <w:pPr>
        <w:pStyle w:val="16"/>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_Toc511 </w:instrText>
      </w:r>
      <w:r>
        <w:rPr>
          <w:rFonts w:hint="default" w:ascii="Times New Roman" w:hAnsi="Times New Roman" w:eastAsia="宋体" w:cs="Times New Roman"/>
        </w:rPr>
        <w:fldChar w:fldCharType="separate"/>
      </w:r>
      <w:r>
        <w:rPr>
          <w:rFonts w:hint="default" w:ascii="Times New Roman" w:hAnsi="Times New Roman" w:eastAsia="宋体" w:cs="Times New Roman"/>
          <w:lang w:eastAsia="zh-CN"/>
        </w:rPr>
        <w:t>5.1</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eastAsia="zh-CN"/>
        </w:rPr>
        <w:t>综合安全管理单元</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_Toc511 \h </w:instrText>
      </w:r>
      <w:r>
        <w:rPr>
          <w:rFonts w:hint="default" w:ascii="Times New Roman" w:hAnsi="Times New Roman" w:eastAsia="宋体" w:cs="Times New Roman"/>
        </w:rPr>
        <w:fldChar w:fldCharType="separate"/>
      </w:r>
      <w:r>
        <w:rPr>
          <w:rFonts w:hint="default" w:ascii="Times New Roman" w:hAnsi="Times New Roman" w:eastAsia="宋体" w:cs="Times New Roman"/>
        </w:rPr>
        <w:t>45</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22561B1C">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_Toc405 </w:instrText>
      </w:r>
      <w:r>
        <w:rPr>
          <w:rFonts w:hint="default" w:ascii="Times New Roman" w:hAnsi="Times New Roman" w:eastAsia="宋体" w:cs="Times New Roman"/>
        </w:rPr>
        <w:fldChar w:fldCharType="separate"/>
      </w:r>
      <w:r>
        <w:rPr>
          <w:rFonts w:hint="default" w:ascii="Times New Roman" w:hAnsi="Times New Roman" w:eastAsia="宋体" w:cs="Times New Roman"/>
          <w:lang w:eastAsia="zh-CN"/>
        </w:rPr>
        <w:t>5.1.1</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eastAsia="zh-CN"/>
        </w:rPr>
        <w:t>安全检查表评价</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_Toc405 \h </w:instrText>
      </w:r>
      <w:r>
        <w:rPr>
          <w:rFonts w:hint="default" w:ascii="Times New Roman" w:hAnsi="Times New Roman" w:eastAsia="宋体" w:cs="Times New Roman"/>
        </w:rPr>
        <w:fldChar w:fldCharType="separate"/>
      </w:r>
      <w:r>
        <w:rPr>
          <w:rFonts w:hint="default" w:ascii="Times New Roman" w:hAnsi="Times New Roman" w:eastAsia="宋体" w:cs="Times New Roman"/>
        </w:rPr>
        <w:t>45</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0A9C22B7">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_Toc21936 </w:instrText>
      </w:r>
      <w:r>
        <w:rPr>
          <w:rFonts w:hint="default" w:ascii="Times New Roman" w:hAnsi="Times New Roman" w:eastAsia="宋体" w:cs="Times New Roman"/>
        </w:rPr>
        <w:fldChar w:fldCharType="separate"/>
      </w:r>
      <w:r>
        <w:rPr>
          <w:rFonts w:hint="default" w:ascii="Times New Roman" w:hAnsi="Times New Roman" w:eastAsia="宋体" w:cs="Times New Roman"/>
          <w:lang w:eastAsia="zh-CN"/>
        </w:rPr>
        <w:t>5.1.2</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eastAsia="zh-CN"/>
        </w:rPr>
        <w:t>评价单元小结</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_Toc21936 \h </w:instrText>
      </w:r>
      <w:r>
        <w:rPr>
          <w:rFonts w:hint="default" w:ascii="Times New Roman" w:hAnsi="Times New Roman" w:eastAsia="宋体" w:cs="Times New Roman"/>
        </w:rPr>
        <w:fldChar w:fldCharType="separate"/>
      </w:r>
      <w:r>
        <w:rPr>
          <w:rFonts w:hint="default" w:ascii="Times New Roman" w:hAnsi="Times New Roman" w:eastAsia="宋体" w:cs="Times New Roman"/>
        </w:rPr>
        <w:t>47</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2F357459">
      <w:pPr>
        <w:pStyle w:val="16"/>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_Toc633 </w:instrText>
      </w:r>
      <w:r>
        <w:rPr>
          <w:rFonts w:hint="default" w:ascii="Times New Roman" w:hAnsi="Times New Roman" w:eastAsia="宋体" w:cs="Times New Roman"/>
        </w:rPr>
        <w:fldChar w:fldCharType="separate"/>
      </w:r>
      <w:r>
        <w:rPr>
          <w:rFonts w:hint="default" w:ascii="Times New Roman" w:hAnsi="Times New Roman" w:eastAsia="宋体" w:cs="Times New Roman"/>
          <w:lang w:eastAsia="zh-CN"/>
        </w:rPr>
        <w:t>5.2</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eastAsia="zh-CN"/>
        </w:rPr>
        <w:t>尾矿坝体单元</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_Toc633 \h </w:instrText>
      </w:r>
      <w:r>
        <w:rPr>
          <w:rFonts w:hint="default" w:ascii="Times New Roman" w:hAnsi="Times New Roman" w:eastAsia="宋体" w:cs="Times New Roman"/>
        </w:rPr>
        <w:fldChar w:fldCharType="separate"/>
      </w:r>
      <w:r>
        <w:rPr>
          <w:rFonts w:hint="default" w:ascii="Times New Roman" w:hAnsi="Times New Roman" w:eastAsia="宋体" w:cs="Times New Roman"/>
        </w:rPr>
        <w:t>47</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016E4593">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_Toc23489 </w:instrText>
      </w:r>
      <w:r>
        <w:rPr>
          <w:rFonts w:hint="default" w:ascii="Times New Roman" w:hAnsi="Times New Roman" w:eastAsia="宋体" w:cs="Times New Roman"/>
        </w:rPr>
        <w:fldChar w:fldCharType="separate"/>
      </w:r>
      <w:r>
        <w:rPr>
          <w:rFonts w:hint="default" w:ascii="Times New Roman" w:hAnsi="Times New Roman" w:eastAsia="宋体" w:cs="Times New Roman"/>
          <w:lang w:eastAsia="zh-CN"/>
        </w:rPr>
        <w:t>5.2.1</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eastAsia="zh-CN"/>
        </w:rPr>
        <w:t>安全检查表评价</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_Toc23489 \h </w:instrText>
      </w:r>
      <w:r>
        <w:rPr>
          <w:rFonts w:hint="default" w:ascii="Times New Roman" w:hAnsi="Times New Roman" w:eastAsia="宋体" w:cs="Times New Roman"/>
        </w:rPr>
        <w:fldChar w:fldCharType="separate"/>
      </w:r>
      <w:r>
        <w:rPr>
          <w:rFonts w:hint="default" w:ascii="Times New Roman" w:hAnsi="Times New Roman" w:eastAsia="宋体" w:cs="Times New Roman"/>
        </w:rPr>
        <w:t>47</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3CA0B632">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_Toc24626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5.2.2 尾矿坝稳定性分析</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_Toc24626 \h </w:instrText>
      </w:r>
      <w:r>
        <w:rPr>
          <w:rFonts w:hint="default" w:ascii="Times New Roman" w:hAnsi="Times New Roman" w:eastAsia="宋体" w:cs="Times New Roman"/>
        </w:rPr>
        <w:fldChar w:fldCharType="separate"/>
      </w:r>
      <w:r>
        <w:rPr>
          <w:rFonts w:hint="default" w:ascii="Times New Roman" w:hAnsi="Times New Roman" w:eastAsia="宋体" w:cs="Times New Roman"/>
        </w:rPr>
        <w:t>50</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746D3976">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_Toc21619 </w:instrText>
      </w:r>
      <w:r>
        <w:rPr>
          <w:rFonts w:hint="default" w:ascii="Times New Roman" w:hAnsi="Times New Roman" w:eastAsia="宋体" w:cs="Times New Roman"/>
        </w:rPr>
        <w:fldChar w:fldCharType="separate"/>
      </w:r>
      <w:r>
        <w:rPr>
          <w:rFonts w:hint="default" w:ascii="Times New Roman" w:hAnsi="Times New Roman" w:eastAsia="宋体" w:cs="Times New Roman"/>
          <w:lang w:eastAsia="zh-CN"/>
        </w:rPr>
        <w:t>5.2.3</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eastAsia="zh-CN"/>
        </w:rPr>
        <w:t>评价单元小结</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_Toc21619 \h </w:instrText>
      </w:r>
      <w:r>
        <w:rPr>
          <w:rFonts w:hint="default" w:ascii="Times New Roman" w:hAnsi="Times New Roman" w:eastAsia="宋体" w:cs="Times New Roman"/>
        </w:rPr>
        <w:fldChar w:fldCharType="separate"/>
      </w:r>
      <w:r>
        <w:rPr>
          <w:rFonts w:hint="default" w:ascii="Times New Roman" w:hAnsi="Times New Roman" w:eastAsia="宋体" w:cs="Times New Roman"/>
        </w:rPr>
        <w:t>56</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1FE196FD">
      <w:pPr>
        <w:pStyle w:val="16"/>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_Toc7081 </w:instrText>
      </w:r>
      <w:r>
        <w:rPr>
          <w:rFonts w:hint="default" w:ascii="Times New Roman" w:hAnsi="Times New Roman" w:eastAsia="宋体" w:cs="Times New Roman"/>
        </w:rPr>
        <w:fldChar w:fldCharType="separate"/>
      </w:r>
      <w:r>
        <w:rPr>
          <w:rFonts w:hint="default" w:ascii="Times New Roman" w:hAnsi="Times New Roman" w:eastAsia="宋体" w:cs="Times New Roman"/>
          <w:lang w:eastAsia="zh-CN"/>
        </w:rPr>
        <w:t>5.3</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eastAsia="zh-CN"/>
        </w:rPr>
        <w:t>防排洪系统单元</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_Toc7081 \h </w:instrText>
      </w:r>
      <w:r>
        <w:rPr>
          <w:rFonts w:hint="default" w:ascii="Times New Roman" w:hAnsi="Times New Roman" w:eastAsia="宋体" w:cs="Times New Roman"/>
        </w:rPr>
        <w:fldChar w:fldCharType="separate"/>
      </w:r>
      <w:r>
        <w:rPr>
          <w:rFonts w:hint="default" w:ascii="Times New Roman" w:hAnsi="Times New Roman" w:eastAsia="宋体" w:cs="Times New Roman"/>
        </w:rPr>
        <w:t>56</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4CD6E338">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_Toc8204 </w:instrText>
      </w:r>
      <w:r>
        <w:rPr>
          <w:rFonts w:hint="default" w:ascii="Times New Roman" w:hAnsi="Times New Roman" w:eastAsia="宋体" w:cs="Times New Roman"/>
        </w:rPr>
        <w:fldChar w:fldCharType="separate"/>
      </w:r>
      <w:r>
        <w:rPr>
          <w:rFonts w:hint="default" w:ascii="Times New Roman" w:hAnsi="Times New Roman" w:eastAsia="宋体" w:cs="Times New Roman"/>
          <w:lang w:eastAsia="zh-CN"/>
        </w:rPr>
        <w:t>5.3.1</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eastAsia="zh-CN"/>
        </w:rPr>
        <w:t>安全检查表评价</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_Toc8204 \h </w:instrText>
      </w:r>
      <w:r>
        <w:rPr>
          <w:rFonts w:hint="default" w:ascii="Times New Roman" w:hAnsi="Times New Roman" w:eastAsia="宋体" w:cs="Times New Roman"/>
        </w:rPr>
        <w:fldChar w:fldCharType="separate"/>
      </w:r>
      <w:r>
        <w:rPr>
          <w:rFonts w:hint="default" w:ascii="Times New Roman" w:hAnsi="Times New Roman" w:eastAsia="宋体" w:cs="Times New Roman"/>
        </w:rPr>
        <w:t>56</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71767D62">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_Toc29442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5.3.2 尾矿库调洪演算</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_Toc29442 \h </w:instrText>
      </w:r>
      <w:r>
        <w:rPr>
          <w:rFonts w:hint="default" w:ascii="Times New Roman" w:hAnsi="Times New Roman" w:eastAsia="宋体" w:cs="Times New Roman"/>
        </w:rPr>
        <w:fldChar w:fldCharType="separate"/>
      </w:r>
      <w:r>
        <w:rPr>
          <w:rFonts w:hint="default" w:ascii="Times New Roman" w:hAnsi="Times New Roman" w:eastAsia="宋体" w:cs="Times New Roman"/>
        </w:rPr>
        <w:t>57</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09A5C5D5">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_Toc20276 </w:instrText>
      </w:r>
      <w:r>
        <w:rPr>
          <w:rFonts w:hint="default" w:ascii="Times New Roman" w:hAnsi="Times New Roman" w:eastAsia="宋体" w:cs="Times New Roman"/>
        </w:rPr>
        <w:fldChar w:fldCharType="separate"/>
      </w:r>
      <w:r>
        <w:rPr>
          <w:rFonts w:hint="default" w:ascii="Times New Roman" w:hAnsi="Times New Roman" w:eastAsia="宋体" w:cs="Times New Roman"/>
          <w:kern w:val="2"/>
          <w:szCs w:val="24"/>
          <w:lang w:val="en-US" w:eastAsia="zh-CN" w:bidi="ar-SA"/>
        </w:rPr>
        <w:t>5.3.3 评价单元小结</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_Toc20276 \h </w:instrText>
      </w:r>
      <w:r>
        <w:rPr>
          <w:rFonts w:hint="default" w:ascii="Times New Roman" w:hAnsi="Times New Roman" w:eastAsia="宋体" w:cs="Times New Roman"/>
        </w:rPr>
        <w:fldChar w:fldCharType="separate"/>
      </w:r>
      <w:r>
        <w:rPr>
          <w:rFonts w:hint="default" w:ascii="Times New Roman" w:hAnsi="Times New Roman" w:eastAsia="宋体" w:cs="Times New Roman"/>
        </w:rPr>
        <w:t>63</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5749F844">
      <w:pPr>
        <w:pStyle w:val="16"/>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_Toc6929 </w:instrText>
      </w:r>
      <w:r>
        <w:rPr>
          <w:rFonts w:hint="default" w:ascii="Times New Roman" w:hAnsi="Times New Roman" w:eastAsia="宋体" w:cs="Times New Roman"/>
        </w:rPr>
        <w:fldChar w:fldCharType="separate"/>
      </w:r>
      <w:r>
        <w:rPr>
          <w:rFonts w:hint="default" w:ascii="Times New Roman" w:hAnsi="Times New Roman" w:eastAsia="宋体" w:cs="Times New Roman"/>
          <w:kern w:val="2"/>
          <w:szCs w:val="24"/>
          <w:lang w:val="en-US" w:eastAsia="zh-CN" w:bidi="ar-SA"/>
        </w:rPr>
        <w:t>5.4 安全监测设施单元</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_Toc6929 \h </w:instrText>
      </w:r>
      <w:r>
        <w:rPr>
          <w:rFonts w:hint="default" w:ascii="Times New Roman" w:hAnsi="Times New Roman" w:eastAsia="宋体" w:cs="Times New Roman"/>
        </w:rPr>
        <w:fldChar w:fldCharType="separate"/>
      </w:r>
      <w:r>
        <w:rPr>
          <w:rFonts w:hint="default" w:ascii="Times New Roman" w:hAnsi="Times New Roman" w:eastAsia="宋体" w:cs="Times New Roman"/>
        </w:rPr>
        <w:t>64</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0B6F5D96">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_Toc14096 </w:instrText>
      </w:r>
      <w:r>
        <w:rPr>
          <w:rFonts w:hint="default" w:ascii="Times New Roman" w:hAnsi="Times New Roman" w:eastAsia="宋体" w:cs="Times New Roman"/>
        </w:rPr>
        <w:fldChar w:fldCharType="separate"/>
      </w:r>
      <w:r>
        <w:rPr>
          <w:rFonts w:hint="default" w:ascii="Times New Roman" w:hAnsi="Times New Roman" w:eastAsia="宋体" w:cs="Times New Roman"/>
          <w:kern w:val="2"/>
          <w:szCs w:val="24"/>
          <w:lang w:val="en-US" w:eastAsia="zh-CN" w:bidi="ar-SA"/>
        </w:rPr>
        <w:t>5.4.1 安全检查法评价</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_Toc14096 \h </w:instrText>
      </w:r>
      <w:r>
        <w:rPr>
          <w:rFonts w:hint="default" w:ascii="Times New Roman" w:hAnsi="Times New Roman" w:eastAsia="宋体" w:cs="Times New Roman"/>
        </w:rPr>
        <w:fldChar w:fldCharType="separate"/>
      </w:r>
      <w:r>
        <w:rPr>
          <w:rFonts w:hint="default" w:ascii="Times New Roman" w:hAnsi="Times New Roman" w:eastAsia="宋体" w:cs="Times New Roman"/>
        </w:rPr>
        <w:t>64</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728F2204">
      <w:pPr>
        <w:pStyle w:val="16"/>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_Toc16771 </w:instrText>
      </w:r>
      <w:r>
        <w:rPr>
          <w:rFonts w:hint="default" w:ascii="Times New Roman" w:hAnsi="Times New Roman" w:eastAsia="宋体" w:cs="Times New Roman"/>
        </w:rPr>
        <w:fldChar w:fldCharType="separate"/>
      </w:r>
      <w:r>
        <w:rPr>
          <w:rFonts w:hint="default" w:ascii="Times New Roman" w:hAnsi="Times New Roman" w:eastAsia="宋体" w:cs="Times New Roman"/>
          <w:kern w:val="2"/>
          <w:szCs w:val="24"/>
          <w:lang w:val="en-US" w:eastAsia="zh-CN" w:bidi="ar-SA"/>
        </w:rPr>
        <w:t>5.5 库区环境单元</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_Toc16771 \h </w:instrText>
      </w:r>
      <w:r>
        <w:rPr>
          <w:rFonts w:hint="default" w:ascii="Times New Roman" w:hAnsi="Times New Roman" w:eastAsia="宋体" w:cs="Times New Roman"/>
        </w:rPr>
        <w:fldChar w:fldCharType="separate"/>
      </w:r>
      <w:r>
        <w:rPr>
          <w:rFonts w:hint="default" w:ascii="Times New Roman" w:hAnsi="Times New Roman" w:eastAsia="宋体" w:cs="Times New Roman"/>
        </w:rPr>
        <w:t>64</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2F3B1E38">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_Toc12107 </w:instrText>
      </w:r>
      <w:r>
        <w:rPr>
          <w:rFonts w:hint="default" w:ascii="Times New Roman" w:hAnsi="Times New Roman" w:eastAsia="宋体" w:cs="Times New Roman"/>
        </w:rPr>
        <w:fldChar w:fldCharType="separate"/>
      </w:r>
      <w:r>
        <w:rPr>
          <w:rFonts w:hint="default" w:ascii="Times New Roman" w:hAnsi="Times New Roman" w:eastAsia="宋体" w:cs="Times New Roman"/>
          <w:kern w:val="2"/>
          <w:szCs w:val="24"/>
          <w:lang w:val="en-US" w:eastAsia="zh-CN" w:bidi="ar-SA"/>
        </w:rPr>
        <w:t>5.5.1 安全检查表评价</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_Toc12107 \h </w:instrText>
      </w:r>
      <w:r>
        <w:rPr>
          <w:rFonts w:hint="default" w:ascii="Times New Roman" w:hAnsi="Times New Roman" w:eastAsia="宋体" w:cs="Times New Roman"/>
        </w:rPr>
        <w:fldChar w:fldCharType="separate"/>
      </w:r>
      <w:r>
        <w:rPr>
          <w:rFonts w:hint="default" w:ascii="Times New Roman" w:hAnsi="Times New Roman" w:eastAsia="宋体" w:cs="Times New Roman"/>
        </w:rPr>
        <w:t>64</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33B211CD">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_Toc1340 </w:instrText>
      </w:r>
      <w:r>
        <w:rPr>
          <w:rFonts w:hint="default" w:ascii="Times New Roman" w:hAnsi="Times New Roman" w:eastAsia="宋体" w:cs="Times New Roman"/>
        </w:rPr>
        <w:fldChar w:fldCharType="separate"/>
      </w:r>
      <w:r>
        <w:rPr>
          <w:rFonts w:hint="default" w:ascii="Times New Roman" w:hAnsi="Times New Roman" w:eastAsia="宋体" w:cs="Times New Roman"/>
          <w:kern w:val="2"/>
          <w:szCs w:val="24"/>
          <w:lang w:val="en-US" w:eastAsia="zh-CN" w:bidi="ar-SA"/>
        </w:rPr>
        <w:t>5.5.2 评价单元小结</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_Toc1340 \h </w:instrText>
      </w:r>
      <w:r>
        <w:rPr>
          <w:rFonts w:hint="default" w:ascii="Times New Roman" w:hAnsi="Times New Roman" w:eastAsia="宋体" w:cs="Times New Roman"/>
        </w:rPr>
        <w:fldChar w:fldCharType="separate"/>
      </w:r>
      <w:r>
        <w:rPr>
          <w:rFonts w:hint="default" w:ascii="Times New Roman" w:hAnsi="Times New Roman" w:eastAsia="宋体" w:cs="Times New Roman"/>
        </w:rPr>
        <w:t>65</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315AE962">
      <w:pPr>
        <w:pStyle w:val="16"/>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_Toc4475 </w:instrText>
      </w:r>
      <w:r>
        <w:rPr>
          <w:rFonts w:hint="default" w:ascii="Times New Roman" w:hAnsi="Times New Roman" w:eastAsia="宋体" w:cs="Times New Roman"/>
        </w:rPr>
        <w:fldChar w:fldCharType="separate"/>
      </w:r>
      <w:r>
        <w:rPr>
          <w:rFonts w:hint="default" w:ascii="Times New Roman" w:hAnsi="Times New Roman" w:eastAsia="宋体" w:cs="Times New Roman"/>
          <w:kern w:val="2"/>
          <w:szCs w:val="24"/>
          <w:lang w:val="en-US" w:eastAsia="zh-CN" w:bidi="ar-SA"/>
        </w:rPr>
        <w:t>5.6 辅助设施单元</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_Toc4475 \h </w:instrText>
      </w:r>
      <w:r>
        <w:rPr>
          <w:rFonts w:hint="default" w:ascii="Times New Roman" w:hAnsi="Times New Roman" w:eastAsia="宋体" w:cs="Times New Roman"/>
        </w:rPr>
        <w:fldChar w:fldCharType="separate"/>
      </w:r>
      <w:r>
        <w:rPr>
          <w:rFonts w:hint="default" w:ascii="Times New Roman" w:hAnsi="Times New Roman" w:eastAsia="宋体" w:cs="Times New Roman"/>
        </w:rPr>
        <w:t>65</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24A3BFEC">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_Toc16059 </w:instrText>
      </w:r>
      <w:r>
        <w:rPr>
          <w:rFonts w:hint="default" w:ascii="Times New Roman" w:hAnsi="Times New Roman" w:eastAsia="宋体" w:cs="Times New Roman"/>
        </w:rPr>
        <w:fldChar w:fldCharType="separate"/>
      </w:r>
      <w:r>
        <w:rPr>
          <w:rFonts w:hint="default" w:ascii="Times New Roman" w:hAnsi="Times New Roman" w:eastAsia="宋体" w:cs="Times New Roman"/>
          <w:kern w:val="2"/>
          <w:szCs w:val="24"/>
          <w:lang w:val="en-US" w:eastAsia="zh-CN" w:bidi="ar-SA"/>
        </w:rPr>
        <w:t>5.6.1 安全检查法评价</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_Toc16059 \h </w:instrText>
      </w:r>
      <w:r>
        <w:rPr>
          <w:rFonts w:hint="default" w:ascii="Times New Roman" w:hAnsi="Times New Roman" w:eastAsia="宋体" w:cs="Times New Roman"/>
        </w:rPr>
        <w:fldChar w:fldCharType="separate"/>
      </w:r>
      <w:r>
        <w:rPr>
          <w:rFonts w:hint="default" w:ascii="Times New Roman" w:hAnsi="Times New Roman" w:eastAsia="宋体" w:cs="Times New Roman"/>
        </w:rPr>
        <w:t>65</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5D5BDFBB">
      <w:pPr>
        <w:pStyle w:val="16"/>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_Toc3191 </w:instrText>
      </w:r>
      <w:r>
        <w:rPr>
          <w:rFonts w:hint="default" w:ascii="Times New Roman" w:hAnsi="Times New Roman" w:eastAsia="宋体" w:cs="Times New Roman"/>
        </w:rPr>
        <w:fldChar w:fldCharType="separate"/>
      </w:r>
      <w:r>
        <w:rPr>
          <w:rFonts w:hint="default" w:ascii="Times New Roman" w:hAnsi="Times New Roman" w:eastAsia="宋体" w:cs="Times New Roman"/>
          <w:kern w:val="2"/>
          <w:szCs w:val="24"/>
          <w:lang w:val="en-US" w:eastAsia="zh-CN" w:bidi="ar-SA"/>
        </w:rPr>
        <w:t>5.7 综合安全评价</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_Toc3191 \h </w:instrText>
      </w:r>
      <w:r>
        <w:rPr>
          <w:rFonts w:hint="default" w:ascii="Times New Roman" w:hAnsi="Times New Roman" w:eastAsia="宋体" w:cs="Times New Roman"/>
        </w:rPr>
        <w:fldChar w:fldCharType="separate"/>
      </w:r>
      <w:r>
        <w:rPr>
          <w:rFonts w:hint="default" w:ascii="Times New Roman" w:hAnsi="Times New Roman" w:eastAsia="宋体" w:cs="Times New Roman"/>
        </w:rPr>
        <w:t>66</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7BECCF80">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_Toc128 </w:instrText>
      </w:r>
      <w:r>
        <w:rPr>
          <w:rFonts w:hint="default" w:ascii="Times New Roman" w:hAnsi="Times New Roman" w:eastAsia="宋体" w:cs="Times New Roman"/>
        </w:rPr>
        <w:fldChar w:fldCharType="separate"/>
      </w:r>
      <w:r>
        <w:rPr>
          <w:rFonts w:hint="default" w:ascii="Times New Roman" w:hAnsi="Times New Roman" w:eastAsia="宋体" w:cs="Times New Roman"/>
          <w:kern w:val="2"/>
          <w:szCs w:val="24"/>
          <w:lang w:val="en-US" w:eastAsia="zh-CN" w:bidi="ar-SA"/>
        </w:rPr>
        <w:t>5.7.1 概述</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_Toc128 \h </w:instrText>
      </w:r>
      <w:r>
        <w:rPr>
          <w:rFonts w:hint="default" w:ascii="Times New Roman" w:hAnsi="Times New Roman" w:eastAsia="宋体" w:cs="Times New Roman"/>
        </w:rPr>
        <w:fldChar w:fldCharType="separate"/>
      </w:r>
      <w:r>
        <w:rPr>
          <w:rFonts w:hint="default" w:ascii="Times New Roman" w:hAnsi="Times New Roman" w:eastAsia="宋体" w:cs="Times New Roman"/>
        </w:rPr>
        <w:t>66</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076A7984">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_Toc13213 </w:instrText>
      </w:r>
      <w:r>
        <w:rPr>
          <w:rFonts w:hint="default" w:ascii="Times New Roman" w:hAnsi="Times New Roman" w:eastAsia="宋体" w:cs="Times New Roman"/>
        </w:rPr>
        <w:fldChar w:fldCharType="separate"/>
      </w:r>
      <w:r>
        <w:rPr>
          <w:rFonts w:hint="default" w:ascii="Times New Roman" w:hAnsi="Times New Roman" w:eastAsia="宋体" w:cs="Times New Roman"/>
          <w:kern w:val="2"/>
          <w:szCs w:val="24"/>
          <w:lang w:val="en-US" w:eastAsia="zh-CN" w:bidi="ar-SA"/>
        </w:rPr>
        <w:t>5.7.2 评价标准说明</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_Toc13213 \h </w:instrText>
      </w:r>
      <w:r>
        <w:rPr>
          <w:rFonts w:hint="default" w:ascii="Times New Roman" w:hAnsi="Times New Roman" w:eastAsia="宋体" w:cs="Times New Roman"/>
        </w:rPr>
        <w:fldChar w:fldCharType="separate"/>
      </w:r>
      <w:r>
        <w:rPr>
          <w:rFonts w:hint="default" w:ascii="Times New Roman" w:hAnsi="Times New Roman" w:eastAsia="宋体" w:cs="Times New Roman"/>
        </w:rPr>
        <w:t>66</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56279AC2">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_Toc14284 </w:instrText>
      </w:r>
      <w:r>
        <w:rPr>
          <w:rFonts w:hint="default" w:ascii="Times New Roman" w:hAnsi="Times New Roman" w:eastAsia="宋体" w:cs="Times New Roman"/>
        </w:rPr>
        <w:fldChar w:fldCharType="separate"/>
      </w:r>
      <w:r>
        <w:rPr>
          <w:rFonts w:hint="default" w:ascii="Times New Roman" w:hAnsi="Times New Roman" w:eastAsia="宋体" w:cs="Times New Roman"/>
          <w:kern w:val="2"/>
          <w:szCs w:val="24"/>
          <w:lang w:val="en-US" w:eastAsia="zh-CN" w:bidi="ar-SA"/>
        </w:rPr>
        <w:t>5.7.3 尾矿库综合评分表</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_Toc14284 \h </w:instrText>
      </w:r>
      <w:r>
        <w:rPr>
          <w:rFonts w:hint="default" w:ascii="Times New Roman" w:hAnsi="Times New Roman" w:eastAsia="宋体" w:cs="Times New Roman"/>
        </w:rPr>
        <w:fldChar w:fldCharType="separate"/>
      </w:r>
      <w:r>
        <w:rPr>
          <w:rFonts w:hint="default" w:ascii="Times New Roman" w:hAnsi="Times New Roman" w:eastAsia="宋体" w:cs="Times New Roman"/>
        </w:rPr>
        <w:t>67</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799D521E">
      <w:pPr>
        <w:pStyle w:val="11"/>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_Toc12575 </w:instrText>
      </w:r>
      <w:r>
        <w:rPr>
          <w:rFonts w:hint="default" w:ascii="Times New Roman" w:hAnsi="Times New Roman" w:eastAsia="宋体" w:cs="Times New Roman"/>
        </w:rPr>
        <w:fldChar w:fldCharType="separate"/>
      </w:r>
      <w:r>
        <w:rPr>
          <w:rFonts w:hint="default" w:ascii="Times New Roman" w:hAnsi="Times New Roman" w:eastAsia="宋体" w:cs="Times New Roman"/>
          <w:kern w:val="2"/>
          <w:szCs w:val="24"/>
          <w:lang w:val="en-US" w:eastAsia="zh-CN" w:bidi="ar-SA"/>
        </w:rPr>
        <w:t>5.7.4 评价结论</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_Toc12575 \h </w:instrText>
      </w:r>
      <w:r>
        <w:rPr>
          <w:rFonts w:hint="default" w:ascii="Times New Roman" w:hAnsi="Times New Roman" w:eastAsia="宋体" w:cs="Times New Roman"/>
        </w:rPr>
        <w:fldChar w:fldCharType="separate"/>
      </w:r>
      <w:r>
        <w:rPr>
          <w:rFonts w:hint="default" w:ascii="Times New Roman" w:hAnsi="Times New Roman" w:eastAsia="宋体" w:cs="Times New Roman"/>
        </w:rPr>
        <w:t>67</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7F5C15B7">
      <w:pPr>
        <w:pStyle w:val="15"/>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_Toc22577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6. 安全对策措施建议</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_Toc22577 \h </w:instrText>
      </w:r>
      <w:r>
        <w:rPr>
          <w:rFonts w:hint="default" w:ascii="Times New Roman" w:hAnsi="Times New Roman" w:eastAsia="宋体" w:cs="Times New Roman"/>
        </w:rPr>
        <w:fldChar w:fldCharType="separate"/>
      </w:r>
      <w:r>
        <w:rPr>
          <w:rFonts w:hint="default" w:ascii="Times New Roman" w:hAnsi="Times New Roman" w:eastAsia="宋体" w:cs="Times New Roman"/>
        </w:rPr>
        <w:t>68</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119D9858">
      <w:pPr>
        <w:pStyle w:val="16"/>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_Toc31689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6.1 安全管理对策措施建议</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_Toc31689 \h </w:instrText>
      </w:r>
      <w:r>
        <w:rPr>
          <w:rFonts w:hint="default" w:ascii="Times New Roman" w:hAnsi="Times New Roman" w:eastAsia="宋体" w:cs="Times New Roman"/>
        </w:rPr>
        <w:fldChar w:fldCharType="separate"/>
      </w:r>
      <w:r>
        <w:rPr>
          <w:rFonts w:hint="default" w:ascii="Times New Roman" w:hAnsi="Times New Roman" w:eastAsia="宋体" w:cs="Times New Roman"/>
        </w:rPr>
        <w:t>68</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4033840F">
      <w:pPr>
        <w:pStyle w:val="16"/>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_Toc4297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6.2 安全技术对策措施建议</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_Toc4297 \h </w:instrText>
      </w:r>
      <w:r>
        <w:rPr>
          <w:rFonts w:hint="default" w:ascii="Times New Roman" w:hAnsi="Times New Roman" w:eastAsia="宋体" w:cs="Times New Roman"/>
        </w:rPr>
        <w:fldChar w:fldCharType="separate"/>
      </w:r>
      <w:r>
        <w:rPr>
          <w:rFonts w:hint="default" w:ascii="Times New Roman" w:hAnsi="Times New Roman" w:eastAsia="宋体" w:cs="Times New Roman"/>
        </w:rPr>
        <w:t>68</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4FE233D5">
      <w:pPr>
        <w:pStyle w:val="15"/>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_Toc13278 </w:instrText>
      </w:r>
      <w:r>
        <w:rPr>
          <w:rFonts w:hint="default" w:ascii="Times New Roman" w:hAnsi="Times New Roman" w:eastAsia="宋体" w:cs="Times New Roman"/>
        </w:rPr>
        <w:fldChar w:fldCharType="separate"/>
      </w:r>
      <w:r>
        <w:rPr>
          <w:rFonts w:hint="default" w:ascii="Times New Roman" w:hAnsi="Times New Roman" w:eastAsia="宋体" w:cs="Times New Roman"/>
          <w:kern w:val="44"/>
          <w:szCs w:val="24"/>
          <w:lang w:val="en-US" w:eastAsia="zh-CN" w:bidi="ar-SA"/>
        </w:rPr>
        <w:t>7. 安全评价结论</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_Toc13278 \h </w:instrText>
      </w:r>
      <w:r>
        <w:rPr>
          <w:rFonts w:hint="default" w:ascii="Times New Roman" w:hAnsi="Times New Roman" w:eastAsia="宋体" w:cs="Times New Roman"/>
        </w:rPr>
        <w:fldChar w:fldCharType="separate"/>
      </w:r>
      <w:r>
        <w:rPr>
          <w:rFonts w:hint="default" w:ascii="Times New Roman" w:hAnsi="Times New Roman" w:eastAsia="宋体" w:cs="Times New Roman"/>
        </w:rPr>
        <w:t>70</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5C306D0C">
      <w:pPr>
        <w:pStyle w:val="15"/>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_Toc16404 </w:instrText>
      </w:r>
      <w:r>
        <w:rPr>
          <w:rFonts w:hint="default" w:ascii="Times New Roman" w:hAnsi="Times New Roman" w:eastAsia="宋体" w:cs="Times New Roman"/>
        </w:rPr>
        <w:fldChar w:fldCharType="separate"/>
      </w:r>
      <w:r>
        <w:rPr>
          <w:rFonts w:hint="default" w:ascii="Times New Roman" w:hAnsi="Times New Roman" w:eastAsia="宋体" w:cs="Times New Roman"/>
          <w:kern w:val="44"/>
          <w:szCs w:val="24"/>
          <w:lang w:val="en-US" w:eastAsia="zh-CN" w:bidi="ar-SA"/>
        </w:rPr>
        <w:t>8. 附图附件</w:t>
      </w:r>
      <w:r>
        <w:rPr>
          <w:rFonts w:hint="default" w:ascii="Times New Roman" w:hAnsi="Times New Roman" w:eastAsia="宋体" w:cs="Times New Roman"/>
        </w:rPr>
        <w:tab/>
      </w:r>
      <w:bookmarkStart w:id="641" w:name="_GoBack"/>
      <w:bookmarkEnd w:id="641"/>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_Toc16404 \h </w:instrText>
      </w:r>
      <w:r>
        <w:rPr>
          <w:rFonts w:hint="default" w:ascii="Times New Roman" w:hAnsi="Times New Roman" w:eastAsia="宋体" w:cs="Times New Roman"/>
        </w:rPr>
        <w:fldChar w:fldCharType="separate"/>
      </w:r>
      <w:r>
        <w:rPr>
          <w:rFonts w:hint="default" w:ascii="Times New Roman" w:hAnsi="Times New Roman" w:eastAsia="宋体" w:cs="Times New Roman"/>
        </w:rPr>
        <w:t>72</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76A7F88A">
      <w:pPr>
        <w:pStyle w:val="16"/>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_Toc10239 </w:instrText>
      </w:r>
      <w:r>
        <w:rPr>
          <w:rFonts w:hint="default" w:ascii="Times New Roman" w:hAnsi="Times New Roman" w:eastAsia="宋体" w:cs="Times New Roman"/>
        </w:rPr>
        <w:fldChar w:fldCharType="separate"/>
      </w:r>
      <w:r>
        <w:rPr>
          <w:rFonts w:hint="default" w:ascii="Times New Roman" w:hAnsi="Times New Roman" w:eastAsia="宋体" w:cs="Times New Roman"/>
          <w:kern w:val="2"/>
          <w:szCs w:val="24"/>
          <w:lang w:val="en-US" w:eastAsia="zh-CN" w:bidi="ar-SA"/>
        </w:rPr>
        <w:t>8.1 附图</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_Toc10239 \h </w:instrText>
      </w:r>
      <w:r>
        <w:rPr>
          <w:rFonts w:hint="default" w:ascii="Times New Roman" w:hAnsi="Times New Roman" w:eastAsia="宋体" w:cs="Times New Roman"/>
        </w:rPr>
        <w:fldChar w:fldCharType="separate"/>
      </w:r>
      <w:r>
        <w:rPr>
          <w:rFonts w:hint="default" w:ascii="Times New Roman" w:hAnsi="Times New Roman" w:eastAsia="宋体" w:cs="Times New Roman"/>
        </w:rPr>
        <w:t>72</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601EC76B">
      <w:pPr>
        <w:pStyle w:val="16"/>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_Toc17352 </w:instrText>
      </w:r>
      <w:r>
        <w:rPr>
          <w:rFonts w:hint="default" w:ascii="Times New Roman" w:hAnsi="Times New Roman" w:eastAsia="宋体" w:cs="Times New Roman"/>
        </w:rPr>
        <w:fldChar w:fldCharType="separate"/>
      </w:r>
      <w:r>
        <w:rPr>
          <w:rFonts w:hint="default" w:ascii="Times New Roman" w:hAnsi="Times New Roman" w:eastAsia="宋体" w:cs="Times New Roman"/>
          <w:kern w:val="2"/>
          <w:szCs w:val="24"/>
          <w:lang w:val="en-US" w:eastAsia="zh-CN" w:bidi="ar-SA"/>
        </w:rPr>
        <w:t>8.2 附件</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_Toc17352 \h </w:instrText>
      </w:r>
      <w:r>
        <w:rPr>
          <w:rFonts w:hint="default" w:ascii="Times New Roman" w:hAnsi="Times New Roman" w:eastAsia="宋体" w:cs="Times New Roman"/>
        </w:rPr>
        <w:fldChar w:fldCharType="separate"/>
      </w:r>
      <w:r>
        <w:rPr>
          <w:rFonts w:hint="default" w:ascii="Times New Roman" w:hAnsi="Times New Roman" w:eastAsia="宋体" w:cs="Times New Roman"/>
        </w:rPr>
        <w:t>72</w:t>
      </w:r>
      <w:r>
        <w:rPr>
          <w:rFonts w:hint="default" w:ascii="Times New Roman" w:hAnsi="Times New Roman" w:eastAsia="宋体" w:cs="Times New Roman"/>
        </w:rPr>
        <w:fldChar w:fldCharType="end"/>
      </w:r>
      <w:r>
        <w:rPr>
          <w:rFonts w:hint="default" w:ascii="Times New Roman" w:hAnsi="Times New Roman" w:eastAsia="宋体" w:cs="Times New Roman"/>
          <w:color w:val="auto"/>
        </w:rPr>
        <w:fldChar w:fldCharType="end"/>
      </w:r>
    </w:p>
    <w:p w14:paraId="0340458F">
      <w:pPr>
        <w:rPr>
          <w:rFonts w:hint="default"/>
        </w:rPr>
      </w:pPr>
    </w:p>
    <w:p w14:paraId="647FC42F">
      <w:pPr>
        <w:keepNext w:val="0"/>
        <w:keepLines w:val="0"/>
        <w:pageBreakBefore w:val="0"/>
        <w:widowControl w:val="0"/>
        <w:kinsoku/>
        <w:wordWrap/>
        <w:overflowPunct/>
        <w:topLinePunct w:val="0"/>
        <w:autoSpaceDE/>
        <w:autoSpaceDN/>
        <w:bidi w:val="0"/>
        <w:adjustRightInd/>
        <w:snapToGrid/>
        <w:spacing w:line="300" w:lineRule="auto"/>
        <w:textAlignment w:val="auto"/>
        <w:rPr>
          <w:color w:val="auto"/>
        </w:rPr>
      </w:pPr>
      <w:r>
        <w:rPr>
          <w:rFonts w:hint="default" w:ascii="Times New Roman" w:hAnsi="Times New Roman" w:eastAsia="宋体" w:cs="Times New Roman"/>
          <w:color w:val="auto"/>
        </w:rPr>
        <w:fldChar w:fldCharType="end"/>
      </w:r>
      <w:r>
        <w:rPr>
          <w:color w:val="auto"/>
        </w:rPr>
        <w:br w:type="page"/>
      </w:r>
    </w:p>
    <w:p w14:paraId="5A58A2C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b/>
          <w:bCs/>
          <w:color w:val="auto"/>
          <w:sz w:val="32"/>
          <w:szCs w:val="32"/>
          <w:lang w:eastAsia="zh-CN"/>
        </w:rPr>
        <w:sectPr>
          <w:headerReference r:id="rId5" w:type="default"/>
          <w:footerReference r:id="rId6" w:type="default"/>
          <w:pgSz w:w="11906" w:h="16839"/>
          <w:pgMar w:top="1417" w:right="1417" w:bottom="1417" w:left="1417" w:header="850" w:footer="992" w:gutter="0"/>
          <w:pgNumType w:fmt="upperRoman" w:start="1"/>
          <w:cols w:space="425" w:num="1"/>
          <w:rtlGutter w:val="0"/>
          <w:docGrid w:linePitch="312" w:charSpace="0"/>
        </w:sectPr>
      </w:pPr>
    </w:p>
    <w:p w14:paraId="01B68DA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b/>
          <w:bCs/>
          <w:color w:val="auto"/>
          <w:sz w:val="32"/>
          <w:szCs w:val="32"/>
        </w:rPr>
      </w:pPr>
      <w:r>
        <w:rPr>
          <w:rFonts w:hint="eastAsia" w:ascii="宋体" w:hAnsi="宋体"/>
          <w:b/>
          <w:bCs/>
          <w:color w:val="auto"/>
          <w:sz w:val="32"/>
          <w:szCs w:val="32"/>
        </w:rPr>
        <w:t>江西三和金业有限公司</w:t>
      </w:r>
    </w:p>
    <w:p w14:paraId="3690B80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b/>
          <w:bCs/>
          <w:color w:val="auto"/>
          <w:sz w:val="32"/>
          <w:szCs w:val="32"/>
        </w:rPr>
      </w:pPr>
      <w:r>
        <w:rPr>
          <w:rFonts w:hint="eastAsia" w:ascii="宋体" w:hAnsi="宋体"/>
          <w:b/>
          <w:bCs/>
          <w:color w:val="auto"/>
          <w:sz w:val="32"/>
          <w:szCs w:val="32"/>
        </w:rPr>
        <w:t>三号（氰化渣）尾矿库</w:t>
      </w:r>
    </w:p>
    <w:p w14:paraId="0924687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b/>
          <w:bCs/>
          <w:color w:val="auto"/>
          <w:sz w:val="32"/>
          <w:szCs w:val="32"/>
        </w:rPr>
      </w:pPr>
      <w:r>
        <w:rPr>
          <w:rFonts w:hint="eastAsia" w:ascii="宋体" w:hAnsi="宋体"/>
          <w:b/>
          <w:bCs/>
          <w:color w:val="auto"/>
          <w:sz w:val="32"/>
          <w:szCs w:val="32"/>
        </w:rPr>
        <w:t>安全现状评价报告</w:t>
      </w:r>
    </w:p>
    <w:p w14:paraId="456666A9">
      <w:pPr>
        <w:pStyle w:val="2"/>
        <w:numPr>
          <w:ilvl w:val="0"/>
          <w:numId w:val="1"/>
        </w:numPr>
        <w:bidi w:val="0"/>
        <w:ind w:left="0" w:leftChars="0" w:firstLine="0" w:firstLineChars="0"/>
        <w:rPr>
          <w:rFonts w:hint="eastAsia"/>
          <w:color w:val="auto"/>
        </w:rPr>
      </w:pPr>
      <w:bookmarkStart w:id="0" w:name="_Toc15982"/>
      <w:bookmarkStart w:id="1" w:name="_Toc17873"/>
      <w:bookmarkStart w:id="2" w:name="_Toc3451"/>
      <w:bookmarkStart w:id="3" w:name="_Toc18615"/>
      <w:bookmarkStart w:id="4" w:name="_Toc26295"/>
      <w:bookmarkStart w:id="5" w:name="_Toc21449"/>
      <w:bookmarkStart w:id="6" w:name="_Toc4742"/>
      <w:bookmarkStart w:id="7" w:name="_Toc57620327"/>
      <w:r>
        <w:rPr>
          <w:rFonts w:hint="eastAsia"/>
          <w:color w:val="auto"/>
        </w:rPr>
        <w:t>概述</w:t>
      </w:r>
      <w:bookmarkEnd w:id="0"/>
      <w:bookmarkEnd w:id="1"/>
      <w:bookmarkEnd w:id="2"/>
      <w:bookmarkEnd w:id="3"/>
      <w:bookmarkEnd w:id="4"/>
      <w:bookmarkEnd w:id="5"/>
      <w:bookmarkEnd w:id="6"/>
      <w:bookmarkEnd w:id="7"/>
    </w:p>
    <w:p w14:paraId="2A02EB2B">
      <w:pPr>
        <w:pStyle w:val="3"/>
        <w:bidi w:val="0"/>
        <w:rPr>
          <w:rFonts w:hint="eastAsia"/>
          <w:color w:val="auto"/>
        </w:rPr>
      </w:pPr>
      <w:bookmarkStart w:id="8" w:name="_Toc5933"/>
      <w:bookmarkStart w:id="9" w:name="_Toc21198"/>
      <w:bookmarkStart w:id="10" w:name="_Toc28456"/>
      <w:bookmarkStart w:id="11" w:name="_Toc21858"/>
      <w:bookmarkStart w:id="12" w:name="_Toc29807"/>
      <w:bookmarkStart w:id="13" w:name="_Toc13613"/>
      <w:r>
        <w:rPr>
          <w:rFonts w:hint="eastAsia"/>
          <w:color w:val="auto"/>
        </w:rPr>
        <w:t>1.1</w:t>
      </w:r>
      <w:r>
        <w:rPr>
          <w:rFonts w:hint="eastAsia"/>
          <w:color w:val="auto"/>
          <w:lang w:val="en-US" w:eastAsia="zh-CN"/>
        </w:rPr>
        <w:t xml:space="preserve"> </w:t>
      </w:r>
      <w:r>
        <w:rPr>
          <w:rFonts w:hint="eastAsia"/>
          <w:color w:val="auto"/>
        </w:rPr>
        <w:t>评价目的和原则</w:t>
      </w:r>
      <w:bookmarkEnd w:id="8"/>
      <w:bookmarkEnd w:id="9"/>
      <w:bookmarkEnd w:id="10"/>
      <w:bookmarkEnd w:id="11"/>
      <w:bookmarkEnd w:id="12"/>
      <w:bookmarkEnd w:id="13"/>
    </w:p>
    <w:p w14:paraId="13CC5B72">
      <w:pPr>
        <w:pStyle w:val="4"/>
        <w:bidi w:val="0"/>
        <w:rPr>
          <w:rFonts w:hint="eastAsia"/>
          <w:color w:val="auto"/>
        </w:rPr>
      </w:pPr>
      <w:bookmarkStart w:id="14" w:name="_Toc9539"/>
      <w:bookmarkStart w:id="15" w:name="_Toc3150"/>
      <w:bookmarkStart w:id="16" w:name="_Toc20054"/>
      <w:bookmarkStart w:id="17" w:name="_Toc15324"/>
      <w:bookmarkStart w:id="18" w:name="_Toc14201"/>
      <w:bookmarkStart w:id="19" w:name="_Toc15354"/>
      <w:r>
        <w:rPr>
          <w:rFonts w:hint="eastAsia"/>
          <w:color w:val="auto"/>
        </w:rPr>
        <w:t>1.1.1</w:t>
      </w:r>
      <w:r>
        <w:rPr>
          <w:rFonts w:hint="eastAsia"/>
          <w:color w:val="auto"/>
          <w:lang w:val="en-US" w:eastAsia="zh-CN"/>
        </w:rPr>
        <w:t xml:space="preserve"> </w:t>
      </w:r>
      <w:r>
        <w:rPr>
          <w:rFonts w:hint="eastAsia"/>
          <w:color w:val="auto"/>
        </w:rPr>
        <w:t>评价目的</w:t>
      </w:r>
      <w:bookmarkEnd w:id="14"/>
      <w:bookmarkEnd w:id="15"/>
      <w:bookmarkEnd w:id="16"/>
      <w:bookmarkEnd w:id="17"/>
      <w:bookmarkEnd w:id="18"/>
      <w:bookmarkEnd w:id="19"/>
    </w:p>
    <w:p w14:paraId="291CF48C">
      <w:pPr>
        <w:rPr>
          <w:rFonts w:hint="eastAsia"/>
          <w:color w:val="auto"/>
        </w:rPr>
      </w:pPr>
      <w:r>
        <w:rPr>
          <w:rFonts w:hint="eastAsia"/>
          <w:color w:val="auto"/>
        </w:rPr>
        <w:t>为了贯彻“安全第一、预防为主、综合治理”的方针，查找、分析和预测项目存在的危险、有害因素及危险、危害程度，提出合理可行和安全对策措施，指导危险源监控和事故预防，以达到最低事故率，最少损失和最优的安全投资效益，确保建设项目在安全设施方面符合国家的有关法律、法规、规定和标准，同时为建设项目《安全生产许可证》延期换证、日常安全监管提供科学依据。</w:t>
      </w:r>
    </w:p>
    <w:p w14:paraId="507D49EA">
      <w:pPr>
        <w:pStyle w:val="4"/>
        <w:bidi w:val="0"/>
        <w:rPr>
          <w:rFonts w:hint="eastAsia"/>
          <w:color w:val="auto"/>
        </w:rPr>
      </w:pPr>
      <w:bookmarkStart w:id="20" w:name="_Toc32026"/>
      <w:bookmarkStart w:id="21" w:name="_Toc1972"/>
      <w:bookmarkStart w:id="22" w:name="_Toc1932"/>
      <w:bookmarkStart w:id="23" w:name="_Toc11409"/>
      <w:bookmarkStart w:id="24" w:name="_Toc16810"/>
      <w:bookmarkStart w:id="25" w:name="_Toc10853"/>
      <w:r>
        <w:rPr>
          <w:rFonts w:hint="eastAsia"/>
          <w:color w:val="auto"/>
        </w:rPr>
        <w:t>1.1.2</w:t>
      </w:r>
      <w:r>
        <w:rPr>
          <w:rFonts w:hint="eastAsia"/>
          <w:color w:val="auto"/>
          <w:lang w:val="en-US" w:eastAsia="zh-CN"/>
        </w:rPr>
        <w:t xml:space="preserve"> </w:t>
      </w:r>
      <w:r>
        <w:rPr>
          <w:rFonts w:hint="eastAsia"/>
          <w:color w:val="auto"/>
        </w:rPr>
        <w:t>评价原则</w:t>
      </w:r>
      <w:bookmarkEnd w:id="20"/>
      <w:bookmarkEnd w:id="21"/>
      <w:bookmarkEnd w:id="22"/>
      <w:bookmarkEnd w:id="23"/>
      <w:bookmarkEnd w:id="24"/>
      <w:bookmarkEnd w:id="25"/>
    </w:p>
    <w:p w14:paraId="7183E0E9">
      <w:pPr>
        <w:rPr>
          <w:rFonts w:hint="eastAsia"/>
          <w:color w:val="auto"/>
        </w:rPr>
      </w:pPr>
      <w:r>
        <w:rPr>
          <w:rFonts w:hint="eastAsia"/>
          <w:color w:val="auto"/>
        </w:rPr>
        <w:t>突出重点，兼顾全面，条理清楚，数据准确完整，取值合理，整改意见具有可操作性，评价结论科学、客观、公正。</w:t>
      </w:r>
    </w:p>
    <w:p w14:paraId="2238BFB5">
      <w:pPr>
        <w:keepNext/>
        <w:keepLines/>
        <w:widowControl w:val="0"/>
        <w:bidi w:val="0"/>
        <w:spacing w:line="360" w:lineRule="auto"/>
        <w:ind w:left="280" w:leftChars="100" w:firstLine="0" w:firstLineChars="0"/>
        <w:jc w:val="both"/>
        <w:outlineLvl w:val="1"/>
        <w:rPr>
          <w:rFonts w:hint="eastAsia" w:ascii="Times New Roman" w:hAnsi="Times New Roman" w:eastAsia="黑体" w:cs="Times New Roman"/>
          <w:b/>
          <w:bCs/>
          <w:color w:val="auto"/>
          <w:kern w:val="2"/>
          <w:sz w:val="30"/>
          <w:szCs w:val="32"/>
          <w:lang w:val="en-US" w:eastAsia="zh-CN" w:bidi="ar-SA"/>
        </w:rPr>
      </w:pPr>
      <w:bookmarkStart w:id="26" w:name="_Toc24541"/>
      <w:bookmarkStart w:id="27" w:name="_Toc25034"/>
      <w:bookmarkStart w:id="28" w:name="_Toc31250"/>
      <w:bookmarkStart w:id="29" w:name="_Toc28044"/>
      <w:bookmarkStart w:id="30" w:name="_Toc30469"/>
      <w:bookmarkStart w:id="31" w:name="_Toc6403"/>
      <w:bookmarkStart w:id="32" w:name="_Toc11816"/>
      <w:bookmarkStart w:id="33" w:name="_Toc7922"/>
      <w:r>
        <w:rPr>
          <w:rFonts w:hint="eastAsia" w:ascii="Times New Roman" w:hAnsi="Times New Roman" w:eastAsia="黑体" w:cs="Times New Roman"/>
          <w:b/>
          <w:bCs/>
          <w:color w:val="auto"/>
          <w:kern w:val="2"/>
          <w:sz w:val="30"/>
          <w:szCs w:val="32"/>
          <w:lang w:val="en-US" w:eastAsia="zh-CN" w:bidi="ar-SA"/>
        </w:rPr>
        <w:t>1.2 评价依据</w:t>
      </w:r>
      <w:bookmarkEnd w:id="26"/>
      <w:bookmarkEnd w:id="27"/>
      <w:bookmarkEnd w:id="28"/>
      <w:bookmarkEnd w:id="29"/>
      <w:bookmarkEnd w:id="30"/>
      <w:bookmarkEnd w:id="31"/>
      <w:bookmarkEnd w:id="32"/>
    </w:p>
    <w:p w14:paraId="2BAF2770">
      <w:pPr>
        <w:keepNext/>
        <w:keepLines/>
        <w:widowControl w:val="0"/>
        <w:bidi w:val="0"/>
        <w:spacing w:line="360" w:lineRule="auto"/>
        <w:ind w:left="560" w:leftChars="200" w:firstLine="0" w:firstLineChars="0"/>
        <w:jc w:val="both"/>
        <w:outlineLvl w:val="2"/>
        <w:rPr>
          <w:rFonts w:hint="eastAsia" w:ascii="Times New Roman" w:hAnsi="Times New Roman" w:eastAsia="黑体" w:cs="Times New Roman"/>
          <w:b/>
          <w:bCs/>
          <w:color w:val="auto"/>
          <w:kern w:val="2"/>
          <w:sz w:val="28"/>
          <w:szCs w:val="32"/>
          <w:lang w:val="en-US" w:eastAsia="zh-CN" w:bidi="ar-SA"/>
        </w:rPr>
      </w:pPr>
      <w:bookmarkStart w:id="34" w:name="_Toc5356"/>
      <w:bookmarkStart w:id="35" w:name="_Toc30022"/>
      <w:bookmarkStart w:id="36" w:name="_Toc10498"/>
      <w:bookmarkStart w:id="37" w:name="_Toc15285"/>
      <w:bookmarkStart w:id="38" w:name="_Toc19329"/>
      <w:bookmarkStart w:id="39" w:name="_Toc15768"/>
      <w:bookmarkStart w:id="40" w:name="_Toc12157"/>
      <w:r>
        <w:rPr>
          <w:rFonts w:hint="eastAsia" w:ascii="Times New Roman" w:hAnsi="Times New Roman" w:eastAsia="黑体" w:cs="Times New Roman"/>
          <w:b/>
          <w:bCs/>
          <w:color w:val="auto"/>
          <w:kern w:val="2"/>
          <w:sz w:val="28"/>
          <w:szCs w:val="32"/>
          <w:lang w:val="en-US" w:eastAsia="zh-CN" w:bidi="ar-SA"/>
        </w:rPr>
        <w:t>1.2.1 法律、法规</w:t>
      </w:r>
      <w:bookmarkEnd w:id="34"/>
      <w:bookmarkEnd w:id="35"/>
      <w:bookmarkEnd w:id="36"/>
      <w:bookmarkEnd w:id="37"/>
      <w:bookmarkEnd w:id="38"/>
      <w:bookmarkEnd w:id="39"/>
      <w:bookmarkEnd w:id="40"/>
    </w:p>
    <w:p w14:paraId="63585685">
      <w:pPr>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 法律</w:t>
      </w:r>
    </w:p>
    <w:p w14:paraId="655AC4DD">
      <w:pPr>
        <w:ind w:firstLine="8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《中华人民共和国矿山安全法》（主席令第65号，2009年8月27号修正生效）</w:t>
      </w:r>
    </w:p>
    <w:p w14:paraId="5C8A52B7">
      <w:pPr>
        <w:ind w:firstLine="8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《中华人民共和国水土保持法》（主席令第39号，2011年3月1日修正生效）</w:t>
      </w:r>
    </w:p>
    <w:p w14:paraId="6208B0C7">
      <w:pPr>
        <w:ind w:firstLine="8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《中华人民共和国环境保护法》（主席令第9号，2015年1月1日修订生效）</w:t>
      </w:r>
    </w:p>
    <w:p w14:paraId="41B29DD8">
      <w:pPr>
        <w:ind w:firstLine="8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《中华人民共和国劳动法》（主席令第24号，2018年12月29日修正生效）</w:t>
      </w:r>
    </w:p>
    <w:p w14:paraId="5DEC88E2">
      <w:pPr>
        <w:ind w:firstLine="8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《中华人民共和国职业病防治法》（主席令第52号，2018年12月29日修正生效）</w:t>
      </w:r>
    </w:p>
    <w:p w14:paraId="41487B3C">
      <w:pPr>
        <w:ind w:firstLine="8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《中华人民共和国固体废物污染环境防治法》（主席令第43号，2020年9月1日修正生效）</w:t>
      </w:r>
    </w:p>
    <w:p w14:paraId="3DE6B77F">
      <w:pPr>
        <w:ind w:firstLine="8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《中华人民共和国消防法》（主席令第81号，2021年4月29日修正生效）</w:t>
      </w:r>
    </w:p>
    <w:p w14:paraId="076BA350">
      <w:pPr>
        <w:ind w:firstLine="8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《中华人民共和国安全生产法》（主席令第88号，2021年9月1日修正生效）</w:t>
      </w:r>
    </w:p>
    <w:p w14:paraId="2BB05696">
      <w:pPr>
        <w:ind w:firstLine="8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《中华人民共和国突发</w:t>
      </w:r>
      <w:r>
        <w:rPr>
          <w:rFonts w:hint="eastAsia" w:cs="Times New Roman"/>
          <w:color w:val="auto"/>
          <w:lang w:val="en-US" w:eastAsia="zh-CN"/>
        </w:rPr>
        <w:t>事件</w:t>
      </w:r>
      <w:r>
        <w:rPr>
          <w:rFonts w:hint="default" w:ascii="Times New Roman" w:hAnsi="Times New Roman" w:eastAsia="宋体" w:cs="Times New Roman"/>
          <w:color w:val="auto"/>
          <w:lang w:val="en-US" w:eastAsia="zh-CN"/>
        </w:rPr>
        <w:t>应对法》（主席令第25号，2024年6月28日修订生效）</w:t>
      </w:r>
    </w:p>
    <w:p w14:paraId="09C0FCDA">
      <w:pPr>
        <w:ind w:firstLine="8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《中华人民共和国矿产资源法》（主席令第</w:t>
      </w:r>
      <w:r>
        <w:rPr>
          <w:rFonts w:hint="eastAsia" w:cs="Times New Roman"/>
          <w:color w:val="auto"/>
          <w:lang w:val="en-US" w:eastAsia="zh-CN"/>
        </w:rPr>
        <w:t>36</w:t>
      </w:r>
      <w:r>
        <w:rPr>
          <w:rFonts w:hint="default" w:ascii="Times New Roman" w:hAnsi="Times New Roman" w:eastAsia="宋体" w:cs="Times New Roman"/>
          <w:color w:val="auto"/>
          <w:lang w:val="en-US" w:eastAsia="zh-CN"/>
        </w:rPr>
        <w:t>号，</w:t>
      </w:r>
      <w:r>
        <w:rPr>
          <w:rFonts w:hint="eastAsia" w:cs="Times New Roman"/>
          <w:color w:val="auto"/>
          <w:lang w:val="en-US" w:eastAsia="zh-CN"/>
        </w:rPr>
        <w:t>自</w:t>
      </w:r>
      <w:r>
        <w:rPr>
          <w:rFonts w:hint="default" w:ascii="Times New Roman" w:hAnsi="Times New Roman" w:eastAsia="宋体" w:cs="Times New Roman"/>
          <w:color w:val="auto"/>
          <w:lang w:val="en-US" w:eastAsia="zh-CN"/>
        </w:rPr>
        <w:t>202</w:t>
      </w:r>
      <w:r>
        <w:rPr>
          <w:rFonts w:hint="eastAsia" w:cs="Times New Roman"/>
          <w:color w:val="auto"/>
          <w:lang w:val="en-US" w:eastAsia="zh-CN"/>
        </w:rPr>
        <w:t>5</w:t>
      </w:r>
      <w:r>
        <w:rPr>
          <w:rFonts w:hint="default" w:ascii="Times New Roman" w:hAnsi="Times New Roman" w:eastAsia="宋体" w:cs="Times New Roman"/>
          <w:color w:val="auto"/>
          <w:lang w:val="en-US" w:eastAsia="zh-CN"/>
        </w:rPr>
        <w:t>年</w:t>
      </w:r>
      <w:r>
        <w:rPr>
          <w:rFonts w:hint="eastAsia" w:cs="Times New Roman"/>
          <w:color w:val="auto"/>
          <w:lang w:val="en-US" w:eastAsia="zh-CN"/>
        </w:rPr>
        <w:t>7</w:t>
      </w:r>
      <w:r>
        <w:rPr>
          <w:rFonts w:hint="default" w:ascii="Times New Roman" w:hAnsi="Times New Roman" w:eastAsia="宋体" w:cs="Times New Roman"/>
          <w:color w:val="auto"/>
          <w:lang w:val="en-US" w:eastAsia="zh-CN"/>
        </w:rPr>
        <w:t>月</w:t>
      </w:r>
      <w:r>
        <w:rPr>
          <w:rFonts w:hint="eastAsia" w:cs="Times New Roman"/>
          <w:color w:val="auto"/>
          <w:lang w:val="en-US" w:eastAsia="zh-CN"/>
        </w:rPr>
        <w:t>7</w:t>
      </w:r>
      <w:r>
        <w:rPr>
          <w:rFonts w:hint="default" w:ascii="Times New Roman" w:hAnsi="Times New Roman" w:eastAsia="宋体" w:cs="Times New Roman"/>
          <w:color w:val="auto"/>
          <w:lang w:val="en-US" w:eastAsia="zh-CN"/>
        </w:rPr>
        <w:t>日</w:t>
      </w:r>
      <w:r>
        <w:rPr>
          <w:rFonts w:hint="eastAsia" w:cs="Times New Roman"/>
          <w:color w:val="auto"/>
          <w:lang w:val="en-US" w:eastAsia="zh-CN"/>
        </w:rPr>
        <w:t>起施行</w:t>
      </w:r>
      <w:r>
        <w:rPr>
          <w:rFonts w:hint="default" w:ascii="Times New Roman" w:hAnsi="Times New Roman" w:eastAsia="宋体" w:cs="Times New Roman"/>
          <w:color w:val="auto"/>
          <w:lang w:val="en-US" w:eastAsia="zh-CN"/>
        </w:rPr>
        <w:t>）</w:t>
      </w:r>
    </w:p>
    <w:p w14:paraId="76706765">
      <w:pPr>
        <w:bidi w:val="0"/>
        <w:ind w:firstLine="880"/>
        <w:rPr>
          <w:rFonts w:hint="default" w:ascii="Times New Roman" w:hAnsi="Times New Roman" w:eastAsia="宋体" w:cs="Times New Roman"/>
          <w:color w:val="auto"/>
          <w:lang w:val="en-US" w:eastAsia="zh-CN"/>
        </w:rPr>
      </w:pPr>
      <w:bookmarkStart w:id="41" w:name="_Toc26671"/>
      <w:r>
        <w:rPr>
          <w:rFonts w:hint="eastAsia" w:ascii="Times New Roman" w:hAnsi="Times New Roman" w:eastAsia="宋体" w:cs="Times New Roman"/>
          <w:color w:val="auto"/>
          <w:lang w:val="en-US" w:eastAsia="zh-CN"/>
        </w:rPr>
        <w:t>2. 行政法规</w:t>
      </w:r>
    </w:p>
    <w:p w14:paraId="36D13FF8">
      <w:pPr>
        <w:bidi w:val="0"/>
        <w:ind w:firstLine="880"/>
        <w:rPr>
          <w:rFonts w:hint="eastAsia" w:ascii="Times New Roman" w:hAnsi="Times New Roman" w:eastAsia="宋体" w:cs="Times New Roman"/>
          <w:color w:val="auto"/>
        </w:rPr>
      </w:pPr>
      <w:r>
        <w:rPr>
          <w:rFonts w:hint="eastAsia" w:ascii="Times New Roman" w:hAnsi="Times New Roman" w:eastAsia="宋体" w:cs="Times New Roman"/>
          <w:color w:val="auto"/>
        </w:rPr>
        <w:t>《建设工程安全生产管理条例》（国务院令第393号，自2004年2月1日起施行）</w:t>
      </w:r>
    </w:p>
    <w:p w14:paraId="2FBBEC8B">
      <w:pPr>
        <w:bidi w:val="0"/>
        <w:ind w:firstLine="880"/>
        <w:rPr>
          <w:rFonts w:hint="eastAsia" w:ascii="Times New Roman" w:hAnsi="Times New Roman" w:eastAsia="宋体" w:cs="Times New Roman"/>
          <w:color w:val="auto"/>
        </w:rPr>
      </w:pPr>
      <w:r>
        <w:rPr>
          <w:rFonts w:hint="eastAsia" w:ascii="Times New Roman" w:hAnsi="Times New Roman" w:eastAsia="宋体" w:cs="Times New Roman"/>
          <w:color w:val="auto"/>
        </w:rPr>
        <w:t>《地质灾害防治条例》（国务院令第394号，2004年3月1日起施行）</w:t>
      </w:r>
    </w:p>
    <w:p w14:paraId="2DF22E2E">
      <w:pPr>
        <w:bidi w:val="0"/>
        <w:ind w:firstLine="880"/>
        <w:rPr>
          <w:rFonts w:hint="eastAsia" w:ascii="Times New Roman" w:hAnsi="Times New Roman" w:eastAsia="宋体" w:cs="Times New Roman"/>
          <w:color w:val="auto"/>
        </w:rPr>
      </w:pPr>
      <w:r>
        <w:rPr>
          <w:rFonts w:hint="eastAsia" w:ascii="Times New Roman" w:hAnsi="Times New Roman" w:eastAsia="宋体" w:cs="Times New Roman"/>
          <w:color w:val="auto"/>
        </w:rPr>
        <w:t>《生产安全事故报告和调查处理条例》（国务院令第493号，自2007年6月1日起施行）</w:t>
      </w:r>
    </w:p>
    <w:p w14:paraId="4C14A04A">
      <w:pPr>
        <w:bidi w:val="0"/>
        <w:ind w:firstLine="880"/>
        <w:rPr>
          <w:rFonts w:hint="eastAsia" w:ascii="Times New Roman" w:hAnsi="Times New Roman" w:eastAsia="宋体" w:cs="Times New Roman"/>
          <w:color w:val="auto"/>
        </w:rPr>
      </w:pPr>
      <w:r>
        <w:rPr>
          <w:rFonts w:hint="eastAsia" w:ascii="Times New Roman" w:hAnsi="Times New Roman" w:eastAsia="宋体" w:cs="Times New Roman"/>
          <w:color w:val="auto"/>
        </w:rPr>
        <w:t>《工伤保险条例》（国务院令第586号，2011年1月1日修订生效）</w:t>
      </w:r>
    </w:p>
    <w:p w14:paraId="2A734B3E">
      <w:pPr>
        <w:bidi w:val="0"/>
        <w:ind w:firstLine="880"/>
        <w:rPr>
          <w:rFonts w:hint="eastAsia"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安全生产许可证条例</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国务院令第397号，</w:t>
      </w:r>
      <w:r>
        <w:rPr>
          <w:rFonts w:hint="eastAsia" w:ascii="Times New Roman" w:hAnsi="Times New Roman" w:eastAsia="宋体" w:cs="Times New Roman"/>
          <w:color w:val="auto"/>
        </w:rPr>
        <w:t>201</w:t>
      </w:r>
      <w:r>
        <w:rPr>
          <w:rFonts w:hint="eastAsia" w:ascii="Times New Roman" w:hAnsi="Times New Roman" w:eastAsia="宋体" w:cs="Times New Roman"/>
          <w:color w:val="auto"/>
          <w:lang w:val="en-US" w:eastAsia="zh-CN"/>
        </w:rPr>
        <w:t>4</w:t>
      </w:r>
      <w:r>
        <w:rPr>
          <w:rFonts w:hint="eastAsia" w:ascii="Times New Roman" w:hAnsi="Times New Roman" w:eastAsia="宋体" w:cs="Times New Roman"/>
          <w:color w:val="auto"/>
        </w:rPr>
        <w:t>年</w:t>
      </w:r>
      <w:r>
        <w:rPr>
          <w:rFonts w:hint="eastAsia" w:ascii="Times New Roman" w:hAnsi="Times New Roman" w:eastAsia="宋体" w:cs="Times New Roman"/>
          <w:color w:val="auto"/>
          <w:lang w:val="en-US" w:eastAsia="zh-CN"/>
        </w:rPr>
        <w:t>7</w:t>
      </w:r>
      <w:r>
        <w:rPr>
          <w:rFonts w:hint="eastAsia" w:ascii="Times New Roman" w:hAnsi="Times New Roman" w:eastAsia="宋体" w:cs="Times New Roman"/>
          <w:color w:val="auto"/>
        </w:rPr>
        <w:t>月</w:t>
      </w:r>
      <w:r>
        <w:rPr>
          <w:rFonts w:hint="eastAsia" w:ascii="Times New Roman" w:hAnsi="Times New Roman" w:eastAsia="宋体" w:cs="Times New Roman"/>
          <w:color w:val="auto"/>
          <w:lang w:val="en-US" w:eastAsia="zh-CN"/>
        </w:rPr>
        <w:t>29</w:t>
      </w:r>
      <w:r>
        <w:rPr>
          <w:rFonts w:hint="eastAsia" w:ascii="Times New Roman" w:hAnsi="Times New Roman" w:eastAsia="宋体" w:cs="Times New Roman"/>
          <w:color w:val="auto"/>
        </w:rPr>
        <w:t>日修订</w:t>
      </w:r>
      <w:r>
        <w:rPr>
          <w:rFonts w:hint="eastAsia" w:ascii="Times New Roman" w:hAnsi="Times New Roman" w:eastAsia="宋体" w:cs="Times New Roman"/>
          <w:color w:val="auto"/>
          <w:lang w:val="en-US" w:eastAsia="zh-CN"/>
        </w:rPr>
        <w:t>生效</w:t>
      </w:r>
      <w:r>
        <w:rPr>
          <w:rFonts w:hint="eastAsia" w:ascii="Times New Roman" w:hAnsi="Times New Roman" w:eastAsia="宋体" w:cs="Times New Roman"/>
          <w:color w:val="auto"/>
          <w:lang w:eastAsia="zh-CN"/>
        </w:rPr>
        <w:t>）</w:t>
      </w:r>
    </w:p>
    <w:p w14:paraId="74F80D83">
      <w:pPr>
        <w:bidi w:val="0"/>
        <w:ind w:firstLine="880"/>
        <w:rPr>
          <w:rFonts w:hint="eastAsia" w:ascii="Times New Roman" w:hAnsi="Times New Roman" w:eastAsia="宋体" w:cs="Times New Roman"/>
          <w:color w:val="auto"/>
        </w:rPr>
      </w:pPr>
      <w:r>
        <w:rPr>
          <w:rFonts w:hint="eastAsia" w:ascii="Times New Roman" w:hAnsi="Times New Roman" w:eastAsia="宋体" w:cs="Times New Roman"/>
          <w:color w:val="auto"/>
        </w:rPr>
        <w:t>《建设项目环境保护管理条例》（国务院令第</w:t>
      </w:r>
      <w:r>
        <w:rPr>
          <w:rFonts w:hint="eastAsia" w:ascii="Times New Roman" w:hAnsi="Times New Roman" w:eastAsia="宋体" w:cs="Times New Roman"/>
          <w:color w:val="auto"/>
          <w:lang w:val="en-US" w:eastAsia="zh-CN"/>
        </w:rPr>
        <w:t>253</w:t>
      </w:r>
      <w:r>
        <w:rPr>
          <w:rFonts w:hint="eastAsia" w:ascii="Times New Roman" w:hAnsi="Times New Roman" w:eastAsia="宋体" w:cs="Times New Roman"/>
          <w:color w:val="auto"/>
        </w:rPr>
        <w:t>号，201</w:t>
      </w:r>
      <w:r>
        <w:rPr>
          <w:rFonts w:hint="eastAsia" w:ascii="Times New Roman" w:hAnsi="Times New Roman" w:eastAsia="宋体" w:cs="Times New Roman"/>
          <w:color w:val="auto"/>
          <w:lang w:val="en-US" w:eastAsia="zh-CN"/>
        </w:rPr>
        <w:t>7</w:t>
      </w:r>
      <w:r>
        <w:rPr>
          <w:rFonts w:hint="eastAsia" w:ascii="Times New Roman" w:hAnsi="Times New Roman" w:eastAsia="宋体" w:cs="Times New Roman"/>
          <w:color w:val="auto"/>
        </w:rPr>
        <w:t>年</w:t>
      </w:r>
      <w:r>
        <w:rPr>
          <w:rFonts w:hint="eastAsia" w:ascii="Times New Roman" w:hAnsi="Times New Roman" w:eastAsia="宋体" w:cs="Times New Roman"/>
          <w:color w:val="auto"/>
          <w:lang w:val="en-US" w:eastAsia="zh-CN"/>
        </w:rPr>
        <w:t>7</w:t>
      </w:r>
      <w:r>
        <w:rPr>
          <w:rFonts w:hint="eastAsia" w:ascii="Times New Roman" w:hAnsi="Times New Roman" w:eastAsia="宋体" w:cs="Times New Roman"/>
          <w:color w:val="auto"/>
        </w:rPr>
        <w:t>月</w:t>
      </w:r>
      <w:r>
        <w:rPr>
          <w:rFonts w:hint="eastAsia" w:ascii="Times New Roman" w:hAnsi="Times New Roman" w:eastAsia="宋体" w:cs="Times New Roman"/>
          <w:color w:val="auto"/>
          <w:lang w:val="en-US" w:eastAsia="zh-CN"/>
        </w:rPr>
        <w:t>16</w:t>
      </w:r>
      <w:r>
        <w:rPr>
          <w:rFonts w:hint="eastAsia" w:ascii="Times New Roman" w:hAnsi="Times New Roman" w:eastAsia="宋体" w:cs="Times New Roman"/>
          <w:color w:val="auto"/>
        </w:rPr>
        <w:t>日修订</w:t>
      </w:r>
      <w:r>
        <w:rPr>
          <w:rFonts w:hint="eastAsia" w:ascii="Times New Roman" w:hAnsi="Times New Roman" w:eastAsia="宋体" w:cs="Times New Roman"/>
          <w:color w:val="auto"/>
          <w:lang w:val="en-US" w:eastAsia="zh-CN"/>
        </w:rPr>
        <w:t>生效</w:t>
      </w:r>
      <w:r>
        <w:rPr>
          <w:rFonts w:hint="eastAsia" w:ascii="Times New Roman" w:hAnsi="Times New Roman" w:eastAsia="宋体" w:cs="Times New Roman"/>
          <w:color w:val="auto"/>
        </w:rPr>
        <w:t>）</w:t>
      </w:r>
    </w:p>
    <w:p w14:paraId="675D95F8">
      <w:pPr>
        <w:bidi w:val="0"/>
        <w:ind w:firstLine="880"/>
        <w:rPr>
          <w:rFonts w:hint="eastAsia" w:ascii="Times New Roman" w:hAnsi="Times New Roman" w:eastAsia="宋体" w:cs="Times New Roman"/>
          <w:color w:val="auto"/>
        </w:rPr>
      </w:pPr>
      <w:r>
        <w:rPr>
          <w:rFonts w:hint="eastAsia" w:ascii="Times New Roman" w:hAnsi="Times New Roman" w:eastAsia="宋体" w:cs="Times New Roman"/>
          <w:color w:val="auto"/>
        </w:rPr>
        <w:t>《建设工程勘察设计管理条例》（国务院令第293号，2017年10月23日修订生效）</w:t>
      </w:r>
    </w:p>
    <w:p w14:paraId="273EFC1F">
      <w:pPr>
        <w:bidi w:val="0"/>
        <w:ind w:firstLine="880"/>
        <w:rPr>
          <w:rFonts w:hint="eastAsia" w:ascii="Times New Roman" w:hAnsi="Times New Roman" w:eastAsia="宋体" w:cs="Times New Roman"/>
          <w:color w:val="auto"/>
        </w:rPr>
      </w:pPr>
      <w:r>
        <w:rPr>
          <w:rFonts w:hint="eastAsia" w:ascii="Times New Roman" w:hAnsi="Times New Roman" w:eastAsia="宋体" w:cs="Times New Roman"/>
          <w:color w:val="auto"/>
        </w:rPr>
        <w:t>《生产安全事故应急条例》（国务院令第708号，</w:t>
      </w:r>
      <w:r>
        <w:rPr>
          <w:rFonts w:hint="eastAsia" w:ascii="Times New Roman" w:hAnsi="Times New Roman" w:eastAsia="宋体" w:cs="Times New Roman"/>
          <w:color w:val="auto"/>
          <w:lang w:val="en-US" w:eastAsia="zh-CN"/>
        </w:rPr>
        <w:t>自</w:t>
      </w:r>
      <w:r>
        <w:rPr>
          <w:rFonts w:hint="eastAsia" w:ascii="Times New Roman" w:hAnsi="Times New Roman" w:eastAsia="宋体" w:cs="Times New Roman"/>
          <w:color w:val="auto"/>
        </w:rPr>
        <w:t>2019年4月1日起施行）</w:t>
      </w:r>
    </w:p>
    <w:p w14:paraId="4D5B7187">
      <w:pPr>
        <w:bidi w:val="0"/>
        <w:ind w:firstLine="880"/>
        <w:rPr>
          <w:rFonts w:hint="eastAsia" w:ascii="Times New Roman" w:hAnsi="Times New Roman" w:eastAsia="宋体" w:cs="Times New Roman"/>
          <w:color w:val="auto"/>
        </w:rPr>
      </w:pPr>
      <w:r>
        <w:rPr>
          <w:rFonts w:hint="eastAsia" w:ascii="Times New Roman" w:hAnsi="Times New Roman" w:eastAsia="宋体" w:cs="Times New Roman"/>
          <w:color w:val="auto"/>
        </w:rPr>
        <w:t>《建设工程质量管理条例》（国务院令第279号，2019年4月23日修订生效）</w:t>
      </w:r>
    </w:p>
    <w:p w14:paraId="1B4B0413">
      <w:pPr>
        <w:bidi w:val="0"/>
        <w:ind w:firstLine="880"/>
        <w:rPr>
          <w:rFonts w:hint="eastAsia" w:ascii="Times New Roman" w:hAnsi="Times New Roman" w:eastAsia="宋体" w:cs="Times New Roman"/>
          <w:color w:val="auto"/>
        </w:rPr>
      </w:pPr>
      <w:r>
        <w:rPr>
          <w:rFonts w:hint="eastAsia" w:ascii="Times New Roman" w:hAnsi="Times New Roman" w:eastAsia="宋体" w:cs="Times New Roman"/>
          <w:color w:val="auto"/>
        </w:rPr>
        <w:t>3. 地方性法规</w:t>
      </w:r>
    </w:p>
    <w:p w14:paraId="37C63F28">
      <w:pPr>
        <w:bidi w:val="0"/>
        <w:ind w:firstLine="880"/>
        <w:rPr>
          <w:rFonts w:hint="eastAsia" w:ascii="Times New Roman" w:hAnsi="Times New Roman" w:eastAsia="宋体" w:cs="Times New Roman"/>
          <w:color w:val="auto"/>
        </w:rPr>
      </w:pPr>
      <w:r>
        <w:rPr>
          <w:rFonts w:hint="eastAsia" w:ascii="Times New Roman" w:hAnsi="Times New Roman" w:eastAsia="宋体" w:cs="Times New Roman"/>
          <w:color w:val="auto"/>
        </w:rPr>
        <w:t>《江西省消防条例》（2020年11月25日江西省第十三届人民代表大会常务委员会第二十五次会议第六次修正，自2010年11月9日起施行）</w:t>
      </w:r>
    </w:p>
    <w:p w14:paraId="199321A2">
      <w:pPr>
        <w:bidi w:val="0"/>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《江西省安全生产条例》（江西省第十届人民代表大会常务委员会公告第95号，2023年7月26日江西省第十四届人民代表大会常务委员会第三次会议第二次修订，</w:t>
      </w:r>
      <w:r>
        <w:rPr>
          <w:rFonts w:hint="eastAsia" w:ascii="Times New Roman" w:hAnsi="Times New Roman" w:eastAsia="宋体" w:cs="Times New Roman"/>
          <w:color w:val="auto"/>
        </w:rPr>
        <w:t>自</w:t>
      </w:r>
      <w:r>
        <w:rPr>
          <w:rFonts w:hint="eastAsia" w:ascii="Times New Roman" w:hAnsi="Times New Roman" w:eastAsia="宋体" w:cs="Times New Roman"/>
          <w:color w:val="auto"/>
          <w:lang w:val="en-US" w:eastAsia="zh-CN"/>
        </w:rPr>
        <w:t>2023年9月1日施行）</w:t>
      </w:r>
    </w:p>
    <w:p w14:paraId="2B5E6181">
      <w:pPr>
        <w:pStyle w:val="4"/>
        <w:bidi w:val="0"/>
        <w:rPr>
          <w:rFonts w:hint="eastAsia"/>
          <w:color w:val="auto"/>
          <w:lang w:val="en-US" w:eastAsia="zh-CN"/>
        </w:rPr>
      </w:pPr>
      <w:bookmarkStart w:id="42" w:name="_Toc11905"/>
      <w:bookmarkStart w:id="43" w:name="_Toc26038"/>
      <w:bookmarkStart w:id="44" w:name="_Toc492"/>
      <w:bookmarkStart w:id="45" w:name="_Toc1963"/>
      <w:bookmarkStart w:id="46" w:name="_Toc22203"/>
      <w:bookmarkStart w:id="47" w:name="_Toc7870"/>
      <w:bookmarkStart w:id="48" w:name="_Toc25211"/>
      <w:bookmarkStart w:id="49" w:name="_Toc15777"/>
      <w:r>
        <w:rPr>
          <w:color w:val="auto"/>
        </w:rPr>
        <w:t>1.</w:t>
      </w:r>
      <w:r>
        <w:rPr>
          <w:rFonts w:hint="eastAsia"/>
          <w:color w:val="auto"/>
        </w:rPr>
        <w:t>2</w:t>
      </w:r>
      <w:r>
        <w:rPr>
          <w:color w:val="auto"/>
        </w:rPr>
        <w:t>.2</w:t>
      </w:r>
      <w:r>
        <w:rPr>
          <w:rFonts w:hint="eastAsia"/>
          <w:color w:val="auto"/>
          <w:lang w:val="en-US" w:eastAsia="zh-CN"/>
        </w:rPr>
        <w:t xml:space="preserve"> </w:t>
      </w:r>
      <w:r>
        <w:rPr>
          <w:color w:val="auto"/>
        </w:rPr>
        <w:t>规章、</w:t>
      </w:r>
      <w:bookmarkEnd w:id="42"/>
      <w:bookmarkEnd w:id="43"/>
      <w:r>
        <w:rPr>
          <w:rFonts w:hint="eastAsia"/>
          <w:color w:val="auto"/>
          <w:lang w:val="en-US" w:eastAsia="zh-CN"/>
        </w:rPr>
        <w:t>规定</w:t>
      </w:r>
      <w:bookmarkEnd w:id="44"/>
      <w:bookmarkEnd w:id="45"/>
      <w:bookmarkEnd w:id="46"/>
      <w:bookmarkEnd w:id="47"/>
      <w:bookmarkEnd w:id="48"/>
      <w:bookmarkEnd w:id="49"/>
    </w:p>
    <w:p w14:paraId="6822D693">
      <w:pPr>
        <w:bidi w:val="0"/>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 部门规章、规定</w:t>
      </w:r>
    </w:p>
    <w:p w14:paraId="643712B3">
      <w:pPr>
        <w:bidi w:val="0"/>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《安全生产事故隐患排查治理暂行规定》（总局令第16号，2008年2月1日实施）</w:t>
      </w:r>
    </w:p>
    <w:p w14:paraId="24A856E1">
      <w:pPr>
        <w:bidi w:val="0"/>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《生产安全事故信息报告和处置办法》（总局令第21号，2009年7月1日生效）</w:t>
      </w:r>
    </w:p>
    <w:p w14:paraId="63DE9EBE">
      <w:pPr>
        <w:bidi w:val="0"/>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《建设项目安全设施“三同时”监督管理办法》（总局令第77号，2015年5月1日起施行）</w:t>
      </w:r>
    </w:p>
    <w:p w14:paraId="01A50046">
      <w:pPr>
        <w:bidi w:val="0"/>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《非煤矿矿山企业安全生产许可证实施办法》（总局令第78号，2015年5月26日生效）</w:t>
      </w:r>
    </w:p>
    <w:p w14:paraId="556A2238">
      <w:pPr>
        <w:bidi w:val="0"/>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《安全生产培训管理办法》（总局令第80号，2015年5月29日修改生效）</w:t>
      </w:r>
    </w:p>
    <w:p w14:paraId="213854E0">
      <w:pPr>
        <w:bidi w:val="0"/>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《特种作业人员安全技术培训考核管理规定》（总局令80号，2015年7月1日修改生效）</w:t>
      </w:r>
    </w:p>
    <w:p w14:paraId="04C8B7D4">
      <w:pPr>
        <w:bidi w:val="0"/>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《尾矿库安全监督管理规定》（总局令第78号，2015年7月1日修改生效）</w:t>
      </w:r>
    </w:p>
    <w:p w14:paraId="5BA82B0F">
      <w:pPr>
        <w:bidi w:val="0"/>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《金属非金属矿山建设项目安全设施目录（试行）》（总局令第75号，2015年7月1日起施行）</w:t>
      </w:r>
    </w:p>
    <w:p w14:paraId="0EE077FB">
      <w:pPr>
        <w:bidi w:val="0"/>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《生产安全事故应急预案管理办法》（应急部2号令，2019年9月1日施行）</w:t>
      </w:r>
    </w:p>
    <w:p w14:paraId="40B1D447">
      <w:pPr>
        <w:bidi w:val="0"/>
        <w:ind w:firstLine="880"/>
        <w:rPr>
          <w:rFonts w:hint="eastAsia" w:ascii="Times New Roman" w:hAnsi="Times New Roman" w:eastAsia="宋体" w:cs="Times New Roman"/>
          <w:color w:val="auto"/>
          <w:lang w:val="en-US" w:eastAsia="zh-CN"/>
        </w:rPr>
      </w:pPr>
      <w:r>
        <w:rPr>
          <w:rFonts w:hint="eastAsia" w:cs="Times New Roman"/>
          <w:color w:val="auto"/>
          <w:lang w:val="en-US" w:eastAsia="zh-CN"/>
        </w:rPr>
        <w:t>《矿山救援规程》（</w:t>
      </w:r>
      <w:r>
        <w:rPr>
          <w:rFonts w:hint="eastAsia" w:ascii="Times New Roman" w:hAnsi="Times New Roman" w:eastAsia="宋体" w:cs="Times New Roman"/>
          <w:color w:val="auto"/>
          <w:lang w:val="en-US" w:eastAsia="zh-CN"/>
        </w:rPr>
        <w:t>应急部</w:t>
      </w:r>
      <w:r>
        <w:rPr>
          <w:rFonts w:hint="eastAsia" w:cs="Times New Roman"/>
          <w:color w:val="auto"/>
          <w:lang w:val="en-US" w:eastAsia="zh-CN"/>
        </w:rPr>
        <w:t>16</w:t>
      </w:r>
      <w:r>
        <w:rPr>
          <w:rFonts w:hint="eastAsia" w:ascii="Times New Roman" w:hAnsi="Times New Roman" w:eastAsia="宋体" w:cs="Times New Roman"/>
          <w:color w:val="auto"/>
          <w:lang w:val="en-US" w:eastAsia="zh-CN"/>
        </w:rPr>
        <w:t>号令，自2024年7月1日起施行</w:t>
      </w:r>
      <w:r>
        <w:rPr>
          <w:rFonts w:hint="eastAsia" w:cs="Times New Roman"/>
          <w:color w:val="auto"/>
          <w:lang w:val="en-US" w:eastAsia="zh-CN"/>
        </w:rPr>
        <w:t>）</w:t>
      </w:r>
    </w:p>
    <w:p w14:paraId="6A145B84">
      <w:pPr>
        <w:bidi w:val="0"/>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 地方政府规章、规定</w:t>
      </w:r>
    </w:p>
    <w:p w14:paraId="52DF7748">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《江西省非煤矿山企业安全生产许可证实施办法》（江西省人民政府令第189号，2011年3月1日修改生效）</w:t>
      </w:r>
    </w:p>
    <w:p w14:paraId="1D99AFE7">
      <w:pPr>
        <w:bidi w:val="0"/>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《江西省生产安全事故隐患排查治理办法》（江西省人民政府令第238</w:t>
      </w:r>
    </w:p>
    <w:p w14:paraId="06D2D176">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号，2021年6月9日省人民政府令第250号第一次修正）</w:t>
      </w:r>
    </w:p>
    <w:p w14:paraId="7E8A57CE">
      <w:pPr>
        <w:pStyle w:val="4"/>
        <w:bidi w:val="0"/>
        <w:rPr>
          <w:rFonts w:hint="eastAsia"/>
          <w:color w:val="auto"/>
          <w:lang w:val="en-US" w:eastAsia="zh-CN"/>
        </w:rPr>
      </w:pPr>
      <w:bookmarkStart w:id="50" w:name="_Toc16058"/>
      <w:bookmarkStart w:id="51" w:name="_Toc26931"/>
      <w:bookmarkStart w:id="52" w:name="_Toc17644"/>
      <w:bookmarkStart w:id="53" w:name="_Toc30066"/>
      <w:bookmarkStart w:id="54" w:name="_Toc9000"/>
      <w:bookmarkStart w:id="55" w:name="_Toc7783"/>
      <w:r>
        <w:rPr>
          <w:rFonts w:hint="eastAsia"/>
          <w:color w:val="auto"/>
          <w:lang w:val="en-US" w:eastAsia="zh-CN"/>
        </w:rPr>
        <w:t>1.2.3 规范性文件</w:t>
      </w:r>
      <w:bookmarkEnd w:id="50"/>
      <w:bookmarkEnd w:id="51"/>
      <w:bookmarkEnd w:id="52"/>
      <w:bookmarkEnd w:id="53"/>
      <w:bookmarkEnd w:id="54"/>
      <w:bookmarkEnd w:id="55"/>
    </w:p>
    <w:p w14:paraId="39909CFB">
      <w:pPr>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 国家规范性文件</w:t>
      </w:r>
    </w:p>
    <w:p w14:paraId="4A905AE0">
      <w:pPr>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《国务院关于进一步加强安全生产工作的决定》（国发〔2004〕2号，2004年1月9日施行）</w:t>
      </w:r>
    </w:p>
    <w:p w14:paraId="26F7906A">
      <w:pPr>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《国务院关于加强地质灾害防治工作的决定》（国发〔2011〕20号，2011年6月13日）</w:t>
      </w:r>
    </w:p>
    <w:p w14:paraId="62A36AD6">
      <w:pPr>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《国务院安委办关于建立安全隐患排查治理体系的通知》（安委办〔2012〕一号，2012年1月5日）</w:t>
      </w:r>
    </w:p>
    <w:p w14:paraId="1D01FC4E">
      <w:pPr>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《国家安全监管总局关于宣布失效一批安全生产文件的通知》（安监总办〔2016〕13号，2016年2月4日）</w:t>
      </w:r>
    </w:p>
    <w:p w14:paraId="2D572DB5">
      <w:pPr>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《国家安全监管总局办公厅关于修改用人单位劳动防护用品管理规范的通知》（安监总厅安健〔2018〕3号，2018年1月15日）</w:t>
      </w:r>
    </w:p>
    <w:p w14:paraId="7FF45C42">
      <w:pPr>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《关于印发防范化解尾矿库安全风险工作方案的通知》（应急〔2020〕15号，2020年2月21日）</w:t>
      </w:r>
    </w:p>
    <w:p w14:paraId="5DF05D0C">
      <w:pPr>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《国家矿山安全监察局关于印发</w:t>
      </w:r>
      <w:r>
        <w:rPr>
          <w:rFonts w:hint="eastAsia" w:ascii="宋体" w:hAnsi="宋体" w:eastAsia="宋体" w:cs="宋体"/>
          <w:color w:val="auto"/>
          <w:lang w:val="en-US" w:eastAsia="zh-CN"/>
        </w:rPr>
        <w:t>&lt;</w:t>
      </w:r>
      <w:r>
        <w:rPr>
          <w:rFonts w:hint="eastAsia" w:ascii="Times New Roman" w:hAnsi="Times New Roman" w:eastAsia="宋体" w:cs="Times New Roman"/>
          <w:color w:val="auto"/>
          <w:lang w:val="en-US" w:eastAsia="zh-CN"/>
        </w:rPr>
        <w:t>关于加强非煤矿山安全生产工作的指导意见</w:t>
      </w:r>
      <w:r>
        <w:rPr>
          <w:rFonts w:hint="eastAsia" w:ascii="宋体" w:hAnsi="宋体" w:eastAsia="宋体" w:cs="宋体"/>
          <w:color w:val="auto"/>
          <w:lang w:val="en-US" w:eastAsia="zh-CN"/>
        </w:rPr>
        <w:t>&gt;</w:t>
      </w:r>
      <w:r>
        <w:rPr>
          <w:rFonts w:hint="eastAsia" w:ascii="Times New Roman" w:hAnsi="Times New Roman" w:eastAsia="宋体" w:cs="Times New Roman"/>
          <w:color w:val="auto"/>
          <w:lang w:val="en-US" w:eastAsia="zh-CN"/>
        </w:rPr>
        <w:t>的通知》（矿安〔2022〕4号，2022年2月8日起施行）</w:t>
      </w:r>
    </w:p>
    <w:p w14:paraId="321E493A">
      <w:pPr>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《国家矿山安全监察局综合司关于全面推进防范化解尾矿库安全风险重点工作的通知》（矿安综〔2022〕6号，2022年3月4日）</w:t>
      </w:r>
    </w:p>
    <w:p w14:paraId="75E4BC04">
      <w:pPr>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《国家矿山安全监察局关于印发</w:t>
      </w:r>
      <w:r>
        <w:rPr>
          <w:rFonts w:hint="eastAsia" w:ascii="宋体" w:hAnsi="宋体" w:eastAsia="宋体" w:cs="宋体"/>
          <w:color w:val="auto"/>
          <w:lang w:val="en-US" w:eastAsia="zh-CN"/>
        </w:rPr>
        <w:t>&lt;</w:t>
      </w:r>
      <w:r>
        <w:rPr>
          <w:rFonts w:hint="eastAsia" w:ascii="Times New Roman" w:hAnsi="Times New Roman" w:eastAsia="宋体" w:cs="Times New Roman"/>
          <w:color w:val="auto"/>
          <w:lang w:val="en-US" w:eastAsia="zh-CN"/>
        </w:rPr>
        <w:t>金属非金属矿山重大事故隐患判定标准</w:t>
      </w:r>
      <w:r>
        <w:rPr>
          <w:rFonts w:hint="eastAsia" w:ascii="宋体" w:hAnsi="宋体" w:eastAsia="宋体" w:cs="宋体"/>
          <w:color w:val="auto"/>
          <w:lang w:val="en-US" w:eastAsia="zh-CN"/>
        </w:rPr>
        <w:t>&gt;</w:t>
      </w:r>
      <w:r>
        <w:rPr>
          <w:rFonts w:hint="eastAsia" w:ascii="Times New Roman" w:hAnsi="Times New Roman" w:eastAsia="宋体" w:cs="Times New Roman"/>
          <w:color w:val="auto"/>
          <w:lang w:val="en-US" w:eastAsia="zh-CN"/>
        </w:rPr>
        <w:t>的通知》（矿安〔2022〕88号，2022年7月8日）</w:t>
      </w:r>
    </w:p>
    <w:p w14:paraId="5F9C98DC">
      <w:pPr>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《关于印发</w:t>
      </w:r>
      <w:r>
        <w:rPr>
          <w:rFonts w:hint="eastAsia" w:ascii="宋体" w:hAnsi="宋体" w:eastAsia="宋体" w:cs="宋体"/>
          <w:color w:val="auto"/>
          <w:lang w:val="en-US" w:eastAsia="zh-CN"/>
        </w:rPr>
        <w:t>&lt;</w:t>
      </w:r>
      <w:r>
        <w:rPr>
          <w:rFonts w:hint="eastAsia" w:ascii="Times New Roman" w:hAnsi="Times New Roman" w:eastAsia="宋体" w:cs="Times New Roman"/>
          <w:color w:val="auto"/>
          <w:lang w:val="en-US" w:eastAsia="zh-CN"/>
        </w:rPr>
        <w:t>企业安全生产费用提取和使用管理办法</w:t>
      </w:r>
      <w:r>
        <w:rPr>
          <w:rFonts w:hint="eastAsia" w:ascii="宋体" w:hAnsi="宋体" w:eastAsia="宋体" w:cs="宋体"/>
          <w:color w:val="auto"/>
          <w:lang w:val="en-US" w:eastAsia="zh-CN"/>
        </w:rPr>
        <w:t>&gt;</w:t>
      </w:r>
      <w:r>
        <w:rPr>
          <w:rFonts w:hint="eastAsia" w:ascii="Times New Roman" w:hAnsi="Times New Roman" w:eastAsia="宋体" w:cs="Times New Roman"/>
          <w:color w:val="auto"/>
          <w:lang w:val="en-US" w:eastAsia="zh-CN"/>
        </w:rPr>
        <w:t>的通知》（财资〔2022〕136号，2022年11月21日）</w:t>
      </w:r>
    </w:p>
    <w:p w14:paraId="62378079">
      <w:pPr>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《中共中央办公厅国务院办公厅关于进一步加强矿山安全生产工作的意见》（厅字〔2023〕21号，2023年8月25日起施行）</w:t>
      </w:r>
    </w:p>
    <w:p w14:paraId="4A0054B3">
      <w:pPr>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《国家矿山安全监察局关于印发</w:t>
      </w:r>
      <w:r>
        <w:rPr>
          <w:rFonts w:hint="eastAsia" w:ascii="宋体" w:hAnsi="宋体" w:eastAsia="宋体" w:cs="宋体"/>
          <w:color w:val="auto"/>
          <w:lang w:val="en-US" w:eastAsia="zh-CN"/>
        </w:rPr>
        <w:t>&lt;</w:t>
      </w:r>
      <w:r>
        <w:rPr>
          <w:rFonts w:hint="eastAsia" w:ascii="Times New Roman" w:hAnsi="Times New Roman" w:eastAsia="宋体" w:cs="Times New Roman"/>
          <w:color w:val="auto"/>
          <w:lang w:val="en-US" w:eastAsia="zh-CN"/>
        </w:rPr>
        <w:t>金属非金属矿山重大事故隐患判定标准补充情形</w:t>
      </w:r>
      <w:r>
        <w:rPr>
          <w:rFonts w:hint="eastAsia" w:ascii="宋体" w:hAnsi="宋体" w:eastAsia="宋体" w:cs="宋体"/>
          <w:color w:val="auto"/>
          <w:lang w:val="en-US" w:eastAsia="zh-CN"/>
        </w:rPr>
        <w:t>&gt;</w:t>
      </w:r>
      <w:r>
        <w:rPr>
          <w:rFonts w:hint="eastAsia" w:ascii="Times New Roman" w:hAnsi="Times New Roman" w:eastAsia="宋体" w:cs="Times New Roman"/>
          <w:color w:val="auto"/>
          <w:lang w:val="en-US" w:eastAsia="zh-CN"/>
        </w:rPr>
        <w:t>的通知》（矿安〔2024〕41号，2024年4月23日）</w:t>
      </w:r>
    </w:p>
    <w:p w14:paraId="057E600C">
      <w:pPr>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《国家矿山安全监察局关于进一步加强非煤矿山安全生产行政许可工作的通知》（矿安〔2024〕70号，2024年6月28日起施行）</w:t>
      </w:r>
    </w:p>
    <w:p w14:paraId="5A8928A8">
      <w:pPr>
        <w:ind w:firstLine="880"/>
        <w:rPr>
          <w:rFonts w:hint="default" w:ascii="Times New Roman" w:hAnsi="Times New Roman" w:eastAsia="宋体" w:cs="Times New Roman"/>
          <w:color w:val="auto"/>
          <w:lang w:val="en-US" w:eastAsia="zh-CN"/>
        </w:rPr>
      </w:pPr>
      <w:r>
        <w:rPr>
          <w:rFonts w:hint="eastAsia" w:cs="Times New Roman"/>
          <w:color w:val="auto"/>
          <w:lang w:val="en-US" w:eastAsia="zh-CN"/>
        </w:rPr>
        <w:t>《关于印发</w:t>
      </w:r>
      <w:r>
        <w:rPr>
          <w:rFonts w:hint="eastAsia" w:ascii="宋体" w:hAnsi="宋体" w:eastAsia="宋体" w:cs="宋体"/>
          <w:color w:val="auto"/>
          <w:lang w:val="en-US" w:eastAsia="zh-CN"/>
        </w:rPr>
        <w:t>&lt;</w:t>
      </w:r>
      <w:r>
        <w:rPr>
          <w:rFonts w:hint="eastAsia" w:cs="Times New Roman"/>
          <w:color w:val="auto"/>
          <w:lang w:val="en-US" w:eastAsia="zh-CN"/>
        </w:rPr>
        <w:t>安全生产责任保险实施办法</w:t>
      </w:r>
      <w:r>
        <w:rPr>
          <w:rFonts w:hint="eastAsia" w:ascii="宋体" w:hAnsi="宋体" w:eastAsia="宋体" w:cs="宋体"/>
          <w:color w:val="auto"/>
          <w:lang w:val="en-US" w:eastAsia="zh-CN"/>
        </w:rPr>
        <w:t>&gt;</w:t>
      </w:r>
      <w:r>
        <w:rPr>
          <w:rFonts w:hint="eastAsia" w:cs="Times New Roman"/>
          <w:color w:val="auto"/>
          <w:lang w:val="en-US" w:eastAsia="zh-CN"/>
        </w:rPr>
        <w:t>的通知》（应急</w:t>
      </w:r>
      <w:r>
        <w:rPr>
          <w:rFonts w:hint="eastAsia" w:ascii="Times New Roman" w:hAnsi="Times New Roman" w:eastAsia="宋体" w:cs="Times New Roman"/>
          <w:color w:val="auto"/>
          <w:lang w:val="en-US" w:eastAsia="zh-CN"/>
        </w:rPr>
        <w:t>〔</w:t>
      </w:r>
      <w:r>
        <w:rPr>
          <w:rFonts w:hint="eastAsia" w:cs="Times New Roman"/>
          <w:color w:val="auto"/>
          <w:lang w:val="en-US" w:eastAsia="zh-CN"/>
        </w:rPr>
        <w:t>2025</w:t>
      </w:r>
      <w:r>
        <w:rPr>
          <w:rFonts w:hint="eastAsia" w:ascii="Times New Roman" w:hAnsi="Times New Roman" w:eastAsia="宋体" w:cs="Times New Roman"/>
          <w:color w:val="auto"/>
          <w:lang w:val="en-US" w:eastAsia="zh-CN"/>
        </w:rPr>
        <w:t>〕</w:t>
      </w:r>
      <w:r>
        <w:rPr>
          <w:rFonts w:hint="eastAsia" w:cs="Times New Roman"/>
          <w:color w:val="auto"/>
          <w:lang w:val="en-US" w:eastAsia="zh-CN"/>
        </w:rPr>
        <w:t>27号，2025年3月29日</w:t>
      </w:r>
      <w:r>
        <w:rPr>
          <w:rFonts w:hint="eastAsia" w:ascii="Times New Roman" w:hAnsi="Times New Roman" w:eastAsia="宋体" w:cs="Times New Roman"/>
          <w:color w:val="auto"/>
          <w:lang w:val="en-US" w:eastAsia="zh-CN"/>
        </w:rPr>
        <w:t>起施行</w:t>
      </w:r>
      <w:r>
        <w:rPr>
          <w:rFonts w:hint="eastAsia" w:cs="Times New Roman"/>
          <w:color w:val="auto"/>
          <w:lang w:val="en-US" w:eastAsia="zh-CN"/>
        </w:rPr>
        <w:t>）</w:t>
      </w:r>
    </w:p>
    <w:p w14:paraId="497EA27F">
      <w:pPr>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 地方性规范文件</w:t>
      </w:r>
    </w:p>
    <w:p w14:paraId="4B87C7C9">
      <w:pPr>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《江西省人民政府关于进一步加强企业安全生产工作的实施意见》（赣府发〔2010〕32号，2010年10月8日）</w:t>
      </w:r>
    </w:p>
    <w:p w14:paraId="1CEAFD5D">
      <w:pPr>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《江西省安监局关于印发江西省非煤矿山领域防范遏制重特大事故工作方案的通知》（赣安监管一字〔2016〕70号，2016年7月7日）</w:t>
      </w:r>
    </w:p>
    <w:p w14:paraId="741DC5A8">
      <w:pPr>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《江西省安全生产委员会关于在全省高危行业领域实施安全生产责任保险制度的指导意见》（赣安〔2017〕22号，2017年10月26日）</w:t>
      </w:r>
    </w:p>
    <w:p w14:paraId="5F6B0634">
      <w:pPr>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《关于印发江西省防范化解尾矿库安全风险工作实施方案的通知》（赣应急字〔2020〕64号，2020年4月30日）</w:t>
      </w:r>
    </w:p>
    <w:p w14:paraId="38EB9EC8">
      <w:pPr>
        <w:ind w:firstLine="880"/>
        <w:rPr>
          <w:rFonts w:hint="eastAsia" w:ascii="Times New Roman" w:hAnsi="Times New Roman" w:eastAsia="宋体" w:cs="Times New Roman"/>
          <w:color w:val="auto"/>
          <w:lang w:val="en-US" w:eastAsia="zh-CN"/>
        </w:rPr>
      </w:pPr>
      <w:r>
        <w:rPr>
          <w:rFonts w:hint="eastAsia" w:cs="Times New Roman"/>
          <w:color w:val="auto"/>
          <w:lang w:val="en-US" w:eastAsia="zh-CN"/>
        </w:rPr>
        <w:t>《江西省应急管理厅关于加强全省尾矿库安全生产风险监测预警系统运行管理的通知》（赣应急字〔2022〕18号，222年3月9日）</w:t>
      </w:r>
    </w:p>
    <w:p w14:paraId="1548B90B">
      <w:pPr>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《江西省应急管理厅关于进一步加强非煤矿矿山建设项目安全设施设计审查和基建监督管理的通知》（赣应急字〔2023〕108号，2023年10月27日发布）</w:t>
      </w:r>
    </w:p>
    <w:p w14:paraId="112B1072">
      <w:pPr>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《江西省应急管理厅关于做好〈中共中央办公厅 国务院办公厅关于进步加强矿山安全生产工作的意见〉学习宣传贯彻工作的通知》（赣应急字〔2023〕16号，2023年11月17日）</w:t>
      </w:r>
    </w:p>
    <w:p w14:paraId="3D74CDE9">
      <w:pPr>
        <w:keepNext/>
        <w:keepLines/>
        <w:widowControl w:val="0"/>
        <w:bidi w:val="0"/>
        <w:spacing w:line="360" w:lineRule="auto"/>
        <w:ind w:left="560" w:leftChars="200" w:firstLine="0" w:firstLineChars="0"/>
        <w:jc w:val="both"/>
        <w:outlineLvl w:val="2"/>
        <w:rPr>
          <w:rFonts w:hint="default" w:ascii="Times New Roman" w:hAnsi="Times New Roman" w:eastAsia="黑体" w:cs="Times New Roman"/>
          <w:b/>
          <w:bCs/>
          <w:color w:val="auto"/>
          <w:kern w:val="2"/>
          <w:sz w:val="28"/>
          <w:szCs w:val="32"/>
          <w:lang w:val="en-US" w:eastAsia="zh-CN" w:bidi="ar-SA"/>
        </w:rPr>
      </w:pPr>
      <w:bookmarkStart w:id="56" w:name="_Toc6119"/>
      <w:bookmarkStart w:id="57" w:name="_Toc26789"/>
      <w:bookmarkStart w:id="58" w:name="_Toc29041"/>
      <w:bookmarkStart w:id="59" w:name="_Toc19836"/>
      <w:bookmarkStart w:id="60" w:name="_Toc18387"/>
      <w:bookmarkStart w:id="61" w:name="_Toc24428"/>
      <w:bookmarkStart w:id="62" w:name="_Toc15641"/>
      <w:r>
        <w:rPr>
          <w:rFonts w:hint="eastAsia" w:ascii="Times New Roman" w:hAnsi="Times New Roman" w:eastAsia="黑体" w:cs="Times New Roman"/>
          <w:b/>
          <w:bCs/>
          <w:color w:val="auto"/>
          <w:kern w:val="2"/>
          <w:sz w:val="28"/>
          <w:szCs w:val="32"/>
          <w:lang w:val="en-US" w:eastAsia="zh-CN" w:bidi="ar-SA"/>
        </w:rPr>
        <w:t>1.2.4 标准、规范</w:t>
      </w:r>
      <w:bookmarkEnd w:id="56"/>
      <w:bookmarkEnd w:id="57"/>
      <w:bookmarkEnd w:id="58"/>
      <w:bookmarkEnd w:id="59"/>
      <w:bookmarkEnd w:id="60"/>
      <w:bookmarkEnd w:id="61"/>
      <w:bookmarkEnd w:id="62"/>
    </w:p>
    <w:p w14:paraId="4D45B9F5">
      <w:pPr>
        <w:bidi w:val="0"/>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《岩土工程勘察规范</w:t>
      </w:r>
      <w:r>
        <w:rPr>
          <w:rFonts w:hint="eastAsia" w:ascii="宋体" w:hAnsi="宋体" w:cs="宋体"/>
          <w:color w:val="auto"/>
          <w:lang w:val="en-US" w:eastAsia="zh-CN"/>
        </w:rPr>
        <w:t>（</w:t>
      </w:r>
      <w:r>
        <w:rPr>
          <w:rFonts w:hint="default" w:ascii="Times New Roman" w:hAnsi="Times New Roman" w:eastAsia="宋体" w:cs="Times New Roman"/>
          <w:color w:val="auto"/>
          <w:lang w:val="en-US" w:eastAsia="zh-CN"/>
        </w:rPr>
        <w:t>20</w:t>
      </w:r>
      <w:r>
        <w:rPr>
          <w:rFonts w:hint="eastAsia" w:ascii="Times New Roman" w:hAnsi="Times New Roman" w:eastAsia="宋体" w:cs="Times New Roman"/>
          <w:color w:val="auto"/>
          <w:lang w:val="en-US" w:eastAsia="zh-CN"/>
        </w:rPr>
        <w:t>0</w:t>
      </w:r>
      <w:r>
        <w:rPr>
          <w:rFonts w:hint="default" w:ascii="Times New Roman" w:hAnsi="Times New Roman" w:eastAsia="宋体" w:cs="Times New Roman"/>
          <w:color w:val="auto"/>
          <w:lang w:val="en-US" w:eastAsia="zh-CN"/>
        </w:rPr>
        <w:t>9</w:t>
      </w:r>
      <w:r>
        <w:rPr>
          <w:rFonts w:hint="eastAsia" w:ascii="宋体" w:hAnsi="宋体" w:eastAsia="宋体" w:cs="宋体"/>
          <w:color w:val="auto"/>
          <w:lang w:val="en-US" w:eastAsia="zh-CN"/>
        </w:rPr>
        <w:t>版</w:t>
      </w:r>
      <w:r>
        <w:rPr>
          <w:rFonts w:hint="eastAsia" w:ascii="宋体" w:hAnsi="宋体" w:cs="宋体"/>
          <w:color w:val="auto"/>
          <w:lang w:val="en-US" w:eastAsia="zh-CN"/>
        </w:rPr>
        <w:t>）</w:t>
      </w:r>
      <w:r>
        <w:rPr>
          <w:rFonts w:hint="eastAsia" w:ascii="Times New Roman" w:hAnsi="Times New Roman" w:eastAsia="宋体" w:cs="Times New Roman"/>
          <w:color w:val="auto"/>
          <w:lang w:val="en-US" w:eastAsia="zh-CN"/>
        </w:rPr>
        <w:t>》                     GB50021-2001</w:t>
      </w:r>
    </w:p>
    <w:p w14:paraId="26CB40E5">
      <w:pPr>
        <w:bidi w:val="0"/>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《建筑工程抗震设防分类标准》                     GB50223-2008</w:t>
      </w:r>
    </w:p>
    <w:p w14:paraId="345612A3">
      <w:pPr>
        <w:bidi w:val="0"/>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《安全标志及其使用导则》                          GB2894-2008</w:t>
      </w:r>
    </w:p>
    <w:p w14:paraId="283157C7">
      <w:pPr>
        <w:bidi w:val="0"/>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《安全色》                                        GB2893-2008</w:t>
      </w:r>
    </w:p>
    <w:p w14:paraId="3050FEEA">
      <w:pPr>
        <w:bidi w:val="0"/>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《建筑地基基础设计规范》                         GB50007-2011</w:t>
      </w:r>
    </w:p>
    <w:p w14:paraId="3F09C87B">
      <w:pPr>
        <w:bidi w:val="0"/>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《混凝土结构工程施工规范》                       GB50666-2011</w:t>
      </w:r>
    </w:p>
    <w:p w14:paraId="5D7099D2">
      <w:pPr>
        <w:bidi w:val="0"/>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《工业企业总平面设计规范》                       GB50187-2012</w:t>
      </w:r>
    </w:p>
    <w:p w14:paraId="6AC3FB61">
      <w:pPr>
        <w:bidi w:val="0"/>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《构筑物抗震设计规范》                           GB50191-2012</w:t>
      </w:r>
    </w:p>
    <w:p w14:paraId="7566D51D">
      <w:pPr>
        <w:bidi w:val="0"/>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《尾矿设施设计规范》                             GB50863-2013</w:t>
      </w:r>
    </w:p>
    <w:p w14:paraId="423E58B2">
      <w:pPr>
        <w:bidi w:val="0"/>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《防洪标准》                                     GB50201-2014</w:t>
      </w:r>
    </w:p>
    <w:p w14:paraId="461C704A">
      <w:pPr>
        <w:bidi w:val="0"/>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《中国地震动参数区划图》                         GB18306-2015</w:t>
      </w:r>
    </w:p>
    <w:p w14:paraId="7B8CADAF">
      <w:pPr>
        <w:bidi w:val="0"/>
        <w:ind w:firstLine="880"/>
        <w:rPr>
          <w:rFonts w:hint="eastAsia" w:ascii="Times New Roman" w:hAnsi="Times New Roman" w:eastAsia="宋体" w:cs="Times New Roman"/>
          <w:color w:val="auto"/>
          <w:lang w:val="en-US" w:eastAsia="zh-CN"/>
        </w:rPr>
      </w:pPr>
      <w:r>
        <w:rPr>
          <w:rFonts w:hint="eastAsia" w:cs="Times New Roman"/>
          <w:color w:val="auto"/>
          <w:lang w:val="en-US" w:eastAsia="zh-CN"/>
        </w:rPr>
        <w:t>《尾矿库在线安全监测系统工程技术规范》</w:t>
      </w:r>
      <w:r>
        <w:rPr>
          <w:rFonts w:hint="eastAsia" w:ascii="Times New Roman" w:hAnsi="Times New Roman" w:eastAsia="宋体" w:cs="Times New Roman"/>
          <w:color w:val="auto"/>
          <w:lang w:val="en-US" w:eastAsia="zh-CN"/>
        </w:rPr>
        <w:t xml:space="preserve">       </w:t>
      </w:r>
      <w:r>
        <w:rPr>
          <w:rFonts w:hint="eastAsia" w:cs="Times New Roman"/>
          <w:color w:val="auto"/>
          <w:lang w:val="en-US" w:eastAsia="zh-CN"/>
        </w:rPr>
        <w:t xml:space="preserve">  </w:t>
      </w:r>
      <w:r>
        <w:rPr>
          <w:rFonts w:hint="eastAsia" w:ascii="Times New Roman" w:hAnsi="Times New Roman" w:eastAsia="宋体" w:cs="Times New Roman"/>
          <w:color w:val="auto"/>
          <w:lang w:val="en-US" w:eastAsia="zh-CN"/>
        </w:rPr>
        <w:t xml:space="preserve">  GB51108-2015</w:t>
      </w:r>
    </w:p>
    <w:p w14:paraId="675CFC8C">
      <w:pPr>
        <w:bidi w:val="0"/>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《水工建筑物抗震设计标准》                       GB51247-2018</w:t>
      </w:r>
    </w:p>
    <w:p w14:paraId="59D48BED">
      <w:pPr>
        <w:bidi w:val="0"/>
        <w:ind w:firstLine="880"/>
        <w:jc w:val="both"/>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《一般工业固体废物贮存和填埋污染控制标准》       GB18599-2020</w:t>
      </w:r>
    </w:p>
    <w:p w14:paraId="38E66260">
      <w:pPr>
        <w:bidi w:val="0"/>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《尾矿库安全规程》                               GB39496-2020</w:t>
      </w:r>
    </w:p>
    <w:p w14:paraId="39C32C7E">
      <w:pPr>
        <w:bidi w:val="0"/>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《矿山安全标志》                               GB/T14161-2008</w:t>
      </w:r>
    </w:p>
    <w:p w14:paraId="46904DF2">
      <w:pPr>
        <w:bidi w:val="0"/>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《矿山安全术语》                               GB/T15259-2008</w:t>
      </w:r>
    </w:p>
    <w:p w14:paraId="5AC38B62">
      <w:pPr>
        <w:bidi w:val="0"/>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《建筑抗震设计标准（2024年版）》                 GB/T50011-2010</w:t>
      </w:r>
    </w:p>
    <w:p w14:paraId="44F8691F">
      <w:pPr>
        <w:bidi w:val="0"/>
        <w:ind w:firstLine="880"/>
        <w:jc w:val="both"/>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《生产经营单位生产安全事故应急预案编制导则》   GB/T29639-2020</w:t>
      </w:r>
    </w:p>
    <w:p w14:paraId="207E9F7C">
      <w:pPr>
        <w:bidi w:val="0"/>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《矿区水文地质工程地质勘查规范》               GB/T12719-2021</w:t>
      </w:r>
    </w:p>
    <w:p w14:paraId="5F1452B9">
      <w:pPr>
        <w:bidi w:val="0"/>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《厂矿道路设计规范》                                 GBJ22-87</w:t>
      </w:r>
    </w:p>
    <w:p w14:paraId="5EE1A729">
      <w:pPr>
        <w:bidi w:val="0"/>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《安全评价通则》                                  AQ8001-2007</w:t>
      </w:r>
    </w:p>
    <w:p w14:paraId="6301DAE8">
      <w:pPr>
        <w:bidi w:val="0"/>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《尾矿库安全监测技术规范》                        AQ2030-2010</w:t>
      </w:r>
    </w:p>
    <w:p w14:paraId="7CCF3C99">
      <w:pPr>
        <w:bidi w:val="0"/>
        <w:ind w:left="280" w:leftChars="100" w:firstLine="280" w:firstLineChars="1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《水工混凝土结构设计规范》                         SL191-2008</w:t>
      </w:r>
    </w:p>
    <w:p w14:paraId="4BE29022">
      <w:pPr>
        <w:bidi w:val="0"/>
        <w:ind w:left="280" w:leftChars="100" w:firstLine="280" w:firstLineChars="1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《水工建筑物荷载设计规范》                         SL744-2016</w:t>
      </w:r>
    </w:p>
    <w:p w14:paraId="1BCFD917">
      <w:pPr>
        <w:bidi w:val="0"/>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《碾压式土石坝设计规范》                           SL274-2020</w:t>
      </w:r>
    </w:p>
    <w:p w14:paraId="0921B219">
      <w:pPr>
        <w:bidi w:val="0"/>
        <w:ind w:firstLine="880"/>
        <w:rPr>
          <w:rFonts w:hint="default" w:ascii="Times New Roman" w:hAnsi="Times New Roman" w:eastAsia="宋体" w:cs="Times New Roman"/>
          <w:color w:val="auto"/>
          <w:szCs w:val="28"/>
          <w:lang w:val="en-US" w:eastAsia="zh-CN"/>
        </w:rPr>
      </w:pPr>
      <w:r>
        <w:rPr>
          <w:rFonts w:hint="default" w:ascii="Times New Roman" w:hAnsi="Times New Roman" w:eastAsia="宋体" w:cs="Times New Roman"/>
          <w:color w:val="auto"/>
          <w:szCs w:val="28"/>
          <w:lang w:val="en-US" w:eastAsia="zh-CN"/>
        </w:rPr>
        <w:t>《碾压式土石坝施工规范》</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szCs w:val="28"/>
          <w:lang w:val="en-US" w:eastAsia="zh-CN"/>
        </w:rPr>
        <w:t>DL/T5129-2013</w:t>
      </w:r>
    </w:p>
    <w:p w14:paraId="19B19525">
      <w:pPr>
        <w:bidi w:val="0"/>
        <w:ind w:firstLine="880"/>
        <w:rPr>
          <w:rFonts w:hint="default" w:ascii="Times New Roman" w:hAnsi="Times New Roman" w:eastAsia="宋体" w:cs="Times New Roman"/>
          <w:color w:val="auto"/>
          <w:szCs w:val="28"/>
          <w:lang w:val="en-US" w:eastAsia="zh-CN"/>
        </w:rPr>
      </w:pPr>
      <w:r>
        <w:rPr>
          <w:rFonts w:hint="default" w:ascii="Times New Roman" w:hAnsi="Times New Roman" w:eastAsia="宋体" w:cs="Times New Roman"/>
          <w:color w:val="auto"/>
          <w:szCs w:val="28"/>
          <w:lang w:val="en-US" w:eastAsia="zh-CN"/>
        </w:rPr>
        <w:t>《金属非金属矿山安全标准化规范 导则》         KA/T2050.1-2016</w:t>
      </w:r>
    </w:p>
    <w:p w14:paraId="46BB15E2">
      <w:pPr>
        <w:bidi w:val="0"/>
        <w:rPr>
          <w:rFonts w:hint="default"/>
          <w:color w:val="auto"/>
          <w:lang w:val="en-US" w:eastAsia="zh-CN"/>
        </w:rPr>
      </w:pPr>
      <w:r>
        <w:rPr>
          <w:rFonts w:hint="default"/>
          <w:color w:val="auto"/>
          <w:lang w:val="en-US" w:eastAsia="zh-CN"/>
        </w:rPr>
        <w:t>《金属非金属矿山安全标准化规范 尾矿库实施指南》</w:t>
      </w:r>
    </w:p>
    <w:p w14:paraId="00B1C963">
      <w:pPr>
        <w:bidi w:val="0"/>
        <w:ind w:firstLine="880"/>
        <w:jc w:val="right"/>
        <w:rPr>
          <w:rFonts w:hint="default" w:ascii="Times New Roman" w:hAnsi="Times New Roman" w:eastAsia="宋体" w:cs="Times New Roman"/>
          <w:color w:val="auto"/>
          <w:szCs w:val="28"/>
          <w:lang w:val="en-US" w:eastAsia="zh-CN"/>
        </w:rPr>
      </w:pPr>
      <w:r>
        <w:rPr>
          <w:rFonts w:hint="default" w:ascii="Times New Roman" w:hAnsi="Times New Roman" w:eastAsia="宋体" w:cs="Times New Roman"/>
          <w:color w:val="auto"/>
          <w:szCs w:val="28"/>
          <w:lang w:val="en-US" w:eastAsia="zh-CN"/>
        </w:rPr>
        <w:t>KA/T2050.4-2016</w:t>
      </w:r>
    </w:p>
    <w:p w14:paraId="78282042">
      <w:pPr>
        <w:bidi w:val="0"/>
        <w:ind w:firstLine="880"/>
        <w:rPr>
          <w:rFonts w:hint="default" w:ascii="Times New Roman" w:hAnsi="Times New Roman" w:eastAsia="宋体" w:cs="Times New Roman"/>
          <w:color w:val="auto"/>
          <w:szCs w:val="28"/>
          <w:lang w:val="en-US" w:eastAsia="zh-CN"/>
        </w:rPr>
      </w:pPr>
      <w:r>
        <w:rPr>
          <w:rFonts w:hint="default" w:ascii="Times New Roman" w:hAnsi="Times New Roman" w:eastAsia="宋体" w:cs="Times New Roman"/>
          <w:color w:val="auto"/>
          <w:szCs w:val="28"/>
          <w:lang w:val="en-US" w:eastAsia="zh-CN"/>
        </w:rPr>
        <w:t>《矿山隐蔽致灾因素普查规范 第1部分：总则》       KA/T22.1-2024</w:t>
      </w:r>
    </w:p>
    <w:p w14:paraId="046BC223">
      <w:pPr>
        <w:bidi w:val="0"/>
        <w:ind w:firstLine="880"/>
        <w:rPr>
          <w:rFonts w:hint="default" w:ascii="Times New Roman" w:hAnsi="Times New Roman" w:eastAsia="宋体" w:cs="Times New Roman"/>
          <w:color w:val="auto"/>
          <w:szCs w:val="28"/>
          <w:lang w:val="en-US" w:eastAsia="zh-CN"/>
        </w:rPr>
      </w:pPr>
      <w:r>
        <w:rPr>
          <w:rFonts w:hint="default" w:ascii="Times New Roman" w:hAnsi="Times New Roman" w:eastAsia="宋体" w:cs="Times New Roman"/>
          <w:color w:val="auto"/>
          <w:szCs w:val="28"/>
          <w:lang w:val="en-US" w:eastAsia="zh-CN"/>
        </w:rPr>
        <w:t>《矿山隐蔽致灾因素普查规范 第3部分：金属非金属矿山及尾矿库》</w:t>
      </w:r>
    </w:p>
    <w:p w14:paraId="29B68672">
      <w:pPr>
        <w:bidi w:val="0"/>
        <w:ind w:firstLine="880"/>
        <w:jc w:val="right"/>
        <w:rPr>
          <w:rFonts w:hint="default" w:ascii="Times New Roman" w:hAnsi="Times New Roman" w:eastAsia="宋体" w:cs="Times New Roman"/>
          <w:color w:val="auto"/>
          <w:szCs w:val="28"/>
          <w:lang w:val="en-US" w:eastAsia="zh-CN"/>
        </w:rPr>
      </w:pPr>
      <w:r>
        <w:rPr>
          <w:rFonts w:hint="default" w:ascii="Times New Roman" w:hAnsi="Times New Roman" w:eastAsia="宋体" w:cs="Times New Roman"/>
          <w:color w:val="auto"/>
          <w:szCs w:val="28"/>
          <w:lang w:val="en-US" w:eastAsia="zh-CN"/>
        </w:rPr>
        <w:t>KA/T22.3-2024</w:t>
      </w:r>
    </w:p>
    <w:bookmarkEnd w:id="41"/>
    <w:p w14:paraId="0486BBCC">
      <w:pPr>
        <w:pStyle w:val="4"/>
        <w:bidi w:val="0"/>
        <w:rPr>
          <w:rFonts w:hint="eastAsia" w:eastAsia="黑体"/>
          <w:color w:val="auto"/>
          <w:lang w:eastAsia="zh-CN"/>
        </w:rPr>
      </w:pPr>
      <w:bookmarkStart w:id="63" w:name="_Toc1969"/>
      <w:bookmarkStart w:id="64" w:name="_Toc8420"/>
      <w:bookmarkStart w:id="65" w:name="_Toc7448"/>
      <w:bookmarkStart w:id="66" w:name="_Toc20746"/>
      <w:bookmarkStart w:id="67" w:name="_Toc1052"/>
      <w:r>
        <w:rPr>
          <w:rFonts w:hint="eastAsia"/>
          <w:color w:val="auto"/>
        </w:rPr>
        <w:t>1.2.</w:t>
      </w:r>
      <w:r>
        <w:rPr>
          <w:rFonts w:hint="eastAsia"/>
          <w:color w:val="auto"/>
          <w:lang w:val="en-US" w:eastAsia="zh-CN"/>
        </w:rPr>
        <w:t xml:space="preserve">5 </w:t>
      </w:r>
      <w:r>
        <w:rPr>
          <w:rFonts w:hint="eastAsia"/>
          <w:color w:val="auto"/>
        </w:rPr>
        <w:t>其他依据和主要参考资料</w:t>
      </w:r>
      <w:bookmarkEnd w:id="33"/>
      <w:bookmarkEnd w:id="63"/>
      <w:bookmarkEnd w:id="64"/>
      <w:bookmarkEnd w:id="65"/>
      <w:bookmarkEnd w:id="66"/>
      <w:bookmarkEnd w:id="67"/>
    </w:p>
    <w:p w14:paraId="75C9FD91">
      <w:pPr>
        <w:rPr>
          <w:rFonts w:hint="eastAsia" w:ascii="Times New Roman" w:hAnsi="Times New Roman" w:eastAsia="宋体" w:cs="Times New Roman"/>
          <w:strike w:val="0"/>
          <w:dstrike w:val="0"/>
          <w:color w:val="auto"/>
        </w:rPr>
      </w:pPr>
      <w:r>
        <w:rPr>
          <w:rFonts w:hint="eastAsia" w:ascii="Times New Roman" w:hAnsi="Times New Roman" w:eastAsia="宋体" w:cs="Times New Roman"/>
          <w:strike w:val="0"/>
          <w:dstrike w:val="0"/>
          <w:color w:val="auto"/>
        </w:rPr>
        <w:t>《江西省暴雨洪水查算手册》（江西省水文局，2010年10月）</w:t>
      </w:r>
    </w:p>
    <w:p w14:paraId="128758B5">
      <w:pPr>
        <w:rPr>
          <w:rFonts w:hint="eastAsia" w:ascii="Times New Roman" w:hAnsi="Times New Roman" w:eastAsia="宋体" w:cs="Times New Roman"/>
          <w:strike w:val="0"/>
          <w:dstrike w:val="0"/>
          <w:color w:val="auto"/>
        </w:rPr>
      </w:pPr>
      <w:r>
        <w:rPr>
          <w:rFonts w:hint="eastAsia" w:ascii="Times New Roman" w:hAnsi="Times New Roman" w:eastAsia="宋体" w:cs="Times New Roman"/>
          <w:strike w:val="0"/>
          <w:dstrike w:val="0"/>
          <w:color w:val="auto"/>
        </w:rPr>
        <w:t>《江西三和金业有限公司氰化渣干堆库、中和渣尾矿库建设工程地质灾害危险性评估报告》、《江西三和金业有限公司氰化渣干堆库、中和渣尾矿库工程建设用地压覆矿产资源评估报告》（江西金达地矿工程有限责任公司，2012年9月）</w:t>
      </w:r>
    </w:p>
    <w:p w14:paraId="204CCE05">
      <w:pPr>
        <w:rPr>
          <w:rFonts w:hint="eastAsia" w:ascii="Times New Roman" w:hAnsi="Times New Roman" w:eastAsia="宋体" w:cs="Times New Roman"/>
          <w:strike w:val="0"/>
          <w:dstrike w:val="0"/>
          <w:color w:val="auto"/>
        </w:rPr>
      </w:pPr>
      <w:r>
        <w:rPr>
          <w:rFonts w:hint="eastAsia" w:ascii="Times New Roman" w:hAnsi="Times New Roman" w:eastAsia="宋体" w:cs="Times New Roman"/>
          <w:strike w:val="0"/>
          <w:dstrike w:val="0"/>
          <w:color w:val="auto"/>
        </w:rPr>
        <w:t>《江西三和金业有限公司3#尾矿库工程（水文）地质勘察报告》（江西金新勘测工程有限公司，2013年3月）</w:t>
      </w:r>
    </w:p>
    <w:p w14:paraId="37FC6B33">
      <w:pPr>
        <w:rPr>
          <w:rFonts w:hint="eastAsia" w:ascii="Times New Roman" w:hAnsi="Times New Roman" w:eastAsia="宋体" w:cs="Times New Roman"/>
          <w:strike w:val="0"/>
          <w:dstrike w:val="0"/>
          <w:color w:val="auto"/>
        </w:rPr>
      </w:pPr>
      <w:r>
        <w:rPr>
          <w:rFonts w:hint="eastAsia" w:ascii="Times New Roman" w:hAnsi="Times New Roman" w:eastAsia="宋体" w:cs="Times New Roman"/>
          <w:strike w:val="0"/>
          <w:dstrike w:val="0"/>
          <w:color w:val="auto"/>
        </w:rPr>
        <w:t>《江西三和金业有限责任公司尾矿库建设暨节能降耗技改工程初步设计说明书》（长春黄金设计院，2012年2月）</w:t>
      </w:r>
    </w:p>
    <w:p w14:paraId="42766D20">
      <w:pPr>
        <w:rPr>
          <w:rFonts w:hint="eastAsia" w:ascii="Times New Roman" w:hAnsi="Times New Roman" w:eastAsia="宋体" w:cs="Times New Roman"/>
          <w:strike w:val="0"/>
          <w:dstrike w:val="0"/>
          <w:color w:val="auto"/>
        </w:rPr>
      </w:pPr>
      <w:r>
        <w:rPr>
          <w:rFonts w:hint="eastAsia" w:ascii="Times New Roman" w:hAnsi="Times New Roman" w:eastAsia="宋体" w:cs="Times New Roman"/>
          <w:strike w:val="0"/>
          <w:dstrike w:val="0"/>
          <w:color w:val="auto"/>
        </w:rPr>
        <w:t>《江西三和金业有限责任公司尾矿库建设暨节能降耗技改工程3#（氰化渣）尾矿库安全专篇》及其施工图设计（长春黄金设计院2014年6月、2014年7月）</w:t>
      </w:r>
    </w:p>
    <w:p w14:paraId="6933D286">
      <w:pPr>
        <w:rPr>
          <w:rFonts w:hint="eastAsia" w:ascii="Times New Roman" w:hAnsi="Times New Roman" w:eastAsia="宋体" w:cs="Times New Roman"/>
          <w:strike w:val="0"/>
          <w:dstrike w:val="0"/>
          <w:color w:val="auto"/>
        </w:rPr>
      </w:pPr>
      <w:r>
        <w:rPr>
          <w:rFonts w:hint="eastAsia" w:ascii="Times New Roman" w:hAnsi="Times New Roman" w:eastAsia="宋体" w:cs="Times New Roman"/>
          <w:strike w:val="0"/>
          <w:dstrike w:val="0"/>
          <w:color w:val="auto"/>
        </w:rPr>
        <w:t>《三和金业3号（氰化渣）尾矿库在线监测系统技术方案》（上饶市恒拓电子有限公司，2021年3月）</w:t>
      </w:r>
    </w:p>
    <w:p w14:paraId="40F4D738">
      <w:pPr>
        <w:rPr>
          <w:rFonts w:hint="eastAsia" w:ascii="Times New Roman" w:hAnsi="Times New Roman" w:eastAsia="宋体" w:cs="Times New Roman"/>
          <w:strike w:val="0"/>
          <w:dstrike w:val="0"/>
          <w:color w:val="auto"/>
          <w:lang w:eastAsia="zh-CN"/>
        </w:rPr>
      </w:pPr>
      <w:r>
        <w:rPr>
          <w:rFonts w:hint="eastAsia" w:cs="Times New Roman"/>
          <w:strike w:val="0"/>
          <w:dstrike w:val="0"/>
          <w:color w:val="auto"/>
          <w:lang w:eastAsia="zh-CN"/>
        </w:rPr>
        <w:t>《江西三和金业有限公司3#</w:t>
      </w:r>
      <w:r>
        <w:rPr>
          <w:rFonts w:hint="eastAsia" w:ascii="Times New Roman" w:hAnsi="Times New Roman" w:eastAsia="宋体" w:cs="Times New Roman"/>
          <w:strike w:val="0"/>
          <w:dstrike w:val="0"/>
          <w:color w:val="auto"/>
        </w:rPr>
        <w:t>（氰化渣）</w:t>
      </w:r>
      <w:r>
        <w:rPr>
          <w:rFonts w:hint="eastAsia" w:cs="Times New Roman"/>
          <w:strike w:val="0"/>
          <w:dstrike w:val="0"/>
          <w:color w:val="auto"/>
          <w:lang w:eastAsia="zh-CN"/>
        </w:rPr>
        <w:t>尾矿库排洪系统检测报告》（南昌科禹工程质量检测有限公司，</w:t>
      </w:r>
      <w:r>
        <w:rPr>
          <w:rFonts w:hint="eastAsia" w:cs="Times New Roman"/>
          <w:strike w:val="0"/>
          <w:dstrike w:val="0"/>
          <w:color w:val="auto"/>
          <w:lang w:val="en-US" w:eastAsia="zh-CN"/>
        </w:rPr>
        <w:t>2024年3月</w:t>
      </w:r>
      <w:r>
        <w:rPr>
          <w:rFonts w:hint="eastAsia" w:cs="Times New Roman"/>
          <w:strike w:val="0"/>
          <w:dstrike w:val="0"/>
          <w:color w:val="auto"/>
          <w:lang w:eastAsia="zh-CN"/>
        </w:rPr>
        <w:t>）</w:t>
      </w:r>
    </w:p>
    <w:p w14:paraId="7F191F19">
      <w:pPr>
        <w:rPr>
          <w:rFonts w:hint="eastAsia" w:ascii="Times New Roman" w:hAnsi="Times New Roman" w:eastAsia="宋体" w:cs="Times New Roman"/>
          <w:strike w:val="0"/>
          <w:dstrike w:val="0"/>
          <w:color w:val="auto"/>
        </w:rPr>
      </w:pPr>
      <w:r>
        <w:rPr>
          <w:rFonts w:hint="eastAsia" w:ascii="Times New Roman" w:hAnsi="Times New Roman" w:eastAsia="宋体" w:cs="Times New Roman"/>
          <w:strike w:val="0"/>
          <w:dstrike w:val="0"/>
          <w:color w:val="auto"/>
        </w:rPr>
        <w:t>《江西三和金业有限公司三号（氰化渣）尾矿库调洪演算》（中图设计有限公司，2025年3月）</w:t>
      </w:r>
    </w:p>
    <w:p w14:paraId="29ADF7E2">
      <w:pPr>
        <w:rPr>
          <w:rFonts w:hint="eastAsia" w:ascii="Times New Roman" w:hAnsi="Times New Roman" w:eastAsia="宋体" w:cs="Times New Roman"/>
          <w:strike w:val="0"/>
          <w:dstrike w:val="0"/>
          <w:color w:val="auto"/>
          <w:lang w:eastAsia="zh-CN"/>
        </w:rPr>
      </w:pPr>
      <w:r>
        <w:rPr>
          <w:rFonts w:hint="eastAsia" w:cs="Times New Roman"/>
          <w:strike w:val="0"/>
          <w:dstrike w:val="0"/>
          <w:color w:val="auto"/>
          <w:lang w:eastAsia="zh-CN"/>
        </w:rPr>
        <w:t>《江西三和金业有限公司3号(化渣)尾矿库堆积坝可行性研究作业现场试验研究报告》（江西江汇地质工程勘察院有限公司，</w:t>
      </w:r>
      <w:r>
        <w:rPr>
          <w:rFonts w:hint="eastAsia" w:cs="Times New Roman"/>
          <w:strike w:val="0"/>
          <w:dstrike w:val="0"/>
          <w:color w:val="auto"/>
          <w:lang w:val="en-US" w:eastAsia="zh-CN"/>
        </w:rPr>
        <w:t>2025年8月</w:t>
      </w:r>
      <w:r>
        <w:rPr>
          <w:rFonts w:hint="eastAsia" w:cs="Times New Roman"/>
          <w:strike w:val="0"/>
          <w:dstrike w:val="0"/>
          <w:color w:val="auto"/>
          <w:lang w:eastAsia="zh-CN"/>
        </w:rPr>
        <w:t>）</w:t>
      </w:r>
    </w:p>
    <w:p w14:paraId="54C82E64">
      <w:pPr>
        <w:rPr>
          <w:rFonts w:hint="eastAsia" w:ascii="Times New Roman" w:hAnsi="Times New Roman" w:eastAsia="宋体" w:cs="Times New Roman"/>
          <w:strike w:val="0"/>
          <w:dstrike w:val="0"/>
          <w:color w:val="auto"/>
        </w:rPr>
      </w:pPr>
      <w:r>
        <w:rPr>
          <w:rFonts w:hint="eastAsia" w:cs="Times New Roman"/>
          <w:strike w:val="0"/>
          <w:dstrike w:val="0"/>
          <w:color w:val="auto"/>
          <w:lang w:eastAsia="zh-CN"/>
        </w:rPr>
        <w:t>《江西三和金业有限公司三号（氰化渣）尾矿库排水斜槽以及堆筑子坝工程安全设施验收评价报告》</w:t>
      </w:r>
      <w:r>
        <w:rPr>
          <w:rFonts w:hint="eastAsia" w:ascii="Times New Roman" w:hAnsi="Times New Roman" w:eastAsia="宋体" w:cs="Times New Roman"/>
          <w:strike w:val="0"/>
          <w:dstrike w:val="0"/>
          <w:color w:val="auto"/>
        </w:rPr>
        <w:t>（江西伟灿工程技术咨询有限责任公司，2025年</w:t>
      </w:r>
      <w:r>
        <w:rPr>
          <w:rFonts w:hint="eastAsia" w:ascii="Times New Roman" w:hAnsi="Times New Roman" w:eastAsia="宋体" w:cs="Times New Roman"/>
          <w:strike w:val="0"/>
          <w:dstrike w:val="0"/>
          <w:color w:val="auto"/>
          <w:lang w:val="en-US" w:eastAsia="zh-CN"/>
        </w:rPr>
        <w:t>10</w:t>
      </w:r>
      <w:r>
        <w:rPr>
          <w:rFonts w:hint="eastAsia" w:ascii="Times New Roman" w:hAnsi="Times New Roman" w:eastAsia="宋体" w:cs="Times New Roman"/>
          <w:strike w:val="0"/>
          <w:dstrike w:val="0"/>
          <w:color w:val="auto"/>
        </w:rPr>
        <w:t>月）</w:t>
      </w:r>
    </w:p>
    <w:p w14:paraId="7CF3C753">
      <w:pPr>
        <w:rPr>
          <w:rFonts w:hint="eastAsia" w:ascii="Times New Roman" w:hAnsi="Times New Roman" w:eastAsia="宋体" w:cs="Times New Roman"/>
          <w:strike w:val="0"/>
          <w:dstrike w:val="0"/>
          <w:color w:val="auto"/>
          <w:lang w:eastAsia="zh-CN"/>
        </w:rPr>
      </w:pPr>
      <w:r>
        <w:rPr>
          <w:rFonts w:hint="eastAsia" w:ascii="Times New Roman" w:hAnsi="Times New Roman" w:eastAsia="宋体" w:cs="Times New Roman"/>
          <w:strike w:val="0"/>
          <w:dstrike w:val="0"/>
          <w:color w:val="auto"/>
          <w:lang w:eastAsia="zh-CN"/>
        </w:rPr>
        <w:t>《江西三和金业有限公司三号（氰化渣）尾矿库隐蔽致灾因素普查报告》（江西江汇地质工程勘察院有限公司，</w:t>
      </w:r>
      <w:r>
        <w:rPr>
          <w:rFonts w:hint="eastAsia" w:ascii="Times New Roman" w:hAnsi="Times New Roman" w:eastAsia="宋体" w:cs="Times New Roman"/>
          <w:strike w:val="0"/>
          <w:dstrike w:val="0"/>
          <w:color w:val="auto"/>
        </w:rPr>
        <w:t>2025年</w:t>
      </w:r>
      <w:r>
        <w:rPr>
          <w:rFonts w:hint="eastAsia" w:ascii="Times New Roman" w:hAnsi="Times New Roman" w:eastAsia="宋体" w:cs="Times New Roman"/>
          <w:strike w:val="0"/>
          <w:dstrike w:val="0"/>
          <w:color w:val="auto"/>
          <w:lang w:val="en-US" w:eastAsia="zh-CN"/>
        </w:rPr>
        <w:t>10</w:t>
      </w:r>
      <w:r>
        <w:rPr>
          <w:rFonts w:hint="eastAsia" w:ascii="Times New Roman" w:hAnsi="Times New Roman" w:eastAsia="宋体" w:cs="Times New Roman"/>
          <w:strike w:val="0"/>
          <w:dstrike w:val="0"/>
          <w:color w:val="auto"/>
        </w:rPr>
        <w:t>月</w:t>
      </w:r>
      <w:r>
        <w:rPr>
          <w:rFonts w:hint="eastAsia" w:ascii="Times New Roman" w:hAnsi="Times New Roman" w:eastAsia="宋体" w:cs="Times New Roman"/>
          <w:strike w:val="0"/>
          <w:dstrike w:val="0"/>
          <w:color w:val="auto"/>
          <w:lang w:eastAsia="zh-CN"/>
        </w:rPr>
        <w:t>）</w:t>
      </w:r>
    </w:p>
    <w:p w14:paraId="5B163310">
      <w:pPr>
        <w:rPr>
          <w:rFonts w:hint="eastAsia" w:ascii="Times New Roman" w:hAnsi="Times New Roman" w:eastAsia="宋体" w:cs="Times New Roman"/>
          <w:strike w:val="0"/>
          <w:dstrike w:val="0"/>
          <w:color w:val="auto"/>
        </w:rPr>
      </w:pPr>
      <w:r>
        <w:rPr>
          <w:rFonts w:hint="eastAsia" w:ascii="Times New Roman" w:hAnsi="Times New Roman" w:eastAsia="宋体" w:cs="Times New Roman"/>
          <w:strike w:val="0"/>
          <w:dstrike w:val="0"/>
          <w:color w:val="auto"/>
        </w:rPr>
        <w:t>《江西三和金业有限公司三号（氰化渣）尾矿库安全现状评价合同书》</w:t>
      </w:r>
    </w:p>
    <w:p w14:paraId="64D2D179">
      <w:pPr>
        <w:rPr>
          <w:rFonts w:hint="eastAsia" w:ascii="Times New Roman" w:hAnsi="Times New Roman" w:eastAsia="宋体" w:cs="Times New Roman"/>
          <w:strike w:val="0"/>
          <w:dstrike w:val="0"/>
          <w:color w:val="auto"/>
        </w:rPr>
      </w:pPr>
      <w:r>
        <w:rPr>
          <w:rFonts w:hint="eastAsia" w:ascii="Times New Roman" w:hAnsi="Times New Roman" w:eastAsia="宋体" w:cs="Times New Roman"/>
          <w:strike w:val="0"/>
          <w:dstrike w:val="0"/>
          <w:color w:val="auto"/>
        </w:rPr>
        <w:t>江西三和金业有限公司提供的图纸和其他资料。</w:t>
      </w:r>
    </w:p>
    <w:p w14:paraId="0576D4D3">
      <w:pPr>
        <w:pStyle w:val="3"/>
        <w:bidi w:val="0"/>
        <w:rPr>
          <w:rFonts w:hint="eastAsia"/>
          <w:color w:val="auto"/>
        </w:rPr>
      </w:pPr>
      <w:bookmarkStart w:id="68" w:name="_Toc22692"/>
      <w:bookmarkStart w:id="69" w:name="_Toc10497"/>
      <w:bookmarkStart w:id="70" w:name="_Toc15800"/>
      <w:bookmarkStart w:id="71" w:name="_Toc30729"/>
      <w:bookmarkStart w:id="72" w:name="_Toc2975"/>
      <w:bookmarkStart w:id="73" w:name="_Toc24656"/>
      <w:r>
        <w:rPr>
          <w:rFonts w:hint="eastAsia"/>
          <w:color w:val="auto"/>
        </w:rPr>
        <w:t>1.3</w:t>
      </w:r>
      <w:r>
        <w:rPr>
          <w:rFonts w:hint="eastAsia"/>
          <w:color w:val="auto"/>
          <w:lang w:val="en-US" w:eastAsia="zh-CN"/>
        </w:rPr>
        <w:t xml:space="preserve"> </w:t>
      </w:r>
      <w:r>
        <w:rPr>
          <w:rFonts w:hint="eastAsia"/>
          <w:color w:val="auto"/>
        </w:rPr>
        <w:t>评价对象、范围和内容</w:t>
      </w:r>
      <w:bookmarkEnd w:id="68"/>
      <w:bookmarkEnd w:id="69"/>
      <w:bookmarkEnd w:id="70"/>
      <w:bookmarkEnd w:id="71"/>
      <w:bookmarkEnd w:id="72"/>
      <w:bookmarkEnd w:id="73"/>
    </w:p>
    <w:p w14:paraId="2FE90207">
      <w:pPr>
        <w:pStyle w:val="4"/>
        <w:bidi w:val="0"/>
        <w:rPr>
          <w:rFonts w:hint="eastAsia"/>
          <w:color w:val="auto"/>
        </w:rPr>
      </w:pPr>
      <w:bookmarkStart w:id="74" w:name="_Toc10349"/>
      <w:bookmarkStart w:id="75" w:name="_Toc22294"/>
      <w:bookmarkStart w:id="76" w:name="_Toc14322"/>
      <w:bookmarkStart w:id="77" w:name="_Toc6720"/>
      <w:bookmarkStart w:id="78" w:name="_Toc27854"/>
      <w:bookmarkStart w:id="79" w:name="_Toc9618"/>
      <w:r>
        <w:rPr>
          <w:rFonts w:hint="eastAsia"/>
          <w:color w:val="auto"/>
        </w:rPr>
        <w:t>1.3.1</w:t>
      </w:r>
      <w:r>
        <w:rPr>
          <w:rFonts w:hint="eastAsia"/>
          <w:color w:val="auto"/>
          <w:lang w:val="en-US" w:eastAsia="zh-CN"/>
        </w:rPr>
        <w:t xml:space="preserve"> </w:t>
      </w:r>
      <w:r>
        <w:rPr>
          <w:rFonts w:hint="eastAsia"/>
          <w:color w:val="auto"/>
        </w:rPr>
        <w:t>评价对象、范围</w:t>
      </w:r>
      <w:bookmarkEnd w:id="74"/>
      <w:bookmarkEnd w:id="75"/>
      <w:bookmarkEnd w:id="76"/>
      <w:bookmarkEnd w:id="77"/>
      <w:bookmarkEnd w:id="78"/>
      <w:bookmarkEnd w:id="79"/>
    </w:p>
    <w:p w14:paraId="2E44E8F3">
      <w:pPr>
        <w:rPr>
          <w:rFonts w:hint="eastAsia"/>
          <w:color w:val="auto"/>
        </w:rPr>
      </w:pPr>
      <w:r>
        <w:rPr>
          <w:rFonts w:hint="eastAsia"/>
          <w:color w:val="auto"/>
        </w:rPr>
        <w:t>评价对象：</w:t>
      </w:r>
      <w:r>
        <w:rPr>
          <w:rFonts w:hint="eastAsia"/>
          <w:strike w:val="0"/>
          <w:dstrike w:val="0"/>
          <w:color w:val="auto"/>
        </w:rPr>
        <w:t>江西三和金业有限公司三号（氰化渣）尾矿库</w:t>
      </w:r>
      <w:r>
        <w:rPr>
          <w:rFonts w:hint="eastAsia"/>
          <w:color w:val="auto"/>
        </w:rPr>
        <w:t>。</w:t>
      </w:r>
    </w:p>
    <w:p w14:paraId="5E55C2A9">
      <w:pPr>
        <w:rPr>
          <w:rFonts w:hint="eastAsia"/>
          <w:strike w:val="0"/>
          <w:dstrike w:val="0"/>
          <w:color w:val="auto"/>
        </w:rPr>
      </w:pPr>
      <w:r>
        <w:rPr>
          <w:rFonts w:hint="eastAsia"/>
          <w:color w:val="auto"/>
        </w:rPr>
        <w:t>评价范围：</w:t>
      </w:r>
      <w:r>
        <w:rPr>
          <w:rFonts w:hint="eastAsia"/>
          <w:strike w:val="0"/>
          <w:dstrike w:val="0"/>
          <w:color w:val="auto"/>
        </w:rPr>
        <w:t>江西三和金业有限公司三号（氰化渣）尾矿库</w:t>
      </w:r>
      <w:r>
        <w:rPr>
          <w:rFonts w:hint="eastAsia"/>
          <w:strike w:val="0"/>
          <w:dstrike w:val="0"/>
          <w:color w:val="auto"/>
          <w:lang w:val="en-US" w:eastAsia="zh-CN"/>
        </w:rPr>
        <w:t>的</w:t>
      </w:r>
      <w:r>
        <w:rPr>
          <w:rFonts w:hint="eastAsia"/>
          <w:strike w:val="0"/>
          <w:dstrike w:val="0"/>
          <w:color w:val="auto"/>
        </w:rPr>
        <w:t>库区、尾矿坝、防排洪系统、安全监测设施、</w:t>
      </w:r>
      <w:r>
        <w:rPr>
          <w:rFonts w:hint="eastAsia"/>
          <w:strike w:val="0"/>
          <w:dstrike w:val="0"/>
          <w:color w:val="auto"/>
          <w:lang w:val="en-US" w:eastAsia="zh-CN"/>
        </w:rPr>
        <w:t>辅助设施的安全设施</w:t>
      </w:r>
      <w:r>
        <w:rPr>
          <w:rFonts w:hint="eastAsia"/>
          <w:strike w:val="0"/>
          <w:dstrike w:val="0"/>
          <w:color w:val="auto"/>
        </w:rPr>
        <w:t>及</w:t>
      </w:r>
      <w:r>
        <w:rPr>
          <w:rFonts w:hint="eastAsia"/>
          <w:strike w:val="0"/>
          <w:dstrike w:val="0"/>
          <w:color w:val="auto"/>
          <w:lang w:val="en-US" w:eastAsia="zh-CN"/>
        </w:rPr>
        <w:t>尾矿库</w:t>
      </w:r>
      <w:r>
        <w:rPr>
          <w:rFonts w:hint="eastAsia"/>
          <w:strike w:val="0"/>
          <w:dstrike w:val="0"/>
          <w:color w:val="auto"/>
        </w:rPr>
        <w:t>安全管理情况，不含尾矿输送系统、回水系统及尾矿库职业卫生、环境保护。</w:t>
      </w:r>
    </w:p>
    <w:p w14:paraId="4F167C5D">
      <w:pPr>
        <w:pStyle w:val="4"/>
        <w:bidi w:val="0"/>
        <w:rPr>
          <w:rFonts w:hint="eastAsia"/>
          <w:color w:val="auto"/>
        </w:rPr>
      </w:pPr>
      <w:bookmarkStart w:id="80" w:name="_Toc25372"/>
      <w:bookmarkStart w:id="81" w:name="_Toc15571"/>
      <w:bookmarkStart w:id="82" w:name="_Toc8293"/>
      <w:bookmarkStart w:id="83" w:name="_Toc2032"/>
      <w:bookmarkStart w:id="84" w:name="_Toc7166"/>
      <w:bookmarkStart w:id="85" w:name="_Toc27427"/>
      <w:r>
        <w:rPr>
          <w:rFonts w:hint="eastAsia"/>
          <w:color w:val="auto"/>
        </w:rPr>
        <w:t>1.3.2</w:t>
      </w:r>
      <w:r>
        <w:rPr>
          <w:rFonts w:hint="eastAsia"/>
          <w:color w:val="auto"/>
          <w:lang w:val="en-US" w:eastAsia="zh-CN"/>
        </w:rPr>
        <w:t xml:space="preserve"> </w:t>
      </w:r>
      <w:r>
        <w:rPr>
          <w:rFonts w:hint="eastAsia"/>
          <w:color w:val="auto"/>
        </w:rPr>
        <w:t>评价内容</w:t>
      </w:r>
      <w:bookmarkEnd w:id="80"/>
      <w:bookmarkEnd w:id="81"/>
      <w:bookmarkEnd w:id="82"/>
      <w:bookmarkEnd w:id="83"/>
      <w:bookmarkEnd w:id="84"/>
      <w:bookmarkEnd w:id="85"/>
    </w:p>
    <w:p w14:paraId="7D7D028C">
      <w:pPr>
        <w:rPr>
          <w:rFonts w:hint="eastAsia"/>
          <w:color w:val="auto"/>
        </w:rPr>
      </w:pPr>
      <w:r>
        <w:rPr>
          <w:rFonts w:hint="eastAsia"/>
          <w:color w:val="auto"/>
        </w:rPr>
        <w:t>1.</w:t>
      </w:r>
      <w:r>
        <w:rPr>
          <w:rFonts w:hint="eastAsia"/>
          <w:color w:val="auto"/>
          <w:lang w:val="en-US" w:eastAsia="zh-CN"/>
        </w:rPr>
        <w:t xml:space="preserve"> </w:t>
      </w:r>
      <w:r>
        <w:rPr>
          <w:rFonts w:hint="eastAsia"/>
          <w:color w:val="auto"/>
        </w:rPr>
        <w:t>检查审核</w:t>
      </w:r>
      <w:r>
        <w:rPr>
          <w:rFonts w:hint="eastAsia"/>
          <w:strike w:val="0"/>
          <w:dstrike w:val="0"/>
          <w:color w:val="auto"/>
        </w:rPr>
        <w:t>江西三和金业有限公司</w:t>
      </w:r>
      <w:r>
        <w:rPr>
          <w:rFonts w:hint="eastAsia"/>
          <w:color w:val="auto"/>
        </w:rPr>
        <w:t>提供的相应资质证书、营业执照的有效性及范围；</w:t>
      </w:r>
    </w:p>
    <w:p w14:paraId="362C4026">
      <w:pPr>
        <w:rPr>
          <w:rFonts w:hint="eastAsia"/>
          <w:color w:val="auto"/>
        </w:rPr>
      </w:pPr>
      <w:r>
        <w:rPr>
          <w:rFonts w:hint="eastAsia"/>
          <w:color w:val="auto"/>
        </w:rPr>
        <w:t>2.</w:t>
      </w:r>
      <w:r>
        <w:rPr>
          <w:rFonts w:hint="eastAsia"/>
          <w:color w:val="auto"/>
          <w:lang w:val="en-US" w:eastAsia="zh-CN"/>
        </w:rPr>
        <w:t xml:space="preserve"> </w:t>
      </w:r>
      <w:r>
        <w:rPr>
          <w:rFonts w:hint="eastAsia"/>
          <w:color w:val="auto"/>
        </w:rPr>
        <w:t>检查</w:t>
      </w:r>
      <w:r>
        <w:rPr>
          <w:rFonts w:hint="eastAsia"/>
          <w:strike w:val="0"/>
          <w:dstrike w:val="0"/>
          <w:color w:val="auto"/>
        </w:rPr>
        <w:t>江西三和金业有限公司</w:t>
      </w:r>
      <w:r>
        <w:rPr>
          <w:rFonts w:hint="eastAsia"/>
          <w:color w:val="auto"/>
        </w:rPr>
        <w:t>安全机构的设置及人员的配备，安全生产管理制度、操作规程的制定及执行情况；</w:t>
      </w:r>
    </w:p>
    <w:p w14:paraId="10F25460">
      <w:pPr>
        <w:rPr>
          <w:rFonts w:hint="eastAsia"/>
          <w:color w:val="auto"/>
        </w:rPr>
      </w:pPr>
      <w:r>
        <w:rPr>
          <w:rFonts w:hint="eastAsia"/>
          <w:color w:val="auto"/>
        </w:rPr>
        <w:t>3.</w:t>
      </w:r>
      <w:r>
        <w:rPr>
          <w:rFonts w:hint="eastAsia"/>
          <w:color w:val="auto"/>
          <w:lang w:val="en-US" w:eastAsia="zh-CN"/>
        </w:rPr>
        <w:t xml:space="preserve"> </w:t>
      </w:r>
      <w:r>
        <w:rPr>
          <w:rFonts w:hint="eastAsia"/>
          <w:color w:val="auto"/>
        </w:rPr>
        <w:t>检查</w:t>
      </w:r>
      <w:r>
        <w:rPr>
          <w:rFonts w:hint="eastAsia"/>
          <w:strike w:val="0"/>
          <w:dstrike w:val="0"/>
          <w:color w:val="auto"/>
        </w:rPr>
        <w:t>江西三和金业有限公司三号（氰化渣）尾矿库</w:t>
      </w:r>
      <w:r>
        <w:rPr>
          <w:rFonts w:hint="eastAsia"/>
          <w:color w:val="auto"/>
        </w:rPr>
        <w:t>相关的安全设施、措施是否符合相关技术标准、规范的要求；</w:t>
      </w:r>
    </w:p>
    <w:p w14:paraId="38B5CB41">
      <w:pPr>
        <w:rPr>
          <w:rFonts w:hint="eastAsia"/>
          <w:color w:val="auto"/>
        </w:rPr>
      </w:pPr>
      <w:r>
        <w:rPr>
          <w:rFonts w:hint="eastAsia"/>
          <w:color w:val="auto"/>
        </w:rPr>
        <w:t>4.</w:t>
      </w:r>
      <w:r>
        <w:rPr>
          <w:rFonts w:hint="eastAsia"/>
          <w:color w:val="auto"/>
          <w:lang w:val="en-US" w:eastAsia="zh-CN"/>
        </w:rPr>
        <w:t xml:space="preserve"> </w:t>
      </w:r>
      <w:r>
        <w:rPr>
          <w:rFonts w:hint="eastAsia"/>
          <w:color w:val="auto"/>
        </w:rPr>
        <w:t>检查</w:t>
      </w:r>
      <w:r>
        <w:rPr>
          <w:rFonts w:hint="eastAsia"/>
          <w:strike w:val="0"/>
          <w:dstrike w:val="0"/>
          <w:color w:val="auto"/>
        </w:rPr>
        <w:t>江西三和金业有限公司</w:t>
      </w:r>
      <w:r>
        <w:rPr>
          <w:rFonts w:hint="eastAsia"/>
          <w:color w:val="auto"/>
        </w:rPr>
        <w:t>主要负责人、安全管理人员的培训考核，检查审核尾矿工的培训、取证情况及一般作业人员的安全教育、培训情况；</w:t>
      </w:r>
    </w:p>
    <w:p w14:paraId="1619F53F">
      <w:pPr>
        <w:rPr>
          <w:rFonts w:hint="eastAsia"/>
          <w:color w:val="auto"/>
        </w:rPr>
      </w:pPr>
      <w:r>
        <w:rPr>
          <w:rFonts w:hint="eastAsia"/>
          <w:color w:val="auto"/>
        </w:rPr>
        <w:t>5.</w:t>
      </w:r>
      <w:r>
        <w:rPr>
          <w:rFonts w:hint="eastAsia"/>
          <w:color w:val="auto"/>
          <w:lang w:val="en-US" w:eastAsia="zh-CN"/>
        </w:rPr>
        <w:t xml:space="preserve"> </w:t>
      </w:r>
      <w:r>
        <w:rPr>
          <w:rFonts w:hint="eastAsia"/>
          <w:color w:val="auto"/>
        </w:rPr>
        <w:t>检查、审核</w:t>
      </w:r>
      <w:r>
        <w:rPr>
          <w:rFonts w:hint="eastAsia"/>
          <w:strike w:val="0"/>
          <w:dstrike w:val="0"/>
          <w:color w:val="auto"/>
        </w:rPr>
        <w:t>江西三和金业有限公司三号（氰化渣）尾矿库</w:t>
      </w:r>
      <w:r>
        <w:rPr>
          <w:rFonts w:hint="eastAsia"/>
          <w:color w:val="auto"/>
        </w:rPr>
        <w:t>事故应急救援设施、措施及预案编制、人员训练情况；</w:t>
      </w:r>
    </w:p>
    <w:p w14:paraId="3C0C3D13">
      <w:pPr>
        <w:rPr>
          <w:rFonts w:hint="eastAsia"/>
          <w:color w:val="auto"/>
        </w:rPr>
      </w:pPr>
      <w:r>
        <w:rPr>
          <w:rFonts w:hint="eastAsia"/>
          <w:color w:val="auto"/>
        </w:rPr>
        <w:t>6.</w:t>
      </w:r>
      <w:r>
        <w:rPr>
          <w:rFonts w:hint="eastAsia"/>
          <w:color w:val="auto"/>
          <w:lang w:val="en-US" w:eastAsia="zh-CN"/>
        </w:rPr>
        <w:t xml:space="preserve"> </w:t>
      </w:r>
      <w:r>
        <w:rPr>
          <w:rFonts w:hint="eastAsia"/>
          <w:color w:val="auto"/>
        </w:rPr>
        <w:t>分析</w:t>
      </w:r>
      <w:r>
        <w:rPr>
          <w:rFonts w:hint="eastAsia"/>
          <w:strike w:val="0"/>
          <w:dstrike w:val="0"/>
          <w:color w:val="auto"/>
        </w:rPr>
        <w:t>江西三和金业有限公司三号（氰化渣）尾矿库</w:t>
      </w:r>
      <w:r>
        <w:rPr>
          <w:rFonts w:hint="eastAsia"/>
          <w:color w:val="auto"/>
        </w:rPr>
        <w:t>存在的危险、有害因素；</w:t>
      </w:r>
    </w:p>
    <w:p w14:paraId="298975CE">
      <w:pPr>
        <w:rPr>
          <w:rFonts w:hint="eastAsia"/>
          <w:color w:val="auto"/>
        </w:rPr>
      </w:pPr>
      <w:r>
        <w:rPr>
          <w:rFonts w:hint="eastAsia"/>
          <w:color w:val="auto"/>
        </w:rPr>
        <w:t>7.</w:t>
      </w:r>
      <w:r>
        <w:rPr>
          <w:rFonts w:hint="eastAsia"/>
          <w:color w:val="auto"/>
          <w:lang w:val="en-US" w:eastAsia="zh-CN"/>
        </w:rPr>
        <w:t xml:space="preserve"> </w:t>
      </w:r>
      <w:r>
        <w:rPr>
          <w:rFonts w:hint="eastAsia"/>
          <w:color w:val="auto"/>
        </w:rPr>
        <w:t>对</w:t>
      </w:r>
      <w:r>
        <w:rPr>
          <w:rFonts w:hint="eastAsia"/>
          <w:strike w:val="0"/>
          <w:dstrike w:val="0"/>
          <w:color w:val="auto"/>
        </w:rPr>
        <w:t>江西三和金业有限公司三号（氰化渣）尾矿库</w:t>
      </w:r>
      <w:r>
        <w:rPr>
          <w:rFonts w:hint="eastAsia"/>
          <w:color w:val="auto"/>
        </w:rPr>
        <w:t>存在的问题提出安全对策措施；</w:t>
      </w:r>
    </w:p>
    <w:p w14:paraId="32F70616">
      <w:pPr>
        <w:rPr>
          <w:rFonts w:hint="eastAsia"/>
          <w:color w:val="auto"/>
        </w:rPr>
      </w:pPr>
      <w:r>
        <w:rPr>
          <w:rFonts w:hint="eastAsia"/>
          <w:color w:val="auto"/>
        </w:rPr>
        <w:t>8.</w:t>
      </w:r>
      <w:r>
        <w:rPr>
          <w:rFonts w:hint="eastAsia"/>
          <w:color w:val="auto"/>
          <w:lang w:val="en-US" w:eastAsia="zh-CN"/>
        </w:rPr>
        <w:t xml:space="preserve"> </w:t>
      </w:r>
      <w:r>
        <w:rPr>
          <w:rFonts w:hint="eastAsia"/>
          <w:color w:val="auto"/>
        </w:rPr>
        <w:t>按照客观、</w:t>
      </w:r>
      <w:r>
        <w:rPr>
          <w:rFonts w:hint="eastAsia"/>
          <w:color w:val="auto"/>
          <w:sz w:val="24"/>
          <w:szCs w:val="24"/>
        </w:rPr>
        <w:t>公</w:t>
      </w:r>
      <w:r>
        <w:rPr>
          <w:rFonts w:hint="eastAsia"/>
          <w:color w:val="auto"/>
        </w:rPr>
        <w:t>正、真实的原则，严谨、明确地做出安全评价结论。</w:t>
      </w:r>
    </w:p>
    <w:p w14:paraId="4DDBE13F">
      <w:pPr>
        <w:pStyle w:val="3"/>
        <w:bidi w:val="0"/>
        <w:rPr>
          <w:rFonts w:hint="eastAsia"/>
          <w:color w:val="auto"/>
        </w:rPr>
      </w:pPr>
      <w:bookmarkStart w:id="86" w:name="_Toc23003"/>
      <w:bookmarkStart w:id="87" w:name="_Toc21018"/>
      <w:bookmarkStart w:id="88" w:name="_Toc15979"/>
      <w:bookmarkStart w:id="89" w:name="_Toc17510"/>
      <w:bookmarkStart w:id="90" w:name="_Toc4690"/>
      <w:bookmarkStart w:id="91" w:name="_Toc21005"/>
      <w:r>
        <w:rPr>
          <w:rFonts w:hint="eastAsia"/>
          <w:color w:val="auto"/>
        </w:rPr>
        <w:t>1.4</w:t>
      </w:r>
      <w:r>
        <w:rPr>
          <w:rFonts w:hint="eastAsia"/>
          <w:color w:val="auto"/>
          <w:lang w:val="en-US" w:eastAsia="zh-CN"/>
        </w:rPr>
        <w:t xml:space="preserve"> </w:t>
      </w:r>
      <w:r>
        <w:rPr>
          <w:rFonts w:hint="eastAsia"/>
          <w:color w:val="auto"/>
        </w:rPr>
        <w:t>评价程序</w:t>
      </w:r>
      <w:bookmarkEnd w:id="86"/>
      <w:bookmarkEnd w:id="87"/>
      <w:bookmarkEnd w:id="88"/>
      <w:bookmarkEnd w:id="89"/>
      <w:bookmarkEnd w:id="90"/>
      <w:bookmarkEnd w:id="91"/>
    </w:p>
    <w:p w14:paraId="617D848F">
      <w:pPr>
        <w:rPr>
          <w:rFonts w:hint="eastAsia"/>
          <w:color w:val="auto"/>
        </w:rPr>
      </w:pPr>
      <w:r>
        <w:rPr>
          <w:rFonts w:hint="eastAsia"/>
          <w:color w:val="auto"/>
        </w:rPr>
        <w:t>安全评价程序包括：前期准备；辨识与分析危险、有害因素；划分评价单元；</w:t>
      </w:r>
      <w:r>
        <w:rPr>
          <w:rFonts w:hint="eastAsia"/>
          <w:color w:val="auto"/>
          <w:lang w:val="en-US" w:eastAsia="zh-CN"/>
        </w:rPr>
        <w:t>选择评价方法；</w:t>
      </w:r>
      <w:r>
        <w:rPr>
          <w:rFonts w:hint="eastAsia"/>
          <w:color w:val="auto"/>
        </w:rPr>
        <w:t>定性、定量评价；提出安全对策措施建议；做出评价结论；编制安全评价报告。</w:t>
      </w:r>
    </w:p>
    <w:p w14:paraId="4D9EB006">
      <w:pPr>
        <w:numPr>
          <w:ilvl w:val="0"/>
          <w:numId w:val="2"/>
        </w:numPr>
        <w:rPr>
          <w:rFonts w:hint="eastAsia"/>
          <w:color w:val="auto"/>
        </w:rPr>
      </w:pPr>
      <w:r>
        <w:rPr>
          <w:rFonts w:hint="eastAsia"/>
          <w:color w:val="auto"/>
        </w:rPr>
        <w:t>前期准备</w:t>
      </w:r>
    </w:p>
    <w:p w14:paraId="22F24C8E">
      <w:pPr>
        <w:rPr>
          <w:rFonts w:hint="eastAsia"/>
          <w:color w:val="auto"/>
        </w:rPr>
      </w:pPr>
      <w:r>
        <w:rPr>
          <w:rFonts w:hint="eastAsia"/>
          <w:color w:val="auto"/>
        </w:rPr>
        <w:t>明确被评价对象，备齐有关安全评价所需的设备、工具，收集国内外相关法律、法规、技术标准及建设项目资料。</w:t>
      </w:r>
    </w:p>
    <w:p w14:paraId="3B933A99">
      <w:pPr>
        <w:numPr>
          <w:ilvl w:val="0"/>
          <w:numId w:val="2"/>
        </w:numPr>
        <w:ind w:left="0" w:leftChars="0" w:firstLine="560" w:firstLineChars="200"/>
        <w:rPr>
          <w:rFonts w:hint="eastAsia"/>
          <w:color w:val="auto"/>
        </w:rPr>
      </w:pPr>
      <w:r>
        <w:rPr>
          <w:rFonts w:hint="eastAsia"/>
          <w:color w:val="auto"/>
        </w:rPr>
        <w:t>辨识与分析危险、有害因素</w:t>
      </w:r>
    </w:p>
    <w:p w14:paraId="0123FA29">
      <w:pPr>
        <w:rPr>
          <w:rFonts w:hint="eastAsia"/>
          <w:color w:val="auto"/>
        </w:rPr>
      </w:pPr>
      <w:r>
        <w:rPr>
          <w:rFonts w:hint="eastAsia"/>
          <w:color w:val="auto"/>
        </w:rPr>
        <w:t>根据评价对象的具体情况，辨识和分析危险、有害因素，确定其存在的部位、方式，以及发生作用的途径和变化规律。</w:t>
      </w:r>
    </w:p>
    <w:p w14:paraId="411A7F30">
      <w:pPr>
        <w:numPr>
          <w:ilvl w:val="0"/>
          <w:numId w:val="2"/>
        </w:numPr>
        <w:ind w:left="0" w:leftChars="0" w:firstLine="560" w:firstLineChars="200"/>
        <w:rPr>
          <w:rFonts w:hint="eastAsia"/>
          <w:color w:val="auto"/>
        </w:rPr>
      </w:pPr>
      <w:r>
        <w:rPr>
          <w:rFonts w:hint="eastAsia"/>
          <w:color w:val="auto"/>
        </w:rPr>
        <w:t>划分评价单元</w:t>
      </w:r>
    </w:p>
    <w:p w14:paraId="4C29ADF5">
      <w:pPr>
        <w:rPr>
          <w:rFonts w:hint="eastAsia"/>
          <w:color w:val="auto"/>
        </w:rPr>
      </w:pPr>
      <w:r>
        <w:rPr>
          <w:rFonts w:hint="eastAsia"/>
          <w:color w:val="auto"/>
        </w:rPr>
        <w:t>评价单元划分应科学、合理，便于实施评价，相对独立且具有明显的特征界限。</w:t>
      </w:r>
    </w:p>
    <w:p w14:paraId="31EEF85D">
      <w:pPr>
        <w:numPr>
          <w:ilvl w:val="0"/>
          <w:numId w:val="2"/>
        </w:numPr>
        <w:ind w:left="0" w:leftChars="0" w:firstLine="560" w:firstLineChars="200"/>
        <w:rPr>
          <w:rFonts w:hint="eastAsia"/>
          <w:color w:val="auto"/>
        </w:rPr>
      </w:pPr>
      <w:r>
        <w:rPr>
          <w:rFonts w:hint="eastAsia"/>
          <w:color w:val="auto"/>
        </w:rPr>
        <w:t>选择评价方法</w:t>
      </w:r>
    </w:p>
    <w:p w14:paraId="513247EA">
      <w:pPr>
        <w:rPr>
          <w:rFonts w:hint="eastAsia"/>
          <w:color w:val="auto"/>
        </w:rPr>
      </w:pPr>
      <w:r>
        <w:rPr>
          <w:rFonts w:hint="eastAsia"/>
          <w:color w:val="auto"/>
        </w:rPr>
        <w:t>根据被评价对象特点，选择科学、合理、适用的定性、定量评价方法。</w:t>
      </w:r>
    </w:p>
    <w:p w14:paraId="38F799CC">
      <w:pPr>
        <w:numPr>
          <w:ilvl w:val="0"/>
          <w:numId w:val="2"/>
        </w:numPr>
        <w:ind w:left="0" w:leftChars="0" w:firstLine="560" w:firstLineChars="200"/>
        <w:rPr>
          <w:rFonts w:hint="eastAsia"/>
          <w:color w:val="auto"/>
        </w:rPr>
      </w:pPr>
      <w:r>
        <w:rPr>
          <w:rFonts w:hint="eastAsia"/>
          <w:color w:val="auto"/>
        </w:rPr>
        <w:t>定性、定量评价</w:t>
      </w:r>
    </w:p>
    <w:p w14:paraId="2EE76DE4">
      <w:pPr>
        <w:rPr>
          <w:rFonts w:hint="eastAsia"/>
          <w:color w:val="auto"/>
        </w:rPr>
      </w:pPr>
      <w:r>
        <w:rPr>
          <w:rFonts w:hint="eastAsia"/>
          <w:color w:val="auto"/>
        </w:rPr>
        <w:t>根据评价单元的特性，选择合理的评价方法，对评价对象发生事故的可能性及其严重程度进行定性、定量评价。</w:t>
      </w:r>
    </w:p>
    <w:p w14:paraId="2E56D8C8">
      <w:pPr>
        <w:numPr>
          <w:ilvl w:val="0"/>
          <w:numId w:val="2"/>
        </w:numPr>
        <w:ind w:left="0" w:leftChars="0" w:firstLine="560" w:firstLineChars="200"/>
        <w:rPr>
          <w:rFonts w:hint="eastAsia"/>
          <w:color w:val="auto"/>
        </w:rPr>
      </w:pPr>
      <w:r>
        <w:rPr>
          <w:rFonts w:hint="eastAsia"/>
          <w:color w:val="auto"/>
        </w:rPr>
        <w:t>对策措施建议</w:t>
      </w:r>
    </w:p>
    <w:p w14:paraId="3790AE16">
      <w:pPr>
        <w:rPr>
          <w:rFonts w:hint="eastAsia"/>
          <w:color w:val="auto"/>
        </w:rPr>
      </w:pPr>
      <w:r>
        <w:rPr>
          <w:rFonts w:hint="eastAsia"/>
          <w:color w:val="auto"/>
          <w:lang w:eastAsia="zh-CN"/>
        </w:rPr>
        <w:t>（</w:t>
      </w:r>
      <w:r>
        <w:rPr>
          <w:rFonts w:hint="eastAsia"/>
          <w:color w:val="auto"/>
        </w:rPr>
        <w:t>1</w:t>
      </w:r>
      <w:r>
        <w:rPr>
          <w:rFonts w:hint="eastAsia"/>
          <w:color w:val="auto"/>
          <w:lang w:eastAsia="zh-CN"/>
        </w:rPr>
        <w:t>）</w:t>
      </w:r>
      <w:r>
        <w:rPr>
          <w:rFonts w:hint="eastAsia"/>
          <w:color w:val="auto"/>
        </w:rPr>
        <w:t>根据危险、有害因素辨识结果与定性、定量评价结果，遵循针对性、技术可行性、经济合理性的原则，提出消除或减弱危险、危害的技术和管理对策措施建议。</w:t>
      </w:r>
    </w:p>
    <w:p w14:paraId="1631638E">
      <w:pPr>
        <w:rPr>
          <w:rFonts w:hint="eastAsia"/>
          <w:color w:val="auto"/>
        </w:rPr>
      </w:pPr>
      <w:r>
        <w:rPr>
          <w:rFonts w:hint="eastAsia"/>
          <w:color w:val="auto"/>
          <w:lang w:eastAsia="zh-CN"/>
        </w:rPr>
        <w:t>（</w:t>
      </w:r>
      <w:r>
        <w:rPr>
          <w:rFonts w:hint="eastAsia"/>
          <w:color w:val="auto"/>
        </w:rPr>
        <w:t>2</w:t>
      </w:r>
      <w:r>
        <w:rPr>
          <w:rFonts w:hint="eastAsia"/>
          <w:color w:val="auto"/>
          <w:lang w:eastAsia="zh-CN"/>
        </w:rPr>
        <w:t>）</w:t>
      </w:r>
      <w:r>
        <w:rPr>
          <w:rFonts w:hint="eastAsia"/>
          <w:color w:val="auto"/>
        </w:rPr>
        <w:t>对策措施建议应具体祥实、具有可操作性。按照针对性和重要性的不同，措施和建议可分为应采纳和宜采纳两种类型。</w:t>
      </w:r>
    </w:p>
    <w:p w14:paraId="3F44B8C3">
      <w:pPr>
        <w:rPr>
          <w:rFonts w:hint="eastAsia"/>
          <w:color w:val="auto"/>
        </w:rPr>
      </w:pPr>
      <w:r>
        <w:rPr>
          <w:rFonts w:hint="eastAsia"/>
          <w:color w:val="auto"/>
          <w:lang w:val="en-US" w:eastAsia="zh-CN"/>
        </w:rPr>
        <w:t xml:space="preserve">7. </w:t>
      </w:r>
      <w:r>
        <w:rPr>
          <w:rFonts w:hint="eastAsia"/>
          <w:color w:val="auto"/>
        </w:rPr>
        <w:t>安全评价结论</w:t>
      </w:r>
    </w:p>
    <w:p w14:paraId="4DAA9FF2">
      <w:pPr>
        <w:rPr>
          <w:rFonts w:hint="eastAsia"/>
          <w:color w:val="auto"/>
        </w:rPr>
      </w:pPr>
      <w:r>
        <w:rPr>
          <w:rFonts w:hint="eastAsia"/>
          <w:color w:val="auto"/>
          <w:lang w:eastAsia="zh-CN"/>
        </w:rPr>
        <w:t>（</w:t>
      </w:r>
      <w:r>
        <w:rPr>
          <w:rFonts w:hint="eastAsia"/>
          <w:color w:val="auto"/>
        </w:rPr>
        <w:t>1</w:t>
      </w:r>
      <w:r>
        <w:rPr>
          <w:rFonts w:hint="eastAsia"/>
          <w:color w:val="auto"/>
          <w:lang w:eastAsia="zh-CN"/>
        </w:rPr>
        <w:t>）</w:t>
      </w:r>
      <w:r>
        <w:rPr>
          <w:rFonts w:hint="eastAsia"/>
          <w:color w:val="auto"/>
        </w:rPr>
        <w:t>安全评价机构应根据客观、公正、真实的原则，严谨、明确地做出安全评价结论。</w:t>
      </w:r>
    </w:p>
    <w:p w14:paraId="13618D6A">
      <w:pPr>
        <w:rPr>
          <w:rFonts w:hint="eastAsia"/>
          <w:color w:val="auto"/>
        </w:rPr>
      </w:pPr>
      <w:r>
        <w:rPr>
          <w:rFonts w:hint="eastAsia"/>
          <w:color w:val="auto"/>
          <w:lang w:eastAsia="zh-CN"/>
        </w:rPr>
        <w:t>（</w:t>
      </w:r>
      <w:r>
        <w:rPr>
          <w:rFonts w:hint="eastAsia"/>
          <w:color w:val="auto"/>
        </w:rPr>
        <w:t>2</w:t>
      </w:r>
      <w:r>
        <w:rPr>
          <w:rFonts w:hint="eastAsia"/>
          <w:color w:val="auto"/>
          <w:lang w:eastAsia="zh-CN"/>
        </w:rPr>
        <w:t>）</w:t>
      </w:r>
      <w:r>
        <w:rPr>
          <w:rFonts w:hint="eastAsia"/>
          <w:color w:val="auto"/>
        </w:rPr>
        <w:t>安全评价结论的内容应包括高度概括评价结果，从风险管理角度给出评价对象在评价时与国家有关安全生产的法律法规、标准、规章、规范的符合性结论，给出事故发生的可能性和严重程度的预测性结论，以及采取安全对策措施后的安全状态等。</w:t>
      </w:r>
    </w:p>
    <w:p w14:paraId="348886AB">
      <w:pPr>
        <w:rPr>
          <w:rFonts w:hint="eastAsia"/>
          <w:color w:val="auto"/>
        </w:rPr>
      </w:pPr>
      <w:r>
        <w:rPr>
          <w:rFonts w:hint="eastAsia"/>
          <w:color w:val="auto"/>
          <w:lang w:val="en-US" w:eastAsia="zh-CN"/>
        </w:rPr>
        <w:t xml:space="preserve">8. </w:t>
      </w:r>
      <w:r>
        <w:rPr>
          <w:rFonts w:hint="eastAsia"/>
          <w:color w:val="auto"/>
        </w:rPr>
        <w:t>编制安全评价报告</w:t>
      </w:r>
    </w:p>
    <w:p w14:paraId="6D7BCA3A">
      <w:pPr>
        <w:rPr>
          <w:rFonts w:hint="eastAsia"/>
          <w:color w:val="auto"/>
        </w:rPr>
      </w:pPr>
      <w:r>
        <w:rPr>
          <w:rFonts w:hint="eastAsia"/>
          <w:color w:val="auto"/>
        </w:rPr>
        <w:t>安全现状评价程序框图1</w:t>
      </w:r>
      <w:r>
        <w:rPr>
          <w:rFonts w:hint="eastAsia"/>
          <w:color w:val="auto"/>
          <w:lang w:val="en-US" w:eastAsia="zh-CN"/>
        </w:rPr>
        <w:t>.4</w:t>
      </w:r>
      <w:r>
        <w:rPr>
          <w:rFonts w:hint="eastAsia"/>
          <w:color w:val="auto"/>
        </w:rPr>
        <w:t>-1：</w:t>
      </w:r>
    </w:p>
    <w:p w14:paraId="3341D22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rPr>
      </w:pPr>
      <w:r>
        <w:rPr>
          <w:color w:val="auto"/>
          <w:sz w:val="28"/>
        </w:rPr>
        <mc:AlternateContent>
          <mc:Choice Requires="wpg">
            <w:drawing>
              <wp:inline distT="0" distB="0" distL="114300" distR="114300">
                <wp:extent cx="3009900" cy="5445760"/>
                <wp:effectExtent l="0" t="0" r="0" b="0"/>
                <wp:docPr id="40" name="组合 40"/>
                <wp:cNvGraphicFramePr/>
                <a:graphic xmlns:a="http://schemas.openxmlformats.org/drawingml/2006/main">
                  <a:graphicData uri="http://schemas.microsoft.com/office/word/2010/wordprocessingGroup">
                    <wpg:wgp>
                      <wpg:cNvGrpSpPr/>
                      <wpg:grpSpPr>
                        <a:xfrm>
                          <a:off x="0" y="0"/>
                          <a:ext cx="3009900" cy="5445760"/>
                          <a:chOff x="4464" y="310180"/>
                          <a:chExt cx="4740" cy="8576"/>
                        </a:xfrm>
                      </wpg:grpSpPr>
                      <wps:wsp>
                        <wps:cNvPr id="24" name="文本框 1"/>
                        <wps:cNvSpPr txBox="1"/>
                        <wps:spPr>
                          <a:xfrm>
                            <a:off x="4474" y="310180"/>
                            <a:ext cx="4730" cy="4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28790A">
                              <w:pPr>
                                <w:ind w:left="0" w:leftChars="0" w:firstLine="0" w:firstLineChars="0"/>
                                <w:jc w:val="center"/>
                                <w:rPr>
                                  <w:sz w:val="21"/>
                                  <w:szCs w:val="21"/>
                                </w:rPr>
                              </w:pPr>
                              <w:r>
                                <w:rPr>
                                  <w:rFonts w:hint="eastAsia"/>
                                  <w:sz w:val="21"/>
                                  <w:szCs w:val="21"/>
                                </w:rPr>
                                <w:t>前期准备</w:t>
                              </w:r>
                            </w:p>
                          </w:txbxContent>
                        </wps:txbx>
                        <wps:bodyPr upright="1"/>
                      </wps:wsp>
                      <wps:wsp>
                        <wps:cNvPr id="25" name="文本框 2"/>
                        <wps:cNvSpPr txBox="1"/>
                        <wps:spPr>
                          <a:xfrm>
                            <a:off x="4474" y="311303"/>
                            <a:ext cx="4705" cy="4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141113">
                              <w:pPr>
                                <w:ind w:left="0" w:leftChars="0" w:firstLine="0" w:firstLineChars="0"/>
                                <w:jc w:val="center"/>
                                <w:rPr>
                                  <w:sz w:val="21"/>
                                  <w:szCs w:val="21"/>
                                </w:rPr>
                              </w:pPr>
                              <w:r>
                                <w:rPr>
                                  <w:rFonts w:hint="eastAsia"/>
                                  <w:sz w:val="21"/>
                                  <w:szCs w:val="21"/>
                                </w:rPr>
                                <w:t>辩识与分析危险、有害因素</w:t>
                              </w:r>
                            </w:p>
                          </w:txbxContent>
                        </wps:txbx>
                        <wps:bodyPr upright="1"/>
                      </wps:wsp>
                      <wps:wsp>
                        <wps:cNvPr id="26" name="文本框 3"/>
                        <wps:cNvSpPr txBox="1"/>
                        <wps:spPr>
                          <a:xfrm>
                            <a:off x="4474" y="312532"/>
                            <a:ext cx="4688" cy="4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BE64CE">
                              <w:pPr>
                                <w:ind w:left="0" w:leftChars="0" w:firstLine="0" w:firstLineChars="0"/>
                                <w:jc w:val="center"/>
                                <w:rPr>
                                  <w:sz w:val="21"/>
                                  <w:szCs w:val="21"/>
                                </w:rPr>
                              </w:pPr>
                              <w:r>
                                <w:rPr>
                                  <w:rFonts w:hint="eastAsia"/>
                                  <w:sz w:val="21"/>
                                  <w:szCs w:val="21"/>
                                </w:rPr>
                                <w:t>划分评价单元</w:t>
                              </w:r>
                            </w:p>
                          </w:txbxContent>
                        </wps:txbx>
                        <wps:bodyPr upright="1"/>
                      </wps:wsp>
                      <wps:wsp>
                        <wps:cNvPr id="27" name="文本框 4"/>
                        <wps:cNvSpPr txBox="1"/>
                        <wps:spPr>
                          <a:xfrm>
                            <a:off x="4474" y="313655"/>
                            <a:ext cx="4688" cy="4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6691AE">
                              <w:pPr>
                                <w:ind w:left="0" w:leftChars="0" w:firstLine="0" w:firstLineChars="0"/>
                                <w:jc w:val="center"/>
                                <w:rPr>
                                  <w:sz w:val="21"/>
                                  <w:szCs w:val="21"/>
                                </w:rPr>
                              </w:pPr>
                              <w:r>
                                <w:rPr>
                                  <w:rFonts w:hint="eastAsia"/>
                                  <w:sz w:val="21"/>
                                  <w:szCs w:val="21"/>
                                </w:rPr>
                                <w:t>选择评价方法</w:t>
                              </w:r>
                            </w:p>
                          </w:txbxContent>
                        </wps:txbx>
                        <wps:bodyPr upright="1"/>
                      </wps:wsp>
                      <wps:wsp>
                        <wps:cNvPr id="28" name="文本框 5"/>
                        <wps:cNvSpPr txBox="1"/>
                        <wps:spPr>
                          <a:xfrm>
                            <a:off x="4474" y="314871"/>
                            <a:ext cx="4688" cy="4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7AB3E8">
                              <w:pPr>
                                <w:ind w:left="0" w:leftChars="0" w:firstLine="0" w:firstLineChars="0"/>
                                <w:jc w:val="center"/>
                                <w:rPr>
                                  <w:sz w:val="21"/>
                                  <w:szCs w:val="21"/>
                                </w:rPr>
                              </w:pPr>
                              <w:r>
                                <w:rPr>
                                  <w:rFonts w:hint="eastAsia"/>
                                  <w:sz w:val="21"/>
                                  <w:szCs w:val="21"/>
                                </w:rPr>
                                <w:t>定性、定量评价</w:t>
                              </w:r>
                            </w:p>
                          </w:txbxContent>
                        </wps:txbx>
                        <wps:bodyPr upright="1"/>
                      </wps:wsp>
                      <wps:wsp>
                        <wps:cNvPr id="29" name="文本框 6"/>
                        <wps:cNvSpPr txBox="1"/>
                        <wps:spPr>
                          <a:xfrm>
                            <a:off x="4474" y="315994"/>
                            <a:ext cx="4676" cy="4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E797F0">
                              <w:pPr>
                                <w:ind w:left="0" w:leftChars="0" w:firstLine="0" w:firstLineChars="0"/>
                                <w:jc w:val="center"/>
                              </w:pPr>
                              <w:r>
                                <w:rPr>
                                  <w:rFonts w:hint="eastAsia"/>
                                  <w:sz w:val="21"/>
                                  <w:szCs w:val="21"/>
                                </w:rPr>
                                <w:t>提出安全对策措施建议</w:t>
                              </w:r>
                            </w:p>
                          </w:txbxContent>
                        </wps:txbx>
                        <wps:bodyPr upright="1"/>
                      </wps:wsp>
                      <wps:wsp>
                        <wps:cNvPr id="30" name="文本框 7"/>
                        <wps:cNvSpPr txBox="1"/>
                        <wps:spPr>
                          <a:xfrm>
                            <a:off x="4474" y="317223"/>
                            <a:ext cx="4688" cy="4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1C222B">
                              <w:pPr>
                                <w:ind w:left="0" w:leftChars="0" w:firstLine="0" w:firstLineChars="0"/>
                                <w:jc w:val="center"/>
                                <w:rPr>
                                  <w:sz w:val="21"/>
                                  <w:szCs w:val="21"/>
                                </w:rPr>
                              </w:pPr>
                              <w:r>
                                <w:rPr>
                                  <w:rFonts w:hint="eastAsia"/>
                                  <w:sz w:val="21"/>
                                  <w:szCs w:val="21"/>
                                </w:rPr>
                                <w:t>做出评价结论</w:t>
                              </w:r>
                            </w:p>
                          </w:txbxContent>
                        </wps:txbx>
                        <wps:bodyPr upright="1"/>
                      </wps:wsp>
                      <wps:wsp>
                        <wps:cNvPr id="31" name="文本框 8"/>
                        <wps:cNvSpPr txBox="1"/>
                        <wps:spPr>
                          <a:xfrm>
                            <a:off x="4464" y="318345"/>
                            <a:ext cx="4681" cy="4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6AE292">
                              <w:pPr>
                                <w:keepNext w:val="0"/>
                                <w:keepLines w:val="0"/>
                                <w:pageBreakBefore w:val="0"/>
                                <w:widowControl w:val="0"/>
                                <w:kinsoku/>
                                <w:wordWrap/>
                                <w:overflowPunct/>
                                <w:topLinePunct w:val="0"/>
                                <w:bidi w:val="0"/>
                                <w:adjustRightInd w:val="0"/>
                                <w:snapToGrid w:val="0"/>
                                <w:ind w:left="0" w:leftChars="0" w:firstLine="0" w:firstLineChars="0"/>
                                <w:jc w:val="center"/>
                                <w:textAlignment w:val="auto"/>
                              </w:pPr>
                              <w:r>
                                <w:rPr>
                                  <w:rFonts w:hint="eastAsia"/>
                                  <w:sz w:val="21"/>
                                  <w:szCs w:val="21"/>
                                </w:rPr>
                                <w:t>编制安全现状评价报告</w:t>
                              </w:r>
                            </w:p>
                          </w:txbxContent>
                        </wps:txbx>
                        <wps:bodyPr upright="1"/>
                      </wps:wsp>
                      <wps:wsp>
                        <wps:cNvPr id="32" name="直接连接符 9"/>
                        <wps:cNvCnPr/>
                        <wps:spPr>
                          <a:xfrm>
                            <a:off x="6795" y="310587"/>
                            <a:ext cx="0" cy="714"/>
                          </a:xfrm>
                          <a:prstGeom prst="line">
                            <a:avLst/>
                          </a:prstGeom>
                          <a:ln w="9525" cap="flat" cmpd="sng">
                            <a:solidFill>
                              <a:srgbClr val="000000"/>
                            </a:solidFill>
                            <a:prstDash val="solid"/>
                            <a:headEnd type="none" w="med" len="med"/>
                            <a:tailEnd type="triangle" w="med" len="med"/>
                          </a:ln>
                        </wps:spPr>
                        <wps:bodyPr upright="1"/>
                      </wps:wsp>
                      <wps:wsp>
                        <wps:cNvPr id="33" name="直接连接符 10"/>
                        <wps:cNvCnPr/>
                        <wps:spPr>
                          <a:xfrm>
                            <a:off x="6795" y="311711"/>
                            <a:ext cx="0" cy="819"/>
                          </a:xfrm>
                          <a:prstGeom prst="line">
                            <a:avLst/>
                          </a:prstGeom>
                          <a:ln w="9525" cap="flat" cmpd="sng">
                            <a:solidFill>
                              <a:srgbClr val="000000"/>
                            </a:solidFill>
                            <a:prstDash val="solid"/>
                            <a:headEnd type="none" w="med" len="med"/>
                            <a:tailEnd type="triangle" w="med" len="med"/>
                          </a:ln>
                        </wps:spPr>
                        <wps:bodyPr upright="1"/>
                      </wps:wsp>
                      <wps:wsp>
                        <wps:cNvPr id="34" name="直接连接符 11"/>
                        <wps:cNvCnPr/>
                        <wps:spPr>
                          <a:xfrm>
                            <a:off x="6817" y="312940"/>
                            <a:ext cx="0" cy="714"/>
                          </a:xfrm>
                          <a:prstGeom prst="line">
                            <a:avLst/>
                          </a:prstGeom>
                          <a:ln w="9525" cap="flat" cmpd="sng">
                            <a:solidFill>
                              <a:srgbClr val="000000"/>
                            </a:solidFill>
                            <a:prstDash val="solid"/>
                            <a:headEnd type="none" w="med" len="med"/>
                            <a:tailEnd type="triangle" w="med" len="med"/>
                          </a:ln>
                        </wps:spPr>
                        <wps:bodyPr upright="1"/>
                      </wps:wsp>
                      <wps:wsp>
                        <wps:cNvPr id="35" name="直接连接符 12"/>
                        <wps:cNvCnPr/>
                        <wps:spPr>
                          <a:xfrm>
                            <a:off x="6817" y="314063"/>
                            <a:ext cx="0" cy="806"/>
                          </a:xfrm>
                          <a:prstGeom prst="line">
                            <a:avLst/>
                          </a:prstGeom>
                          <a:ln w="9525" cap="flat" cmpd="sng">
                            <a:solidFill>
                              <a:srgbClr val="000000"/>
                            </a:solidFill>
                            <a:prstDash val="solid"/>
                            <a:headEnd type="none" w="med" len="med"/>
                            <a:tailEnd type="triangle" w="med" len="med"/>
                          </a:ln>
                        </wps:spPr>
                        <wps:bodyPr upright="1"/>
                      </wps:wsp>
                      <wps:wsp>
                        <wps:cNvPr id="36" name="直接连接符 13"/>
                        <wps:cNvCnPr/>
                        <wps:spPr>
                          <a:xfrm>
                            <a:off x="6817" y="315278"/>
                            <a:ext cx="0" cy="714"/>
                          </a:xfrm>
                          <a:prstGeom prst="line">
                            <a:avLst/>
                          </a:prstGeom>
                          <a:ln w="9525" cap="flat" cmpd="sng">
                            <a:solidFill>
                              <a:srgbClr val="000000"/>
                            </a:solidFill>
                            <a:prstDash val="solid"/>
                            <a:headEnd type="none" w="med" len="med"/>
                            <a:tailEnd type="triangle" w="med" len="med"/>
                          </a:ln>
                        </wps:spPr>
                        <wps:bodyPr upright="1"/>
                      </wps:wsp>
                      <wps:wsp>
                        <wps:cNvPr id="37" name="直接连接符 14"/>
                        <wps:cNvCnPr/>
                        <wps:spPr>
                          <a:xfrm>
                            <a:off x="6795" y="316402"/>
                            <a:ext cx="0" cy="819"/>
                          </a:xfrm>
                          <a:prstGeom prst="line">
                            <a:avLst/>
                          </a:prstGeom>
                          <a:ln w="9525" cap="flat" cmpd="sng">
                            <a:solidFill>
                              <a:srgbClr val="000000"/>
                            </a:solidFill>
                            <a:prstDash val="solid"/>
                            <a:headEnd type="none" w="med" len="med"/>
                            <a:tailEnd type="triangle" w="med" len="med"/>
                          </a:ln>
                        </wps:spPr>
                        <wps:bodyPr upright="1"/>
                      </wps:wsp>
                      <wps:wsp>
                        <wps:cNvPr id="38" name="直接连接符 15"/>
                        <wps:cNvCnPr/>
                        <wps:spPr>
                          <a:xfrm>
                            <a:off x="6795" y="317631"/>
                            <a:ext cx="0" cy="714"/>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428.8pt;width:237pt;" coordorigin="4464,310180" coordsize="4740,8576" o:gfxdata="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">
                <o:lock v:ext="edit" aspectratio="f"/>
                <v:shape id="文本框 1" o:spid="_x0000_s1026" o:spt="202" type="#_x0000_t202" style="position:absolute;left:4474;top:310180;height:410;width:4730;" fillcolor="#FFFFFF" filled="t" stroked="t" coordsize="21600,21600" o:gfxdata="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TE2e/&#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B28790A">
                        <w:pPr>
                          <w:ind w:left="0" w:leftChars="0" w:firstLine="0" w:firstLineChars="0"/>
                          <w:jc w:val="center"/>
                          <w:rPr>
                            <w:sz w:val="21"/>
                            <w:szCs w:val="21"/>
                          </w:rPr>
                        </w:pPr>
                        <w:r>
                          <w:rPr>
                            <w:rFonts w:hint="eastAsia"/>
                            <w:sz w:val="21"/>
                            <w:szCs w:val="21"/>
                          </w:rPr>
                          <w:t>前期准备</w:t>
                        </w:r>
                      </w:p>
                    </w:txbxContent>
                  </v:textbox>
                </v:shape>
                <v:shape id="文本框 2" o:spid="_x0000_s1026" o:spt="202" type="#_x0000_t202" style="position:absolute;left:4474;top:311303;height:411;width:4705;" fillcolor="#FFFFFF" filled="t" stroked="t" coordsize="21600,21600" o:gfxdata="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X7b8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4141113">
                        <w:pPr>
                          <w:ind w:left="0" w:leftChars="0" w:firstLine="0" w:firstLineChars="0"/>
                          <w:jc w:val="center"/>
                          <w:rPr>
                            <w:sz w:val="21"/>
                            <w:szCs w:val="21"/>
                          </w:rPr>
                        </w:pPr>
                        <w:r>
                          <w:rPr>
                            <w:rFonts w:hint="eastAsia"/>
                            <w:sz w:val="21"/>
                            <w:szCs w:val="21"/>
                          </w:rPr>
                          <w:t>辩识与分析危险、有害因素</w:t>
                        </w:r>
                      </w:p>
                    </w:txbxContent>
                  </v:textbox>
                </v:shape>
                <v:shape id="文本框 3" o:spid="_x0000_s1026" o:spt="202" type="#_x0000_t202" style="position:absolute;left:4474;top:312532;height:410;width:4688;" fillcolor="#FFFFFF" filled="t" stroked="t" coordsize="21600,21600" o:gfxdata="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jSiL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2BE64CE">
                        <w:pPr>
                          <w:ind w:left="0" w:leftChars="0" w:firstLine="0" w:firstLineChars="0"/>
                          <w:jc w:val="center"/>
                          <w:rPr>
                            <w:sz w:val="21"/>
                            <w:szCs w:val="21"/>
                          </w:rPr>
                        </w:pPr>
                        <w:r>
                          <w:rPr>
                            <w:rFonts w:hint="eastAsia"/>
                            <w:sz w:val="21"/>
                            <w:szCs w:val="21"/>
                          </w:rPr>
                          <w:t>划分评价单元</w:t>
                        </w:r>
                      </w:p>
                    </w:txbxContent>
                  </v:textbox>
                </v:shape>
                <v:shape id="文本框 4" o:spid="_x0000_s1026" o:spt="202" type="#_x0000_t202" style="position:absolute;left:4474;top:313655;height:410;width:4688;" fillcolor="#FFFFFF" filled="t" stroked="t" coordsize="21600,21600" o:gfxdata="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BjRC/&#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76691AE">
                        <w:pPr>
                          <w:ind w:left="0" w:leftChars="0" w:firstLine="0" w:firstLineChars="0"/>
                          <w:jc w:val="center"/>
                          <w:rPr>
                            <w:sz w:val="21"/>
                            <w:szCs w:val="21"/>
                          </w:rPr>
                        </w:pPr>
                        <w:r>
                          <w:rPr>
                            <w:rFonts w:hint="eastAsia"/>
                            <w:sz w:val="21"/>
                            <w:szCs w:val="21"/>
                          </w:rPr>
                          <w:t>选择评价方法</w:t>
                        </w:r>
                      </w:p>
                    </w:txbxContent>
                  </v:textbox>
                </v:shape>
                <v:shape id="文本框 5" o:spid="_x0000_s1026" o:spt="202" type="#_x0000_t202" style="position:absolute;left:4474;top:314871;height:410;width:4688;" fillcolor="#FFFFFF" filled="t" stroked="t" coordsize="21600,21600" o:gfxdata="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Xhli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107AB3E8">
                        <w:pPr>
                          <w:ind w:left="0" w:leftChars="0" w:firstLine="0" w:firstLineChars="0"/>
                          <w:jc w:val="center"/>
                          <w:rPr>
                            <w:sz w:val="21"/>
                            <w:szCs w:val="21"/>
                          </w:rPr>
                        </w:pPr>
                        <w:r>
                          <w:rPr>
                            <w:rFonts w:hint="eastAsia"/>
                            <w:sz w:val="21"/>
                            <w:szCs w:val="21"/>
                          </w:rPr>
                          <w:t>定性、定量评价</w:t>
                        </w:r>
                      </w:p>
                    </w:txbxContent>
                  </v:textbox>
                </v:shape>
                <v:shape id="文本框 6" o:spid="_x0000_s1026" o:spt="202" type="#_x0000_t202" style="position:absolute;left:4474;top:315994;height:411;width:4676;" fillcolor="#FFFFFF" filled="t" stroked="t" coordsize="21600,21600" o:gfxdata="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Erz5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4E797F0">
                        <w:pPr>
                          <w:ind w:left="0" w:leftChars="0" w:firstLine="0" w:firstLineChars="0"/>
                          <w:jc w:val="center"/>
                        </w:pPr>
                        <w:r>
                          <w:rPr>
                            <w:rFonts w:hint="eastAsia"/>
                            <w:sz w:val="21"/>
                            <w:szCs w:val="21"/>
                          </w:rPr>
                          <w:t>提出安全对策措施建议</w:t>
                        </w:r>
                      </w:p>
                    </w:txbxContent>
                  </v:textbox>
                </v:shape>
                <v:shape id="文本框 7" o:spid="_x0000_s1026" o:spt="202" type="#_x0000_t202" style="position:absolute;left:4474;top:317223;height:410;width:4688;" fillcolor="#FFFFFF" filled="t" stroked="t" coordsize="21600,21600" o:gfxdata="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GDu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61C222B">
                        <w:pPr>
                          <w:ind w:left="0" w:leftChars="0" w:firstLine="0" w:firstLineChars="0"/>
                          <w:jc w:val="center"/>
                          <w:rPr>
                            <w:sz w:val="21"/>
                            <w:szCs w:val="21"/>
                          </w:rPr>
                        </w:pPr>
                        <w:r>
                          <w:rPr>
                            <w:rFonts w:hint="eastAsia"/>
                            <w:sz w:val="21"/>
                            <w:szCs w:val="21"/>
                          </w:rPr>
                          <w:t>做出评价结论</w:t>
                        </w:r>
                      </w:p>
                    </w:txbxContent>
                  </v:textbox>
                </v:shape>
                <v:shape id="文本框 8" o:spid="_x0000_s1026" o:spt="202" type="#_x0000_t202" style="position:absolute;left:4464;top:318345;height:411;width:4681;" fillcolor="#FFFFFF" filled="t" stroked="t" coordsize="21600,21600" o:gfxdata="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0mI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16AE292">
                        <w:pPr>
                          <w:keepNext w:val="0"/>
                          <w:keepLines w:val="0"/>
                          <w:pageBreakBefore w:val="0"/>
                          <w:widowControl w:val="0"/>
                          <w:kinsoku/>
                          <w:wordWrap/>
                          <w:overflowPunct/>
                          <w:topLinePunct w:val="0"/>
                          <w:bidi w:val="0"/>
                          <w:adjustRightInd w:val="0"/>
                          <w:snapToGrid w:val="0"/>
                          <w:ind w:left="0" w:leftChars="0" w:firstLine="0" w:firstLineChars="0"/>
                          <w:jc w:val="center"/>
                          <w:textAlignment w:val="auto"/>
                        </w:pPr>
                        <w:r>
                          <w:rPr>
                            <w:rFonts w:hint="eastAsia"/>
                            <w:sz w:val="21"/>
                            <w:szCs w:val="21"/>
                          </w:rPr>
                          <w:t>编制安全现状评价报告</w:t>
                        </w:r>
                      </w:p>
                    </w:txbxContent>
                  </v:textbox>
                </v:shape>
                <v:line id="直接连接符 9" o:spid="_x0000_s1026" o:spt="20" style="position:absolute;left:6795;top:310587;height:714;width:0;" filled="f" stroked="t" coordsize="21600,21600" o:gfxdata="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2Cmy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0" o:spid="_x0000_s1026" o:spt="20" style="position:absolute;left:6795;top:311711;height:819;width:0;" filled="f" stroked="t" coordsize="21600,21600" o:gfxdata="UEsDBAoAAAAAAIdO4kAAAAAAAAAAAAAAAAAEAAAAZHJzL1BLAwQUAAAACACHTuJA0s4+vL4AAADb&#10;AAAADwAAAGRycy9kb3ducmV2LnhtbEWPQWvCQBSE74L/YXmCN91EoY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s4+v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1" o:spid="_x0000_s1026" o:spt="20" style="position:absolute;left:6817;top:312940;height:714;width:0;" filled="f" stroked="t" coordsize="21600,21600" o:gfxdata="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nps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2" o:spid="_x0000_s1026" o:spt="20" style="position:absolute;left:6817;top:314063;height:806;width:0;" filled="f" stroked="t" coordsize="21600,21600" o:gfxdata="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rA1O/&#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3" o:spid="_x0000_s1026" o:spt="20" style="position:absolute;left:6817;top:315278;height:714;width:0;" filled="f" stroked="t" coordsize="21600,21600" o:gfxdata="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5nSS/&#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4" o:spid="_x0000_s1026" o:spt="20" style="position:absolute;left:6795;top:316402;height:819;width:0;" filled="f" stroked="t" coordsize="21600,21600" o:gfxdata="UEsDBAoAAAAAAIdO4kAAAAAAAAAAAAAAAAAEAAAAZHJzL1BLAwQUAAAACACHTuJArfU4v78AAADb&#10;AAAADwAAAGRycy9kb3ducmV2LnhtbEWPT2vCQBTE7wW/w/KE3uomFmqI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1OL+/&#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5" o:spid="_x0000_s1026" o:spt="20" style="position:absolute;left:6795;top:317631;height:714;width:0;" filled="f" stroked="t" coordsize="21600,21600" o:gfxdata="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Gqsz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w10:wrap type="none"/>
                <w10:anchorlock/>
              </v:group>
            </w:pict>
          </mc:Fallback>
        </mc:AlternateContent>
      </w:r>
    </w:p>
    <w:p w14:paraId="535B274A">
      <w:pPr>
        <w:bidi w:val="0"/>
        <w:ind w:left="0" w:leftChars="0" w:firstLine="0" w:firstLineChars="0"/>
        <w:jc w:val="center"/>
        <w:rPr>
          <w:color w:val="auto"/>
        </w:rPr>
      </w:pPr>
      <w:r>
        <w:rPr>
          <w:rFonts w:hint="eastAsia"/>
          <w:color w:val="auto"/>
          <w:lang w:val="en-US" w:eastAsia="zh-CN"/>
        </w:rPr>
        <w:t xml:space="preserve">图1.4-1 </w:t>
      </w:r>
      <w:r>
        <w:rPr>
          <w:color w:val="auto"/>
        </w:rPr>
        <w:t>安全现状评价程序框</w:t>
      </w:r>
    </w:p>
    <w:p w14:paraId="2E6AA6F5">
      <w:pPr>
        <w:bidi w:val="0"/>
        <w:ind w:left="0" w:leftChars="0" w:firstLine="0" w:firstLineChars="0"/>
        <w:jc w:val="center"/>
        <w:rPr>
          <w:color w:val="auto"/>
        </w:rPr>
      </w:pPr>
    </w:p>
    <w:p w14:paraId="2C94622D">
      <w:pPr>
        <w:ind w:left="0" w:leftChars="0" w:firstLine="0" w:firstLineChars="0"/>
        <w:rPr>
          <w:rFonts w:hint="eastAsia"/>
          <w:color w:val="auto"/>
        </w:rPr>
      </w:pPr>
      <w:r>
        <w:rPr>
          <w:color w:val="auto"/>
          <w:sz w:val="28"/>
        </w:rPr>
        <mc:AlternateContent>
          <mc:Choice Requires="wps">
            <w:drawing>
              <wp:anchor distT="0" distB="0" distL="114300" distR="114300" simplePos="0" relativeHeight="251660288" behindDoc="0" locked="0" layoutInCell="1" allowOverlap="1">
                <wp:simplePos x="0" y="0"/>
                <wp:positionH relativeFrom="column">
                  <wp:posOffset>-46355</wp:posOffset>
                </wp:positionH>
                <wp:positionV relativeFrom="paragraph">
                  <wp:posOffset>5895340</wp:posOffset>
                </wp:positionV>
                <wp:extent cx="5753100" cy="3810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5753100" cy="381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7471A41">
                            <w:pPr>
                              <w:bidi w:val="0"/>
                              <w:ind w:left="0" w:leftChars="0" w:firstLine="0" w:firstLineChars="0"/>
                              <w:jc w:val="center"/>
                              <w:rPr>
                                <w:rFonts w:hint="default"/>
                                <w:lang w:val="en-US" w:eastAsia="zh-CN"/>
                              </w:rPr>
                            </w:pPr>
                            <w:r>
                              <w:rPr>
                                <w:rFonts w:hint="eastAsia"/>
                                <w:lang w:val="en-US" w:eastAsia="zh-CN"/>
                              </w:rPr>
                              <w:t xml:space="preserve">图1-1 </w:t>
                            </w:r>
                            <w:r>
                              <w:t>安全现状评价程序框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5pt;margin-top:464.2pt;height:30pt;width:453pt;z-index:251660288;mso-width-relative:page;mso-height-relative:page;" fillcolor="#FFFFFF [3201]" filled="t" stroked="f" coordsize="21600,21600" o:gfxdata="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JHv0nLWAAAACgEAAA8A&#10;AAAAAAAAAQAgAAAAIgAAAGRycy9kb3ducmV2LnhtbFBLAQIUABQAAAAIAIdO4kAA7ySWUgIAAJEE&#10;AAAOAAAAAAAAAAEAIAAAACUBAABkcnMvZTJvRG9jLnhtbFBLBQYAAAAABgAGAFkBAADpBQAAAAA=&#10;">
                <v:fill on="t" focussize="0,0"/>
                <v:stroke on="f" weight="0.5pt"/>
                <v:imagedata o:title=""/>
                <o:lock v:ext="edit" aspectratio="f"/>
                <v:textbox>
                  <w:txbxContent>
                    <w:p w14:paraId="77471A41">
                      <w:pPr>
                        <w:bidi w:val="0"/>
                        <w:ind w:left="0" w:leftChars="0" w:firstLine="0" w:firstLineChars="0"/>
                        <w:jc w:val="center"/>
                        <w:rPr>
                          <w:rFonts w:hint="default"/>
                          <w:lang w:val="en-US" w:eastAsia="zh-CN"/>
                        </w:rPr>
                      </w:pPr>
                      <w:r>
                        <w:rPr>
                          <w:rFonts w:hint="eastAsia"/>
                          <w:lang w:val="en-US" w:eastAsia="zh-CN"/>
                        </w:rPr>
                        <w:t xml:space="preserve">图1-1 </w:t>
                      </w:r>
                      <w:r>
                        <w:t>安全现状评价程序框</w:t>
                      </w:r>
                    </w:p>
                  </w:txbxContent>
                </v:textbox>
              </v:shape>
            </w:pict>
          </mc:Fallback>
        </mc:AlternateContent>
      </w:r>
      <w:r>
        <w:rPr>
          <w:rFonts w:hint="eastAsia"/>
          <w:color w:val="auto"/>
        </w:rPr>
        <w:br w:type="page"/>
      </w:r>
    </w:p>
    <w:p w14:paraId="00CC2BA2">
      <w:pPr>
        <w:pStyle w:val="2"/>
        <w:numPr>
          <w:ilvl w:val="0"/>
          <w:numId w:val="1"/>
        </w:numPr>
        <w:bidi w:val="0"/>
        <w:ind w:left="0" w:leftChars="0" w:firstLine="0" w:firstLineChars="0"/>
        <w:rPr>
          <w:rFonts w:hint="eastAsia"/>
          <w:color w:val="auto"/>
        </w:rPr>
      </w:pPr>
      <w:bookmarkStart w:id="92" w:name="_Toc4025"/>
      <w:bookmarkStart w:id="93" w:name="_Toc32339"/>
      <w:bookmarkStart w:id="94" w:name="_Toc32025"/>
      <w:bookmarkStart w:id="95" w:name="_Toc29527"/>
      <w:bookmarkStart w:id="96" w:name="_Toc24765"/>
      <w:bookmarkStart w:id="97" w:name="_Toc11386"/>
      <w:r>
        <w:rPr>
          <w:rFonts w:hint="eastAsia"/>
          <w:color w:val="auto"/>
        </w:rPr>
        <w:t>尾矿库概况</w:t>
      </w:r>
      <w:bookmarkEnd w:id="92"/>
      <w:bookmarkEnd w:id="93"/>
      <w:bookmarkEnd w:id="94"/>
      <w:bookmarkEnd w:id="95"/>
      <w:bookmarkEnd w:id="96"/>
      <w:bookmarkEnd w:id="97"/>
    </w:p>
    <w:p w14:paraId="34C45DED">
      <w:pPr>
        <w:pStyle w:val="3"/>
        <w:bidi w:val="0"/>
        <w:rPr>
          <w:rFonts w:hint="eastAsia"/>
          <w:color w:val="auto"/>
        </w:rPr>
      </w:pPr>
      <w:bookmarkStart w:id="98" w:name="_Toc31252"/>
      <w:bookmarkStart w:id="99" w:name="_Toc14277"/>
      <w:bookmarkStart w:id="100" w:name="_Toc14132"/>
      <w:bookmarkStart w:id="101" w:name="_Toc22818"/>
      <w:bookmarkStart w:id="102" w:name="_Toc28998"/>
      <w:bookmarkStart w:id="103" w:name="_Toc9349"/>
      <w:r>
        <w:rPr>
          <w:rFonts w:hint="eastAsia"/>
          <w:color w:val="auto"/>
        </w:rPr>
        <w:t>2.1</w:t>
      </w:r>
      <w:r>
        <w:rPr>
          <w:rFonts w:hint="eastAsia"/>
          <w:color w:val="auto"/>
          <w:lang w:val="en-US" w:eastAsia="zh-CN"/>
        </w:rPr>
        <w:t xml:space="preserve"> </w:t>
      </w:r>
      <w:bookmarkEnd w:id="98"/>
      <w:bookmarkEnd w:id="99"/>
      <w:bookmarkEnd w:id="100"/>
      <w:r>
        <w:rPr>
          <w:rFonts w:hint="eastAsia"/>
          <w:color w:val="auto"/>
        </w:rPr>
        <w:t>建设单位概况</w:t>
      </w:r>
      <w:bookmarkEnd w:id="101"/>
      <w:bookmarkEnd w:id="102"/>
      <w:bookmarkEnd w:id="103"/>
    </w:p>
    <w:p w14:paraId="1A1EF32D">
      <w:pPr>
        <w:bidi w:val="0"/>
        <w:rPr>
          <w:rFonts w:hint="default"/>
          <w:color w:val="auto"/>
          <w:lang w:val="en-US" w:eastAsia="zh-CN"/>
        </w:rPr>
      </w:pPr>
      <w:r>
        <w:rPr>
          <w:rFonts w:hint="default"/>
          <w:color w:val="auto"/>
          <w:lang w:val="en-US" w:eastAsia="zh-CN"/>
        </w:rPr>
        <w:t>江西三和金业有限公司成立于2004年9月，是一座采用生物氧化工艺的湿法黄金冶炼厂。冶炼厂设计生产能力为日处理含砷金精矿100t，年生产黄金1800kg。2009年年初由中国黄金集团公司完成股权重组，现为中国黄金集团公司控股的一家股份制黄金冶炼企业。2013年改扩建成规模为150t/d的黄金冶炼厂，采用金精矿生物氧化～氧化渣氰化炭浆提金工艺。2021年变更厂设计生产能力为日处理金精矿250T，实际日处理能力180T。</w:t>
      </w:r>
    </w:p>
    <w:p w14:paraId="52F822EB">
      <w:pPr>
        <w:bidi w:val="0"/>
        <w:rPr>
          <w:rFonts w:hint="default"/>
          <w:color w:val="auto"/>
          <w:lang w:val="en-US" w:eastAsia="zh-CN"/>
        </w:rPr>
      </w:pPr>
      <w:r>
        <w:rPr>
          <w:rFonts w:hint="default"/>
          <w:color w:val="auto"/>
          <w:lang w:val="en-US" w:eastAsia="zh-CN"/>
        </w:rPr>
        <w:t>三和金业于202</w:t>
      </w:r>
      <w:r>
        <w:rPr>
          <w:rFonts w:hint="eastAsia"/>
          <w:color w:val="auto"/>
          <w:lang w:val="en-US" w:eastAsia="zh-CN"/>
        </w:rPr>
        <w:t>5</w:t>
      </w:r>
      <w:r>
        <w:rPr>
          <w:rFonts w:hint="default"/>
          <w:color w:val="auto"/>
          <w:lang w:val="en-US" w:eastAsia="zh-CN"/>
        </w:rPr>
        <w:t>年</w:t>
      </w:r>
      <w:r>
        <w:rPr>
          <w:rFonts w:hint="eastAsia"/>
          <w:color w:val="auto"/>
          <w:lang w:val="en-US" w:eastAsia="zh-CN"/>
        </w:rPr>
        <w:t>3</w:t>
      </w:r>
      <w:r>
        <w:rPr>
          <w:rFonts w:hint="default"/>
          <w:color w:val="auto"/>
          <w:lang w:val="en-US" w:eastAsia="zh-CN"/>
        </w:rPr>
        <w:t>月</w:t>
      </w:r>
      <w:r>
        <w:rPr>
          <w:rFonts w:hint="eastAsia"/>
          <w:color w:val="auto"/>
          <w:lang w:val="en-US" w:eastAsia="zh-CN"/>
        </w:rPr>
        <w:t>3</w:t>
      </w:r>
      <w:r>
        <w:rPr>
          <w:rFonts w:hint="default"/>
          <w:color w:val="auto"/>
          <w:lang w:val="en-US" w:eastAsia="zh-CN"/>
        </w:rPr>
        <w:t>日至德兴市市场监督管理局更换了营业执照，统一社会信用代码：91361181763362480E，经济类型：有限责任公司（国有控股），法定代表人：</w:t>
      </w:r>
      <w:r>
        <w:rPr>
          <w:rFonts w:hint="eastAsia"/>
          <w:color w:val="auto"/>
          <w:lang w:val="en-US" w:eastAsia="zh-CN"/>
        </w:rPr>
        <w:t>陶柱群</w:t>
      </w:r>
      <w:r>
        <w:rPr>
          <w:rFonts w:hint="default"/>
          <w:color w:val="auto"/>
          <w:lang w:val="en-US" w:eastAsia="zh-CN"/>
        </w:rPr>
        <w:t>。</w:t>
      </w:r>
      <w:r>
        <w:rPr>
          <w:rFonts w:hint="eastAsia"/>
          <w:color w:val="auto"/>
          <w:lang w:val="en-US" w:eastAsia="zh-CN"/>
        </w:rPr>
        <w:t>成立日期</w:t>
      </w:r>
      <w:r>
        <w:rPr>
          <w:rFonts w:hint="default"/>
          <w:color w:val="auto"/>
          <w:lang w:val="en-US" w:eastAsia="zh-CN"/>
        </w:rPr>
        <w:t>：2004年09月21日，经营范围：黄金冶炼、加工、矿山机械制作安装、黄金生物氧化技术开发利用、化工产品（除危险品）；购销含金物料（除危险品）。（依法须经批准的项目，经相关部门批准后方可开展经营活动）。</w:t>
      </w:r>
    </w:p>
    <w:p w14:paraId="420F4155">
      <w:pPr>
        <w:bidi w:val="0"/>
        <w:rPr>
          <w:rFonts w:hint="default"/>
          <w:color w:val="auto"/>
          <w:lang w:val="en-US" w:eastAsia="zh-CN"/>
        </w:rPr>
      </w:pPr>
      <w:r>
        <w:rPr>
          <w:rFonts w:hint="default"/>
          <w:color w:val="auto"/>
          <w:lang w:val="en-US" w:eastAsia="zh-CN"/>
        </w:rPr>
        <w:t>江西三和金业有限公司设立了三号（氰化渣）尾矿库安全生产管理机构，配备</w:t>
      </w:r>
      <w:r>
        <w:rPr>
          <w:rFonts w:hint="eastAsia"/>
          <w:color w:val="auto"/>
          <w:lang w:val="en-US" w:eastAsia="zh-CN"/>
        </w:rPr>
        <w:t>了</w:t>
      </w:r>
      <w:r>
        <w:rPr>
          <w:rFonts w:hint="default"/>
          <w:color w:val="auto"/>
          <w:lang w:val="en-US" w:eastAsia="zh-CN"/>
        </w:rPr>
        <w:t>安全生产管理人员：</w:t>
      </w:r>
    </w:p>
    <w:p w14:paraId="2ECAD4D8">
      <w:pPr>
        <w:bidi w:val="0"/>
        <w:rPr>
          <w:rFonts w:hint="default"/>
          <w:color w:val="auto"/>
          <w:lang w:val="en-US" w:eastAsia="zh-CN"/>
        </w:rPr>
      </w:pPr>
      <w:r>
        <w:rPr>
          <w:rFonts w:hint="eastAsia"/>
          <w:color w:val="auto"/>
          <w:lang w:val="en-US" w:eastAsia="zh-CN"/>
        </w:rPr>
        <w:t>（一）安全生产管理领导小组</w:t>
      </w:r>
    </w:p>
    <w:p w14:paraId="15D5815C">
      <w:pPr>
        <w:bidi w:val="0"/>
        <w:rPr>
          <w:rFonts w:hint="default"/>
          <w:color w:val="auto"/>
          <w:lang w:val="en-US" w:eastAsia="zh-CN"/>
        </w:rPr>
      </w:pPr>
      <w:r>
        <w:rPr>
          <w:rFonts w:hint="default"/>
          <w:color w:val="auto"/>
          <w:lang w:val="en-US" w:eastAsia="zh-CN"/>
        </w:rPr>
        <w:t>组长：</w:t>
      </w:r>
      <w:r>
        <w:rPr>
          <w:rFonts w:hint="eastAsia"/>
          <w:color w:val="auto"/>
          <w:lang w:val="en-US" w:eastAsia="zh-CN"/>
        </w:rPr>
        <w:t>陶柱群</w:t>
      </w:r>
    </w:p>
    <w:p w14:paraId="7E1AF71B">
      <w:pPr>
        <w:bidi w:val="0"/>
        <w:rPr>
          <w:rFonts w:hint="default"/>
          <w:color w:val="auto"/>
          <w:lang w:val="en-US" w:eastAsia="zh-CN"/>
        </w:rPr>
      </w:pPr>
      <w:r>
        <w:rPr>
          <w:rFonts w:hint="default"/>
          <w:color w:val="auto"/>
          <w:lang w:val="en-US" w:eastAsia="zh-CN"/>
        </w:rPr>
        <w:t>副组长：杨卫明</w:t>
      </w:r>
    </w:p>
    <w:p w14:paraId="57BB62BA">
      <w:pPr>
        <w:bidi w:val="0"/>
        <w:rPr>
          <w:rFonts w:hint="default"/>
          <w:color w:val="auto"/>
          <w:lang w:val="en-US" w:eastAsia="zh-CN"/>
        </w:rPr>
      </w:pPr>
      <w:r>
        <w:rPr>
          <w:rFonts w:hint="default"/>
          <w:color w:val="auto"/>
          <w:lang w:val="en-US" w:eastAsia="zh-CN"/>
        </w:rPr>
        <w:t>成员：李金伟、刘晓兵、叶智樟、</w:t>
      </w:r>
      <w:r>
        <w:rPr>
          <w:rFonts w:hint="eastAsia"/>
          <w:color w:val="auto"/>
          <w:lang w:val="en-US" w:eastAsia="zh-CN"/>
        </w:rPr>
        <w:t>董绍荣、胡志军</w:t>
      </w:r>
      <w:r>
        <w:rPr>
          <w:rFonts w:hint="default"/>
          <w:color w:val="auto"/>
          <w:lang w:val="en-US" w:eastAsia="zh-CN"/>
        </w:rPr>
        <w:t>、王阳阳、齐旭辉</w:t>
      </w:r>
    </w:p>
    <w:p w14:paraId="01F661FA">
      <w:pPr>
        <w:bidi w:val="0"/>
        <w:rPr>
          <w:rFonts w:hint="default"/>
          <w:color w:val="auto"/>
          <w:lang w:val="en-US" w:eastAsia="zh-CN"/>
        </w:rPr>
      </w:pPr>
      <w:r>
        <w:rPr>
          <w:rFonts w:hint="eastAsia"/>
          <w:color w:val="auto"/>
          <w:lang w:val="en-US" w:eastAsia="zh-CN"/>
        </w:rPr>
        <w:t>（二）安全生产管理机构</w:t>
      </w:r>
    </w:p>
    <w:p w14:paraId="48B2736A">
      <w:pPr>
        <w:bidi w:val="0"/>
        <w:rPr>
          <w:rFonts w:hint="default"/>
          <w:color w:val="auto"/>
          <w:lang w:val="en-US" w:eastAsia="zh-CN"/>
        </w:rPr>
      </w:pPr>
      <w:r>
        <w:rPr>
          <w:rFonts w:hint="default"/>
          <w:color w:val="auto"/>
          <w:lang w:val="en-US" w:eastAsia="zh-CN"/>
        </w:rPr>
        <w:t>专职安全管理人员：董绍荣（库长）、齐旭辉</w:t>
      </w:r>
    </w:p>
    <w:p w14:paraId="0D2D8DB0">
      <w:pPr>
        <w:bidi w:val="0"/>
        <w:rPr>
          <w:rFonts w:hint="default"/>
          <w:color w:val="auto"/>
          <w:lang w:val="en-US" w:eastAsia="zh-CN"/>
        </w:rPr>
      </w:pPr>
      <w:r>
        <w:rPr>
          <w:rFonts w:hint="default"/>
          <w:color w:val="auto"/>
          <w:lang w:val="en-US" w:eastAsia="zh-CN"/>
        </w:rPr>
        <w:t>专业技术人员：周健（选矿）</w:t>
      </w:r>
    </w:p>
    <w:p w14:paraId="746D72CD">
      <w:pPr>
        <w:bidi w:val="0"/>
        <w:rPr>
          <w:rFonts w:hint="default"/>
          <w:color w:val="auto"/>
          <w:lang w:val="en-US" w:eastAsia="zh-CN"/>
        </w:rPr>
      </w:pPr>
      <w:r>
        <w:rPr>
          <w:rFonts w:hint="default"/>
          <w:color w:val="auto"/>
          <w:lang w:val="en-US" w:eastAsia="zh-CN"/>
        </w:rPr>
        <w:t>尾矿操作工：朱荣富、邵刚、倪九灯、叶根生、方金有、舒林毅</w:t>
      </w:r>
    </w:p>
    <w:p w14:paraId="6880DC6D">
      <w:pPr>
        <w:bidi w:val="0"/>
        <w:rPr>
          <w:rFonts w:hint="default"/>
          <w:color w:val="auto"/>
          <w:lang w:val="en-US" w:eastAsia="zh-CN"/>
        </w:rPr>
      </w:pPr>
      <w:r>
        <w:rPr>
          <w:rFonts w:hint="default"/>
          <w:color w:val="auto"/>
          <w:lang w:val="en-US" w:eastAsia="zh-CN"/>
        </w:rPr>
        <w:t>公司实行董事会领导下的总经理负责制，下设综合办公室、冶炼厂、党群工作部、财务部、综合技术部、安全环保部、保卫部、质检部、原料部、供应部、生产运营部、审计监察部、纪检办公室等13个职能部门，现有员工300余人，各类专业技术人员50余人（如地质勘探、机电、矿物加工、冶金、化学分析等），其中高、中级职称30余人。</w:t>
      </w:r>
    </w:p>
    <w:p w14:paraId="2A8EB3BE">
      <w:pPr>
        <w:bidi w:val="0"/>
        <w:rPr>
          <w:rFonts w:hint="default"/>
          <w:color w:val="auto"/>
          <w:lang w:val="en-US" w:eastAsia="zh-CN"/>
        </w:rPr>
      </w:pPr>
      <w:r>
        <w:rPr>
          <w:rFonts w:hint="default"/>
          <w:color w:val="auto"/>
          <w:lang w:val="en-US" w:eastAsia="zh-CN"/>
        </w:rPr>
        <w:t>设计生产能力为日处理金精矿250T，实际日处理能力180T，年生产黄金约3.5T。</w:t>
      </w:r>
    </w:p>
    <w:p w14:paraId="75EBE95C">
      <w:pPr>
        <w:bidi w:val="0"/>
        <w:rPr>
          <w:rFonts w:hint="default"/>
          <w:color w:val="auto"/>
          <w:lang w:val="en-US" w:eastAsia="zh-CN"/>
        </w:rPr>
      </w:pPr>
      <w:r>
        <w:rPr>
          <w:rFonts w:hint="default"/>
          <w:color w:val="auto"/>
          <w:lang w:val="en-US" w:eastAsia="zh-CN"/>
        </w:rPr>
        <w:t>工艺流程：浮选精矿→磨矿分级→生物氧化→氧化渣洗涤→炭浸氰化浸出→炭吸附→载金炭解吸电解→金泥→盐酸除杂→氯化分金→还原→金粉→熔铸→金锭。</w:t>
      </w:r>
    </w:p>
    <w:p w14:paraId="63F64E03">
      <w:pPr>
        <w:pStyle w:val="3"/>
        <w:bidi w:val="0"/>
        <w:rPr>
          <w:rFonts w:hint="default"/>
          <w:color w:val="auto"/>
          <w:lang w:val="en-US" w:eastAsia="zh-CN"/>
        </w:rPr>
      </w:pPr>
      <w:bookmarkStart w:id="104" w:name="_Toc23091"/>
      <w:bookmarkStart w:id="105" w:name="_Toc32730"/>
      <w:bookmarkStart w:id="106" w:name="_Toc16984"/>
      <w:bookmarkStart w:id="107" w:name="_Toc11942"/>
      <w:bookmarkStart w:id="108" w:name="_Toc12591"/>
      <w:r>
        <w:rPr>
          <w:rFonts w:hint="default"/>
          <w:color w:val="auto"/>
          <w:lang w:val="en-US" w:eastAsia="zh-CN"/>
        </w:rPr>
        <w:t>2.2</w:t>
      </w:r>
      <w:r>
        <w:rPr>
          <w:rFonts w:hint="eastAsia"/>
          <w:color w:val="auto"/>
          <w:lang w:val="en-US" w:eastAsia="zh-CN"/>
        </w:rPr>
        <w:t xml:space="preserve"> </w:t>
      </w:r>
      <w:r>
        <w:rPr>
          <w:rFonts w:hint="default"/>
          <w:color w:val="auto"/>
          <w:lang w:val="en-US" w:eastAsia="zh-CN"/>
        </w:rPr>
        <w:t>交通位置、自然地理概况</w:t>
      </w:r>
      <w:bookmarkEnd w:id="104"/>
      <w:bookmarkEnd w:id="105"/>
      <w:bookmarkEnd w:id="106"/>
      <w:bookmarkEnd w:id="107"/>
      <w:bookmarkEnd w:id="108"/>
    </w:p>
    <w:p w14:paraId="2A106756">
      <w:pPr>
        <w:bidi w:val="0"/>
        <w:rPr>
          <w:color w:val="auto"/>
        </w:rPr>
      </w:pPr>
      <w:r>
        <w:rPr>
          <w:rFonts w:hint="eastAsia"/>
          <w:color w:val="auto"/>
          <w:lang w:val="en-US" w:eastAsia="zh-CN"/>
        </w:rPr>
        <w:t xml:space="preserve">1. </w:t>
      </w:r>
      <w:r>
        <w:rPr>
          <w:color w:val="auto"/>
          <w:lang w:val="en-US" w:eastAsia="zh-CN"/>
        </w:rPr>
        <w:t>交通位置</w:t>
      </w:r>
    </w:p>
    <w:p w14:paraId="0E9E7EDD">
      <w:pPr>
        <w:rPr>
          <w:rFonts w:hint="default"/>
          <w:color w:val="auto"/>
          <w:lang w:val="en-US" w:eastAsia="zh-CN"/>
        </w:rPr>
      </w:pPr>
      <w:r>
        <w:rPr>
          <w:rFonts w:hint="default"/>
          <w:color w:val="auto"/>
          <w:lang w:val="en-US" w:eastAsia="zh-CN"/>
        </w:rPr>
        <w:t>江西三和金业有限公司位于江西省德兴市高新技术产业园。厂区往东至花桥镇2km，距高速路口3km，德兴高铁站15km，德兴东站30km，距德兴市20km、上饶市90km、三清山机场100km，周边与南昌市、景德镇市、鹰潭市交通运输十分便利。交通位置见图2</w:t>
      </w:r>
      <w:r>
        <w:rPr>
          <w:rFonts w:hint="eastAsia"/>
          <w:color w:val="auto"/>
          <w:lang w:val="en-US" w:eastAsia="zh-CN"/>
        </w:rPr>
        <w:t>.2</w:t>
      </w:r>
      <w:r>
        <w:rPr>
          <w:rFonts w:hint="default"/>
          <w:color w:val="auto"/>
          <w:lang w:val="en-US" w:eastAsia="zh-CN"/>
        </w:rPr>
        <w:t>-1。</w:t>
      </w:r>
    </w:p>
    <w:p w14:paraId="1A61F86A">
      <w:pPr>
        <w:ind w:left="0" w:leftChars="0" w:firstLine="0" w:firstLineChars="0"/>
        <w:jc w:val="center"/>
        <w:rPr>
          <w:rFonts w:hint="default"/>
          <w:color w:val="auto"/>
          <w:lang w:val="en-US" w:eastAsia="zh-CN"/>
        </w:rPr>
      </w:pPr>
      <w:r>
        <w:rPr>
          <w:color w:val="auto"/>
        </w:rPr>
        <w:drawing>
          <wp:inline distT="0" distB="0" distL="114300" distR="114300">
            <wp:extent cx="3780155" cy="3194050"/>
            <wp:effectExtent l="0" t="0" r="10795"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3780155" cy="3194050"/>
                    </a:xfrm>
                    <a:prstGeom prst="rect">
                      <a:avLst/>
                    </a:prstGeom>
                    <a:noFill/>
                    <a:ln>
                      <a:noFill/>
                    </a:ln>
                  </pic:spPr>
                </pic:pic>
              </a:graphicData>
            </a:graphic>
          </wp:inline>
        </w:drawing>
      </w:r>
    </w:p>
    <w:p w14:paraId="4C2B7CE3">
      <w:pPr>
        <w:ind w:left="0" w:leftChars="0" w:firstLine="0" w:firstLineChars="0"/>
        <w:jc w:val="center"/>
        <w:rPr>
          <w:rFonts w:hint="default"/>
          <w:color w:val="auto"/>
          <w:lang w:val="en-US" w:eastAsia="zh-CN"/>
        </w:rPr>
      </w:pPr>
      <w:r>
        <w:rPr>
          <w:rFonts w:hint="default"/>
          <w:color w:val="auto"/>
          <w:lang w:val="en-US" w:eastAsia="zh-CN"/>
        </w:rPr>
        <w:t>图</w:t>
      </w:r>
      <w:r>
        <w:rPr>
          <w:rFonts w:hint="eastAsia"/>
          <w:color w:val="auto"/>
          <w:lang w:val="en-US" w:eastAsia="zh-CN"/>
        </w:rPr>
        <w:t>2.2</w:t>
      </w:r>
      <w:r>
        <w:rPr>
          <w:rFonts w:hint="default"/>
          <w:color w:val="auto"/>
          <w:lang w:val="en-US" w:eastAsia="zh-CN"/>
        </w:rPr>
        <w:t>-1</w:t>
      </w:r>
      <w:r>
        <w:rPr>
          <w:rFonts w:hint="eastAsia"/>
          <w:color w:val="auto"/>
          <w:lang w:val="en-US" w:eastAsia="zh-CN"/>
        </w:rPr>
        <w:t xml:space="preserve"> 交通位置图</w:t>
      </w:r>
    </w:p>
    <w:p w14:paraId="4AF7BAEA">
      <w:pPr>
        <w:bidi w:val="0"/>
        <w:rPr>
          <w:rFonts w:hint="eastAsia"/>
          <w:color w:val="auto"/>
          <w:lang w:val="en-US" w:eastAsia="zh-CN"/>
        </w:rPr>
      </w:pPr>
      <w:r>
        <w:rPr>
          <w:rFonts w:hint="eastAsia"/>
          <w:color w:val="auto"/>
          <w:lang w:val="en-US" w:eastAsia="zh-CN"/>
        </w:rPr>
        <w:t>2. 自然地理及气象</w:t>
      </w:r>
    </w:p>
    <w:p w14:paraId="7FBA11CE">
      <w:pPr>
        <w:bidi w:val="0"/>
        <w:rPr>
          <w:rFonts w:hint="default"/>
          <w:color w:val="auto"/>
          <w:lang w:val="en-US" w:eastAsia="zh-CN"/>
        </w:rPr>
      </w:pPr>
      <w:r>
        <w:rPr>
          <w:rFonts w:hint="default"/>
          <w:color w:val="auto"/>
          <w:lang w:val="en-US" w:eastAsia="zh-CN"/>
        </w:rPr>
        <w:t>本地区位于赣东北怀玉山脉北部支脉大茅山山区。怀玉山脉呈北东</w:t>
      </w:r>
      <w:r>
        <w:rPr>
          <w:rFonts w:hint="default" w:ascii="Times New Roman" w:hAnsi="Times New Roman" w:cs="Times New Roman"/>
          <w:color w:val="auto"/>
          <w:lang w:val="en-US" w:eastAsia="zh-CN"/>
        </w:rPr>
        <w:t>～</w:t>
      </w:r>
      <w:r>
        <w:rPr>
          <w:rFonts w:hint="default"/>
          <w:color w:val="auto"/>
          <w:lang w:val="en-US" w:eastAsia="zh-CN"/>
        </w:rPr>
        <w:t>南西走向，海拔</w:t>
      </w:r>
      <w:r>
        <w:rPr>
          <w:rFonts w:hint="eastAsia"/>
          <w:color w:val="auto"/>
          <w:lang w:val="en-US" w:eastAsia="zh-CN"/>
        </w:rPr>
        <w:t>+</w:t>
      </w:r>
      <w:r>
        <w:rPr>
          <w:rFonts w:hint="default"/>
          <w:color w:val="auto"/>
          <w:lang w:val="en-US" w:eastAsia="zh-CN"/>
        </w:rPr>
        <w:t>1000m左右，主峰玉京峰</w:t>
      </w:r>
      <w:r>
        <w:rPr>
          <w:rFonts w:hint="eastAsia"/>
          <w:color w:val="auto"/>
          <w:lang w:val="en-US" w:eastAsia="zh-CN"/>
        </w:rPr>
        <w:t>+</w:t>
      </w:r>
      <w:r>
        <w:rPr>
          <w:rFonts w:hint="default"/>
          <w:color w:val="auto"/>
          <w:lang w:val="en-US" w:eastAsia="zh-CN"/>
        </w:rPr>
        <w:t>1817m。大茅山为中低山系，海拔</w:t>
      </w:r>
      <w:r>
        <w:rPr>
          <w:rFonts w:hint="eastAsia"/>
          <w:color w:val="auto"/>
          <w:lang w:val="en-US" w:eastAsia="zh-CN"/>
        </w:rPr>
        <w:t>+</w:t>
      </w:r>
      <w:r>
        <w:rPr>
          <w:rFonts w:hint="default"/>
          <w:color w:val="auto"/>
          <w:lang w:val="en-US" w:eastAsia="zh-CN"/>
        </w:rPr>
        <w:t>300</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w:t>
      </w:r>
      <w:r>
        <w:rPr>
          <w:rFonts w:hint="default"/>
          <w:color w:val="auto"/>
          <w:lang w:val="en-US" w:eastAsia="zh-CN"/>
        </w:rPr>
        <w:t>1000m</w:t>
      </w:r>
      <w:r>
        <w:rPr>
          <w:rFonts w:hint="eastAsia"/>
          <w:color w:val="auto"/>
          <w:lang w:val="en-US" w:eastAsia="zh-CN"/>
        </w:rPr>
        <w:t>，</w:t>
      </w:r>
      <w:r>
        <w:rPr>
          <w:rFonts w:hint="default"/>
          <w:color w:val="auto"/>
          <w:lang w:val="en-US" w:eastAsia="zh-CN"/>
        </w:rPr>
        <w:t>主峰海拔</w:t>
      </w:r>
      <w:r>
        <w:rPr>
          <w:rFonts w:hint="eastAsia"/>
          <w:color w:val="auto"/>
          <w:lang w:val="en-US" w:eastAsia="zh-CN"/>
        </w:rPr>
        <w:t>+</w:t>
      </w:r>
      <w:r>
        <w:rPr>
          <w:rFonts w:hint="default"/>
          <w:color w:val="auto"/>
          <w:lang w:val="en-US" w:eastAsia="zh-CN"/>
        </w:rPr>
        <w:t>1393m，属低山</w:t>
      </w:r>
      <w:r>
        <w:rPr>
          <w:rFonts w:hint="default" w:ascii="Times New Roman" w:hAnsi="Times New Roman" w:cs="Times New Roman"/>
          <w:color w:val="auto"/>
          <w:lang w:val="en-US" w:eastAsia="zh-CN"/>
        </w:rPr>
        <w:t>～</w:t>
      </w:r>
      <w:r>
        <w:rPr>
          <w:rFonts w:hint="default"/>
          <w:color w:val="auto"/>
          <w:lang w:val="en-US" w:eastAsia="zh-CN"/>
        </w:rPr>
        <w:t>丘陵过渡地带。该地区植被茂盛，为江西省主要林区之一。</w:t>
      </w:r>
    </w:p>
    <w:p w14:paraId="46BB481C">
      <w:pPr>
        <w:bidi w:val="0"/>
        <w:rPr>
          <w:rFonts w:hint="default"/>
          <w:color w:val="auto"/>
          <w:lang w:val="en-US" w:eastAsia="zh-CN"/>
        </w:rPr>
      </w:pPr>
      <w:r>
        <w:rPr>
          <w:rFonts w:hint="default"/>
          <w:color w:val="auto"/>
          <w:lang w:val="en-US" w:eastAsia="zh-CN"/>
        </w:rPr>
        <w:t>厂区北及东侧100m处有一条自然河流洎水河，常年流水，水质一般，无色透明，但不能饮用，水向西流走</w:t>
      </w:r>
      <w:r>
        <w:rPr>
          <w:rFonts w:hint="eastAsia"/>
          <w:color w:val="auto"/>
          <w:lang w:val="en-US" w:eastAsia="zh-CN"/>
        </w:rPr>
        <w:t>；</w:t>
      </w:r>
      <w:r>
        <w:rPr>
          <w:rFonts w:hint="default"/>
          <w:color w:val="auto"/>
          <w:lang w:val="en-US" w:eastAsia="zh-CN"/>
        </w:rPr>
        <w:t>厂区的西侧为农田，其它方向2km内没有居民和村庄</w:t>
      </w:r>
      <w:r>
        <w:rPr>
          <w:rFonts w:hint="eastAsia"/>
          <w:color w:val="auto"/>
          <w:lang w:val="en-US" w:eastAsia="zh-CN"/>
        </w:rPr>
        <w:t>；</w:t>
      </w:r>
      <w:r>
        <w:rPr>
          <w:rFonts w:hint="default"/>
          <w:color w:val="auto"/>
          <w:lang w:val="en-US" w:eastAsia="zh-CN"/>
        </w:rPr>
        <w:t>厂区的南侧为几座狭长的小山，自然植被主要为茶籽油树。</w:t>
      </w:r>
    </w:p>
    <w:p w14:paraId="3CB59BA7">
      <w:pPr>
        <w:bidi w:val="0"/>
        <w:rPr>
          <w:rFonts w:hint="default"/>
          <w:color w:val="auto"/>
          <w:lang w:val="en-US" w:eastAsia="zh-CN"/>
        </w:rPr>
      </w:pPr>
      <w:r>
        <w:rPr>
          <w:rFonts w:hint="default"/>
          <w:color w:val="auto"/>
          <w:lang w:val="en-US" w:eastAsia="zh-CN"/>
        </w:rPr>
        <w:t>本区地处亚热带湿润季风区，气候温和湿润，雨量充沛，四季分明。多年平均气温18.6℃，最低气温</w:t>
      </w:r>
      <w:r>
        <w:rPr>
          <w:rFonts w:hint="eastAsia" w:ascii="宋体" w:hAnsi="宋体" w:eastAsia="宋体" w:cs="宋体"/>
          <w:color w:val="auto"/>
          <w:lang w:val="en-US" w:eastAsia="zh-CN"/>
        </w:rPr>
        <w:t>-</w:t>
      </w:r>
      <w:r>
        <w:rPr>
          <w:rFonts w:hint="default"/>
          <w:color w:val="auto"/>
          <w:lang w:val="en-US" w:eastAsia="zh-CN"/>
        </w:rPr>
        <w:t>5℃，最高气温39.5℃，极端最低气温</w:t>
      </w:r>
      <w:r>
        <w:rPr>
          <w:rFonts w:hint="eastAsia" w:ascii="宋体" w:hAnsi="宋体" w:eastAsia="宋体" w:cs="宋体"/>
          <w:color w:val="auto"/>
          <w:lang w:val="en-US" w:eastAsia="zh-CN"/>
        </w:rPr>
        <w:t>-</w:t>
      </w:r>
      <w:r>
        <w:rPr>
          <w:rFonts w:hint="default"/>
          <w:color w:val="auto"/>
          <w:lang w:val="en-US" w:eastAsia="zh-CN"/>
        </w:rPr>
        <w:t>10.4℃，全年有霜期19</w:t>
      </w:r>
      <w:r>
        <w:rPr>
          <w:rFonts w:hint="default" w:ascii="Times New Roman" w:hAnsi="Times New Roman" w:cs="Times New Roman"/>
          <w:color w:val="auto"/>
          <w:lang w:val="en-US" w:eastAsia="zh-CN"/>
        </w:rPr>
        <w:t>～</w:t>
      </w:r>
      <w:r>
        <w:rPr>
          <w:rFonts w:hint="default"/>
          <w:color w:val="auto"/>
          <w:lang w:val="en-US" w:eastAsia="zh-CN"/>
        </w:rPr>
        <w:t>39天。根据本区气象站近年的观测资料，多年平均降雨量1780.0mm，其中4</w:t>
      </w:r>
      <w:r>
        <w:rPr>
          <w:rFonts w:hint="default" w:ascii="Times New Roman" w:hAnsi="Times New Roman" w:cs="Times New Roman"/>
          <w:color w:val="auto"/>
          <w:lang w:val="en-US" w:eastAsia="zh-CN"/>
        </w:rPr>
        <w:t>～</w:t>
      </w:r>
      <w:r>
        <w:rPr>
          <w:rFonts w:hint="default"/>
          <w:color w:val="auto"/>
          <w:lang w:val="en-US" w:eastAsia="zh-CN"/>
        </w:rPr>
        <w:t>6月为雨季，占全年降雨量的45%</w:t>
      </w:r>
      <w:r>
        <w:rPr>
          <w:rFonts w:hint="eastAsia"/>
          <w:color w:val="auto"/>
          <w:lang w:val="en-US" w:eastAsia="zh-CN"/>
        </w:rPr>
        <w:t>，</w:t>
      </w:r>
      <w:r>
        <w:rPr>
          <w:rFonts w:hint="default"/>
          <w:color w:val="auto"/>
          <w:lang w:val="en-US" w:eastAsia="zh-CN"/>
        </w:rPr>
        <w:t>最大年降雨量</w:t>
      </w:r>
      <w:r>
        <w:rPr>
          <w:rFonts w:hint="eastAsia"/>
          <w:color w:val="auto"/>
          <w:lang w:val="en-US" w:eastAsia="zh-CN"/>
        </w:rPr>
        <w:t>（</w:t>
      </w:r>
      <w:r>
        <w:rPr>
          <w:rFonts w:hint="default"/>
          <w:color w:val="auto"/>
          <w:lang w:val="en-US" w:eastAsia="zh-CN"/>
        </w:rPr>
        <w:t>2001年</w:t>
      </w:r>
      <w:r>
        <w:rPr>
          <w:rFonts w:hint="eastAsia"/>
          <w:color w:val="auto"/>
          <w:lang w:val="en-US" w:eastAsia="zh-CN"/>
        </w:rPr>
        <w:t>）</w:t>
      </w:r>
      <w:r>
        <w:rPr>
          <w:rFonts w:hint="default"/>
          <w:color w:val="auto"/>
          <w:lang w:val="en-US" w:eastAsia="zh-CN"/>
        </w:rPr>
        <w:t>2300.2mm</w:t>
      </w:r>
      <w:r>
        <w:rPr>
          <w:rFonts w:hint="eastAsia"/>
          <w:color w:val="auto"/>
          <w:lang w:val="en-US" w:eastAsia="zh-CN"/>
        </w:rPr>
        <w:t>，</w:t>
      </w:r>
      <w:r>
        <w:rPr>
          <w:rFonts w:hint="default"/>
          <w:color w:val="auto"/>
          <w:lang w:val="en-US" w:eastAsia="zh-CN"/>
        </w:rPr>
        <w:t>最小降雨量1256.0mm</w:t>
      </w:r>
      <w:r>
        <w:rPr>
          <w:rFonts w:hint="eastAsia"/>
          <w:color w:val="auto"/>
          <w:lang w:val="en-US" w:eastAsia="zh-CN"/>
        </w:rPr>
        <w:t>（1996</w:t>
      </w:r>
      <w:r>
        <w:rPr>
          <w:rFonts w:hint="default"/>
          <w:color w:val="auto"/>
          <w:lang w:val="en-US" w:eastAsia="zh-CN"/>
        </w:rPr>
        <w:t>年</w:t>
      </w:r>
      <w:r>
        <w:rPr>
          <w:rFonts w:hint="eastAsia"/>
          <w:color w:val="auto"/>
          <w:lang w:val="en-US" w:eastAsia="zh-CN"/>
        </w:rPr>
        <w:t>）</w:t>
      </w:r>
      <w:r>
        <w:rPr>
          <w:rFonts w:hint="default"/>
          <w:color w:val="auto"/>
          <w:lang w:val="en-US" w:eastAsia="zh-CN"/>
        </w:rPr>
        <w:t>，年最大日降雨量246.3mm</w:t>
      </w:r>
      <w:r>
        <w:rPr>
          <w:rFonts w:hint="eastAsia"/>
          <w:color w:val="auto"/>
          <w:lang w:val="en-US" w:eastAsia="zh-CN"/>
        </w:rPr>
        <w:t>（</w:t>
      </w:r>
      <w:r>
        <w:rPr>
          <w:rFonts w:hint="default"/>
          <w:color w:val="auto"/>
          <w:lang w:val="en-US" w:eastAsia="zh-CN"/>
        </w:rPr>
        <w:t>2002年6月</w:t>
      </w:r>
      <w:r>
        <w:rPr>
          <w:rFonts w:hint="eastAsia"/>
          <w:color w:val="auto"/>
          <w:lang w:val="en-US" w:eastAsia="zh-CN"/>
        </w:rPr>
        <w:t>）</w:t>
      </w:r>
      <w:r>
        <w:rPr>
          <w:rFonts w:hint="default"/>
          <w:color w:val="auto"/>
          <w:lang w:val="en-US" w:eastAsia="zh-CN"/>
        </w:rPr>
        <w:t>，年最大24小时暴雨均值105.0m</w:t>
      </w:r>
      <w:r>
        <w:rPr>
          <w:rFonts w:hint="eastAsia"/>
          <w:color w:val="auto"/>
          <w:lang w:val="en-US" w:eastAsia="zh-CN"/>
        </w:rPr>
        <w:t>，</w:t>
      </w:r>
      <w:r>
        <w:rPr>
          <w:rFonts w:hint="default"/>
          <w:color w:val="auto"/>
          <w:lang w:val="en-US" w:eastAsia="zh-CN"/>
        </w:rPr>
        <w:t>年平均暴雨天数为3</w:t>
      </w:r>
      <w:r>
        <w:rPr>
          <w:rFonts w:hint="default" w:ascii="Times New Roman" w:hAnsi="Times New Roman" w:cs="Times New Roman"/>
          <w:color w:val="auto"/>
          <w:lang w:val="en-US" w:eastAsia="zh-CN"/>
        </w:rPr>
        <w:t>～</w:t>
      </w:r>
      <w:r>
        <w:rPr>
          <w:rFonts w:hint="default"/>
          <w:color w:val="auto"/>
          <w:lang w:val="en-US" w:eastAsia="zh-CN"/>
        </w:rPr>
        <w:t>4天</w:t>
      </w:r>
      <w:r>
        <w:rPr>
          <w:rFonts w:hint="eastAsia"/>
          <w:color w:val="auto"/>
          <w:lang w:val="en-US" w:eastAsia="zh-CN"/>
        </w:rPr>
        <w:t>，</w:t>
      </w:r>
      <w:r>
        <w:rPr>
          <w:rFonts w:hint="default"/>
          <w:color w:val="auto"/>
          <w:lang w:val="en-US" w:eastAsia="zh-CN"/>
        </w:rPr>
        <w:t>全年蒸发量1300</w:t>
      </w:r>
      <w:r>
        <w:rPr>
          <w:rFonts w:hint="default" w:ascii="Times New Roman" w:hAnsi="Times New Roman" w:cs="Times New Roman"/>
          <w:color w:val="auto"/>
          <w:lang w:val="en-US" w:eastAsia="zh-CN"/>
        </w:rPr>
        <w:t>～</w:t>
      </w:r>
      <w:r>
        <w:rPr>
          <w:rFonts w:hint="default"/>
          <w:color w:val="auto"/>
          <w:lang w:val="en-US" w:eastAsia="zh-CN"/>
        </w:rPr>
        <w:t>1500mm。秋冬多雾，冬天有霜冻，全年有霜期16</w:t>
      </w:r>
      <w:r>
        <w:rPr>
          <w:rFonts w:hint="default" w:ascii="Times New Roman" w:hAnsi="Times New Roman" w:cs="Times New Roman"/>
          <w:color w:val="auto"/>
          <w:lang w:val="en-US" w:eastAsia="zh-CN"/>
        </w:rPr>
        <w:t>～</w:t>
      </w:r>
      <w:r>
        <w:rPr>
          <w:rFonts w:hint="default"/>
          <w:color w:val="auto"/>
          <w:lang w:val="en-US" w:eastAsia="zh-CN"/>
        </w:rPr>
        <w:t>41天，平均29天。春夏两季以东南风为主，最大风速为24</w:t>
      </w:r>
      <w:r>
        <w:rPr>
          <w:rFonts w:hint="eastAsia"/>
          <w:color w:val="auto"/>
          <w:lang w:val="en-US" w:eastAsia="zh-CN"/>
        </w:rPr>
        <w:t>m</w:t>
      </w:r>
      <w:r>
        <w:rPr>
          <w:rFonts w:hint="default"/>
          <w:color w:val="auto"/>
          <w:lang w:val="en-US" w:eastAsia="zh-CN"/>
        </w:rPr>
        <w:t>/</w:t>
      </w:r>
      <w:r>
        <w:rPr>
          <w:rFonts w:hint="eastAsia"/>
          <w:color w:val="auto"/>
          <w:lang w:val="en-US" w:eastAsia="zh-CN"/>
        </w:rPr>
        <w:t>s；</w:t>
      </w:r>
      <w:r>
        <w:rPr>
          <w:rFonts w:hint="default"/>
          <w:color w:val="auto"/>
          <w:lang w:val="en-US" w:eastAsia="zh-CN"/>
        </w:rPr>
        <w:t>秋冬两季以西北风为主，最大风速21</w:t>
      </w:r>
      <w:r>
        <w:rPr>
          <w:rFonts w:hint="eastAsia"/>
          <w:color w:val="auto"/>
          <w:lang w:val="en-US" w:eastAsia="zh-CN"/>
        </w:rPr>
        <w:t>m</w:t>
      </w:r>
      <w:r>
        <w:rPr>
          <w:rFonts w:hint="default"/>
          <w:color w:val="auto"/>
          <w:lang w:val="en-US" w:eastAsia="zh-CN"/>
        </w:rPr>
        <w:t>/</w:t>
      </w:r>
      <w:r>
        <w:rPr>
          <w:rFonts w:hint="eastAsia"/>
          <w:color w:val="auto"/>
          <w:lang w:val="en-US" w:eastAsia="zh-CN"/>
        </w:rPr>
        <w:t>s</w:t>
      </w:r>
      <w:r>
        <w:rPr>
          <w:rFonts w:hint="default"/>
          <w:color w:val="auto"/>
          <w:lang w:val="en-US" w:eastAsia="zh-CN"/>
        </w:rPr>
        <w:t>。</w:t>
      </w:r>
    </w:p>
    <w:p w14:paraId="71CD98BB">
      <w:pPr>
        <w:bidi w:val="0"/>
        <w:rPr>
          <w:rFonts w:hint="eastAsia"/>
          <w:color w:val="auto"/>
          <w:lang w:val="en-US" w:eastAsia="zh-CN"/>
        </w:rPr>
      </w:pPr>
      <w:r>
        <w:rPr>
          <w:rFonts w:hint="eastAsia"/>
          <w:color w:val="auto"/>
          <w:lang w:val="en-US" w:eastAsia="zh-CN"/>
        </w:rPr>
        <w:t>3. 人文环境及经济</w:t>
      </w:r>
    </w:p>
    <w:p w14:paraId="36FDFB7F">
      <w:pPr>
        <w:bidi w:val="0"/>
        <w:rPr>
          <w:rFonts w:hint="default" w:ascii="Times New Roman" w:hAnsi="Times New Roman" w:cs="Times New Roman"/>
          <w:color w:val="auto"/>
          <w:lang w:val="en-US" w:eastAsia="zh-CN"/>
        </w:rPr>
      </w:pPr>
      <w:r>
        <w:rPr>
          <w:rFonts w:hint="default"/>
          <w:lang w:val="en-US" w:eastAsia="zh-CN"/>
        </w:rPr>
        <w:t>德兴市下辖17个乡镇，总人口约30万，其中大茅山垦殖场和花桥镇合计人口2.4万。矿业和林业是德兴市两大经济支柱。德兴市矿业发达，有我国第一大铜矿基地德兴铜矿、银山铅锌矿、金山金矿等著名矿山和花桥金矿等股份制金矿。有色、贵金属矿产资源的大规模开发，加快了本地区交通、通讯、电力等基础设施建设的步伐，带动了德兴市经济的繁荣和发展。</w:t>
      </w:r>
    </w:p>
    <w:p w14:paraId="774E0437">
      <w:pPr>
        <w:bidi w:val="0"/>
        <w:rPr>
          <w:rFonts w:hint="eastAsia"/>
          <w:color w:val="auto"/>
          <w:lang w:val="en-US" w:eastAsia="zh-CN"/>
        </w:rPr>
      </w:pPr>
      <w:r>
        <w:rPr>
          <w:rFonts w:hint="eastAsia"/>
          <w:color w:val="auto"/>
          <w:lang w:val="en-US" w:eastAsia="zh-CN"/>
        </w:rPr>
        <w:t>4. 地震</w:t>
      </w:r>
    </w:p>
    <w:p w14:paraId="2D93B681">
      <w:pPr>
        <w:bidi w:val="0"/>
        <w:rPr>
          <w:rFonts w:hint="default"/>
          <w:color w:val="auto"/>
          <w:lang w:val="en-US" w:eastAsia="zh-CN"/>
        </w:rPr>
      </w:pPr>
      <w:r>
        <w:rPr>
          <w:rFonts w:hint="default"/>
          <w:color w:val="auto"/>
          <w:lang w:val="en-US" w:eastAsia="zh-CN"/>
        </w:rPr>
        <w:t>根据《中国地震动参数区划图》</w:t>
      </w:r>
      <w:r>
        <w:rPr>
          <w:rFonts w:hint="eastAsia"/>
          <w:color w:val="auto"/>
          <w:lang w:val="en-US" w:eastAsia="zh-CN"/>
        </w:rPr>
        <w:t>（</w:t>
      </w:r>
      <w:r>
        <w:rPr>
          <w:rFonts w:hint="default"/>
          <w:color w:val="auto"/>
          <w:lang w:val="en-US" w:eastAsia="zh-CN"/>
        </w:rPr>
        <w:t>GB18306-2010</w:t>
      </w:r>
      <w:r>
        <w:rPr>
          <w:rFonts w:hint="eastAsia"/>
          <w:color w:val="auto"/>
          <w:lang w:val="en-US" w:eastAsia="zh-CN"/>
        </w:rPr>
        <w:t>）</w:t>
      </w:r>
      <w:r>
        <w:rPr>
          <w:rFonts w:hint="default"/>
          <w:color w:val="auto"/>
          <w:lang w:val="en-US" w:eastAsia="zh-CN"/>
        </w:rPr>
        <w:t>和《建筑抗震设计规范》</w:t>
      </w:r>
      <w:r>
        <w:rPr>
          <w:rFonts w:hint="eastAsia"/>
          <w:color w:val="auto"/>
          <w:lang w:val="en-US" w:eastAsia="zh-CN"/>
        </w:rPr>
        <w:t>（</w:t>
      </w:r>
      <w:r>
        <w:rPr>
          <w:rFonts w:hint="default"/>
          <w:color w:val="auto"/>
          <w:lang w:val="en-US" w:eastAsia="zh-CN"/>
        </w:rPr>
        <w:t>GB50011-2010</w:t>
      </w:r>
      <w:r>
        <w:rPr>
          <w:rFonts w:hint="eastAsia"/>
          <w:color w:val="auto"/>
          <w:lang w:val="en-US" w:eastAsia="zh-CN"/>
        </w:rPr>
        <w:t>（</w:t>
      </w:r>
      <w:r>
        <w:rPr>
          <w:rFonts w:hint="default"/>
          <w:color w:val="auto"/>
          <w:lang w:val="en-US" w:eastAsia="zh-CN"/>
        </w:rPr>
        <w:t>2016版</w:t>
      </w:r>
      <w:r>
        <w:rPr>
          <w:rFonts w:hint="eastAsia"/>
          <w:color w:val="auto"/>
          <w:lang w:val="en-US" w:eastAsia="zh-CN"/>
        </w:rPr>
        <w:t>））</w:t>
      </w:r>
      <w:r>
        <w:rPr>
          <w:rFonts w:hint="default"/>
          <w:color w:val="auto"/>
          <w:lang w:val="en-US" w:eastAsia="zh-CN"/>
        </w:rPr>
        <w:t>，本区地震动峰值加速度为0.05g，设计特征值周期0.35s，属设计地震分组第一组，场地类别为三类，抗震设防烈度为6度，地壳稳定。</w:t>
      </w:r>
    </w:p>
    <w:p w14:paraId="6E702161">
      <w:pPr>
        <w:pStyle w:val="3"/>
        <w:bidi w:val="0"/>
        <w:rPr>
          <w:rFonts w:hint="default"/>
          <w:color w:val="auto"/>
          <w:lang w:val="en-US" w:eastAsia="zh-CN"/>
        </w:rPr>
      </w:pPr>
      <w:bookmarkStart w:id="109" w:name="_Toc32374"/>
      <w:bookmarkStart w:id="110" w:name="_Toc18337"/>
      <w:bookmarkStart w:id="111" w:name="_Toc17225"/>
      <w:bookmarkStart w:id="112" w:name="_Toc6895"/>
      <w:bookmarkStart w:id="113" w:name="_Toc17509"/>
      <w:r>
        <w:rPr>
          <w:rFonts w:hint="default"/>
          <w:color w:val="auto"/>
          <w:lang w:val="en-US" w:eastAsia="zh-CN"/>
        </w:rPr>
        <w:t>2.3</w:t>
      </w:r>
      <w:r>
        <w:rPr>
          <w:rFonts w:hint="eastAsia"/>
          <w:color w:val="auto"/>
          <w:lang w:val="en-US" w:eastAsia="zh-CN"/>
        </w:rPr>
        <w:t xml:space="preserve"> </w:t>
      </w:r>
      <w:r>
        <w:rPr>
          <w:rFonts w:hint="default"/>
          <w:color w:val="auto"/>
          <w:lang w:val="en-US" w:eastAsia="zh-CN"/>
        </w:rPr>
        <w:t>尾矿库基本情况</w:t>
      </w:r>
      <w:bookmarkEnd w:id="109"/>
      <w:bookmarkEnd w:id="110"/>
      <w:bookmarkEnd w:id="111"/>
      <w:bookmarkEnd w:id="112"/>
      <w:bookmarkEnd w:id="113"/>
    </w:p>
    <w:p w14:paraId="2D75073E">
      <w:pPr>
        <w:rPr>
          <w:rFonts w:hint="eastAsia"/>
          <w:color w:val="auto"/>
          <w:shd w:val="clear" w:color="auto" w:fill="auto"/>
          <w:lang w:val="en-US" w:eastAsia="zh-CN"/>
        </w:rPr>
      </w:pPr>
      <w:r>
        <w:rPr>
          <w:rFonts w:hint="eastAsia"/>
          <w:color w:val="auto"/>
          <w:shd w:val="clear" w:color="auto" w:fill="auto"/>
          <w:lang w:val="en-US" w:eastAsia="zh-CN"/>
        </w:rPr>
        <w:t>三号（氰化渣）尾矿库于2014年6月由长春黄金设计院设计，工程自2014年10月16日开工，至2015年11月15日竣工，施工单位为江西南方矿山建设有限公司，监理单位为景德镇市江信工程监理有限公司。2016年6月通过安全设施竣工验收，2016年12月，由原上饶市安全生产监督管理局颁发了《尾矿库安全生产许可证》，证书编号：（赣）FM安许证字［2016］E190号，有效期：2016年11月12日至2019年11月11日。其后，进行了两轮延期换证，由上饶市应急管理局颁发了《尾矿库安全生产许可证》，证书编号：（赣）FM安许证字［2019］E349号，有效期：2019年11月12日至2022年11月11日；（赣）FM安许证字［2022］E017号，有效期：2022年11月12日至2025年11月11日。</w:t>
      </w:r>
    </w:p>
    <w:p w14:paraId="044B2289">
      <w:pPr>
        <w:rPr>
          <w:rFonts w:hint="default"/>
          <w:color w:val="auto"/>
          <w:shd w:val="clear" w:color="auto" w:fill="auto"/>
          <w:lang w:val="en-US" w:eastAsia="zh-CN"/>
        </w:rPr>
      </w:pPr>
      <w:r>
        <w:rPr>
          <w:rFonts w:hint="eastAsia"/>
          <w:color w:val="auto"/>
          <w:shd w:val="clear" w:color="auto" w:fill="auto"/>
          <w:lang w:val="en-US" w:eastAsia="zh-CN"/>
        </w:rPr>
        <w:t>2025年6月，江西三和金业有限公司</w:t>
      </w:r>
      <w:r>
        <w:rPr>
          <w:rFonts w:hint="default"/>
          <w:color w:val="auto"/>
          <w:shd w:val="clear" w:color="auto" w:fill="auto"/>
          <w:lang w:val="en-US" w:eastAsia="zh-CN"/>
        </w:rPr>
        <w:t>三号（氰化渣）尾矿库初期坝坝前滩面已经快与初期坝平齐，需及时进行子坝堆筑工作，加上原排洪斜槽未一次施工到位，为此</w:t>
      </w:r>
      <w:r>
        <w:rPr>
          <w:rFonts w:hint="eastAsia"/>
          <w:color w:val="auto"/>
          <w:shd w:val="clear" w:color="auto" w:fill="auto"/>
          <w:lang w:val="en-US" w:eastAsia="zh-CN"/>
        </w:rPr>
        <w:t>，</w:t>
      </w:r>
      <w:r>
        <w:rPr>
          <w:rFonts w:hint="default"/>
          <w:color w:val="auto"/>
          <w:shd w:val="clear" w:color="auto" w:fill="auto"/>
          <w:lang w:val="en-US" w:eastAsia="zh-CN"/>
        </w:rPr>
        <w:t>江西三和金业有限公司启动了排水斜槽延伸暨一期子坝堆筑工程。该工程由江西志帮实业有限公司进行施工，陕西九升土木工程咨询有限公司进行监理，</w:t>
      </w:r>
      <w:r>
        <w:rPr>
          <w:rFonts w:hint="eastAsia"/>
          <w:color w:val="auto"/>
          <w:lang w:val="en-US" w:eastAsia="zh-CN"/>
        </w:rPr>
        <w:t>2025年10月，江西伟灿工程技术咨询有限责任公司进行了验收，并出具了《江西三和金业有限公司三号（氰化渣）尾矿库排水斜槽以及堆筑子坝工程安全设施验收评价报告》。</w:t>
      </w:r>
    </w:p>
    <w:p w14:paraId="7A96C431">
      <w:pPr>
        <w:rPr>
          <w:rFonts w:hint="default"/>
          <w:color w:val="auto"/>
          <w:lang w:val="en-US" w:eastAsia="zh-CN"/>
        </w:rPr>
      </w:pPr>
      <w:r>
        <w:rPr>
          <w:rFonts w:hint="eastAsia"/>
          <w:color w:val="auto"/>
          <w:lang w:val="en-US" w:eastAsia="zh-CN"/>
        </w:rPr>
        <w:t>江西三和金业有限公司于2015年启动三号（氰化渣）尾矿库安全生产标准化工作，于2016年10月通过了由上饶市安全生产协会组织的专家组安标化三级评审，取得了上饶市安全生产监督管理局颁发的相应证书和牌匾，证书编号：赣AQB3611KSⅢ201600004，有效期至2019年12月06日。其后，进行了三号（氰化渣）尾矿库安全生产标准化复评评审工作，于2025年02月取得了上饶市应急管理局颁发的相应证书和牌匾，证书编号：赣DDZXKSSL</w:t>
      </w:r>
      <w:r>
        <w:rPr>
          <w:rFonts w:hint="eastAsia" w:ascii="宋体" w:hAnsi="宋体" w:eastAsia="宋体" w:cs="宋体"/>
          <w:color w:val="auto"/>
          <w:lang w:val="en-US" w:eastAsia="zh-CN"/>
        </w:rPr>
        <w:t>-</w:t>
      </w:r>
      <w:r>
        <w:rPr>
          <w:rFonts w:hint="eastAsia"/>
          <w:color w:val="auto"/>
          <w:lang w:val="en-US" w:eastAsia="zh-CN"/>
        </w:rPr>
        <w:t>2024047，有效期至2028年02月09日。</w:t>
      </w:r>
    </w:p>
    <w:p w14:paraId="67C4494A">
      <w:pPr>
        <w:rPr>
          <w:rFonts w:hint="default"/>
          <w:color w:val="auto"/>
          <w:lang w:val="en-US" w:eastAsia="zh-CN"/>
        </w:rPr>
      </w:pPr>
      <w:r>
        <w:rPr>
          <w:rFonts w:hint="eastAsia"/>
          <w:color w:val="000000"/>
          <w:spacing w:val="-2"/>
          <w:sz w:val="28"/>
          <w:szCs w:val="28"/>
          <w:lang w:val="en-US" w:eastAsia="zh-CN"/>
        </w:rPr>
        <w:t>三</w:t>
      </w:r>
      <w:r>
        <w:rPr>
          <w:color w:val="000000"/>
          <w:spacing w:val="-2"/>
          <w:sz w:val="28"/>
          <w:szCs w:val="28"/>
        </w:rPr>
        <w:t>号</w:t>
      </w:r>
      <w:r>
        <w:rPr>
          <w:rFonts w:hint="eastAsia"/>
          <w:color w:val="000000"/>
          <w:spacing w:val="-2"/>
          <w:sz w:val="28"/>
          <w:szCs w:val="28"/>
        </w:rPr>
        <w:t>（氰化渣）</w:t>
      </w:r>
      <w:r>
        <w:rPr>
          <w:color w:val="000000"/>
          <w:spacing w:val="-2"/>
          <w:sz w:val="28"/>
          <w:szCs w:val="28"/>
        </w:rPr>
        <w:t>尾矿库</w:t>
      </w:r>
      <w:r>
        <w:rPr>
          <w:rFonts w:hint="default"/>
          <w:color w:val="auto"/>
          <w:lang w:val="en-US" w:eastAsia="zh-CN"/>
        </w:rPr>
        <w:t>基本情况调查见表2</w:t>
      </w:r>
      <w:r>
        <w:rPr>
          <w:rFonts w:hint="eastAsia"/>
          <w:color w:val="auto"/>
          <w:lang w:val="en-US" w:eastAsia="zh-CN"/>
        </w:rPr>
        <w:t>.3</w:t>
      </w:r>
      <w:r>
        <w:rPr>
          <w:rFonts w:hint="default"/>
          <w:color w:val="auto"/>
          <w:lang w:val="en-US" w:eastAsia="zh-CN"/>
        </w:rPr>
        <w:t>-1。</w:t>
      </w:r>
    </w:p>
    <w:p w14:paraId="1DE0269B">
      <w:pPr>
        <w:ind w:left="0" w:leftChars="0" w:firstLine="0" w:firstLineChars="0"/>
        <w:jc w:val="center"/>
        <w:rPr>
          <w:rFonts w:hint="default"/>
          <w:color w:val="auto"/>
          <w:lang w:val="en-US" w:eastAsia="zh-CN"/>
        </w:rPr>
      </w:pPr>
      <w:r>
        <w:rPr>
          <w:rFonts w:hint="default"/>
          <w:color w:val="auto"/>
          <w:lang w:val="en-US" w:eastAsia="zh-CN"/>
        </w:rPr>
        <w:t>表2</w:t>
      </w:r>
      <w:r>
        <w:rPr>
          <w:rFonts w:hint="eastAsia"/>
          <w:color w:val="auto"/>
          <w:lang w:val="en-US" w:eastAsia="zh-CN"/>
        </w:rPr>
        <w:t>.3</w:t>
      </w:r>
      <w:r>
        <w:rPr>
          <w:rFonts w:hint="default"/>
          <w:color w:val="auto"/>
          <w:lang w:val="en-US" w:eastAsia="zh-CN"/>
        </w:rPr>
        <w:t>-1</w:t>
      </w:r>
      <w:r>
        <w:rPr>
          <w:rFonts w:hint="eastAsia"/>
          <w:color w:val="auto"/>
          <w:lang w:val="en-US" w:eastAsia="zh-CN"/>
        </w:rPr>
        <w:t xml:space="preserve"> </w:t>
      </w:r>
      <w:r>
        <w:rPr>
          <w:rFonts w:hint="default"/>
          <w:color w:val="auto"/>
          <w:lang w:val="en-US" w:eastAsia="zh-CN"/>
        </w:rPr>
        <w:t>尾矿库基本情况调查表</w:t>
      </w:r>
    </w:p>
    <w:tbl>
      <w:tblPr>
        <w:tblStyle w:val="20"/>
        <w:tblW w:w="51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154"/>
        <w:gridCol w:w="2570"/>
        <w:gridCol w:w="1824"/>
        <w:gridCol w:w="2831"/>
      </w:tblGrid>
      <w:tr w14:paraId="26C84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1148" w:type="pct"/>
            <w:noWrap w:val="0"/>
            <w:tcMar>
              <w:top w:w="15" w:type="dxa"/>
              <w:left w:w="15" w:type="dxa"/>
              <w:bottom w:w="0" w:type="dxa"/>
              <w:right w:w="15" w:type="dxa"/>
            </w:tcMar>
            <w:vAlign w:val="center"/>
          </w:tcPr>
          <w:p w14:paraId="33309B3D">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企业名称</w:t>
            </w:r>
          </w:p>
        </w:tc>
        <w:tc>
          <w:tcPr>
            <w:tcW w:w="3851" w:type="pct"/>
            <w:gridSpan w:val="3"/>
            <w:noWrap w:val="0"/>
            <w:tcMar>
              <w:top w:w="15" w:type="dxa"/>
              <w:left w:w="15" w:type="dxa"/>
              <w:bottom w:w="0" w:type="dxa"/>
              <w:right w:w="15" w:type="dxa"/>
            </w:tcMar>
            <w:vAlign w:val="center"/>
          </w:tcPr>
          <w:p w14:paraId="7E5F4430">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bCs/>
                <w:color w:val="auto"/>
                <w:sz w:val="21"/>
                <w:szCs w:val="21"/>
              </w:rPr>
              <w:t>江西三和金业有限公司</w:t>
            </w:r>
          </w:p>
        </w:tc>
      </w:tr>
      <w:tr w14:paraId="197BA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5" w:hRule="atLeast"/>
          <w:jc w:val="center"/>
        </w:trPr>
        <w:tc>
          <w:tcPr>
            <w:tcW w:w="2518" w:type="pct"/>
            <w:gridSpan w:val="2"/>
            <w:noWrap w:val="0"/>
            <w:tcMar>
              <w:top w:w="15" w:type="dxa"/>
              <w:left w:w="15" w:type="dxa"/>
              <w:bottom w:w="0" w:type="dxa"/>
              <w:right w:w="15" w:type="dxa"/>
            </w:tcMar>
            <w:vAlign w:val="center"/>
          </w:tcPr>
          <w:p w14:paraId="2A839023">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*行业类别</w:t>
            </w:r>
          </w:p>
        </w:tc>
        <w:tc>
          <w:tcPr>
            <w:tcW w:w="2481" w:type="pct"/>
            <w:gridSpan w:val="2"/>
            <w:noWrap w:val="0"/>
            <w:tcMar>
              <w:top w:w="15" w:type="dxa"/>
              <w:left w:w="15" w:type="dxa"/>
              <w:bottom w:w="0" w:type="dxa"/>
              <w:right w:w="15" w:type="dxa"/>
            </w:tcMar>
            <w:vAlign w:val="center"/>
          </w:tcPr>
          <w:p w14:paraId="4748DA17">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bCs/>
                <w:color w:val="auto"/>
                <w:sz w:val="21"/>
                <w:szCs w:val="21"/>
              </w:rPr>
              <w:t>黄金冶炼</w:t>
            </w:r>
          </w:p>
        </w:tc>
      </w:tr>
      <w:tr w14:paraId="2CD83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5" w:hRule="atLeast"/>
          <w:jc w:val="center"/>
        </w:trPr>
        <w:tc>
          <w:tcPr>
            <w:tcW w:w="1148" w:type="pct"/>
            <w:noWrap w:val="0"/>
            <w:tcMar>
              <w:top w:w="15" w:type="dxa"/>
              <w:left w:w="15" w:type="dxa"/>
              <w:bottom w:w="0" w:type="dxa"/>
              <w:right w:w="15" w:type="dxa"/>
            </w:tcMar>
            <w:vAlign w:val="center"/>
          </w:tcPr>
          <w:p w14:paraId="2FC826E9">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尾矿库名称</w:t>
            </w:r>
          </w:p>
        </w:tc>
        <w:tc>
          <w:tcPr>
            <w:tcW w:w="1370" w:type="pct"/>
            <w:noWrap w:val="0"/>
            <w:tcMar>
              <w:top w:w="15" w:type="dxa"/>
              <w:left w:w="15" w:type="dxa"/>
              <w:bottom w:w="0" w:type="dxa"/>
              <w:right w:w="15" w:type="dxa"/>
            </w:tcMar>
            <w:vAlign w:val="center"/>
          </w:tcPr>
          <w:p w14:paraId="6B6D70D9">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s="Times New Roman"/>
                <w:bCs/>
                <w:color w:val="auto"/>
                <w:sz w:val="21"/>
                <w:szCs w:val="21"/>
                <w:lang w:eastAsia="zh-CN"/>
              </w:rPr>
            </w:pPr>
            <w:r>
              <w:rPr>
                <w:rFonts w:hint="eastAsia" w:cs="Times New Roman"/>
                <w:bCs/>
                <w:color w:val="auto"/>
                <w:sz w:val="21"/>
                <w:szCs w:val="21"/>
                <w:lang w:eastAsia="zh-CN"/>
              </w:rPr>
              <w:t>江西三和金业有限公司</w:t>
            </w:r>
          </w:p>
          <w:p w14:paraId="1D64793C">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cs="Times New Roman"/>
                <w:bCs/>
                <w:color w:val="auto"/>
                <w:sz w:val="21"/>
                <w:szCs w:val="21"/>
                <w:lang w:val="en-US" w:eastAsia="zh-CN"/>
              </w:rPr>
              <w:t>三</w:t>
            </w:r>
            <w:r>
              <w:rPr>
                <w:rFonts w:hint="eastAsia" w:cs="Times New Roman"/>
                <w:bCs/>
                <w:color w:val="auto"/>
                <w:sz w:val="21"/>
                <w:szCs w:val="21"/>
                <w:lang w:eastAsia="zh-CN"/>
              </w:rPr>
              <w:t>号（氰化渣）尾矿库</w:t>
            </w:r>
          </w:p>
        </w:tc>
        <w:tc>
          <w:tcPr>
            <w:tcW w:w="972" w:type="pct"/>
            <w:noWrap w:val="0"/>
            <w:tcMar>
              <w:top w:w="15" w:type="dxa"/>
              <w:left w:w="15" w:type="dxa"/>
              <w:bottom w:w="0" w:type="dxa"/>
              <w:right w:w="15" w:type="dxa"/>
            </w:tcMar>
            <w:vAlign w:val="center"/>
          </w:tcPr>
          <w:p w14:paraId="495A2004">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投产时间</w:t>
            </w:r>
          </w:p>
        </w:tc>
        <w:tc>
          <w:tcPr>
            <w:tcW w:w="1509" w:type="pct"/>
            <w:noWrap w:val="0"/>
            <w:tcMar>
              <w:top w:w="15" w:type="dxa"/>
              <w:left w:w="15" w:type="dxa"/>
              <w:bottom w:w="0" w:type="dxa"/>
              <w:right w:w="15" w:type="dxa"/>
            </w:tcMar>
            <w:vAlign w:val="center"/>
          </w:tcPr>
          <w:p w14:paraId="15B77130">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bCs/>
                <w:color w:val="auto"/>
                <w:sz w:val="21"/>
                <w:szCs w:val="21"/>
                <w:lang w:eastAsia="zh-CN"/>
              </w:rPr>
              <w:t>2016年</w:t>
            </w:r>
          </w:p>
        </w:tc>
      </w:tr>
      <w:tr w14:paraId="0395C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 w:hRule="atLeast"/>
          <w:jc w:val="center"/>
        </w:trPr>
        <w:tc>
          <w:tcPr>
            <w:tcW w:w="2518" w:type="pct"/>
            <w:gridSpan w:val="2"/>
            <w:noWrap w:val="0"/>
            <w:tcMar>
              <w:top w:w="15" w:type="dxa"/>
              <w:left w:w="15" w:type="dxa"/>
              <w:bottom w:w="0" w:type="dxa"/>
              <w:right w:w="15" w:type="dxa"/>
            </w:tcMar>
            <w:vAlign w:val="center"/>
          </w:tcPr>
          <w:p w14:paraId="4C1D50EE">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尾矿库地址</w:t>
            </w:r>
          </w:p>
        </w:tc>
        <w:tc>
          <w:tcPr>
            <w:tcW w:w="2481" w:type="pct"/>
            <w:gridSpan w:val="2"/>
            <w:noWrap w:val="0"/>
            <w:tcMar>
              <w:top w:w="15" w:type="dxa"/>
              <w:left w:w="15" w:type="dxa"/>
              <w:bottom w:w="0" w:type="dxa"/>
              <w:right w:w="15" w:type="dxa"/>
            </w:tcMar>
            <w:vAlign w:val="center"/>
          </w:tcPr>
          <w:p w14:paraId="1AF8C318">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德兴市花桥镇</w:t>
            </w:r>
          </w:p>
        </w:tc>
      </w:tr>
      <w:tr w14:paraId="3E85B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7" w:hRule="atLeast"/>
          <w:jc w:val="center"/>
        </w:trPr>
        <w:tc>
          <w:tcPr>
            <w:tcW w:w="1148" w:type="pct"/>
            <w:noWrap w:val="0"/>
            <w:tcMar>
              <w:top w:w="15" w:type="dxa"/>
              <w:left w:w="15" w:type="dxa"/>
              <w:bottom w:w="0" w:type="dxa"/>
              <w:right w:w="15" w:type="dxa"/>
            </w:tcMar>
            <w:vAlign w:val="center"/>
          </w:tcPr>
          <w:p w14:paraId="3996DE25">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*设计单位</w:t>
            </w:r>
          </w:p>
        </w:tc>
        <w:tc>
          <w:tcPr>
            <w:tcW w:w="1370" w:type="pct"/>
            <w:noWrap w:val="0"/>
            <w:tcMar>
              <w:top w:w="15" w:type="dxa"/>
              <w:left w:w="15" w:type="dxa"/>
              <w:bottom w:w="0" w:type="dxa"/>
              <w:right w:w="15" w:type="dxa"/>
            </w:tcMar>
            <w:vAlign w:val="center"/>
          </w:tcPr>
          <w:p w14:paraId="3C49D64B">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长春黄金设计院</w:t>
            </w:r>
          </w:p>
        </w:tc>
        <w:tc>
          <w:tcPr>
            <w:tcW w:w="972" w:type="pct"/>
            <w:noWrap w:val="0"/>
            <w:tcMar>
              <w:top w:w="15" w:type="dxa"/>
              <w:left w:w="15" w:type="dxa"/>
              <w:bottom w:w="0" w:type="dxa"/>
              <w:right w:w="15" w:type="dxa"/>
            </w:tcMar>
            <w:vAlign w:val="center"/>
          </w:tcPr>
          <w:p w14:paraId="67E22F9A">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*设计审批单位</w:t>
            </w:r>
          </w:p>
        </w:tc>
        <w:tc>
          <w:tcPr>
            <w:tcW w:w="1509" w:type="pct"/>
            <w:noWrap w:val="0"/>
            <w:tcMar>
              <w:top w:w="15" w:type="dxa"/>
              <w:left w:w="15" w:type="dxa"/>
              <w:bottom w:w="0" w:type="dxa"/>
              <w:right w:w="15" w:type="dxa"/>
            </w:tcMar>
            <w:vAlign w:val="center"/>
          </w:tcPr>
          <w:p w14:paraId="6B2AB98B">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上饶市安全生产监督管理局</w:t>
            </w:r>
          </w:p>
        </w:tc>
      </w:tr>
      <w:tr w14:paraId="4A221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5" w:hRule="atLeast"/>
          <w:jc w:val="center"/>
        </w:trPr>
        <w:tc>
          <w:tcPr>
            <w:tcW w:w="1148" w:type="pct"/>
            <w:noWrap w:val="0"/>
            <w:tcMar>
              <w:top w:w="15" w:type="dxa"/>
              <w:left w:w="15" w:type="dxa"/>
              <w:bottom w:w="0" w:type="dxa"/>
              <w:right w:w="15" w:type="dxa"/>
            </w:tcMar>
            <w:vAlign w:val="center"/>
          </w:tcPr>
          <w:p w14:paraId="38E6F007">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bCs/>
                <w:color w:val="auto"/>
                <w:sz w:val="21"/>
                <w:szCs w:val="21"/>
              </w:rPr>
            </w:pPr>
            <w:r>
              <w:rPr>
                <w:rFonts w:hint="eastAsia" w:cs="Times New Roman"/>
                <w:bCs/>
                <w:color w:val="auto"/>
                <w:sz w:val="21"/>
                <w:szCs w:val="21"/>
                <w:lang w:val="en-US" w:eastAsia="zh-CN"/>
              </w:rPr>
              <w:t>总库容</w:t>
            </w:r>
            <w:r>
              <w:rPr>
                <w:rFonts w:hint="default" w:ascii="Times New Roman" w:hAnsi="Times New Roman" w:eastAsia="宋体" w:cs="Times New Roman"/>
                <w:bCs/>
                <w:color w:val="auto"/>
                <w:sz w:val="21"/>
                <w:szCs w:val="21"/>
              </w:rPr>
              <w:t>（万m</w:t>
            </w:r>
            <w:r>
              <w:rPr>
                <w:rFonts w:hint="default" w:ascii="Times New Roman" w:hAnsi="Times New Roman" w:eastAsia="宋体" w:cs="Times New Roman"/>
                <w:bCs/>
                <w:color w:val="auto"/>
                <w:sz w:val="21"/>
                <w:szCs w:val="21"/>
                <w:vertAlign w:val="superscript"/>
              </w:rPr>
              <w:t>3</w:t>
            </w:r>
            <w:r>
              <w:rPr>
                <w:rFonts w:hint="default" w:ascii="Times New Roman" w:hAnsi="Times New Roman" w:eastAsia="宋体" w:cs="Times New Roman"/>
                <w:bCs/>
                <w:color w:val="auto"/>
                <w:sz w:val="21"/>
                <w:szCs w:val="21"/>
              </w:rPr>
              <w:t>）</w:t>
            </w:r>
          </w:p>
        </w:tc>
        <w:tc>
          <w:tcPr>
            <w:tcW w:w="1370" w:type="pct"/>
            <w:noWrap w:val="0"/>
            <w:tcMar>
              <w:top w:w="15" w:type="dxa"/>
              <w:left w:w="15" w:type="dxa"/>
              <w:bottom w:w="0" w:type="dxa"/>
              <w:right w:w="15" w:type="dxa"/>
            </w:tcMar>
            <w:vAlign w:val="center"/>
          </w:tcPr>
          <w:p w14:paraId="67444AEB">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45.0</w:t>
            </w:r>
          </w:p>
        </w:tc>
        <w:tc>
          <w:tcPr>
            <w:tcW w:w="972" w:type="pct"/>
            <w:noWrap w:val="0"/>
            <w:tcMar>
              <w:top w:w="15" w:type="dxa"/>
              <w:left w:w="15" w:type="dxa"/>
              <w:bottom w:w="0" w:type="dxa"/>
              <w:right w:w="15" w:type="dxa"/>
            </w:tcMar>
            <w:vAlign w:val="center"/>
          </w:tcPr>
          <w:p w14:paraId="33175BC6">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已堆积库容（万m</w:t>
            </w:r>
            <w:r>
              <w:rPr>
                <w:rFonts w:hint="default" w:ascii="Times New Roman" w:hAnsi="Times New Roman" w:eastAsia="宋体" w:cs="Times New Roman"/>
                <w:bCs/>
                <w:color w:val="auto"/>
                <w:sz w:val="21"/>
                <w:szCs w:val="21"/>
                <w:vertAlign w:val="superscript"/>
              </w:rPr>
              <w:t>3</w:t>
            </w:r>
            <w:r>
              <w:rPr>
                <w:rFonts w:hint="default" w:ascii="Times New Roman" w:hAnsi="Times New Roman" w:eastAsia="宋体" w:cs="Times New Roman"/>
                <w:bCs/>
                <w:color w:val="auto"/>
                <w:sz w:val="21"/>
                <w:szCs w:val="21"/>
              </w:rPr>
              <w:t>）</w:t>
            </w:r>
          </w:p>
        </w:tc>
        <w:tc>
          <w:tcPr>
            <w:tcW w:w="1509" w:type="pct"/>
            <w:noWrap w:val="0"/>
            <w:tcMar>
              <w:top w:w="15" w:type="dxa"/>
              <w:left w:w="15" w:type="dxa"/>
              <w:bottom w:w="0" w:type="dxa"/>
              <w:right w:w="15" w:type="dxa"/>
            </w:tcMar>
            <w:vAlign w:val="center"/>
          </w:tcPr>
          <w:p w14:paraId="699179CC">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121.68</w:t>
            </w:r>
          </w:p>
        </w:tc>
      </w:tr>
      <w:tr w14:paraId="72021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5" w:hRule="atLeast"/>
          <w:jc w:val="center"/>
        </w:trPr>
        <w:tc>
          <w:tcPr>
            <w:tcW w:w="1148" w:type="pct"/>
            <w:noWrap w:val="0"/>
            <w:tcMar>
              <w:top w:w="15" w:type="dxa"/>
              <w:left w:w="15" w:type="dxa"/>
              <w:bottom w:w="0" w:type="dxa"/>
              <w:right w:w="15" w:type="dxa"/>
            </w:tcMar>
            <w:vAlign w:val="center"/>
          </w:tcPr>
          <w:p w14:paraId="62C8B3AB">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*设计</w:t>
            </w:r>
            <w:r>
              <w:rPr>
                <w:rFonts w:hint="eastAsia" w:cs="Times New Roman"/>
                <w:bCs/>
                <w:color w:val="auto"/>
                <w:sz w:val="21"/>
                <w:szCs w:val="21"/>
                <w:lang w:val="en-US" w:eastAsia="zh-CN"/>
              </w:rPr>
              <w:t>总</w:t>
            </w:r>
            <w:r>
              <w:rPr>
                <w:rFonts w:hint="default" w:ascii="Times New Roman" w:hAnsi="Times New Roman" w:eastAsia="宋体" w:cs="Times New Roman"/>
                <w:bCs/>
                <w:color w:val="auto"/>
                <w:sz w:val="21"/>
                <w:szCs w:val="21"/>
              </w:rPr>
              <w:t>坝高（m）</w:t>
            </w:r>
          </w:p>
        </w:tc>
        <w:tc>
          <w:tcPr>
            <w:tcW w:w="1370" w:type="pct"/>
            <w:noWrap w:val="0"/>
            <w:tcMar>
              <w:top w:w="15" w:type="dxa"/>
              <w:left w:w="15" w:type="dxa"/>
              <w:bottom w:w="0" w:type="dxa"/>
              <w:right w:w="15" w:type="dxa"/>
            </w:tcMar>
            <w:vAlign w:val="center"/>
          </w:tcPr>
          <w:p w14:paraId="0B42CBE2">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26.5</w:t>
            </w:r>
          </w:p>
        </w:tc>
        <w:tc>
          <w:tcPr>
            <w:tcW w:w="972" w:type="pct"/>
            <w:noWrap w:val="0"/>
            <w:tcMar>
              <w:top w:w="15" w:type="dxa"/>
              <w:left w:w="15" w:type="dxa"/>
              <w:bottom w:w="0" w:type="dxa"/>
              <w:right w:w="15" w:type="dxa"/>
            </w:tcMar>
            <w:vAlign w:val="center"/>
          </w:tcPr>
          <w:p w14:paraId="30C4C5D6">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*目前坝高（m）</w:t>
            </w:r>
          </w:p>
        </w:tc>
        <w:tc>
          <w:tcPr>
            <w:tcW w:w="1509" w:type="pct"/>
            <w:noWrap w:val="0"/>
            <w:tcMar>
              <w:top w:w="15" w:type="dxa"/>
              <w:left w:w="15" w:type="dxa"/>
              <w:bottom w:w="0" w:type="dxa"/>
              <w:right w:w="15" w:type="dxa"/>
            </w:tcMar>
            <w:vAlign w:val="center"/>
          </w:tcPr>
          <w:p w14:paraId="35F418E9">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14.5</w:t>
            </w:r>
          </w:p>
        </w:tc>
      </w:tr>
      <w:tr w14:paraId="1CD95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5" w:hRule="atLeast"/>
          <w:jc w:val="center"/>
        </w:trPr>
        <w:tc>
          <w:tcPr>
            <w:tcW w:w="2518" w:type="pct"/>
            <w:gridSpan w:val="2"/>
            <w:noWrap w:val="0"/>
            <w:tcMar>
              <w:top w:w="15" w:type="dxa"/>
              <w:left w:w="15" w:type="dxa"/>
              <w:bottom w:w="0" w:type="dxa"/>
              <w:right w:w="15" w:type="dxa"/>
            </w:tcMar>
            <w:vAlign w:val="center"/>
          </w:tcPr>
          <w:p w14:paraId="010EBE6D">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sz w:val="21"/>
                <w:szCs w:val="21"/>
              </w:rPr>
              <w:t>*尾矿库等别</w:t>
            </w:r>
          </w:p>
        </w:tc>
        <w:tc>
          <w:tcPr>
            <w:tcW w:w="2481" w:type="pct"/>
            <w:gridSpan w:val="2"/>
            <w:noWrap w:val="0"/>
            <w:tcMar>
              <w:top w:w="15" w:type="dxa"/>
              <w:left w:w="15" w:type="dxa"/>
              <w:bottom w:w="0" w:type="dxa"/>
              <w:right w:w="15" w:type="dxa"/>
            </w:tcMar>
            <w:vAlign w:val="center"/>
          </w:tcPr>
          <w:p w14:paraId="00BB61E4">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五等库</w:t>
            </w:r>
          </w:p>
        </w:tc>
      </w:tr>
      <w:tr w14:paraId="2874D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5" w:hRule="atLeast"/>
          <w:jc w:val="center"/>
        </w:trPr>
        <w:tc>
          <w:tcPr>
            <w:tcW w:w="1148" w:type="pct"/>
            <w:noWrap w:val="0"/>
            <w:tcMar>
              <w:top w:w="15" w:type="dxa"/>
              <w:left w:w="15" w:type="dxa"/>
              <w:bottom w:w="0" w:type="dxa"/>
              <w:right w:w="15" w:type="dxa"/>
            </w:tcMar>
            <w:vAlign w:val="center"/>
          </w:tcPr>
          <w:p w14:paraId="52D7A6A9">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*安全度分类</w:t>
            </w:r>
          </w:p>
        </w:tc>
        <w:tc>
          <w:tcPr>
            <w:tcW w:w="1370" w:type="pct"/>
            <w:noWrap w:val="0"/>
            <w:tcMar>
              <w:top w:w="15" w:type="dxa"/>
              <w:left w:w="15" w:type="dxa"/>
              <w:bottom w:w="0" w:type="dxa"/>
              <w:right w:w="15" w:type="dxa"/>
            </w:tcMar>
            <w:vAlign w:val="center"/>
          </w:tcPr>
          <w:p w14:paraId="244B7045">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正常库</w:t>
            </w:r>
          </w:p>
        </w:tc>
        <w:tc>
          <w:tcPr>
            <w:tcW w:w="972" w:type="pct"/>
            <w:noWrap w:val="0"/>
            <w:tcMar>
              <w:top w:w="15" w:type="dxa"/>
              <w:left w:w="15" w:type="dxa"/>
              <w:bottom w:w="0" w:type="dxa"/>
              <w:right w:w="15" w:type="dxa"/>
            </w:tcMar>
            <w:vAlign w:val="center"/>
          </w:tcPr>
          <w:p w14:paraId="5CD6EA94">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*筑坝方式</w:t>
            </w:r>
          </w:p>
        </w:tc>
        <w:tc>
          <w:tcPr>
            <w:tcW w:w="1509" w:type="pct"/>
            <w:noWrap w:val="0"/>
            <w:tcMar>
              <w:top w:w="15" w:type="dxa"/>
              <w:left w:w="15" w:type="dxa"/>
              <w:bottom w:w="0" w:type="dxa"/>
              <w:right w:w="15" w:type="dxa"/>
            </w:tcMar>
            <w:vAlign w:val="center"/>
          </w:tcPr>
          <w:p w14:paraId="1FD2C699">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上游式干堆</w:t>
            </w:r>
          </w:p>
        </w:tc>
      </w:tr>
      <w:tr w14:paraId="7DF77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3" w:hRule="atLeast"/>
          <w:jc w:val="center"/>
        </w:trPr>
        <w:tc>
          <w:tcPr>
            <w:tcW w:w="1148" w:type="pct"/>
            <w:noWrap w:val="0"/>
            <w:tcMar>
              <w:top w:w="15" w:type="dxa"/>
              <w:left w:w="15" w:type="dxa"/>
              <w:bottom w:w="0" w:type="dxa"/>
              <w:right w:w="15" w:type="dxa"/>
            </w:tcMar>
            <w:vAlign w:val="center"/>
          </w:tcPr>
          <w:p w14:paraId="436A427C">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*是否获得</w:t>
            </w:r>
          </w:p>
          <w:p w14:paraId="4370EEE7">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安全生产许可证</w:t>
            </w:r>
          </w:p>
        </w:tc>
        <w:tc>
          <w:tcPr>
            <w:tcW w:w="1370" w:type="pct"/>
            <w:noWrap w:val="0"/>
            <w:tcMar>
              <w:top w:w="15" w:type="dxa"/>
              <w:left w:w="15" w:type="dxa"/>
              <w:bottom w:w="0" w:type="dxa"/>
              <w:right w:w="15" w:type="dxa"/>
            </w:tcMar>
            <w:vAlign w:val="center"/>
          </w:tcPr>
          <w:p w14:paraId="6FD15AB5">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972" w:type="pct"/>
            <w:noWrap w:val="0"/>
            <w:tcMar>
              <w:top w:w="15" w:type="dxa"/>
              <w:left w:w="15" w:type="dxa"/>
              <w:bottom w:w="0" w:type="dxa"/>
              <w:right w:w="15" w:type="dxa"/>
            </w:tcMar>
            <w:vAlign w:val="center"/>
          </w:tcPr>
          <w:p w14:paraId="5D27D31B">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*安全评价单位</w:t>
            </w:r>
          </w:p>
        </w:tc>
        <w:tc>
          <w:tcPr>
            <w:tcW w:w="1509" w:type="pct"/>
            <w:noWrap w:val="0"/>
            <w:tcMar>
              <w:top w:w="15" w:type="dxa"/>
              <w:left w:w="15" w:type="dxa"/>
              <w:bottom w:w="0" w:type="dxa"/>
              <w:right w:w="15" w:type="dxa"/>
            </w:tcMar>
            <w:vAlign w:val="center"/>
          </w:tcPr>
          <w:p w14:paraId="0C65D597">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江西赣安安全生产</w:t>
            </w:r>
          </w:p>
          <w:p w14:paraId="44615AB7">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科学技术咨询服务中心</w:t>
            </w:r>
          </w:p>
        </w:tc>
      </w:tr>
      <w:tr w14:paraId="2F9E3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1148" w:type="pct"/>
            <w:noWrap w:val="0"/>
            <w:tcMar>
              <w:top w:w="15" w:type="dxa"/>
              <w:left w:w="15" w:type="dxa"/>
              <w:bottom w:w="0" w:type="dxa"/>
              <w:right w:w="15" w:type="dxa"/>
            </w:tcMar>
            <w:vAlign w:val="center"/>
          </w:tcPr>
          <w:p w14:paraId="1A02A78F">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安全评价意见</w:t>
            </w:r>
          </w:p>
        </w:tc>
        <w:tc>
          <w:tcPr>
            <w:tcW w:w="3851" w:type="pct"/>
            <w:gridSpan w:val="3"/>
            <w:noWrap w:val="0"/>
            <w:tcMar>
              <w:top w:w="15" w:type="dxa"/>
              <w:left w:w="15" w:type="dxa"/>
              <w:bottom w:w="0" w:type="dxa"/>
              <w:right w:w="15" w:type="dxa"/>
            </w:tcMar>
            <w:vAlign w:val="center"/>
          </w:tcPr>
          <w:p w14:paraId="3E013012">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zh-CN"/>
              </w:rPr>
              <w:t>安全生产条件一般，能满足基本的安全生产活动。</w:t>
            </w:r>
          </w:p>
        </w:tc>
      </w:tr>
      <w:tr w14:paraId="2F468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 w:hRule="atLeast"/>
          <w:jc w:val="center"/>
        </w:trPr>
        <w:tc>
          <w:tcPr>
            <w:tcW w:w="1148" w:type="pct"/>
            <w:noWrap w:val="0"/>
            <w:tcMar>
              <w:top w:w="15" w:type="dxa"/>
              <w:left w:w="15" w:type="dxa"/>
              <w:bottom w:w="0" w:type="dxa"/>
              <w:right w:w="15" w:type="dxa"/>
            </w:tcMar>
            <w:vAlign w:val="center"/>
          </w:tcPr>
          <w:p w14:paraId="5C2F605E">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尾矿库及库区存在的</w:t>
            </w:r>
          </w:p>
          <w:p w14:paraId="1786CE00">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主要安全问题</w:t>
            </w:r>
          </w:p>
        </w:tc>
        <w:tc>
          <w:tcPr>
            <w:tcW w:w="3851" w:type="pct"/>
            <w:gridSpan w:val="3"/>
            <w:noWrap w:val="0"/>
            <w:tcMar>
              <w:top w:w="15" w:type="dxa"/>
              <w:left w:w="15" w:type="dxa"/>
              <w:bottom w:w="0" w:type="dxa"/>
              <w:right w:w="15" w:type="dxa"/>
            </w:tcMar>
            <w:vAlign w:val="center"/>
          </w:tcPr>
          <w:p w14:paraId="4EE76FF5">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w:t>
            </w:r>
          </w:p>
        </w:tc>
      </w:tr>
      <w:tr w14:paraId="0A4DB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1" w:hRule="atLeast"/>
          <w:jc w:val="center"/>
        </w:trPr>
        <w:tc>
          <w:tcPr>
            <w:tcW w:w="1148" w:type="pct"/>
            <w:noWrap w:val="0"/>
            <w:tcMar>
              <w:top w:w="15" w:type="dxa"/>
              <w:left w:w="15" w:type="dxa"/>
              <w:bottom w:w="0" w:type="dxa"/>
              <w:right w:w="15" w:type="dxa"/>
            </w:tcMar>
            <w:vAlign w:val="center"/>
          </w:tcPr>
          <w:p w14:paraId="3E1E5C51">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近</w:t>
            </w:r>
            <w:r>
              <w:rPr>
                <w:rFonts w:hint="eastAsia" w:cs="Times New Roman"/>
                <w:bCs/>
                <w:color w:val="auto"/>
                <w:sz w:val="21"/>
                <w:szCs w:val="21"/>
                <w:lang w:val="en-US" w:eastAsia="zh-CN"/>
              </w:rPr>
              <w:t>三</w:t>
            </w:r>
            <w:r>
              <w:rPr>
                <w:rFonts w:hint="default" w:ascii="Times New Roman" w:hAnsi="Times New Roman" w:eastAsia="宋体" w:cs="Times New Roman"/>
                <w:bCs/>
                <w:color w:val="auto"/>
                <w:sz w:val="21"/>
                <w:szCs w:val="21"/>
              </w:rPr>
              <w:t>年</w:t>
            </w:r>
          </w:p>
          <w:p w14:paraId="72A48DD6">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生产安全事故情况</w:t>
            </w:r>
          </w:p>
        </w:tc>
        <w:tc>
          <w:tcPr>
            <w:tcW w:w="3851" w:type="pct"/>
            <w:gridSpan w:val="3"/>
            <w:noWrap w:val="0"/>
            <w:tcMar>
              <w:top w:w="15" w:type="dxa"/>
              <w:left w:w="15" w:type="dxa"/>
              <w:bottom w:w="0" w:type="dxa"/>
              <w:right w:w="15" w:type="dxa"/>
            </w:tcMar>
            <w:vAlign w:val="center"/>
          </w:tcPr>
          <w:p w14:paraId="4D00FDB5">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w:t>
            </w:r>
          </w:p>
        </w:tc>
      </w:tr>
    </w:tbl>
    <w:p w14:paraId="239FD83C">
      <w:pPr>
        <w:pStyle w:val="3"/>
        <w:bidi w:val="0"/>
        <w:rPr>
          <w:rFonts w:hint="default"/>
          <w:color w:val="auto"/>
          <w:lang w:val="en-US" w:eastAsia="zh-CN"/>
        </w:rPr>
      </w:pPr>
      <w:bookmarkStart w:id="114" w:name="_Toc7530"/>
      <w:bookmarkStart w:id="115" w:name="_Toc20573"/>
      <w:bookmarkStart w:id="116" w:name="_Toc12138"/>
      <w:bookmarkStart w:id="117" w:name="_Toc32291"/>
      <w:bookmarkStart w:id="118" w:name="_Toc13889"/>
      <w:r>
        <w:rPr>
          <w:rFonts w:hint="default"/>
          <w:color w:val="auto"/>
          <w:lang w:val="en-US" w:eastAsia="zh-CN"/>
        </w:rPr>
        <w:t>2.4</w:t>
      </w:r>
      <w:r>
        <w:rPr>
          <w:rFonts w:hint="eastAsia"/>
          <w:color w:val="auto"/>
          <w:lang w:val="en-US" w:eastAsia="zh-CN"/>
        </w:rPr>
        <w:t xml:space="preserve"> </w:t>
      </w:r>
      <w:r>
        <w:rPr>
          <w:rFonts w:hint="default"/>
          <w:color w:val="auto"/>
          <w:lang w:val="en-US" w:eastAsia="zh-CN"/>
        </w:rPr>
        <w:t>地质概况</w:t>
      </w:r>
      <w:bookmarkEnd w:id="114"/>
      <w:bookmarkEnd w:id="115"/>
      <w:bookmarkEnd w:id="116"/>
      <w:bookmarkEnd w:id="117"/>
      <w:bookmarkEnd w:id="118"/>
    </w:p>
    <w:p w14:paraId="68B72F4D">
      <w:pPr>
        <w:rPr>
          <w:rFonts w:hint="default"/>
          <w:color w:val="auto"/>
          <w:lang w:val="en-US" w:eastAsia="zh-CN"/>
        </w:rPr>
      </w:pPr>
      <w:r>
        <w:rPr>
          <w:rFonts w:hint="default"/>
          <w:color w:val="auto"/>
          <w:lang w:val="en-US" w:eastAsia="zh-CN"/>
        </w:rPr>
        <w:t>以下内容引用自江西金新勘测工程有限公司于2013年3月编制的《江西三和金业有限公司3#尾矿库工程（水文）地质勘察报告》中的地质资料。</w:t>
      </w:r>
    </w:p>
    <w:p w14:paraId="4045BD2B">
      <w:pPr>
        <w:pStyle w:val="4"/>
        <w:bidi w:val="0"/>
        <w:rPr>
          <w:rFonts w:hint="default"/>
          <w:color w:val="auto"/>
          <w:lang w:val="en-US" w:eastAsia="zh-CN"/>
        </w:rPr>
      </w:pPr>
      <w:bookmarkStart w:id="119" w:name="_Toc31772"/>
      <w:bookmarkStart w:id="120" w:name="_Toc24668"/>
      <w:bookmarkStart w:id="121" w:name="_Toc22133"/>
      <w:bookmarkStart w:id="122" w:name="_Toc9643"/>
      <w:bookmarkStart w:id="123" w:name="_Toc25503"/>
      <w:r>
        <w:rPr>
          <w:rFonts w:hint="default"/>
          <w:color w:val="auto"/>
          <w:lang w:val="en-US" w:eastAsia="zh-CN"/>
        </w:rPr>
        <w:t>2.4.1</w:t>
      </w:r>
      <w:r>
        <w:rPr>
          <w:rFonts w:hint="eastAsia"/>
          <w:color w:val="auto"/>
          <w:lang w:val="en-US" w:eastAsia="zh-CN"/>
        </w:rPr>
        <w:t xml:space="preserve"> </w:t>
      </w:r>
      <w:bookmarkEnd w:id="119"/>
      <w:bookmarkEnd w:id="120"/>
      <w:bookmarkEnd w:id="121"/>
      <w:bookmarkEnd w:id="122"/>
      <w:r>
        <w:rPr>
          <w:rFonts w:hint="default"/>
          <w:color w:val="auto"/>
          <w:lang w:val="en-US" w:eastAsia="zh-CN"/>
        </w:rPr>
        <w:t>地形地貌</w:t>
      </w:r>
      <w:bookmarkEnd w:id="123"/>
    </w:p>
    <w:p w14:paraId="462E22EC">
      <w:pPr>
        <w:rPr>
          <w:rFonts w:hint="default"/>
          <w:color w:val="auto"/>
          <w:lang w:val="en-US" w:eastAsia="zh-CN"/>
        </w:rPr>
      </w:pPr>
      <w:r>
        <w:rPr>
          <w:rFonts w:hint="eastAsia"/>
          <w:color w:val="auto"/>
          <w:lang w:val="en-US" w:eastAsia="zh-CN"/>
        </w:rPr>
        <w:t>一、</w:t>
      </w:r>
      <w:r>
        <w:rPr>
          <w:rFonts w:hint="default"/>
          <w:color w:val="auto"/>
          <w:lang w:val="en-US" w:eastAsia="zh-CN"/>
        </w:rPr>
        <w:t>区域地形地貌</w:t>
      </w:r>
    </w:p>
    <w:p w14:paraId="58965FCE">
      <w:pPr>
        <w:rPr>
          <w:rFonts w:hint="default"/>
          <w:color w:val="auto"/>
          <w:lang w:val="en-US" w:eastAsia="zh-CN"/>
        </w:rPr>
      </w:pPr>
      <w:r>
        <w:rPr>
          <w:rFonts w:hint="default"/>
          <w:color w:val="auto"/>
          <w:lang w:val="en-US" w:eastAsia="zh-CN"/>
        </w:rPr>
        <w:t>勘察区属赣东北剥蚀构造丘陵区，地形标高</w:t>
      </w:r>
      <w:r>
        <w:rPr>
          <w:rFonts w:hint="eastAsia"/>
          <w:color w:val="auto"/>
          <w:lang w:val="en-US" w:eastAsia="zh-CN"/>
        </w:rPr>
        <w:t>+</w:t>
      </w:r>
      <w:r>
        <w:rPr>
          <w:rFonts w:hint="default"/>
          <w:color w:val="auto"/>
          <w:lang w:val="en-US" w:eastAsia="zh-CN"/>
        </w:rPr>
        <w:t>63.0m</w:t>
      </w:r>
      <w:r>
        <w:rPr>
          <w:rFonts w:hint="default" w:ascii="Times New Roman" w:hAnsi="Times New Roman" w:cs="Times New Roman"/>
          <w:color w:val="auto"/>
          <w:lang w:val="en-US" w:eastAsia="zh-CN"/>
        </w:rPr>
        <w:t>～</w:t>
      </w:r>
      <w:r>
        <w:rPr>
          <w:rFonts w:hint="eastAsia" w:cs="Times New Roman"/>
          <w:color w:val="auto"/>
          <w:lang w:val="en-US" w:eastAsia="zh-CN"/>
        </w:rPr>
        <w:t>+</w:t>
      </w:r>
      <w:r>
        <w:rPr>
          <w:rFonts w:hint="default"/>
          <w:color w:val="auto"/>
          <w:lang w:val="en-US" w:eastAsia="zh-CN"/>
        </w:rPr>
        <w:t>186.6m。山顶多呈浑圆状，海拔标高</w:t>
      </w:r>
      <w:r>
        <w:rPr>
          <w:rFonts w:hint="eastAsia"/>
          <w:color w:val="auto"/>
          <w:lang w:val="en-US" w:eastAsia="zh-CN"/>
        </w:rPr>
        <w:t>+</w:t>
      </w:r>
      <w:r>
        <w:rPr>
          <w:rFonts w:hint="default"/>
          <w:color w:val="auto"/>
          <w:lang w:val="en-US" w:eastAsia="zh-CN"/>
        </w:rPr>
        <w:t>96.0m</w:t>
      </w:r>
      <w:r>
        <w:rPr>
          <w:rFonts w:hint="default" w:ascii="Times New Roman" w:hAnsi="Times New Roman" w:cs="Times New Roman"/>
          <w:color w:val="auto"/>
          <w:lang w:val="en-US" w:eastAsia="zh-CN"/>
        </w:rPr>
        <w:t>～</w:t>
      </w:r>
      <w:r>
        <w:rPr>
          <w:rFonts w:hint="eastAsia" w:cs="Times New Roman"/>
          <w:color w:val="auto"/>
          <w:lang w:val="en-US" w:eastAsia="zh-CN"/>
        </w:rPr>
        <w:t>+</w:t>
      </w:r>
      <w:r>
        <w:rPr>
          <w:rFonts w:hint="default"/>
          <w:color w:val="auto"/>
          <w:lang w:val="en-US" w:eastAsia="zh-CN"/>
        </w:rPr>
        <w:t>186.6m之间，山坡坡度多在20</w:t>
      </w:r>
      <w:r>
        <w:rPr>
          <w:rFonts w:hint="eastAsia" w:ascii="宋体" w:hAnsi="宋体" w:eastAsia="宋体" w:cs="宋体"/>
          <w:color w:val="auto"/>
          <w:lang w:val="en-US" w:eastAsia="zh-CN"/>
        </w:rPr>
        <w:t>°</w:t>
      </w:r>
      <w:r>
        <w:rPr>
          <w:rFonts w:hint="default" w:ascii="Times New Roman" w:hAnsi="Times New Roman" w:cs="Times New Roman"/>
          <w:color w:val="auto"/>
          <w:lang w:val="en-US" w:eastAsia="zh-CN"/>
        </w:rPr>
        <w:t>～</w:t>
      </w:r>
      <w:r>
        <w:rPr>
          <w:rFonts w:hint="default"/>
          <w:color w:val="auto"/>
          <w:lang w:val="en-US" w:eastAsia="zh-CN"/>
        </w:rPr>
        <w:t>30</w:t>
      </w:r>
      <w:r>
        <w:rPr>
          <w:rFonts w:hint="eastAsia" w:ascii="宋体" w:hAnsi="宋体" w:eastAsia="宋体" w:cs="宋体"/>
          <w:color w:val="auto"/>
          <w:lang w:val="en-US" w:eastAsia="zh-CN"/>
        </w:rPr>
        <w:t>°</w:t>
      </w:r>
      <w:r>
        <w:rPr>
          <w:rFonts w:hint="default"/>
          <w:color w:val="auto"/>
          <w:lang w:val="en-US" w:eastAsia="zh-CN"/>
        </w:rPr>
        <w:t>，局部地段可达40</w:t>
      </w:r>
      <w:r>
        <w:rPr>
          <w:rFonts w:hint="eastAsia" w:ascii="宋体" w:hAnsi="宋体" w:eastAsia="宋体" w:cs="宋体"/>
          <w:color w:val="auto"/>
          <w:lang w:val="en-US" w:eastAsia="zh-CN"/>
        </w:rPr>
        <w:t>°</w:t>
      </w:r>
      <w:r>
        <w:rPr>
          <w:rFonts w:hint="default"/>
          <w:color w:val="auto"/>
          <w:lang w:val="en-US" w:eastAsia="zh-CN"/>
        </w:rPr>
        <w:t>以上，因封山育林，植被较发育。库区谷底平面形态为树叶状，谷底平缓，谷底高程为</w:t>
      </w:r>
      <w:r>
        <w:rPr>
          <w:rFonts w:hint="eastAsia"/>
          <w:color w:val="auto"/>
          <w:lang w:val="en-US" w:eastAsia="zh-CN"/>
        </w:rPr>
        <w:t>+</w:t>
      </w:r>
      <w:r>
        <w:rPr>
          <w:rFonts w:hint="default"/>
          <w:color w:val="auto"/>
          <w:lang w:val="en-US" w:eastAsia="zh-CN"/>
        </w:rPr>
        <w:t>75m</w:t>
      </w:r>
      <w:r>
        <w:rPr>
          <w:rFonts w:hint="default" w:ascii="Times New Roman" w:hAnsi="Times New Roman" w:cs="Times New Roman"/>
          <w:color w:val="auto"/>
          <w:lang w:val="en-US" w:eastAsia="zh-CN"/>
        </w:rPr>
        <w:t>～</w:t>
      </w:r>
      <w:r>
        <w:rPr>
          <w:rFonts w:hint="eastAsia" w:cs="Times New Roman"/>
          <w:color w:val="auto"/>
          <w:lang w:val="en-US" w:eastAsia="zh-CN"/>
        </w:rPr>
        <w:t>+</w:t>
      </w:r>
      <w:r>
        <w:rPr>
          <w:rFonts w:hint="default"/>
          <w:color w:val="auto"/>
          <w:lang w:val="en-US" w:eastAsia="zh-CN"/>
        </w:rPr>
        <w:t>85.8m，谷底见有厚度不大（一般为1m</w:t>
      </w:r>
      <w:r>
        <w:rPr>
          <w:rFonts w:hint="default" w:ascii="Times New Roman" w:hAnsi="Times New Roman" w:cs="Times New Roman"/>
          <w:color w:val="auto"/>
          <w:lang w:val="en-US" w:eastAsia="zh-CN"/>
        </w:rPr>
        <w:t>～</w:t>
      </w:r>
      <w:r>
        <w:rPr>
          <w:rFonts w:hint="default"/>
          <w:color w:val="auto"/>
          <w:lang w:val="en-US" w:eastAsia="zh-CN"/>
        </w:rPr>
        <w:t>3m）的洪积或残坡积松散覆盖层，沟谷多呈</w:t>
      </w:r>
      <w:r>
        <w:rPr>
          <w:rFonts w:hint="eastAsia" w:ascii="宋体" w:hAnsi="宋体" w:eastAsia="宋体" w:cs="宋体"/>
          <w:color w:val="auto"/>
          <w:lang w:val="en-US" w:eastAsia="zh-CN"/>
        </w:rPr>
        <w:t>“</w:t>
      </w:r>
      <w:r>
        <w:rPr>
          <w:rFonts w:hint="default" w:ascii="Times New Roman" w:hAnsi="Times New Roman" w:eastAsia="宋体" w:cs="Times New Roman"/>
          <w:color w:val="auto"/>
          <w:lang w:val="en-US" w:eastAsia="zh-CN"/>
        </w:rPr>
        <w:t>V</w:t>
      </w:r>
      <w:r>
        <w:rPr>
          <w:rFonts w:hint="eastAsia" w:ascii="宋体" w:hAnsi="宋体" w:eastAsia="宋体" w:cs="宋体"/>
          <w:color w:val="auto"/>
          <w:lang w:val="en-US" w:eastAsia="zh-CN"/>
        </w:rPr>
        <w:t>”</w:t>
      </w:r>
      <w:r>
        <w:rPr>
          <w:rFonts w:hint="default"/>
          <w:color w:val="auto"/>
          <w:lang w:val="en-US" w:eastAsia="zh-CN"/>
        </w:rPr>
        <w:t>型谷，少数呈</w:t>
      </w:r>
      <w:r>
        <w:rPr>
          <w:rFonts w:hint="eastAsia" w:ascii="宋体" w:hAnsi="宋体" w:eastAsia="宋体" w:cs="宋体"/>
          <w:color w:val="auto"/>
          <w:lang w:val="en-US" w:eastAsia="zh-CN"/>
        </w:rPr>
        <w:t>“</w:t>
      </w:r>
      <w:r>
        <w:rPr>
          <w:rFonts w:hint="default"/>
          <w:color w:val="auto"/>
          <w:lang w:val="en-US" w:eastAsia="zh-CN"/>
        </w:rPr>
        <w:t>U</w:t>
      </w:r>
      <w:r>
        <w:rPr>
          <w:rFonts w:hint="eastAsia" w:ascii="宋体" w:hAnsi="宋体" w:eastAsia="宋体" w:cs="宋体"/>
          <w:color w:val="auto"/>
          <w:lang w:val="en-US" w:eastAsia="zh-CN"/>
        </w:rPr>
        <w:t>”</w:t>
      </w:r>
      <w:r>
        <w:rPr>
          <w:rFonts w:hint="default"/>
          <w:color w:val="auto"/>
          <w:lang w:val="en-US" w:eastAsia="zh-CN"/>
        </w:rPr>
        <w:t>型谷。沟谷中主要为水田或荒地。</w:t>
      </w:r>
    </w:p>
    <w:p w14:paraId="57726DD7">
      <w:pPr>
        <w:rPr>
          <w:rFonts w:hint="default"/>
          <w:color w:val="auto"/>
          <w:lang w:val="en-US" w:eastAsia="zh-CN"/>
        </w:rPr>
      </w:pPr>
      <w:r>
        <w:rPr>
          <w:rFonts w:hint="eastAsia"/>
          <w:color w:val="auto"/>
          <w:lang w:val="en-US" w:eastAsia="zh-CN"/>
        </w:rPr>
        <w:t>二、</w:t>
      </w:r>
      <w:r>
        <w:rPr>
          <w:rFonts w:hint="default"/>
          <w:color w:val="auto"/>
          <w:lang w:val="en-US" w:eastAsia="zh-CN"/>
        </w:rPr>
        <w:t>库区地形地貌</w:t>
      </w:r>
    </w:p>
    <w:p w14:paraId="3D2A7C45">
      <w:pPr>
        <w:rPr>
          <w:rFonts w:hint="default"/>
          <w:color w:val="auto"/>
          <w:lang w:val="en-US" w:eastAsia="zh-CN"/>
        </w:rPr>
      </w:pPr>
      <w:r>
        <w:rPr>
          <w:rFonts w:hint="default"/>
          <w:color w:val="auto"/>
          <w:lang w:val="en-US" w:eastAsia="zh-CN"/>
        </w:rPr>
        <w:t>库区属赣东北剥蚀构造丘陵区，山坡坡度多在20</w:t>
      </w:r>
      <w:r>
        <w:rPr>
          <w:rFonts w:hint="eastAsia" w:ascii="宋体" w:hAnsi="宋体" w:eastAsia="宋体" w:cs="宋体"/>
          <w:color w:val="auto"/>
          <w:lang w:val="en-US" w:eastAsia="zh-CN"/>
        </w:rPr>
        <w:t>°</w:t>
      </w:r>
      <w:r>
        <w:rPr>
          <w:rFonts w:hint="default" w:ascii="Times New Roman" w:hAnsi="Times New Roman" w:cs="Times New Roman"/>
          <w:color w:val="auto"/>
          <w:lang w:val="en-US" w:eastAsia="zh-CN"/>
        </w:rPr>
        <w:t>～</w:t>
      </w:r>
      <w:r>
        <w:rPr>
          <w:rFonts w:hint="default"/>
          <w:color w:val="auto"/>
          <w:lang w:val="en-US" w:eastAsia="zh-CN"/>
        </w:rPr>
        <w:t>30</w:t>
      </w:r>
      <w:r>
        <w:rPr>
          <w:rFonts w:hint="eastAsia" w:ascii="宋体" w:hAnsi="宋体" w:eastAsia="宋体" w:cs="宋体"/>
          <w:color w:val="auto"/>
          <w:lang w:val="en-US" w:eastAsia="zh-CN"/>
        </w:rPr>
        <w:t>°</w:t>
      </w:r>
      <w:r>
        <w:rPr>
          <w:rFonts w:hint="default"/>
          <w:color w:val="auto"/>
          <w:lang w:val="en-US" w:eastAsia="zh-CN"/>
        </w:rPr>
        <w:t>，局部地段可达40</w:t>
      </w:r>
      <w:r>
        <w:rPr>
          <w:rFonts w:hint="eastAsia" w:ascii="宋体" w:hAnsi="宋体" w:eastAsia="宋体" w:cs="宋体"/>
          <w:color w:val="auto"/>
          <w:lang w:val="en-US" w:eastAsia="zh-CN"/>
        </w:rPr>
        <w:t>°</w:t>
      </w:r>
      <w:r>
        <w:rPr>
          <w:rFonts w:hint="default"/>
          <w:color w:val="auto"/>
          <w:lang w:val="en-US" w:eastAsia="zh-CN"/>
        </w:rPr>
        <w:t>以上，因封山育林，植被较发育。库区谷底平面形态为树叶状，谷底平缓，谷底高程为</w:t>
      </w:r>
      <w:r>
        <w:rPr>
          <w:rFonts w:hint="eastAsia"/>
          <w:color w:val="auto"/>
          <w:lang w:val="en-US" w:eastAsia="zh-CN"/>
        </w:rPr>
        <w:t>+</w:t>
      </w:r>
      <w:r>
        <w:rPr>
          <w:rFonts w:hint="default"/>
          <w:color w:val="auto"/>
          <w:lang w:val="en-US" w:eastAsia="zh-CN"/>
        </w:rPr>
        <w:t>73.0m</w:t>
      </w:r>
      <w:r>
        <w:rPr>
          <w:rFonts w:hint="default" w:ascii="Times New Roman" w:hAnsi="Times New Roman" w:cs="Times New Roman"/>
          <w:color w:val="auto"/>
          <w:lang w:val="en-US" w:eastAsia="zh-CN"/>
        </w:rPr>
        <w:t>～</w:t>
      </w:r>
      <w:r>
        <w:rPr>
          <w:rFonts w:hint="eastAsia"/>
          <w:color w:val="auto"/>
          <w:lang w:val="en-US" w:eastAsia="zh-CN"/>
        </w:rPr>
        <w:t>+</w:t>
      </w:r>
      <w:r>
        <w:rPr>
          <w:rFonts w:hint="default"/>
          <w:color w:val="auto"/>
          <w:lang w:val="en-US" w:eastAsia="zh-CN"/>
        </w:rPr>
        <w:t>85.8m，谷底见有厚度不大（一般为1m</w:t>
      </w:r>
      <w:r>
        <w:rPr>
          <w:rFonts w:hint="default" w:ascii="Times New Roman" w:hAnsi="Times New Roman" w:cs="Times New Roman"/>
          <w:color w:val="auto"/>
          <w:lang w:val="en-US" w:eastAsia="zh-CN"/>
        </w:rPr>
        <w:t>～</w:t>
      </w:r>
      <w:r>
        <w:rPr>
          <w:rFonts w:hint="default"/>
          <w:color w:val="auto"/>
          <w:lang w:val="en-US" w:eastAsia="zh-CN"/>
        </w:rPr>
        <w:t>3m）的洪积或残坡积松散覆盖层，沟谷多呈</w:t>
      </w:r>
      <w:r>
        <w:rPr>
          <w:rFonts w:hint="eastAsia" w:ascii="宋体" w:hAnsi="宋体" w:eastAsia="宋体" w:cs="宋体"/>
          <w:color w:val="auto"/>
          <w:lang w:val="en-US" w:eastAsia="zh-CN"/>
        </w:rPr>
        <w:t>“</w:t>
      </w:r>
      <w:r>
        <w:rPr>
          <w:rFonts w:hint="default" w:ascii="Times New Roman" w:hAnsi="Times New Roman" w:eastAsia="宋体" w:cs="Times New Roman"/>
          <w:color w:val="auto"/>
          <w:lang w:val="en-US" w:eastAsia="zh-CN"/>
        </w:rPr>
        <w:t>V</w:t>
      </w:r>
      <w:r>
        <w:rPr>
          <w:rFonts w:hint="eastAsia" w:ascii="宋体" w:hAnsi="宋体" w:eastAsia="宋体" w:cs="宋体"/>
          <w:color w:val="auto"/>
          <w:lang w:val="en-US" w:eastAsia="zh-CN"/>
        </w:rPr>
        <w:t>”</w:t>
      </w:r>
      <w:r>
        <w:rPr>
          <w:rFonts w:hint="default"/>
          <w:color w:val="auto"/>
          <w:lang w:val="en-US" w:eastAsia="zh-CN"/>
        </w:rPr>
        <w:t>型谷，少数呈</w:t>
      </w:r>
      <w:r>
        <w:rPr>
          <w:rFonts w:hint="eastAsia" w:ascii="宋体" w:hAnsi="宋体" w:eastAsia="宋体" w:cs="宋体"/>
          <w:color w:val="auto"/>
          <w:lang w:val="en-US" w:eastAsia="zh-CN"/>
        </w:rPr>
        <w:t>“</w:t>
      </w:r>
      <w:r>
        <w:rPr>
          <w:rFonts w:hint="default"/>
          <w:color w:val="auto"/>
          <w:lang w:val="en-US" w:eastAsia="zh-CN"/>
        </w:rPr>
        <w:t>U</w:t>
      </w:r>
      <w:r>
        <w:rPr>
          <w:rFonts w:hint="eastAsia" w:ascii="宋体" w:hAnsi="宋体" w:eastAsia="宋体" w:cs="宋体"/>
          <w:color w:val="auto"/>
          <w:lang w:val="en-US" w:eastAsia="zh-CN"/>
        </w:rPr>
        <w:t>”</w:t>
      </w:r>
      <w:r>
        <w:rPr>
          <w:rFonts w:hint="default"/>
          <w:color w:val="auto"/>
          <w:lang w:val="en-US" w:eastAsia="zh-CN"/>
        </w:rPr>
        <w:t>型谷。</w:t>
      </w:r>
    </w:p>
    <w:p w14:paraId="528BA97B">
      <w:pPr>
        <w:pStyle w:val="4"/>
        <w:bidi w:val="0"/>
        <w:rPr>
          <w:rFonts w:hint="eastAsia"/>
          <w:color w:val="auto"/>
          <w:lang w:val="en-US" w:eastAsia="zh-CN"/>
        </w:rPr>
      </w:pPr>
      <w:bookmarkStart w:id="124" w:name="_Toc19687"/>
      <w:bookmarkStart w:id="125" w:name="_Toc31240"/>
      <w:bookmarkStart w:id="126" w:name="_Toc14231"/>
      <w:bookmarkStart w:id="127" w:name="_Toc4763"/>
      <w:bookmarkStart w:id="128" w:name="_Toc10960"/>
      <w:r>
        <w:rPr>
          <w:rFonts w:hint="eastAsia"/>
          <w:color w:val="auto"/>
          <w:lang w:val="en-US" w:eastAsia="zh-CN"/>
        </w:rPr>
        <w:t>2.4.2 地质构造</w:t>
      </w:r>
      <w:bookmarkEnd w:id="124"/>
    </w:p>
    <w:p w14:paraId="56872235">
      <w:pPr>
        <w:bidi w:val="0"/>
        <w:rPr>
          <w:rFonts w:hint="eastAsia"/>
          <w:lang w:val="en-US" w:eastAsia="zh-CN"/>
        </w:rPr>
      </w:pPr>
      <w:r>
        <w:rPr>
          <w:rFonts w:hint="eastAsia"/>
          <w:lang w:val="en-US" w:eastAsia="zh-CN"/>
        </w:rPr>
        <w:t>一、区域地质构造</w:t>
      </w:r>
    </w:p>
    <w:p w14:paraId="7BBFC033">
      <w:pPr>
        <w:bidi w:val="0"/>
        <w:rPr>
          <w:rFonts w:hint="eastAsia"/>
          <w:lang w:val="en-US" w:eastAsia="zh-CN"/>
        </w:rPr>
      </w:pPr>
      <w:r>
        <w:rPr>
          <w:rFonts w:hint="eastAsia"/>
          <w:lang w:val="en-US" w:eastAsia="zh-CN"/>
        </w:rPr>
        <w:t>区域位于两个二级大地构造单元接壤处，赣东北韧性剪切蛇绿岩构造混杂带、乐安江深大断裂带、泗洲庙复向斜构成区域的基本构造格架。区域断裂构造发育，可分为东西向、北东向、北北东向和北西向四组。东西向断裂于八十源</w:t>
      </w:r>
      <w:r>
        <w:rPr>
          <w:rFonts w:hint="default" w:ascii="Times New Roman" w:hAnsi="Times New Roman" w:cs="Times New Roman"/>
          <w:color w:val="auto"/>
          <w:lang w:val="en-US" w:eastAsia="zh-CN"/>
        </w:rPr>
        <w:t>～</w:t>
      </w:r>
      <w:r>
        <w:rPr>
          <w:rFonts w:hint="eastAsia"/>
          <w:lang w:val="en-US" w:eastAsia="zh-CN"/>
        </w:rPr>
        <w:t>铜厂韧性剪切带以东地带发育，由一系列走向近东西，倾向北的片理化带、断层密集带、挤压透镜体组成。北东向断裂在整个区域成群出现，走向35°</w:t>
      </w:r>
      <w:r>
        <w:rPr>
          <w:rFonts w:hint="default" w:ascii="Times New Roman" w:hAnsi="Times New Roman" w:cs="Times New Roman"/>
          <w:color w:val="auto"/>
          <w:lang w:val="en-US" w:eastAsia="zh-CN"/>
        </w:rPr>
        <w:t>～</w:t>
      </w:r>
      <w:r>
        <w:rPr>
          <w:rFonts w:hint="eastAsia"/>
          <w:lang w:val="en-US" w:eastAsia="zh-CN"/>
        </w:rPr>
        <w:t>60°，倾角陡立。</w:t>
      </w:r>
    </w:p>
    <w:p w14:paraId="19B3A49F">
      <w:pPr>
        <w:bidi w:val="0"/>
        <w:rPr>
          <w:rFonts w:hint="eastAsia"/>
          <w:lang w:val="en-US" w:eastAsia="zh-CN"/>
        </w:rPr>
      </w:pPr>
      <w:r>
        <w:rPr>
          <w:rFonts w:hint="eastAsia"/>
          <w:lang w:val="en-US" w:eastAsia="zh-CN"/>
        </w:rPr>
        <w:t>二、库区地质构造</w:t>
      </w:r>
    </w:p>
    <w:p w14:paraId="46489621">
      <w:pPr>
        <w:bidi w:val="0"/>
        <w:rPr>
          <w:rFonts w:hint="eastAsia"/>
          <w:lang w:val="en-US" w:eastAsia="zh-CN"/>
        </w:rPr>
      </w:pPr>
      <w:r>
        <w:rPr>
          <w:rFonts w:hint="eastAsia"/>
          <w:lang w:val="en-US" w:eastAsia="zh-CN"/>
        </w:rPr>
        <w:t>库区断裂构造不发育，区内变质作用较复杂，有区域变质作用、动力变质作用、接触变质作用与岩浆期后热液蚀变。</w:t>
      </w:r>
    </w:p>
    <w:p w14:paraId="72627753">
      <w:pPr>
        <w:pStyle w:val="4"/>
        <w:bidi w:val="0"/>
        <w:rPr>
          <w:rFonts w:hint="eastAsia"/>
          <w:color w:val="auto"/>
          <w:lang w:val="en-US" w:eastAsia="zh-CN"/>
        </w:rPr>
      </w:pPr>
      <w:bookmarkStart w:id="129" w:name="_Toc28743"/>
      <w:r>
        <w:rPr>
          <w:rFonts w:hint="eastAsia"/>
          <w:color w:val="auto"/>
          <w:lang w:val="en-US" w:eastAsia="zh-CN"/>
        </w:rPr>
        <w:t xml:space="preserve">2.4.3 </w:t>
      </w:r>
      <w:bookmarkEnd w:id="125"/>
      <w:bookmarkEnd w:id="126"/>
      <w:r>
        <w:rPr>
          <w:rFonts w:hint="eastAsia"/>
          <w:color w:val="auto"/>
          <w:lang w:val="en-US" w:eastAsia="zh-CN"/>
        </w:rPr>
        <w:t>地层岩性</w:t>
      </w:r>
      <w:bookmarkEnd w:id="127"/>
      <w:bookmarkEnd w:id="128"/>
      <w:bookmarkEnd w:id="129"/>
    </w:p>
    <w:p w14:paraId="47A4780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bCs/>
          <w:color w:val="auto"/>
          <w:sz w:val="28"/>
          <w:szCs w:val="28"/>
          <w:lang w:val="en-US" w:eastAsia="zh-CN"/>
        </w:rPr>
      </w:pPr>
      <w:r>
        <w:rPr>
          <w:rFonts w:hint="eastAsia" w:cs="Times New Roman"/>
          <w:bCs/>
          <w:color w:val="auto"/>
          <w:sz w:val="28"/>
          <w:szCs w:val="28"/>
          <w:lang w:val="en-US" w:eastAsia="zh-CN"/>
        </w:rPr>
        <w:t>一、</w:t>
      </w:r>
      <w:r>
        <w:rPr>
          <w:rFonts w:hint="default" w:ascii="Times New Roman" w:hAnsi="Times New Roman" w:eastAsia="宋体" w:cs="Times New Roman"/>
          <w:bCs/>
          <w:color w:val="auto"/>
          <w:sz w:val="28"/>
          <w:szCs w:val="28"/>
          <w:lang w:val="en-US" w:eastAsia="zh-CN"/>
        </w:rPr>
        <w:t>区域地层岩性</w:t>
      </w:r>
    </w:p>
    <w:p w14:paraId="65E2514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库区及外围大面积出露中元古界双桥山群浅变质岩、白垩系下统石溪组碎屑岩、新生界第四系全新统冲洪积层，地层岩性特征如下：</w:t>
      </w:r>
    </w:p>
    <w:p w14:paraId="6D7F534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1</w:t>
      </w:r>
      <w:r>
        <w:rPr>
          <w:rFonts w:hint="eastAsia" w:cs="Times New Roman"/>
          <w:bCs/>
          <w:color w:val="auto"/>
          <w:sz w:val="28"/>
          <w:szCs w:val="28"/>
          <w:lang w:val="en-US" w:eastAsia="zh-CN"/>
        </w:rPr>
        <w:t xml:space="preserve">. </w:t>
      </w:r>
      <w:r>
        <w:rPr>
          <w:rFonts w:hint="default" w:ascii="Times New Roman" w:hAnsi="Times New Roman" w:eastAsia="宋体" w:cs="Times New Roman"/>
          <w:bCs/>
          <w:color w:val="auto"/>
          <w:sz w:val="28"/>
          <w:szCs w:val="28"/>
          <w:lang w:val="en-US" w:eastAsia="zh-CN"/>
        </w:rPr>
        <w:t>中元古界双桥山群浅变质岩系（Pt</w:t>
      </w:r>
      <w:r>
        <w:rPr>
          <w:rFonts w:hint="default" w:ascii="Times New Roman" w:hAnsi="Times New Roman" w:eastAsia="宋体" w:cs="Times New Roman"/>
          <w:bCs/>
          <w:color w:val="auto"/>
          <w:sz w:val="28"/>
          <w:szCs w:val="28"/>
          <w:vertAlign w:val="subscript"/>
          <w:lang w:val="en-US" w:eastAsia="zh-CN"/>
        </w:rPr>
        <w:t>2</w:t>
      </w:r>
      <w:r>
        <w:rPr>
          <w:rFonts w:hint="default" w:ascii="Times New Roman" w:hAnsi="Times New Roman" w:eastAsia="宋体" w:cs="Times New Roman"/>
          <w:bCs/>
          <w:color w:val="auto"/>
          <w:sz w:val="28"/>
          <w:szCs w:val="28"/>
          <w:lang w:val="en-US" w:eastAsia="zh-CN"/>
        </w:rPr>
        <w:t>sh）：在</w:t>
      </w:r>
      <w:r>
        <w:rPr>
          <w:rFonts w:hint="eastAsia" w:cs="Times New Roman"/>
          <w:bCs/>
          <w:color w:val="auto"/>
          <w:sz w:val="28"/>
          <w:szCs w:val="28"/>
          <w:lang w:val="en-US" w:eastAsia="zh-CN"/>
        </w:rPr>
        <w:t>三</w:t>
      </w:r>
      <w:r>
        <w:rPr>
          <w:rFonts w:hint="default" w:ascii="Times New Roman" w:hAnsi="Times New Roman" w:eastAsia="宋体" w:cs="Times New Roman"/>
          <w:bCs/>
          <w:color w:val="auto"/>
          <w:sz w:val="28"/>
          <w:szCs w:val="28"/>
          <w:lang w:val="en-US" w:eastAsia="zh-CN"/>
        </w:rPr>
        <w:t>号库区分布较为广泛，地层总体走向近东西，倾向南，倾角较陡一般55</w:t>
      </w:r>
      <w:r>
        <w:rPr>
          <w:rFonts w:hint="eastAsia"/>
          <w:lang w:val="en-US" w:eastAsia="zh-CN"/>
        </w:rPr>
        <w:t>°</w:t>
      </w:r>
      <w:r>
        <w:rPr>
          <w:rFonts w:hint="default" w:ascii="Times New Roman" w:hAnsi="Times New Roman" w:cs="Times New Roman"/>
          <w:color w:val="auto"/>
          <w:lang w:val="en-US" w:eastAsia="zh-CN"/>
        </w:rPr>
        <w:t>～</w:t>
      </w:r>
      <w:r>
        <w:rPr>
          <w:rFonts w:hint="default" w:ascii="Times New Roman" w:hAnsi="Times New Roman" w:eastAsia="宋体" w:cs="Times New Roman"/>
          <w:bCs/>
          <w:color w:val="auto"/>
          <w:sz w:val="28"/>
          <w:szCs w:val="28"/>
          <w:lang w:val="en-US" w:eastAsia="zh-CN"/>
        </w:rPr>
        <w:t>75</w:t>
      </w:r>
      <w:r>
        <w:rPr>
          <w:rFonts w:hint="eastAsia"/>
          <w:lang w:val="en-US" w:eastAsia="zh-CN"/>
        </w:rPr>
        <w:t>°</w:t>
      </w:r>
      <w:r>
        <w:rPr>
          <w:rFonts w:hint="default" w:ascii="Times New Roman" w:hAnsi="Times New Roman" w:eastAsia="宋体" w:cs="Times New Roman"/>
          <w:bCs/>
          <w:color w:val="auto"/>
          <w:sz w:val="28"/>
          <w:szCs w:val="28"/>
          <w:lang w:val="en-US" w:eastAsia="zh-CN"/>
        </w:rPr>
        <w:t>。岩性主要为灰、灰绿、棕灰色千枚岩，风化后呈浅黄、灰黄色、棕红色，风化层厚度自山顶向坡脚逐渐变薄，一般强风化层厚度3m</w:t>
      </w:r>
      <w:r>
        <w:rPr>
          <w:rFonts w:hint="default" w:ascii="Times New Roman" w:hAnsi="Times New Roman" w:cs="Times New Roman"/>
          <w:color w:val="auto"/>
          <w:lang w:val="en-US" w:eastAsia="zh-CN"/>
        </w:rPr>
        <w:t>～</w:t>
      </w:r>
      <w:r>
        <w:rPr>
          <w:rFonts w:hint="default" w:ascii="Times New Roman" w:hAnsi="Times New Roman" w:eastAsia="宋体" w:cs="Times New Roman"/>
          <w:bCs/>
          <w:color w:val="auto"/>
          <w:sz w:val="28"/>
          <w:szCs w:val="28"/>
          <w:lang w:val="en-US" w:eastAsia="zh-CN"/>
        </w:rPr>
        <w:t>6m，最厚处可达10m。根据石英及绢云母的含量，可细分为绢云母千枚岩、砂质千枚岩。</w:t>
      </w:r>
    </w:p>
    <w:p w14:paraId="0B5184A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2</w:t>
      </w:r>
      <w:r>
        <w:rPr>
          <w:rFonts w:hint="eastAsia" w:cs="Times New Roman"/>
          <w:bCs/>
          <w:color w:val="auto"/>
          <w:sz w:val="28"/>
          <w:szCs w:val="28"/>
          <w:lang w:val="en-US" w:eastAsia="zh-CN"/>
        </w:rPr>
        <w:t xml:space="preserve">. </w:t>
      </w:r>
      <w:r>
        <w:rPr>
          <w:rFonts w:hint="default" w:ascii="Times New Roman" w:hAnsi="Times New Roman" w:eastAsia="宋体" w:cs="Times New Roman"/>
          <w:bCs/>
          <w:color w:val="auto"/>
          <w:sz w:val="28"/>
          <w:szCs w:val="28"/>
          <w:lang w:val="en-US" w:eastAsia="zh-CN"/>
        </w:rPr>
        <w:t>白垩系下统石溪组（K</w:t>
      </w:r>
      <w:r>
        <w:rPr>
          <w:rFonts w:hint="default" w:ascii="Times New Roman" w:hAnsi="Times New Roman" w:eastAsia="宋体" w:cs="Times New Roman"/>
          <w:bCs/>
          <w:color w:val="auto"/>
          <w:sz w:val="28"/>
          <w:szCs w:val="28"/>
          <w:vertAlign w:val="subscript"/>
          <w:lang w:val="en-US" w:eastAsia="zh-CN"/>
        </w:rPr>
        <w:t>1</w:t>
      </w:r>
      <w:r>
        <w:rPr>
          <w:rFonts w:hint="default" w:ascii="Times New Roman" w:hAnsi="Times New Roman" w:eastAsia="宋体" w:cs="Times New Roman"/>
          <w:bCs/>
          <w:color w:val="auto"/>
          <w:sz w:val="28"/>
          <w:szCs w:val="28"/>
          <w:lang w:val="en-US" w:eastAsia="zh-CN"/>
        </w:rPr>
        <w:t>s）：分布在</w:t>
      </w:r>
      <w:r>
        <w:rPr>
          <w:rFonts w:hint="eastAsia" w:cs="Times New Roman"/>
          <w:bCs/>
          <w:color w:val="auto"/>
          <w:sz w:val="28"/>
          <w:szCs w:val="28"/>
          <w:lang w:val="en-US" w:eastAsia="zh-CN"/>
        </w:rPr>
        <w:t>三</w:t>
      </w:r>
      <w:r>
        <w:rPr>
          <w:rFonts w:hint="default" w:ascii="Times New Roman" w:hAnsi="Times New Roman" w:eastAsia="宋体" w:cs="Times New Roman"/>
          <w:bCs/>
          <w:color w:val="auto"/>
          <w:sz w:val="28"/>
          <w:szCs w:val="28"/>
          <w:lang w:val="en-US" w:eastAsia="zh-CN"/>
        </w:rPr>
        <w:t>号尾矿库排水斜槽部位，岩性为紫红色粉砂岩、含砾长石石英砂岩及角砾岩、砾岩。厚层状，地层总体倾向南东，倾角40</w:t>
      </w:r>
      <w:r>
        <w:rPr>
          <w:rFonts w:hint="eastAsia"/>
          <w:lang w:val="en-US" w:eastAsia="zh-CN"/>
        </w:rPr>
        <w:t>°</w:t>
      </w:r>
      <w:r>
        <w:rPr>
          <w:rFonts w:hint="default" w:ascii="Times New Roman" w:hAnsi="Times New Roman" w:cs="Times New Roman"/>
          <w:color w:val="auto"/>
          <w:lang w:val="en-US" w:eastAsia="zh-CN"/>
        </w:rPr>
        <w:t>～</w:t>
      </w:r>
      <w:r>
        <w:rPr>
          <w:rFonts w:hint="default" w:ascii="Times New Roman" w:hAnsi="Times New Roman" w:eastAsia="宋体" w:cs="Times New Roman"/>
          <w:bCs/>
          <w:color w:val="auto"/>
          <w:sz w:val="28"/>
          <w:szCs w:val="28"/>
          <w:lang w:val="en-US" w:eastAsia="zh-CN"/>
        </w:rPr>
        <w:t>70</w:t>
      </w:r>
      <w:r>
        <w:rPr>
          <w:rFonts w:hint="eastAsia"/>
          <w:lang w:val="en-US" w:eastAsia="zh-CN"/>
        </w:rPr>
        <w:t>°</w:t>
      </w:r>
      <w:r>
        <w:rPr>
          <w:rFonts w:hint="default" w:ascii="Times New Roman" w:hAnsi="Times New Roman" w:eastAsia="宋体" w:cs="Times New Roman"/>
          <w:bCs/>
          <w:color w:val="auto"/>
          <w:sz w:val="28"/>
          <w:szCs w:val="28"/>
          <w:lang w:val="en-US" w:eastAsia="zh-CN"/>
        </w:rPr>
        <w:t>。与中元古界双桥山群浅变质岩系呈不整合接触。</w:t>
      </w:r>
    </w:p>
    <w:p w14:paraId="651F06B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3</w:t>
      </w:r>
      <w:r>
        <w:rPr>
          <w:rFonts w:hint="eastAsia" w:cs="Times New Roman"/>
          <w:bCs/>
          <w:color w:val="auto"/>
          <w:sz w:val="28"/>
          <w:szCs w:val="28"/>
          <w:lang w:val="en-US" w:eastAsia="zh-CN"/>
        </w:rPr>
        <w:t xml:space="preserve">. </w:t>
      </w:r>
      <w:r>
        <w:rPr>
          <w:rFonts w:hint="default" w:ascii="Times New Roman" w:hAnsi="Times New Roman" w:eastAsia="宋体" w:cs="Times New Roman"/>
          <w:bCs/>
          <w:color w:val="auto"/>
          <w:sz w:val="28"/>
          <w:szCs w:val="28"/>
          <w:lang w:val="en-US" w:eastAsia="zh-CN"/>
        </w:rPr>
        <w:t>第四系全新统冲洪积层（Q</w:t>
      </w:r>
      <w:r>
        <w:rPr>
          <w:rFonts w:hint="default" w:ascii="Times New Roman" w:hAnsi="Times New Roman" w:eastAsia="宋体" w:cs="Times New Roman"/>
          <w:bCs/>
          <w:color w:val="auto"/>
          <w:sz w:val="28"/>
          <w:szCs w:val="28"/>
          <w:vertAlign w:val="subscript"/>
          <w:lang w:val="en-US" w:eastAsia="zh-CN"/>
        </w:rPr>
        <w:t>4</w:t>
      </w:r>
      <w:r>
        <w:rPr>
          <w:rFonts w:hint="default" w:ascii="Times New Roman" w:hAnsi="Times New Roman" w:eastAsia="宋体" w:cs="Times New Roman"/>
          <w:bCs/>
          <w:color w:val="auto"/>
          <w:sz w:val="28"/>
          <w:szCs w:val="28"/>
          <w:vertAlign w:val="superscript"/>
          <w:lang w:val="en-US" w:eastAsia="zh-CN"/>
        </w:rPr>
        <w:t>al</w:t>
      </w:r>
      <w:r>
        <w:rPr>
          <w:rFonts w:hint="default" w:ascii="Times New Roman" w:hAnsi="Times New Roman" w:eastAsia="宋体" w:cs="Times New Roman"/>
          <w:bCs/>
          <w:color w:val="auto"/>
          <w:sz w:val="28"/>
          <w:szCs w:val="28"/>
          <w:lang w:val="en-US" w:eastAsia="zh-CN"/>
        </w:rPr>
        <w:t>）：该层主要分布沟谷中，上部为灰黄、土黄色粉质粘土、含砾粉质粘土，可塑状。厚度一般为2.00m</w:t>
      </w:r>
      <w:r>
        <w:rPr>
          <w:rFonts w:hint="default" w:ascii="Times New Roman" w:hAnsi="Times New Roman" w:cs="Times New Roman"/>
          <w:color w:val="auto"/>
          <w:lang w:val="en-US" w:eastAsia="zh-CN"/>
        </w:rPr>
        <w:t>～</w:t>
      </w:r>
      <w:r>
        <w:rPr>
          <w:rFonts w:hint="default" w:ascii="Times New Roman" w:hAnsi="Times New Roman" w:eastAsia="宋体" w:cs="Times New Roman"/>
          <w:bCs/>
          <w:color w:val="auto"/>
          <w:sz w:val="28"/>
          <w:szCs w:val="28"/>
          <w:lang w:val="en-US" w:eastAsia="zh-CN"/>
        </w:rPr>
        <w:t>2.60m，个别地段厚度可达3m</w:t>
      </w:r>
      <w:r>
        <w:rPr>
          <w:rFonts w:hint="default" w:ascii="Times New Roman" w:hAnsi="Times New Roman" w:cs="Times New Roman"/>
          <w:color w:val="auto"/>
          <w:lang w:val="en-US" w:eastAsia="zh-CN"/>
        </w:rPr>
        <w:t>～</w:t>
      </w:r>
      <w:r>
        <w:rPr>
          <w:rFonts w:hint="default" w:ascii="Times New Roman" w:hAnsi="Times New Roman" w:eastAsia="宋体" w:cs="Times New Roman"/>
          <w:bCs/>
          <w:color w:val="auto"/>
          <w:sz w:val="28"/>
          <w:szCs w:val="28"/>
          <w:lang w:val="en-US" w:eastAsia="zh-CN"/>
        </w:rPr>
        <w:t>4m。</w:t>
      </w:r>
    </w:p>
    <w:p w14:paraId="7E74EE6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bCs/>
          <w:color w:val="auto"/>
          <w:sz w:val="28"/>
          <w:szCs w:val="28"/>
          <w:lang w:val="en-US" w:eastAsia="zh-CN"/>
        </w:rPr>
      </w:pPr>
      <w:r>
        <w:rPr>
          <w:rFonts w:hint="eastAsia" w:cs="Times New Roman"/>
          <w:bCs/>
          <w:color w:val="auto"/>
          <w:sz w:val="28"/>
          <w:szCs w:val="28"/>
          <w:lang w:val="en-US" w:eastAsia="zh-CN"/>
        </w:rPr>
        <w:t>二、</w:t>
      </w:r>
      <w:r>
        <w:rPr>
          <w:rFonts w:hint="default" w:ascii="Times New Roman" w:hAnsi="Times New Roman" w:eastAsia="宋体" w:cs="Times New Roman"/>
          <w:bCs/>
          <w:color w:val="auto"/>
          <w:sz w:val="28"/>
          <w:szCs w:val="28"/>
          <w:lang w:val="en-US" w:eastAsia="zh-CN"/>
        </w:rPr>
        <w:t>库区地层岩性</w:t>
      </w:r>
    </w:p>
    <w:p w14:paraId="34B1B12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库区内地层相对简单，出露地层有：中元古代双桥山群、白垩系下统石溪组，第四系覆盖于上述岩层上，由新至老分述如下：</w:t>
      </w:r>
    </w:p>
    <w:p w14:paraId="57CCB84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1</w:t>
      </w:r>
      <w:r>
        <w:rPr>
          <w:rFonts w:hint="eastAsia" w:cs="Times New Roman"/>
          <w:bCs/>
          <w:color w:val="auto"/>
          <w:sz w:val="28"/>
          <w:szCs w:val="28"/>
          <w:lang w:val="en-US" w:eastAsia="zh-CN"/>
        </w:rPr>
        <w:t xml:space="preserve">. </w:t>
      </w:r>
      <w:r>
        <w:rPr>
          <w:rFonts w:hint="default" w:ascii="Times New Roman" w:hAnsi="Times New Roman" w:eastAsia="宋体" w:cs="Times New Roman"/>
          <w:bCs/>
          <w:color w:val="auto"/>
          <w:sz w:val="28"/>
          <w:szCs w:val="28"/>
          <w:lang w:val="en-US" w:eastAsia="zh-CN"/>
        </w:rPr>
        <w:t>第四系按其时代、成因类型为冲洪积层和残坡积层（Q</w:t>
      </w:r>
      <w:r>
        <w:rPr>
          <w:rFonts w:hint="default" w:ascii="Times New Roman" w:hAnsi="Times New Roman" w:eastAsia="宋体" w:cs="Times New Roman"/>
          <w:bCs/>
          <w:color w:val="auto"/>
          <w:sz w:val="28"/>
          <w:szCs w:val="28"/>
          <w:vertAlign w:val="subscript"/>
          <w:lang w:val="en-US" w:eastAsia="zh-CN"/>
        </w:rPr>
        <w:t>4</w:t>
      </w:r>
      <w:r>
        <w:rPr>
          <w:rFonts w:hint="default" w:ascii="Times New Roman" w:hAnsi="Times New Roman" w:eastAsia="宋体" w:cs="Times New Roman"/>
          <w:bCs/>
          <w:color w:val="auto"/>
          <w:sz w:val="28"/>
          <w:szCs w:val="28"/>
          <w:vertAlign w:val="superscript"/>
          <w:lang w:val="en-US" w:eastAsia="zh-CN"/>
        </w:rPr>
        <w:t>el</w:t>
      </w:r>
      <w:r>
        <w:rPr>
          <w:rFonts w:hint="default" w:ascii="Times New Roman" w:hAnsi="Times New Roman" w:eastAsia="宋体" w:cs="Times New Roman"/>
          <w:bCs/>
          <w:color w:val="auto"/>
          <w:sz w:val="28"/>
          <w:szCs w:val="28"/>
          <w:lang w:val="en-US" w:eastAsia="zh-CN"/>
        </w:rPr>
        <w:t>）。</w:t>
      </w:r>
    </w:p>
    <w:p w14:paraId="16F13BC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①冲洪积层：灰黄</w:t>
      </w:r>
      <w:r>
        <w:rPr>
          <w:rFonts w:hint="default" w:ascii="Times New Roman" w:hAnsi="Times New Roman" w:cs="Times New Roman"/>
          <w:color w:val="auto"/>
          <w:lang w:val="en-US" w:eastAsia="zh-CN"/>
        </w:rPr>
        <w:t>～</w:t>
      </w:r>
      <w:r>
        <w:rPr>
          <w:rFonts w:hint="default" w:ascii="Times New Roman" w:hAnsi="Times New Roman" w:eastAsia="宋体" w:cs="Times New Roman"/>
          <w:bCs/>
          <w:color w:val="auto"/>
          <w:sz w:val="28"/>
          <w:szCs w:val="28"/>
          <w:lang w:val="en-US" w:eastAsia="zh-CN"/>
        </w:rPr>
        <w:t>土黄色，稍湿，可塑状，其主要成分为粉质粘土，主要分布在沟谷中；摇震反应无，无光泽反应，层厚1.50m</w:t>
      </w:r>
      <w:r>
        <w:rPr>
          <w:rFonts w:hint="default" w:ascii="Times New Roman" w:hAnsi="Times New Roman" w:cs="Times New Roman"/>
          <w:color w:val="auto"/>
          <w:lang w:val="en-US" w:eastAsia="zh-CN"/>
        </w:rPr>
        <w:t>～</w:t>
      </w:r>
      <w:r>
        <w:rPr>
          <w:rFonts w:hint="default" w:ascii="Times New Roman" w:hAnsi="Times New Roman" w:eastAsia="宋体" w:cs="Times New Roman"/>
          <w:bCs/>
          <w:color w:val="auto"/>
          <w:sz w:val="28"/>
          <w:szCs w:val="28"/>
          <w:lang w:val="en-US" w:eastAsia="zh-CN"/>
        </w:rPr>
        <w:t>4.20m，平均层厚约2.17m。承载力特征值f</w:t>
      </w:r>
      <w:r>
        <w:rPr>
          <w:rFonts w:hint="default" w:ascii="Times New Roman" w:hAnsi="Times New Roman" w:eastAsia="宋体" w:cs="Times New Roman"/>
          <w:bCs/>
          <w:color w:val="auto"/>
          <w:sz w:val="28"/>
          <w:szCs w:val="28"/>
          <w:vertAlign w:val="subscript"/>
          <w:lang w:val="en-US" w:eastAsia="zh-CN"/>
        </w:rPr>
        <w:t>k</w:t>
      </w:r>
      <w:r>
        <w:rPr>
          <w:rFonts w:hint="default" w:ascii="Times New Roman" w:hAnsi="Times New Roman" w:eastAsia="宋体" w:cs="Times New Roman"/>
          <w:bCs/>
          <w:color w:val="auto"/>
          <w:sz w:val="28"/>
          <w:szCs w:val="28"/>
          <w:lang w:val="en-US" w:eastAsia="zh-CN"/>
        </w:rPr>
        <w:t>=160</w:t>
      </w:r>
      <w:r>
        <w:rPr>
          <w:rFonts w:hint="eastAsia" w:cs="Times New Roman"/>
          <w:bCs/>
          <w:color w:val="auto"/>
          <w:sz w:val="28"/>
          <w:szCs w:val="28"/>
          <w:lang w:val="en-US" w:eastAsia="zh-CN"/>
        </w:rPr>
        <w:t>k</w:t>
      </w:r>
      <w:r>
        <w:rPr>
          <w:rFonts w:hint="default" w:ascii="Times New Roman" w:hAnsi="Times New Roman" w:eastAsia="宋体" w:cs="Times New Roman"/>
          <w:bCs/>
          <w:color w:val="auto"/>
          <w:sz w:val="28"/>
          <w:szCs w:val="28"/>
          <w:lang w:val="en-US" w:eastAsia="zh-CN"/>
        </w:rPr>
        <w:t>Pa。</w:t>
      </w:r>
    </w:p>
    <w:p w14:paraId="0BBC394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②第四系全新统残坡积层：褐黄</w:t>
      </w:r>
      <w:r>
        <w:rPr>
          <w:rFonts w:hint="default" w:ascii="Times New Roman" w:hAnsi="Times New Roman" w:cs="Times New Roman"/>
          <w:color w:val="auto"/>
          <w:lang w:val="en-US" w:eastAsia="zh-CN"/>
        </w:rPr>
        <w:t>～</w:t>
      </w:r>
      <w:r>
        <w:rPr>
          <w:rFonts w:hint="default" w:ascii="Times New Roman" w:hAnsi="Times New Roman" w:eastAsia="宋体" w:cs="Times New Roman"/>
          <w:bCs/>
          <w:color w:val="auto"/>
          <w:sz w:val="28"/>
          <w:szCs w:val="28"/>
          <w:lang w:val="en-US" w:eastAsia="zh-CN"/>
        </w:rPr>
        <w:t>灰褐色，结构松散</w:t>
      </w:r>
      <w:r>
        <w:rPr>
          <w:rFonts w:hint="default" w:ascii="Times New Roman" w:hAnsi="Times New Roman" w:cs="Times New Roman"/>
          <w:color w:val="auto"/>
          <w:lang w:val="en-US" w:eastAsia="zh-CN"/>
        </w:rPr>
        <w:t>～</w:t>
      </w:r>
      <w:r>
        <w:rPr>
          <w:rFonts w:hint="default" w:ascii="Times New Roman" w:hAnsi="Times New Roman" w:eastAsia="宋体" w:cs="Times New Roman"/>
          <w:bCs/>
          <w:color w:val="auto"/>
          <w:sz w:val="28"/>
          <w:szCs w:val="28"/>
          <w:lang w:val="en-US" w:eastAsia="zh-CN"/>
        </w:rPr>
        <w:t>稍密，稍湿，其成份主要由千枚岩碎石及粉质粘土组成。岩性以含碎石粘土为主。碎石含量约占30%。主要分布于山坡及近坡脚处，层厚0.30m</w:t>
      </w:r>
      <w:r>
        <w:rPr>
          <w:rFonts w:hint="default" w:ascii="Times New Roman" w:hAnsi="Times New Roman" w:cs="Times New Roman"/>
          <w:color w:val="auto"/>
          <w:lang w:val="en-US" w:eastAsia="zh-CN"/>
        </w:rPr>
        <w:t>～</w:t>
      </w:r>
      <w:r>
        <w:rPr>
          <w:rFonts w:hint="default" w:ascii="Times New Roman" w:hAnsi="Times New Roman" w:eastAsia="宋体" w:cs="Times New Roman"/>
          <w:bCs/>
          <w:color w:val="auto"/>
          <w:sz w:val="28"/>
          <w:szCs w:val="28"/>
          <w:lang w:val="en-US" w:eastAsia="zh-CN"/>
        </w:rPr>
        <w:t>3.40m。承载力特征值f</w:t>
      </w:r>
      <w:r>
        <w:rPr>
          <w:rFonts w:hint="default" w:ascii="Times New Roman" w:hAnsi="Times New Roman" w:eastAsia="宋体" w:cs="Times New Roman"/>
          <w:bCs/>
          <w:color w:val="auto"/>
          <w:sz w:val="28"/>
          <w:szCs w:val="28"/>
          <w:vertAlign w:val="subscript"/>
          <w:lang w:val="en-US" w:eastAsia="zh-CN"/>
        </w:rPr>
        <w:t>k</w:t>
      </w:r>
      <w:r>
        <w:rPr>
          <w:rFonts w:hint="default" w:ascii="Times New Roman" w:hAnsi="Times New Roman" w:eastAsia="宋体" w:cs="Times New Roman"/>
          <w:bCs/>
          <w:color w:val="auto"/>
          <w:sz w:val="28"/>
          <w:szCs w:val="28"/>
          <w:lang w:val="en-US" w:eastAsia="zh-CN"/>
        </w:rPr>
        <w:t>=140</w:t>
      </w:r>
      <w:r>
        <w:rPr>
          <w:rFonts w:hint="eastAsia" w:cs="Times New Roman"/>
          <w:bCs/>
          <w:color w:val="auto"/>
          <w:sz w:val="28"/>
          <w:szCs w:val="28"/>
          <w:lang w:val="en-US" w:eastAsia="zh-CN"/>
        </w:rPr>
        <w:t>k</w:t>
      </w:r>
      <w:r>
        <w:rPr>
          <w:rFonts w:hint="default" w:ascii="Times New Roman" w:hAnsi="Times New Roman" w:eastAsia="宋体" w:cs="Times New Roman"/>
          <w:bCs/>
          <w:color w:val="auto"/>
          <w:sz w:val="28"/>
          <w:szCs w:val="28"/>
          <w:lang w:val="en-US" w:eastAsia="zh-CN"/>
        </w:rPr>
        <w:t>Pa。</w:t>
      </w:r>
    </w:p>
    <w:p w14:paraId="16872C2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2</w:t>
      </w:r>
      <w:r>
        <w:rPr>
          <w:rFonts w:hint="eastAsia" w:cs="Times New Roman"/>
          <w:bCs/>
          <w:color w:val="auto"/>
          <w:sz w:val="28"/>
          <w:szCs w:val="28"/>
          <w:lang w:val="en-US" w:eastAsia="zh-CN"/>
        </w:rPr>
        <w:t xml:space="preserve">. </w:t>
      </w:r>
      <w:r>
        <w:rPr>
          <w:rFonts w:hint="default" w:ascii="Times New Roman" w:hAnsi="Times New Roman" w:eastAsia="宋体" w:cs="Times New Roman"/>
          <w:bCs/>
          <w:color w:val="auto"/>
          <w:sz w:val="28"/>
          <w:szCs w:val="28"/>
          <w:lang w:val="en-US" w:eastAsia="zh-CN"/>
        </w:rPr>
        <w:t>白垩系下统石溪组砾砂岩：紫红色，主要分布在</w:t>
      </w:r>
      <w:r>
        <w:rPr>
          <w:rFonts w:hint="eastAsia" w:cs="Times New Roman"/>
          <w:bCs/>
          <w:color w:val="auto"/>
          <w:sz w:val="28"/>
          <w:szCs w:val="28"/>
          <w:lang w:val="en-US" w:eastAsia="zh-CN"/>
        </w:rPr>
        <w:t>三</w:t>
      </w:r>
      <w:r>
        <w:rPr>
          <w:rFonts w:hint="default" w:ascii="Times New Roman" w:hAnsi="Times New Roman" w:eastAsia="宋体" w:cs="Times New Roman"/>
          <w:bCs/>
          <w:color w:val="auto"/>
          <w:sz w:val="28"/>
          <w:szCs w:val="28"/>
          <w:lang w:val="en-US" w:eastAsia="zh-CN"/>
        </w:rPr>
        <w:t>号库排水涵管、排水斜槽部位。根据风化程度分别叙述：</w:t>
      </w:r>
    </w:p>
    <w:p w14:paraId="4A1FD30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①强风化角砾岩：紫红色，原岩组织结构大部分被破坏，风化呈土状，遇水易软化，崩解，较破碎，岩体基本质量等级</w:t>
      </w:r>
      <w:r>
        <w:rPr>
          <w:rFonts w:hint="eastAsia" w:ascii="宋体" w:hAnsi="宋体" w:eastAsia="宋体" w:cs="宋体"/>
          <w:bCs/>
          <w:color w:val="auto"/>
          <w:sz w:val="28"/>
          <w:szCs w:val="28"/>
          <w:lang w:val="en-US" w:eastAsia="zh-CN"/>
        </w:rPr>
        <w:t>Ⅴ</w:t>
      </w:r>
      <w:r>
        <w:rPr>
          <w:rFonts w:hint="default" w:ascii="Times New Roman" w:hAnsi="Times New Roman" w:eastAsia="宋体" w:cs="Times New Roman"/>
          <w:bCs/>
          <w:color w:val="auto"/>
          <w:sz w:val="28"/>
          <w:szCs w:val="28"/>
          <w:lang w:val="en-US" w:eastAsia="zh-CN"/>
        </w:rPr>
        <w:t>级。层顶标高</w:t>
      </w:r>
      <w:r>
        <w:rPr>
          <w:rFonts w:hint="eastAsia" w:cs="Times New Roman"/>
          <w:bCs/>
          <w:color w:val="auto"/>
          <w:sz w:val="28"/>
          <w:szCs w:val="28"/>
          <w:lang w:val="en-US" w:eastAsia="zh-CN"/>
        </w:rPr>
        <w:t>+</w:t>
      </w:r>
      <w:r>
        <w:rPr>
          <w:rFonts w:hint="default" w:ascii="Times New Roman" w:hAnsi="Times New Roman" w:eastAsia="宋体" w:cs="Times New Roman"/>
          <w:bCs/>
          <w:color w:val="auto"/>
          <w:sz w:val="28"/>
          <w:szCs w:val="28"/>
          <w:lang w:val="en-US" w:eastAsia="zh-CN"/>
        </w:rPr>
        <w:t>82.50m</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w:t>
      </w:r>
      <w:r>
        <w:rPr>
          <w:rFonts w:hint="default" w:ascii="Times New Roman" w:hAnsi="Times New Roman" w:eastAsia="宋体" w:cs="Times New Roman"/>
          <w:bCs/>
          <w:color w:val="auto"/>
          <w:sz w:val="28"/>
          <w:szCs w:val="28"/>
          <w:lang w:val="en-US" w:eastAsia="zh-CN"/>
        </w:rPr>
        <w:t>99.70m，层厚1.30m</w:t>
      </w:r>
      <w:r>
        <w:rPr>
          <w:rFonts w:hint="default" w:ascii="Times New Roman" w:hAnsi="Times New Roman" w:cs="Times New Roman"/>
          <w:color w:val="auto"/>
          <w:lang w:val="en-US" w:eastAsia="zh-CN"/>
        </w:rPr>
        <w:t>～</w:t>
      </w:r>
      <w:r>
        <w:rPr>
          <w:rFonts w:hint="default" w:ascii="Times New Roman" w:hAnsi="Times New Roman" w:eastAsia="宋体" w:cs="Times New Roman"/>
          <w:bCs/>
          <w:color w:val="auto"/>
          <w:sz w:val="28"/>
          <w:szCs w:val="28"/>
          <w:lang w:val="en-US" w:eastAsia="zh-CN"/>
        </w:rPr>
        <w:t>2.10m。承载力特征值f</w:t>
      </w:r>
      <w:r>
        <w:rPr>
          <w:rFonts w:hint="default" w:ascii="Times New Roman" w:hAnsi="Times New Roman" w:eastAsia="宋体" w:cs="Times New Roman"/>
          <w:bCs/>
          <w:color w:val="auto"/>
          <w:sz w:val="28"/>
          <w:szCs w:val="28"/>
          <w:vertAlign w:val="subscript"/>
          <w:lang w:val="en-US" w:eastAsia="zh-CN"/>
        </w:rPr>
        <w:t>k</w:t>
      </w:r>
      <w:r>
        <w:rPr>
          <w:rFonts w:hint="default" w:ascii="Times New Roman" w:hAnsi="Times New Roman" w:eastAsia="宋体" w:cs="Times New Roman"/>
          <w:bCs/>
          <w:color w:val="auto"/>
          <w:sz w:val="28"/>
          <w:szCs w:val="28"/>
          <w:lang w:val="en-US" w:eastAsia="zh-CN"/>
        </w:rPr>
        <w:t>=280</w:t>
      </w:r>
      <w:r>
        <w:rPr>
          <w:rFonts w:hint="eastAsia" w:cs="Times New Roman"/>
          <w:bCs/>
          <w:color w:val="auto"/>
          <w:sz w:val="28"/>
          <w:szCs w:val="28"/>
          <w:lang w:val="en-US" w:eastAsia="zh-CN"/>
        </w:rPr>
        <w:t>k</w:t>
      </w:r>
      <w:r>
        <w:rPr>
          <w:rFonts w:hint="default" w:ascii="Times New Roman" w:hAnsi="Times New Roman" w:eastAsia="宋体" w:cs="Times New Roman"/>
          <w:bCs/>
          <w:color w:val="auto"/>
          <w:sz w:val="28"/>
          <w:szCs w:val="28"/>
          <w:lang w:val="en-US" w:eastAsia="zh-CN"/>
        </w:rPr>
        <w:t>Pa。渗透性等级中等透水。</w:t>
      </w:r>
    </w:p>
    <w:p w14:paraId="5D6E596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②中风化角砾岩：紫红色，凝灰粒状结构，块状构造，砾石的平均直径在1mm</w:t>
      </w:r>
      <w:r>
        <w:rPr>
          <w:rFonts w:hint="default" w:ascii="Times New Roman" w:hAnsi="Times New Roman" w:cs="Times New Roman"/>
          <w:color w:val="auto"/>
          <w:lang w:val="en-US" w:eastAsia="zh-CN"/>
        </w:rPr>
        <w:t>～</w:t>
      </w:r>
      <w:r>
        <w:rPr>
          <w:rFonts w:hint="default" w:ascii="Times New Roman" w:hAnsi="Times New Roman" w:eastAsia="宋体" w:cs="Times New Roman"/>
          <w:bCs/>
          <w:color w:val="auto"/>
          <w:sz w:val="28"/>
          <w:szCs w:val="28"/>
          <w:lang w:val="en-US" w:eastAsia="zh-CN"/>
        </w:rPr>
        <w:t>10mm，为细砾，岩芯呈碎块状、短柱状，锤击声脆，较完整，岩体基本质量等级</w:t>
      </w:r>
      <w:r>
        <w:rPr>
          <w:rFonts w:hint="eastAsia" w:ascii="宋体" w:hAnsi="宋体" w:eastAsia="宋体" w:cs="宋体"/>
          <w:bCs/>
          <w:color w:val="auto"/>
          <w:sz w:val="28"/>
          <w:szCs w:val="28"/>
          <w:lang w:val="en-US" w:eastAsia="zh-CN"/>
        </w:rPr>
        <w:t>Ⅳ</w:t>
      </w:r>
      <w:r>
        <w:rPr>
          <w:rFonts w:hint="default" w:ascii="Times New Roman" w:hAnsi="Times New Roman" w:eastAsia="宋体" w:cs="Times New Roman"/>
          <w:bCs/>
          <w:color w:val="auto"/>
          <w:sz w:val="28"/>
          <w:szCs w:val="28"/>
          <w:lang w:val="en-US" w:eastAsia="zh-CN"/>
        </w:rPr>
        <w:t>级。饱和单轴抗压强度3.50MPa</w:t>
      </w:r>
      <w:r>
        <w:rPr>
          <w:rFonts w:hint="default" w:ascii="Times New Roman" w:hAnsi="Times New Roman" w:cs="Times New Roman"/>
          <w:color w:val="auto"/>
          <w:lang w:val="en-US" w:eastAsia="zh-CN"/>
        </w:rPr>
        <w:t>～</w:t>
      </w:r>
      <w:r>
        <w:rPr>
          <w:rFonts w:hint="default" w:ascii="Times New Roman" w:hAnsi="Times New Roman" w:eastAsia="宋体" w:cs="Times New Roman"/>
          <w:bCs/>
          <w:color w:val="auto"/>
          <w:sz w:val="28"/>
          <w:szCs w:val="28"/>
          <w:lang w:val="en-US" w:eastAsia="zh-CN"/>
        </w:rPr>
        <w:t>29.10MPa，层顶标高</w:t>
      </w:r>
      <w:r>
        <w:rPr>
          <w:rFonts w:hint="eastAsia" w:cs="Times New Roman"/>
          <w:bCs/>
          <w:color w:val="auto"/>
          <w:sz w:val="28"/>
          <w:szCs w:val="28"/>
          <w:lang w:val="en-US" w:eastAsia="zh-CN"/>
        </w:rPr>
        <w:t>+</w:t>
      </w:r>
      <w:r>
        <w:rPr>
          <w:rFonts w:hint="default" w:ascii="Times New Roman" w:hAnsi="Times New Roman" w:eastAsia="宋体" w:cs="Times New Roman"/>
          <w:bCs/>
          <w:color w:val="auto"/>
          <w:sz w:val="28"/>
          <w:szCs w:val="28"/>
          <w:lang w:val="en-US" w:eastAsia="zh-CN"/>
        </w:rPr>
        <w:t>81.00m</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w:t>
      </w:r>
      <w:r>
        <w:rPr>
          <w:rFonts w:hint="default" w:ascii="Times New Roman" w:hAnsi="Times New Roman" w:eastAsia="宋体" w:cs="Times New Roman"/>
          <w:bCs/>
          <w:color w:val="auto"/>
          <w:sz w:val="28"/>
          <w:szCs w:val="28"/>
          <w:lang w:val="en-US" w:eastAsia="zh-CN"/>
        </w:rPr>
        <w:t>98.40m，厚度7.50m</w:t>
      </w:r>
      <w:r>
        <w:rPr>
          <w:rFonts w:hint="default" w:ascii="Times New Roman" w:hAnsi="Times New Roman" w:cs="Times New Roman"/>
          <w:color w:val="auto"/>
          <w:lang w:val="en-US" w:eastAsia="zh-CN"/>
        </w:rPr>
        <w:t>～</w:t>
      </w:r>
      <w:r>
        <w:rPr>
          <w:rFonts w:hint="default" w:ascii="Times New Roman" w:hAnsi="Times New Roman" w:eastAsia="宋体" w:cs="Times New Roman"/>
          <w:bCs/>
          <w:color w:val="auto"/>
          <w:sz w:val="28"/>
          <w:szCs w:val="28"/>
          <w:lang w:val="en-US" w:eastAsia="zh-CN"/>
        </w:rPr>
        <w:t>8.50m。渗透性等级中等透水。</w:t>
      </w:r>
    </w:p>
    <w:p w14:paraId="57E7FFC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3</w:t>
      </w:r>
      <w:r>
        <w:rPr>
          <w:rFonts w:hint="eastAsia" w:cs="Times New Roman"/>
          <w:bCs/>
          <w:color w:val="auto"/>
          <w:sz w:val="28"/>
          <w:szCs w:val="28"/>
          <w:lang w:val="en-US" w:eastAsia="zh-CN"/>
        </w:rPr>
        <w:t xml:space="preserve">. </w:t>
      </w:r>
      <w:r>
        <w:rPr>
          <w:rFonts w:hint="default" w:ascii="Times New Roman" w:hAnsi="Times New Roman" w:eastAsia="宋体" w:cs="Times New Roman"/>
          <w:bCs/>
          <w:color w:val="auto"/>
          <w:sz w:val="28"/>
          <w:szCs w:val="28"/>
          <w:lang w:val="en-US" w:eastAsia="zh-CN"/>
        </w:rPr>
        <w:t>中元古代双桥山群绢云母、砂质千枚岩（Pt</w:t>
      </w:r>
      <w:r>
        <w:rPr>
          <w:rFonts w:hint="default" w:ascii="Times New Roman" w:hAnsi="Times New Roman" w:eastAsia="宋体" w:cs="Times New Roman"/>
          <w:bCs/>
          <w:color w:val="auto"/>
          <w:sz w:val="28"/>
          <w:szCs w:val="28"/>
          <w:vertAlign w:val="subscript"/>
          <w:lang w:val="en-US" w:eastAsia="zh-CN"/>
        </w:rPr>
        <w:t>2</w:t>
      </w:r>
      <w:r>
        <w:rPr>
          <w:rFonts w:hint="default" w:ascii="Times New Roman" w:hAnsi="Times New Roman" w:eastAsia="宋体" w:cs="Times New Roman"/>
          <w:bCs/>
          <w:color w:val="auto"/>
          <w:sz w:val="28"/>
          <w:szCs w:val="28"/>
          <w:lang w:val="en-US" w:eastAsia="zh-CN"/>
        </w:rPr>
        <w:t>sh）：青灰色，薄</w:t>
      </w:r>
      <w:r>
        <w:rPr>
          <w:rFonts w:hint="default" w:ascii="Times New Roman" w:hAnsi="Times New Roman" w:cs="Times New Roman"/>
          <w:color w:val="auto"/>
          <w:lang w:val="en-US" w:eastAsia="zh-CN"/>
        </w:rPr>
        <w:t>～</w:t>
      </w:r>
      <w:r>
        <w:rPr>
          <w:rFonts w:hint="default" w:ascii="Times New Roman" w:hAnsi="Times New Roman" w:eastAsia="宋体" w:cs="Times New Roman"/>
          <w:bCs/>
          <w:color w:val="auto"/>
          <w:sz w:val="28"/>
          <w:szCs w:val="28"/>
          <w:lang w:val="en-US" w:eastAsia="zh-CN"/>
        </w:rPr>
        <w:t>中厚层状、微细水平层理发育，常呈灰绿、灰褐相间的条纹条带构造。分布在库区大部分部位。根据风化程度分别叙述：</w:t>
      </w:r>
    </w:p>
    <w:p w14:paraId="256CF29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bCs/>
          <w:color w:val="auto"/>
          <w:sz w:val="28"/>
          <w:szCs w:val="28"/>
          <w:lang w:val="en-US" w:eastAsia="zh-CN"/>
        </w:rPr>
        <w:t>①强风化千枚岩：褐黄色，千枚状结构，块状构造，含有绢云母，丝绢光泽，岩石大部分被破坏，节理裂隙极发育，节理间被铁锰质氧化物所充填，岩芯破碎，呈碎片状、碎块状，岩块用手可折断，锤击声哑。属极软岩，岩体基本质量等级</w:t>
      </w:r>
      <w:r>
        <w:rPr>
          <w:rFonts w:hint="eastAsia" w:ascii="宋体" w:hAnsi="宋体" w:eastAsia="宋体" w:cs="宋体"/>
          <w:bCs/>
          <w:color w:val="auto"/>
          <w:sz w:val="28"/>
          <w:szCs w:val="28"/>
          <w:lang w:val="en-US" w:eastAsia="zh-CN"/>
        </w:rPr>
        <w:t>Ⅴ</w:t>
      </w:r>
      <w:r>
        <w:rPr>
          <w:rFonts w:hint="default" w:ascii="Times New Roman" w:hAnsi="Times New Roman" w:eastAsia="宋体" w:cs="Times New Roman"/>
          <w:bCs/>
          <w:color w:val="auto"/>
          <w:sz w:val="28"/>
          <w:szCs w:val="28"/>
          <w:lang w:val="en-US" w:eastAsia="zh-CN"/>
        </w:rPr>
        <w:t>级。层顶标高</w:t>
      </w:r>
      <w:r>
        <w:rPr>
          <w:rFonts w:hint="eastAsia" w:cs="Times New Roman"/>
          <w:bCs/>
          <w:color w:val="auto"/>
          <w:sz w:val="28"/>
          <w:szCs w:val="28"/>
          <w:lang w:val="en-US" w:eastAsia="zh-CN"/>
        </w:rPr>
        <w:t>+</w:t>
      </w:r>
      <w:r>
        <w:rPr>
          <w:rFonts w:hint="default" w:ascii="Times New Roman" w:hAnsi="Times New Roman" w:eastAsia="宋体" w:cs="Times New Roman"/>
          <w:bCs/>
          <w:color w:val="auto"/>
          <w:sz w:val="28"/>
          <w:szCs w:val="28"/>
          <w:lang w:val="en-US" w:eastAsia="zh-CN"/>
        </w:rPr>
        <w:t>71.20m</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w:t>
      </w:r>
      <w:r>
        <w:rPr>
          <w:rFonts w:hint="default" w:ascii="Times New Roman" w:hAnsi="Times New Roman" w:eastAsia="宋体" w:cs="Times New Roman"/>
          <w:bCs/>
          <w:color w:val="auto"/>
          <w:sz w:val="28"/>
          <w:szCs w:val="28"/>
          <w:lang w:val="en-US" w:eastAsia="zh-CN"/>
        </w:rPr>
        <w:t>101.20m，层厚1.60m</w:t>
      </w:r>
      <w:r>
        <w:rPr>
          <w:rFonts w:hint="default" w:ascii="Times New Roman" w:hAnsi="Times New Roman" w:cs="Times New Roman"/>
          <w:color w:val="auto"/>
          <w:lang w:val="en-US" w:eastAsia="zh-CN"/>
        </w:rPr>
        <w:t>～</w:t>
      </w:r>
      <w:r>
        <w:rPr>
          <w:rFonts w:hint="default" w:ascii="Times New Roman" w:hAnsi="Times New Roman" w:eastAsia="宋体" w:cs="Times New Roman"/>
          <w:bCs/>
          <w:color w:val="auto"/>
          <w:sz w:val="28"/>
          <w:szCs w:val="28"/>
          <w:lang w:val="en-US" w:eastAsia="zh-CN"/>
        </w:rPr>
        <w:t>10.20m。渗透性等级中等透水。</w:t>
      </w:r>
    </w:p>
    <w:p w14:paraId="51B92E6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color w:val="auto"/>
          <w:sz w:val="28"/>
          <w:szCs w:val="28"/>
        </w:rPr>
      </w:pPr>
      <w:r>
        <w:rPr>
          <w:rFonts w:hint="default" w:ascii="Times New Roman" w:hAnsi="Times New Roman" w:eastAsia="宋体" w:cs="Times New Roman"/>
          <w:bCs/>
          <w:color w:val="auto"/>
          <w:sz w:val="28"/>
          <w:szCs w:val="28"/>
          <w:lang w:val="en-US" w:eastAsia="zh-CN"/>
        </w:rPr>
        <w:t>②中风化千枚岩：青灰色，千枚状结构，块状构造，含有绢云母、石英，原岩部分被破坏，节理间被铁锰质氧化物所充填，岩芯破碎，呈碎块状、少量短柱状，锤击声哑。岩体较破碎，结构面结合程度较差，岩体基本质量等级</w:t>
      </w:r>
      <w:r>
        <w:rPr>
          <w:rFonts w:hint="eastAsia" w:ascii="宋体" w:hAnsi="宋体" w:eastAsia="宋体" w:cs="宋体"/>
          <w:bCs/>
          <w:color w:val="auto"/>
          <w:sz w:val="28"/>
          <w:szCs w:val="28"/>
          <w:lang w:val="en-US" w:eastAsia="zh-CN"/>
        </w:rPr>
        <w:t>Ⅳ</w:t>
      </w:r>
      <w:r>
        <w:rPr>
          <w:rFonts w:hint="default" w:ascii="Times New Roman" w:hAnsi="Times New Roman" w:eastAsia="宋体" w:cs="Times New Roman"/>
          <w:bCs/>
          <w:color w:val="auto"/>
          <w:sz w:val="28"/>
          <w:szCs w:val="28"/>
          <w:lang w:val="en-US" w:eastAsia="zh-CN"/>
        </w:rPr>
        <w:t>级。层顶标高</w:t>
      </w:r>
      <w:r>
        <w:rPr>
          <w:rFonts w:hint="eastAsia" w:cs="Times New Roman"/>
          <w:bCs/>
          <w:color w:val="auto"/>
          <w:sz w:val="28"/>
          <w:szCs w:val="28"/>
          <w:lang w:val="en-US" w:eastAsia="zh-CN"/>
        </w:rPr>
        <w:t>+</w:t>
      </w:r>
      <w:r>
        <w:rPr>
          <w:rFonts w:hint="default" w:ascii="Times New Roman" w:hAnsi="Times New Roman" w:eastAsia="宋体" w:cs="Times New Roman"/>
          <w:bCs/>
          <w:color w:val="auto"/>
          <w:sz w:val="28"/>
          <w:szCs w:val="28"/>
          <w:lang w:val="en-US" w:eastAsia="zh-CN"/>
        </w:rPr>
        <w:t>65.90m</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w:t>
      </w:r>
      <w:r>
        <w:rPr>
          <w:rFonts w:hint="default" w:ascii="Times New Roman" w:hAnsi="Times New Roman" w:eastAsia="宋体" w:cs="Times New Roman"/>
          <w:bCs/>
          <w:color w:val="auto"/>
          <w:sz w:val="28"/>
          <w:szCs w:val="28"/>
          <w:lang w:val="en-US" w:eastAsia="zh-CN"/>
        </w:rPr>
        <w:t>94.20m，厚4.20</w:t>
      </w:r>
      <w:r>
        <w:rPr>
          <w:rFonts w:hint="default" w:ascii="Times New Roman" w:hAnsi="Times New Roman" w:cs="Times New Roman"/>
          <w:color w:val="auto"/>
          <w:lang w:val="en-US" w:eastAsia="zh-CN"/>
        </w:rPr>
        <w:t>～</w:t>
      </w:r>
      <w:r>
        <w:rPr>
          <w:rFonts w:hint="default" w:ascii="Times New Roman" w:hAnsi="Times New Roman" w:eastAsia="宋体" w:cs="Times New Roman"/>
          <w:bCs/>
          <w:color w:val="auto"/>
          <w:sz w:val="28"/>
          <w:szCs w:val="28"/>
          <w:lang w:val="en-US" w:eastAsia="zh-CN"/>
        </w:rPr>
        <w:t>20.00m。渗透性等级中等透水。</w:t>
      </w:r>
    </w:p>
    <w:p w14:paraId="7FE94211">
      <w:pPr>
        <w:pStyle w:val="4"/>
        <w:bidi w:val="0"/>
        <w:rPr>
          <w:rFonts w:hint="eastAsia"/>
          <w:color w:val="auto"/>
          <w:lang w:val="en-US" w:eastAsia="zh-CN"/>
        </w:rPr>
      </w:pPr>
      <w:bookmarkStart w:id="130" w:name="_Toc21931"/>
      <w:bookmarkStart w:id="131" w:name="_Toc11384"/>
      <w:bookmarkStart w:id="132" w:name="_Toc7002"/>
      <w:r>
        <w:rPr>
          <w:rFonts w:hint="eastAsia"/>
          <w:color w:val="auto"/>
          <w:lang w:val="en-US" w:eastAsia="zh-CN"/>
        </w:rPr>
        <w:t>2.4.4 水文地质条件</w:t>
      </w:r>
      <w:bookmarkEnd w:id="130"/>
      <w:bookmarkEnd w:id="131"/>
      <w:bookmarkEnd w:id="132"/>
    </w:p>
    <w:p w14:paraId="39B3FBD2">
      <w:pPr>
        <w:spacing w:line="360" w:lineRule="auto"/>
        <w:ind w:firstLine="560" w:firstLineChars="200"/>
        <w:rPr>
          <w:rFonts w:hint="eastAsia"/>
          <w:color w:val="auto"/>
          <w:lang w:val="en-US" w:eastAsia="zh-CN"/>
        </w:rPr>
      </w:pPr>
      <w:r>
        <w:rPr>
          <w:rFonts w:hint="eastAsia"/>
          <w:color w:val="auto"/>
          <w:lang w:val="en-US" w:eastAsia="zh-CN"/>
        </w:rPr>
        <w:t>库区地下水不发育，主要有第四系松散岩类孔隙水和基岩裂隙水两种类型地下水。</w:t>
      </w:r>
    </w:p>
    <w:p w14:paraId="2FB155E3">
      <w:pPr>
        <w:spacing w:line="360" w:lineRule="auto"/>
        <w:ind w:firstLine="560" w:firstLineChars="200"/>
        <w:rPr>
          <w:rFonts w:hint="eastAsia"/>
          <w:color w:val="auto"/>
          <w:lang w:val="en-US" w:eastAsia="zh-CN"/>
        </w:rPr>
      </w:pPr>
      <w:r>
        <w:rPr>
          <w:rFonts w:hint="eastAsia"/>
          <w:color w:val="auto"/>
          <w:lang w:val="en-US" w:eastAsia="zh-CN"/>
        </w:rPr>
        <w:t>1. 松散岩类孔隙水：分布于山谷底部溪流两侧或谷口洪积扇以及山麓地带，岩性为混杂的粘土碎石，不具层理，结构松散，透水性较强，厚度变化随地形起伏而异，一般0.5</w:t>
      </w:r>
      <w:r>
        <w:rPr>
          <w:rFonts w:hint="default" w:ascii="Times New Roman" w:hAnsi="Times New Roman" w:eastAsia="宋体" w:cs="Times New Roman"/>
          <w:bCs/>
          <w:color w:val="auto"/>
          <w:sz w:val="28"/>
          <w:szCs w:val="28"/>
          <w:lang w:val="en-US" w:eastAsia="zh-CN"/>
        </w:rPr>
        <w:t>m</w:t>
      </w:r>
      <w:r>
        <w:rPr>
          <w:rFonts w:hint="default" w:ascii="Times New Roman" w:hAnsi="Times New Roman" w:cs="Times New Roman"/>
          <w:color w:val="auto"/>
          <w:lang w:val="en-US" w:eastAsia="zh-CN"/>
        </w:rPr>
        <w:t>～</w:t>
      </w:r>
      <w:r>
        <w:rPr>
          <w:rFonts w:hint="eastAsia"/>
          <w:color w:val="auto"/>
          <w:lang w:val="en-US" w:eastAsia="zh-CN"/>
        </w:rPr>
        <w:t>2m，局部超过3m，由于含水层分布局限，厚度小，因此本身不能形成独立含水层，仅在冲沟底部或谷口堆积较厚并具接受基岩风化裂隙水补给条件下形成孔隙含水层。由于埋深浅，透水性较好，受降水补给快，水位变化大，一般水位埋深小于1m，季节性变化显著。</w:t>
      </w:r>
    </w:p>
    <w:p w14:paraId="4E5D16B1">
      <w:pPr>
        <w:spacing w:line="360" w:lineRule="auto"/>
        <w:ind w:firstLine="560" w:firstLineChars="200"/>
        <w:rPr>
          <w:rFonts w:hint="eastAsia"/>
          <w:color w:val="auto"/>
          <w:lang w:val="en-US" w:eastAsia="zh-CN"/>
        </w:rPr>
      </w:pPr>
      <w:r>
        <w:rPr>
          <w:rFonts w:hint="eastAsia"/>
          <w:color w:val="auto"/>
          <w:lang w:val="en-US" w:eastAsia="zh-CN"/>
        </w:rPr>
        <w:t>2. 基岩裂隙水：分布于基岩裂隙中，其富水程度和透水性与裂隙发育程度关系密切。裂隙发育强烈地段富水性和透水性就强，反之就弱。同时缺少地表水补给，含水微弱。在沟谷末端多有下降泉出现，该层所出露泉水流量较小，流量0.014L/S</w:t>
      </w:r>
      <w:r>
        <w:rPr>
          <w:rFonts w:hint="default" w:ascii="Times New Roman" w:hAnsi="Times New Roman" w:cs="Times New Roman"/>
          <w:color w:val="auto"/>
          <w:lang w:val="en-US" w:eastAsia="zh-CN"/>
        </w:rPr>
        <w:t>～</w:t>
      </w:r>
      <w:r>
        <w:rPr>
          <w:rFonts w:hint="eastAsia"/>
          <w:color w:val="auto"/>
          <w:lang w:val="en-US" w:eastAsia="zh-CN"/>
        </w:rPr>
        <w:t>0.186L/S。常呈间歇型裂隙下降泉。地下水的补给来源于大气降水，地下水径流短，排泄条件好。</w:t>
      </w:r>
    </w:p>
    <w:p w14:paraId="0BF30503">
      <w:pPr>
        <w:spacing w:line="360" w:lineRule="auto"/>
        <w:ind w:firstLine="560" w:firstLineChars="200"/>
        <w:rPr>
          <w:rFonts w:hint="default" w:ascii="Times New Roman" w:hAnsi="Times New Roman" w:eastAsia="宋体" w:cs="Times New Roman"/>
          <w:color w:val="auto"/>
          <w:sz w:val="28"/>
          <w:szCs w:val="28"/>
        </w:rPr>
      </w:pPr>
      <w:r>
        <w:rPr>
          <w:rFonts w:hint="eastAsia"/>
          <w:color w:val="auto"/>
          <w:lang w:val="en-US" w:eastAsia="zh-CN"/>
        </w:rPr>
        <w:t>综上所述库区水文地质条件简单。但工程施工过程中发现，库区地表水和地下水丰富，干旱季节也有较大长流水。现场检查时，也发现排水方涵及清水管流出的水流较大</w:t>
      </w:r>
      <w:r>
        <w:rPr>
          <w:rFonts w:hint="default" w:ascii="Times New Roman" w:hAnsi="Times New Roman" w:eastAsia="宋体" w:cs="Times New Roman"/>
          <w:color w:val="auto"/>
          <w:sz w:val="28"/>
          <w:szCs w:val="28"/>
        </w:rPr>
        <w:t>。</w:t>
      </w:r>
    </w:p>
    <w:p w14:paraId="4841E863">
      <w:pPr>
        <w:pStyle w:val="4"/>
        <w:bidi w:val="0"/>
        <w:rPr>
          <w:rFonts w:hint="eastAsia"/>
          <w:color w:val="auto"/>
          <w:lang w:val="en-US" w:eastAsia="zh-CN"/>
        </w:rPr>
      </w:pPr>
      <w:bookmarkStart w:id="133" w:name="_Toc12134"/>
      <w:bookmarkStart w:id="134" w:name="_Toc4119"/>
      <w:bookmarkStart w:id="135" w:name="_Toc29640"/>
      <w:r>
        <w:rPr>
          <w:rFonts w:hint="eastAsia"/>
          <w:color w:val="auto"/>
          <w:lang w:val="en-US" w:eastAsia="zh-CN"/>
        </w:rPr>
        <w:t>2.4.5 尾矿库不良地质现象</w:t>
      </w:r>
      <w:bookmarkEnd w:id="133"/>
      <w:bookmarkEnd w:id="134"/>
      <w:bookmarkEnd w:id="135"/>
    </w:p>
    <w:p w14:paraId="6B6034B6">
      <w:pPr>
        <w:rPr>
          <w:rFonts w:hint="default"/>
          <w:color w:val="auto"/>
          <w:lang w:val="en-US" w:eastAsia="zh-CN"/>
        </w:rPr>
      </w:pPr>
      <w:r>
        <w:rPr>
          <w:rFonts w:hint="default"/>
          <w:color w:val="auto"/>
          <w:lang w:val="en-US" w:eastAsia="zh-CN"/>
        </w:rPr>
        <w:t>库区内出现过人工开挖山体、取土、练山等人类工程活动，未发现有大的断裂构造通过，无活动断裂、滑坡、泥石流、危岩和崩塌等影响场地稳定性的不良地质作用，场地稳定性总体性较好，但山体经人工开挖后，容易滑塌。库区断裂构造不发育，库内无向周边渗漏通道。总之库区渗漏性小。</w:t>
      </w:r>
    </w:p>
    <w:p w14:paraId="04D94EF7">
      <w:pPr>
        <w:pStyle w:val="3"/>
        <w:bidi w:val="0"/>
        <w:rPr>
          <w:rFonts w:hint="default"/>
          <w:color w:val="auto"/>
          <w:lang w:val="en-US" w:eastAsia="zh-CN"/>
        </w:rPr>
      </w:pPr>
      <w:bookmarkStart w:id="136" w:name="_Toc31907"/>
      <w:bookmarkStart w:id="137" w:name="_Toc23346"/>
      <w:bookmarkStart w:id="138" w:name="_Toc594"/>
      <w:bookmarkStart w:id="139" w:name="_Toc8108"/>
      <w:bookmarkStart w:id="140" w:name="_Toc19291"/>
      <w:r>
        <w:rPr>
          <w:rFonts w:hint="default"/>
          <w:color w:val="auto"/>
          <w:lang w:val="en-US" w:eastAsia="zh-CN"/>
        </w:rPr>
        <w:t>2.5</w:t>
      </w:r>
      <w:r>
        <w:rPr>
          <w:rFonts w:hint="eastAsia"/>
          <w:color w:val="auto"/>
          <w:lang w:val="en-US" w:eastAsia="zh-CN"/>
        </w:rPr>
        <w:t xml:space="preserve"> </w:t>
      </w:r>
      <w:r>
        <w:rPr>
          <w:rFonts w:hint="default"/>
          <w:color w:val="auto"/>
          <w:lang w:val="en-US" w:eastAsia="zh-CN"/>
        </w:rPr>
        <w:t>尾矿库等别</w:t>
      </w:r>
      <w:bookmarkEnd w:id="136"/>
      <w:bookmarkEnd w:id="137"/>
      <w:bookmarkEnd w:id="138"/>
      <w:bookmarkEnd w:id="139"/>
      <w:bookmarkEnd w:id="140"/>
    </w:p>
    <w:p w14:paraId="18DA16E9">
      <w:pPr>
        <w:bidi w:val="0"/>
        <w:rPr>
          <w:rFonts w:hint="default"/>
          <w:color w:val="auto"/>
          <w:lang w:val="en-US" w:eastAsia="zh-CN"/>
        </w:rPr>
      </w:pPr>
      <w:r>
        <w:rPr>
          <w:rFonts w:hint="default"/>
          <w:color w:val="auto"/>
          <w:lang w:val="en-US" w:eastAsia="zh-CN"/>
        </w:rPr>
        <w:t>尾矿坝总坝高26.5m，为五等库，主要构筑物的级别为5级，总库容45.0万m</w:t>
      </w:r>
      <w:r>
        <w:rPr>
          <w:rFonts w:hint="default"/>
          <w:color w:val="auto"/>
          <w:vertAlign w:val="superscript"/>
          <w:lang w:val="en-US" w:eastAsia="zh-CN"/>
        </w:rPr>
        <w:t>3</w:t>
      </w:r>
      <w:r>
        <w:rPr>
          <w:rFonts w:hint="default"/>
          <w:color w:val="auto"/>
          <w:lang w:val="en-US" w:eastAsia="zh-CN"/>
        </w:rPr>
        <w:t>，有效库容36.0万m</w:t>
      </w:r>
      <w:r>
        <w:rPr>
          <w:rFonts w:hint="default"/>
          <w:color w:val="auto"/>
          <w:vertAlign w:val="superscript"/>
          <w:lang w:val="en-US" w:eastAsia="zh-CN"/>
        </w:rPr>
        <w:t>3</w:t>
      </w:r>
      <w:r>
        <w:rPr>
          <w:rFonts w:hint="default"/>
          <w:color w:val="auto"/>
          <w:lang w:val="en-US" w:eastAsia="zh-CN"/>
        </w:rPr>
        <w:t>，汇水面积0.134km</w:t>
      </w:r>
      <w:r>
        <w:rPr>
          <w:rFonts w:hint="default"/>
          <w:color w:val="auto"/>
          <w:vertAlign w:val="superscript"/>
          <w:lang w:val="en-US" w:eastAsia="zh-CN"/>
        </w:rPr>
        <w:t>2</w:t>
      </w:r>
      <w:r>
        <w:rPr>
          <w:rFonts w:hint="default"/>
          <w:color w:val="auto"/>
          <w:lang w:val="en-US" w:eastAsia="zh-CN"/>
        </w:rPr>
        <w:t>，防洪标准100年一遇，安全超高不小于0.4m，干滩长度不小于40m，浸润线埋深不小于4m。</w:t>
      </w:r>
    </w:p>
    <w:p w14:paraId="4376AC2A">
      <w:pPr>
        <w:bidi w:val="0"/>
        <w:rPr>
          <w:rFonts w:hint="default"/>
          <w:color w:val="auto"/>
          <w:lang w:val="en-US" w:eastAsia="zh-CN"/>
        </w:rPr>
      </w:pPr>
      <w:r>
        <w:rPr>
          <w:rFonts w:hint="default"/>
          <w:color w:val="auto"/>
          <w:lang w:val="en-US" w:eastAsia="zh-CN"/>
        </w:rPr>
        <w:t>现</w:t>
      </w:r>
      <w:r>
        <w:rPr>
          <w:rFonts w:hint="eastAsia"/>
          <w:color w:val="auto"/>
          <w:lang w:val="en-US" w:eastAsia="zh-CN"/>
        </w:rPr>
        <w:t>三</w:t>
      </w:r>
      <w:r>
        <w:rPr>
          <w:rFonts w:hint="default"/>
          <w:color w:val="auto"/>
          <w:lang w:val="en-US" w:eastAsia="zh-CN"/>
        </w:rPr>
        <w:t>号（氰化渣）尾矿库尾矿坝坝高1</w:t>
      </w:r>
      <w:r>
        <w:rPr>
          <w:rFonts w:hint="eastAsia"/>
          <w:color w:val="auto"/>
          <w:lang w:val="en-US" w:eastAsia="zh-CN"/>
        </w:rPr>
        <w:t>4</w:t>
      </w:r>
      <w:r>
        <w:rPr>
          <w:rFonts w:hint="default"/>
          <w:color w:val="auto"/>
          <w:lang w:val="en-US" w:eastAsia="zh-CN"/>
        </w:rPr>
        <w:t>.5m，已堆积尾矿</w:t>
      </w:r>
      <w:r>
        <w:rPr>
          <w:rFonts w:hint="eastAsia"/>
          <w:color w:val="auto"/>
          <w:lang w:val="en-US" w:eastAsia="zh-CN"/>
        </w:rPr>
        <w:t>8</w:t>
      </w:r>
      <w:r>
        <w:rPr>
          <w:rFonts w:hint="default"/>
          <w:color w:val="auto"/>
          <w:lang w:val="en-US" w:eastAsia="zh-CN"/>
        </w:rPr>
        <w:t>.</w:t>
      </w:r>
      <w:r>
        <w:rPr>
          <w:rFonts w:hint="eastAsia"/>
          <w:color w:val="auto"/>
          <w:lang w:val="en-US" w:eastAsia="zh-CN"/>
        </w:rPr>
        <w:t>43</w:t>
      </w:r>
      <w:r>
        <w:rPr>
          <w:rFonts w:hint="default"/>
          <w:color w:val="auto"/>
          <w:lang w:val="en-US" w:eastAsia="zh-CN"/>
        </w:rPr>
        <w:t>万m</w:t>
      </w:r>
      <w:r>
        <w:rPr>
          <w:rFonts w:hint="default"/>
          <w:color w:val="auto"/>
          <w:vertAlign w:val="superscript"/>
          <w:lang w:val="en-US" w:eastAsia="zh-CN"/>
        </w:rPr>
        <w:t>3</w:t>
      </w:r>
      <w:r>
        <w:rPr>
          <w:rFonts w:hint="default"/>
          <w:color w:val="auto"/>
          <w:lang w:val="en-US" w:eastAsia="zh-CN"/>
        </w:rPr>
        <w:t>，按《尾矿设施设计规范》</w:t>
      </w:r>
      <w:r>
        <w:rPr>
          <w:rFonts w:hint="eastAsia"/>
          <w:color w:val="auto"/>
          <w:lang w:val="en-US" w:eastAsia="zh-CN"/>
        </w:rPr>
        <w:t>、</w:t>
      </w:r>
      <w:r>
        <w:rPr>
          <w:rFonts w:hint="default"/>
          <w:color w:val="auto"/>
          <w:lang w:val="en-US" w:eastAsia="zh-CN"/>
        </w:rPr>
        <w:t>《尾矿库安全规程》的相关规定，</w:t>
      </w:r>
      <w:r>
        <w:rPr>
          <w:rFonts w:hint="eastAsia"/>
          <w:color w:val="auto"/>
          <w:lang w:val="en-US" w:eastAsia="zh-CN"/>
        </w:rPr>
        <w:t>三</w:t>
      </w:r>
      <w:r>
        <w:rPr>
          <w:rFonts w:hint="default"/>
          <w:color w:val="auto"/>
          <w:lang w:val="en-US" w:eastAsia="zh-CN"/>
        </w:rPr>
        <w:t>号（氰化渣）尾矿库为五等库。</w:t>
      </w:r>
    </w:p>
    <w:p w14:paraId="17C76362">
      <w:pPr>
        <w:pStyle w:val="3"/>
        <w:bidi w:val="0"/>
        <w:rPr>
          <w:rFonts w:hint="default"/>
          <w:color w:val="auto"/>
          <w:lang w:val="en-US" w:eastAsia="zh-CN"/>
        </w:rPr>
      </w:pPr>
      <w:bookmarkStart w:id="141" w:name="_Toc21587"/>
      <w:bookmarkStart w:id="142" w:name="_Toc26819"/>
      <w:bookmarkStart w:id="143" w:name="_Toc26587"/>
      <w:bookmarkStart w:id="144" w:name="_Toc12202"/>
      <w:bookmarkStart w:id="145" w:name="_Toc8826"/>
      <w:r>
        <w:rPr>
          <w:rFonts w:hint="default"/>
          <w:color w:val="auto"/>
          <w:lang w:val="en-US" w:eastAsia="zh-CN"/>
        </w:rPr>
        <w:t>2.6</w:t>
      </w:r>
      <w:r>
        <w:rPr>
          <w:rFonts w:hint="eastAsia"/>
          <w:color w:val="auto"/>
          <w:lang w:val="en-US" w:eastAsia="zh-CN"/>
        </w:rPr>
        <w:t xml:space="preserve"> </w:t>
      </w:r>
      <w:r>
        <w:rPr>
          <w:rFonts w:hint="default"/>
          <w:color w:val="auto"/>
          <w:lang w:val="en-US" w:eastAsia="zh-CN"/>
        </w:rPr>
        <w:t>尾矿库安全设施</w:t>
      </w:r>
      <w:bookmarkEnd w:id="141"/>
      <w:bookmarkEnd w:id="142"/>
      <w:bookmarkEnd w:id="143"/>
      <w:bookmarkEnd w:id="144"/>
      <w:bookmarkEnd w:id="145"/>
    </w:p>
    <w:p w14:paraId="1EA9D1B9">
      <w:pPr>
        <w:pStyle w:val="4"/>
        <w:bidi w:val="0"/>
        <w:rPr>
          <w:rFonts w:hint="default"/>
          <w:color w:val="auto"/>
          <w:lang w:val="en-US" w:eastAsia="zh-CN"/>
        </w:rPr>
      </w:pPr>
      <w:bookmarkStart w:id="146" w:name="_Toc11759"/>
      <w:bookmarkStart w:id="147" w:name="_Toc8916"/>
      <w:bookmarkStart w:id="148" w:name="_Toc13874"/>
      <w:bookmarkStart w:id="149" w:name="_Toc25027"/>
      <w:bookmarkStart w:id="150" w:name="_Toc6497"/>
      <w:r>
        <w:rPr>
          <w:rFonts w:hint="default"/>
          <w:color w:val="auto"/>
          <w:lang w:val="en-US" w:eastAsia="zh-CN"/>
        </w:rPr>
        <w:t>2.6.1</w:t>
      </w:r>
      <w:r>
        <w:rPr>
          <w:rFonts w:hint="eastAsia"/>
          <w:color w:val="auto"/>
          <w:lang w:val="en-US" w:eastAsia="zh-CN"/>
        </w:rPr>
        <w:t xml:space="preserve"> </w:t>
      </w:r>
      <w:r>
        <w:rPr>
          <w:rFonts w:hint="default"/>
          <w:color w:val="auto"/>
          <w:lang w:val="en-US" w:eastAsia="zh-CN"/>
        </w:rPr>
        <w:t>尾矿坝</w:t>
      </w:r>
      <w:bookmarkEnd w:id="146"/>
      <w:bookmarkEnd w:id="147"/>
      <w:bookmarkEnd w:id="148"/>
      <w:bookmarkEnd w:id="149"/>
      <w:bookmarkEnd w:id="150"/>
    </w:p>
    <w:p w14:paraId="6A2300D6">
      <w:pPr>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一、</w:t>
      </w:r>
      <w:r>
        <w:rPr>
          <w:rFonts w:hint="eastAsia" w:cs="Times New Roman"/>
          <w:b w:val="0"/>
          <w:bCs w:val="0"/>
          <w:color w:val="auto"/>
          <w:lang w:val="en-US" w:eastAsia="zh-CN"/>
        </w:rPr>
        <w:t>初期坝</w:t>
      </w:r>
    </w:p>
    <w:p w14:paraId="29CE5DD6">
      <w:pPr>
        <w:rPr>
          <w:rFonts w:hint="default"/>
          <w:color w:val="auto"/>
          <w:lang w:val="en-US" w:eastAsia="zh-CN"/>
        </w:rPr>
      </w:pPr>
      <w:r>
        <w:rPr>
          <w:rFonts w:hint="default"/>
          <w:color w:val="auto"/>
          <w:lang w:val="en-US" w:eastAsia="zh-CN"/>
        </w:rPr>
        <w:t>1.</w:t>
      </w:r>
      <w:r>
        <w:rPr>
          <w:rFonts w:hint="eastAsia"/>
          <w:color w:val="auto"/>
          <w:lang w:val="en-US" w:eastAsia="zh-CN"/>
        </w:rPr>
        <w:t xml:space="preserve"> </w:t>
      </w:r>
      <w:r>
        <w:rPr>
          <w:rFonts w:hint="default"/>
          <w:color w:val="auto"/>
          <w:lang w:val="en-US" w:eastAsia="zh-CN"/>
        </w:rPr>
        <w:t>设计情况</w:t>
      </w:r>
    </w:p>
    <w:p w14:paraId="3591362B">
      <w:pPr>
        <w:bidi w:val="0"/>
        <w:rPr>
          <w:rFonts w:hint="eastAsia"/>
          <w:color w:val="auto"/>
          <w:lang w:val="en-US" w:eastAsia="zh-CN"/>
        </w:rPr>
      </w:pPr>
      <w:r>
        <w:rPr>
          <w:rFonts w:hint="eastAsia"/>
          <w:color w:val="auto"/>
          <w:lang w:val="en-US" w:eastAsia="zh-CN"/>
        </w:rPr>
        <w:t>初期坝为碾压不透水土坝，坝高11.5m（坝顶标高+85.0m，坝底标高+73.5m），坝长76.0m，坝顶宽5.0m。内、外坡比均为1∶2.5，坝外坡设草皮护坡，在坝外坡标高+78.0m处设高5.8m的堆石棱体，内坡铺设土工布反滤层、内坡比1∶1.3，外坡比1∶1.75。坝内坡铺设1.5mm厚HDPE防渗膜</w:t>
      </w:r>
      <w:r>
        <w:rPr>
          <w:rFonts w:hint="eastAsia" w:ascii="宋体" w:hAnsi="宋体" w:eastAsia="宋体" w:cs="宋体"/>
          <w:color w:val="auto"/>
          <w:lang w:val="en-US" w:eastAsia="zh-CN"/>
        </w:rPr>
        <w:t>＋</w:t>
      </w:r>
      <w:r>
        <w:rPr>
          <w:rFonts w:hint="eastAsia"/>
          <w:color w:val="auto"/>
          <w:lang w:val="en-US" w:eastAsia="zh-CN"/>
        </w:rPr>
        <w:t>C20混凝土面板护坡。</w:t>
      </w:r>
    </w:p>
    <w:p w14:paraId="1A77DA8E">
      <w:pPr>
        <w:bidi w:val="0"/>
        <w:rPr>
          <w:rFonts w:hint="eastAsia"/>
          <w:color w:val="auto"/>
          <w:lang w:val="en-US" w:eastAsia="zh-CN"/>
        </w:rPr>
      </w:pPr>
      <w:r>
        <w:rPr>
          <w:rFonts w:hint="eastAsia"/>
          <w:color w:val="auto"/>
          <w:lang w:val="en-US" w:eastAsia="zh-CN"/>
        </w:rPr>
        <w:t>坝外坡面设置马道和坡面排水沟、排水边沟，坝外坡每隔20m交错设置坡面排水沟，断面尺寸（A+B）×H=（0.2</w:t>
      </w:r>
      <w:r>
        <w:rPr>
          <w:rFonts w:hint="eastAsia" w:ascii="宋体" w:hAnsi="宋体" w:eastAsia="宋体" w:cs="宋体"/>
          <w:color w:val="auto"/>
          <w:lang w:val="en-US" w:eastAsia="zh-CN"/>
        </w:rPr>
        <w:t>＋</w:t>
      </w:r>
      <w:r>
        <w:rPr>
          <w:rFonts w:hint="eastAsia"/>
          <w:color w:val="auto"/>
          <w:lang w:val="en-US" w:eastAsia="zh-CN"/>
        </w:rPr>
        <w:t>0.6）m×0.4m。马道排水沟、坡面排水沟及排水边沟相互贯通，构成了完善的坝面排水系统。马道排水沟断面尺寸B×H=0.4m×（0.4～0.5）m，排水边沟断面尺寸B×H=0.5m×0.5m。排水沟均采用浆砌块石砌筑，内0.2m厚水泥砂浆抹面。</w:t>
      </w:r>
    </w:p>
    <w:p w14:paraId="42DA9143">
      <w:pPr>
        <w:rPr>
          <w:rFonts w:hint="default"/>
          <w:color w:val="auto"/>
          <w:lang w:val="en-US" w:eastAsia="zh-CN"/>
        </w:rPr>
      </w:pPr>
      <w:r>
        <w:rPr>
          <w:rFonts w:hint="default"/>
          <w:color w:val="auto"/>
          <w:lang w:val="en-US" w:eastAsia="zh-CN"/>
        </w:rPr>
        <w:t>2.</w:t>
      </w:r>
      <w:r>
        <w:rPr>
          <w:rFonts w:hint="eastAsia"/>
          <w:color w:val="auto"/>
          <w:lang w:val="en-US" w:eastAsia="zh-CN"/>
        </w:rPr>
        <w:t xml:space="preserve"> </w:t>
      </w:r>
      <w:r>
        <w:rPr>
          <w:rFonts w:hint="default"/>
          <w:color w:val="auto"/>
          <w:lang w:val="en-US" w:eastAsia="zh-CN"/>
        </w:rPr>
        <w:t>现场检查情况</w:t>
      </w:r>
    </w:p>
    <w:p w14:paraId="681E805C">
      <w:pPr>
        <w:rPr>
          <w:rFonts w:hint="eastAsia"/>
          <w:color w:val="auto"/>
          <w:lang w:val="en-US" w:eastAsia="zh-CN"/>
        </w:rPr>
      </w:pPr>
      <w:r>
        <w:rPr>
          <w:rFonts w:hint="eastAsia"/>
          <w:color w:val="auto"/>
          <w:lang w:val="en-US" w:eastAsia="zh-CN"/>
        </w:rPr>
        <w:t>初期坝为碾压土坝，坝顶标高+85.0m，坝底标高+73.5m，坝高11.5m，坝顶宽5.0m。内、外坡比均为1∶2.5。坝外坡+78.0m标高处高5.8m的排水棱体，内坡比1∶1.3，外坡比1∶1.75，棱体之上采用草皮护坡。坝内坡贴1.5mm厚HDPE防渗膜及400g/m</w:t>
      </w:r>
      <w:r>
        <w:rPr>
          <w:rFonts w:hint="eastAsia"/>
          <w:color w:val="auto"/>
          <w:vertAlign w:val="superscript"/>
          <w:lang w:val="en-US" w:eastAsia="zh-CN"/>
        </w:rPr>
        <w:t>3</w:t>
      </w:r>
      <w:r>
        <w:rPr>
          <w:rFonts w:hint="eastAsia"/>
          <w:color w:val="auto"/>
          <w:lang w:val="en-US" w:eastAsia="zh-CN"/>
        </w:rPr>
        <w:t>土工布防渗及现浇C20素砼面板，面板采用沥青软木分缝，隔成2m×1m大小分面板，并设有φ50mmPVC排水孔。坝外坡设有浆砌块石结构坝肩沟、坡面沟、马道沟，坝肩沟净断面B×H=0.50m×0.50m，坡面沟倒梯形净断面B×H=（0.60</w:t>
      </w:r>
      <w:r>
        <w:rPr>
          <w:rFonts w:hint="eastAsia" w:ascii="宋体" w:hAnsi="宋体" w:eastAsia="宋体" w:cs="宋体"/>
          <w:color w:val="auto"/>
          <w:lang w:val="en-US" w:eastAsia="zh-CN"/>
        </w:rPr>
        <w:t>＋</w:t>
      </w:r>
      <w:r>
        <w:rPr>
          <w:rFonts w:hint="eastAsia"/>
          <w:color w:val="auto"/>
          <w:lang w:val="en-US" w:eastAsia="zh-CN"/>
        </w:rPr>
        <w:t>0.28）m×0.40m，马道沟倒梯形净断面B×H=（0.60</w:t>
      </w:r>
      <w:r>
        <w:rPr>
          <w:rFonts w:hint="eastAsia" w:ascii="宋体" w:hAnsi="宋体" w:eastAsia="宋体" w:cs="宋体"/>
          <w:color w:val="auto"/>
          <w:lang w:val="en-US" w:eastAsia="zh-CN"/>
        </w:rPr>
        <w:t>＋</w:t>
      </w:r>
      <w:r>
        <w:rPr>
          <w:rFonts w:hint="eastAsia"/>
          <w:color w:val="auto"/>
          <w:lang w:val="en-US" w:eastAsia="zh-CN"/>
        </w:rPr>
        <w:t>0.45）m×0.40m。</w:t>
      </w:r>
    </w:p>
    <w:p w14:paraId="3C111E19">
      <w:pPr>
        <w:rPr>
          <w:rFonts w:hint="eastAsia"/>
          <w:color w:val="auto"/>
          <w:lang w:val="en-US" w:eastAsia="zh-CN"/>
        </w:rPr>
      </w:pPr>
      <w:r>
        <w:rPr>
          <w:rFonts w:hint="eastAsia"/>
          <w:color w:val="auto"/>
          <w:lang w:val="en-US" w:eastAsia="zh-CN"/>
        </w:rPr>
        <w:t>尾矿坝坝顶设置了探照灯。</w:t>
      </w:r>
    </w:p>
    <w:p w14:paraId="3D9C1F78">
      <w:pPr>
        <w:rPr>
          <w:rFonts w:hint="eastAsia"/>
          <w:color w:val="auto"/>
          <w:lang w:val="en-US" w:eastAsia="zh-CN"/>
        </w:rPr>
      </w:pPr>
      <w:r>
        <w:rPr>
          <w:rFonts w:hint="eastAsia"/>
          <w:color w:val="auto"/>
          <w:lang w:val="en-US" w:eastAsia="zh-CN"/>
        </w:rPr>
        <w:t>初期坝正下方设有污水池，池底及两侧山坡结合处铺设有HDPE防渗膜与初期坝下的防渗膜相连接，防渗膜下设有与初期坝膜下排渗盲沟（即导水垫层，200mm厚砂砾石层）相连接的排渗盲沟，膜下排渗盲沟构建材料以及断面和库内排渗盲沟相同。池内防渗膜上铺设300mm厚砂卵石护膜。</w:t>
      </w:r>
    </w:p>
    <w:p w14:paraId="1EFE9E63">
      <w:pPr>
        <w:rPr>
          <w:rFonts w:hint="eastAsia"/>
          <w:color w:val="auto"/>
          <w:lang w:val="en-US" w:eastAsia="zh-CN"/>
        </w:rPr>
      </w:pPr>
      <w:r>
        <w:rPr>
          <w:rFonts w:hint="eastAsia"/>
          <w:color w:val="auto"/>
          <w:lang w:val="en-US" w:eastAsia="zh-CN"/>
        </w:rPr>
        <w:t>初期坝下游约20m处设有截水坝一座，坝高4.0m，宽约1.0m，坝顶标高72.5m，背水面采用M7.5水泥砂浆浆砌MU40块石砌筑成坝，迎水面采用C20混凝土浇筑防渗（内衬HDPE防渗膜一层）。截水坝底部清基至强风化岩层，设有C20混凝土垫层和宽0.8m、深1.2m的C20混凝土齿槽。截水坝坝顶没有设置溢流口。</w:t>
      </w:r>
    </w:p>
    <w:p w14:paraId="06C2ADBA">
      <w:pPr>
        <w:rPr>
          <w:rFonts w:hint="eastAsia"/>
          <w:color w:val="auto"/>
          <w:lang w:val="en-US" w:eastAsia="zh-CN"/>
        </w:rPr>
      </w:pPr>
      <w:r>
        <w:rPr>
          <w:rFonts w:hint="eastAsia"/>
          <w:color w:val="auto"/>
          <w:lang w:val="en-US" w:eastAsia="zh-CN"/>
        </w:rPr>
        <w:t>2019年下半年，根据当地生态环境局的要求，三和金业在截水坝外侧约8m处，采用素砼浇筑了一道防渗墙，墙体顶宽0.8m、最深深度5.6m（平均深度4.8）、长56m，在防渗墙内侧设有两个事故池、一个雨水池，事故池、雨水池均采用钢筋砼结构，顶部安设有安全防护栏。事故池主要用于暂时贮存4号（中和渣）尾矿库输送管路意外泄漏的尾矿浆。如果输送管路（沿途敷设于事故沟，事故沟与事故池联通）一旦发生泄漏，尾矿工即告知生产安环部，再由生产安环部通知冶炼厂暂时停产，不排放尾矿浆。事故池屯积的尾矿浆采用污泥泵抽排至4号（中和渣）尾矿库排放，池底剩余的尾矿底泥再人工清运至4号（中和渣）尾矿库。现场检查时，事故池空敞，雨水池积有少量雨水。</w:t>
      </w:r>
    </w:p>
    <w:p w14:paraId="34A3B711">
      <w:pPr>
        <w:rPr>
          <w:rFonts w:hint="default"/>
          <w:color w:val="auto"/>
          <w:lang w:val="en-US" w:eastAsia="zh-CN"/>
        </w:rPr>
      </w:pPr>
      <w:r>
        <w:rPr>
          <w:rFonts w:hint="default"/>
          <w:color w:val="auto"/>
          <w:lang w:val="en-US" w:eastAsia="zh-CN"/>
        </w:rPr>
        <w:t>经现场检查，</w:t>
      </w:r>
      <w:r>
        <w:rPr>
          <w:rFonts w:hint="eastAsia"/>
          <w:color w:val="auto"/>
          <w:lang w:val="en-US" w:eastAsia="zh-CN"/>
        </w:rPr>
        <w:t>初期坝坝体无变形、沉陷、裂缝、渗漏等现象，尾矿坝两侧山体无渗水现象。</w:t>
      </w:r>
    </w:p>
    <w:p w14:paraId="55537021">
      <w:pPr>
        <w:rPr>
          <w:rFonts w:hint="default" w:ascii="Times New Roman" w:hAnsi="Times New Roman" w:cs="Times New Roman"/>
          <w:b w:val="0"/>
          <w:bCs w:val="0"/>
          <w:color w:val="000000" w:themeColor="text1"/>
          <w:lang w:val="en-US" w:eastAsia="zh-CN"/>
          <w14:textFill>
            <w14:solidFill>
              <w14:schemeClr w14:val="tx1"/>
            </w14:solidFill>
          </w14:textFill>
        </w:rPr>
      </w:pPr>
      <w:r>
        <w:rPr>
          <w:rFonts w:hint="default" w:ascii="Times New Roman" w:hAnsi="Times New Roman" w:cs="Times New Roman"/>
          <w:b w:val="0"/>
          <w:bCs w:val="0"/>
          <w:color w:val="000000" w:themeColor="text1"/>
          <w:lang w:val="en-US" w:eastAsia="zh-CN"/>
          <w14:textFill>
            <w14:solidFill>
              <w14:schemeClr w14:val="tx1"/>
            </w14:solidFill>
          </w14:textFill>
        </w:rPr>
        <w:t>二、</w:t>
      </w:r>
      <w:r>
        <w:rPr>
          <w:rFonts w:hint="eastAsia" w:cs="Times New Roman"/>
          <w:b w:val="0"/>
          <w:bCs w:val="0"/>
          <w:color w:val="000000" w:themeColor="text1"/>
          <w:lang w:val="en-US" w:eastAsia="zh-CN"/>
          <w14:textFill>
            <w14:solidFill>
              <w14:schemeClr w14:val="tx1"/>
            </w14:solidFill>
          </w14:textFill>
        </w:rPr>
        <w:t>堆积坝</w:t>
      </w:r>
    </w:p>
    <w:p w14:paraId="195BE36A">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 </w:t>
      </w:r>
      <w:r>
        <w:rPr>
          <w:rFonts w:hint="default"/>
          <w:color w:val="000000" w:themeColor="text1"/>
          <w:lang w:val="en-US" w:eastAsia="zh-CN"/>
          <w14:textFill>
            <w14:solidFill>
              <w14:schemeClr w14:val="tx1"/>
            </w14:solidFill>
          </w14:textFill>
        </w:rPr>
        <w:t>设计情况</w:t>
      </w:r>
    </w:p>
    <w:p w14:paraId="0723CEFF">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采用压滤干堆、库前排放尾矿、推土机向库尾推进方式堆存尾矿。由于尾矿粒径偏细，堆积子坝采用土料堆筑，其外坡比1∶3.0，内坡比1∶1.0</w:t>
      </w:r>
      <w:r>
        <w:rPr>
          <w:rFonts w:hint="eastAsia"/>
          <w:color w:val="000000" w:themeColor="text1"/>
          <w:lang w:val="en-US" w:eastAsia="zh-CN"/>
          <w14:textFill>
            <w14:solidFill>
              <w14:schemeClr w14:val="tx1"/>
            </w14:solidFill>
          </w14:textFill>
        </w:rPr>
        <w:t>（施工图设计为</w:t>
      </w:r>
      <w:r>
        <w:rPr>
          <w:rFonts w:hint="default"/>
          <w:color w:val="000000" w:themeColor="text1"/>
          <w:lang w:val="en-US" w:eastAsia="zh-CN"/>
          <w14:textFill>
            <w14:solidFill>
              <w14:schemeClr w14:val="tx1"/>
            </w14:solidFill>
          </w14:textFill>
        </w:rPr>
        <w:t>1∶</w:t>
      </w:r>
      <w:r>
        <w:rPr>
          <w:rFonts w:hint="eastAsia"/>
          <w:color w:val="000000" w:themeColor="text1"/>
          <w:lang w:val="en-US" w:eastAsia="zh-CN"/>
          <w14:textFill>
            <w14:solidFill>
              <w14:schemeClr w14:val="tx1"/>
            </w14:solidFill>
          </w14:textFill>
        </w:rPr>
        <w:t>2</w:t>
      </w:r>
      <w:r>
        <w:rPr>
          <w:rFonts w:hint="default"/>
          <w:color w:val="000000" w:themeColor="text1"/>
          <w:lang w:val="en-US" w:eastAsia="zh-CN"/>
          <w14:textFill>
            <w14:solidFill>
              <w14:schemeClr w14:val="tx1"/>
            </w14:solidFill>
          </w14:textFill>
        </w:rPr>
        <w:t>.0</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子坝高3.0m，平台宽4.5m，形成的堆积坝总坡度为1∶4.5，最终堆至+100.0m标高。堆积坝坝体内采用水平敷设排渗管方式排除尾砂内的渗滤水。堆积坝坝坡面均采用草皮护坡，并设置马道和坡面排水沟、排水边沟。库内滩面坡比不小于3%。</w:t>
      </w:r>
    </w:p>
    <w:p w14:paraId="5F4122EB">
      <w:pPr>
        <w:numPr>
          <w:ilvl w:val="0"/>
          <w:numId w:val="0"/>
        </w:numPr>
        <w:ind w:leftChars="200"/>
        <w:rPr>
          <w:rFonts w:hint="default"/>
          <w:color w:val="auto"/>
          <w:lang w:val="en-US" w:eastAsia="zh-CN"/>
        </w:rPr>
      </w:pPr>
      <w:r>
        <w:rPr>
          <w:rFonts w:hint="eastAsia"/>
          <w:color w:val="auto"/>
          <w:lang w:val="en-US" w:eastAsia="zh-CN"/>
        </w:rPr>
        <w:t xml:space="preserve">2. </w:t>
      </w:r>
      <w:r>
        <w:rPr>
          <w:rFonts w:hint="default"/>
          <w:color w:val="auto"/>
          <w:lang w:val="en-US" w:eastAsia="zh-CN"/>
        </w:rPr>
        <w:t>现场检查情况</w:t>
      </w:r>
    </w:p>
    <w:p w14:paraId="78CC6644">
      <w:pPr>
        <w:rPr>
          <w:rFonts w:hint="eastAsia"/>
          <w:color w:val="auto"/>
          <w:lang w:val="en-US" w:eastAsia="zh-CN"/>
        </w:rPr>
      </w:pPr>
      <w:r>
        <w:rPr>
          <w:rFonts w:hint="eastAsia"/>
          <w:color w:val="auto"/>
          <w:lang w:val="en-US" w:eastAsia="zh-CN"/>
        </w:rPr>
        <w:t>堆积子坝采用土料堆筑，其外坡比1</w:t>
      </w:r>
      <w:r>
        <w:rPr>
          <w:rFonts w:hint="default"/>
          <w:color w:val="000000" w:themeColor="text1"/>
          <w:lang w:val="en-US" w:eastAsia="zh-CN"/>
          <w14:textFill>
            <w14:solidFill>
              <w14:schemeClr w14:val="tx1"/>
            </w14:solidFill>
          </w14:textFill>
        </w:rPr>
        <w:t>∶</w:t>
      </w:r>
      <w:r>
        <w:rPr>
          <w:rFonts w:hint="eastAsia"/>
          <w:color w:val="auto"/>
          <w:lang w:val="en-US" w:eastAsia="zh-CN"/>
        </w:rPr>
        <w:t>3.0，内坡比1</w:t>
      </w:r>
      <w:r>
        <w:rPr>
          <w:rFonts w:hint="default"/>
          <w:color w:val="000000" w:themeColor="text1"/>
          <w:lang w:val="en-US" w:eastAsia="zh-CN"/>
          <w14:textFill>
            <w14:solidFill>
              <w14:schemeClr w14:val="tx1"/>
            </w14:solidFill>
          </w14:textFill>
        </w:rPr>
        <w:t>∶</w:t>
      </w:r>
      <w:r>
        <w:rPr>
          <w:rFonts w:hint="eastAsia"/>
          <w:color w:val="auto"/>
          <w:lang w:val="en-US" w:eastAsia="zh-CN"/>
        </w:rPr>
        <w:t>2.0，子坝高3.0m，平台宽4.5m。</w:t>
      </w:r>
    </w:p>
    <w:p w14:paraId="392D840E">
      <w:pPr>
        <w:rPr>
          <w:rFonts w:hint="eastAsia"/>
          <w:color w:val="auto"/>
          <w:lang w:val="en-US" w:eastAsia="zh-CN"/>
        </w:rPr>
      </w:pPr>
      <w:r>
        <w:rPr>
          <w:rFonts w:hint="eastAsia"/>
          <w:color w:val="auto"/>
          <w:lang w:val="en-US" w:eastAsia="zh-CN"/>
        </w:rPr>
        <w:t>堆积坝坝体内采用水平敷设排渗管方式排除尾砂内的渗滤水。</w:t>
      </w:r>
    </w:p>
    <w:p w14:paraId="245DF993">
      <w:pPr>
        <w:rPr>
          <w:rFonts w:hint="default"/>
          <w:color w:val="auto"/>
          <w:lang w:val="en-US" w:eastAsia="zh-CN"/>
        </w:rPr>
      </w:pPr>
      <w:r>
        <w:rPr>
          <w:rFonts w:hint="eastAsia"/>
          <w:color w:val="auto"/>
          <w:lang w:val="en-US" w:eastAsia="zh-CN"/>
        </w:rPr>
        <w:t>堆积坝坝坡面采用了草皮护坡，并设置了马道和坡面排水沟、排水边沟。</w:t>
      </w:r>
    </w:p>
    <w:p w14:paraId="237B9263">
      <w:pPr>
        <w:rPr>
          <w:rFonts w:hint="default"/>
          <w:color w:val="auto"/>
          <w:lang w:val="en-US" w:eastAsia="zh-CN"/>
        </w:rPr>
      </w:pPr>
      <w:r>
        <w:rPr>
          <w:rFonts w:hint="default"/>
          <w:color w:val="auto"/>
          <w:lang w:val="en-US" w:eastAsia="zh-CN"/>
        </w:rPr>
        <w:t>经现场检查，</w:t>
      </w:r>
      <w:r>
        <w:rPr>
          <w:rFonts w:hint="eastAsia"/>
          <w:color w:val="auto"/>
          <w:lang w:val="en-US" w:eastAsia="zh-CN"/>
        </w:rPr>
        <w:t>堆积坝</w:t>
      </w:r>
      <w:r>
        <w:rPr>
          <w:rFonts w:hint="default"/>
          <w:color w:val="auto"/>
          <w:lang w:val="en-US" w:eastAsia="zh-CN"/>
        </w:rPr>
        <w:t>无裂缝、沉陷、渗漏等现象。</w:t>
      </w:r>
    </w:p>
    <w:p w14:paraId="1631F0EB">
      <w:pPr>
        <w:pStyle w:val="4"/>
        <w:bidi w:val="0"/>
        <w:rPr>
          <w:rFonts w:hint="eastAsia"/>
          <w:color w:val="auto"/>
          <w:lang w:val="en-US" w:eastAsia="zh-CN"/>
        </w:rPr>
      </w:pPr>
      <w:bookmarkStart w:id="151" w:name="_Toc29416"/>
      <w:bookmarkStart w:id="152" w:name="_Toc5893"/>
      <w:r>
        <w:rPr>
          <w:rFonts w:hint="eastAsia"/>
          <w:color w:val="auto"/>
          <w:lang w:val="en-US" w:eastAsia="zh-CN"/>
        </w:rPr>
        <w:t xml:space="preserve">2.6.2 </w:t>
      </w:r>
      <w:bookmarkEnd w:id="151"/>
      <w:r>
        <w:rPr>
          <w:rFonts w:hint="eastAsia"/>
          <w:color w:val="auto"/>
          <w:lang w:val="en-US" w:eastAsia="zh-CN"/>
        </w:rPr>
        <w:t>防排洪系统</w:t>
      </w:r>
      <w:bookmarkEnd w:id="152"/>
    </w:p>
    <w:p w14:paraId="2BB96E6F">
      <w:pPr>
        <w:numPr>
          <w:ilvl w:val="0"/>
          <w:numId w:val="0"/>
        </w:numPr>
        <w:ind w:firstLine="560" w:firstLineChars="200"/>
        <w:rPr>
          <w:rFonts w:hint="default"/>
          <w:color w:val="auto"/>
          <w:lang w:val="en-US" w:eastAsia="zh-CN"/>
        </w:rPr>
      </w:pPr>
      <w:r>
        <w:rPr>
          <w:rFonts w:hint="default" w:ascii="Times New Roman" w:hAnsi="Times New Roman" w:eastAsia="宋体" w:cs="Times New Roman"/>
          <w:color w:val="auto"/>
          <w:kern w:val="2"/>
          <w:sz w:val="28"/>
          <w:szCs w:val="24"/>
          <w:lang w:val="en-US" w:eastAsia="zh-CN" w:bidi="ar-SA"/>
        </w:rPr>
        <w:t>1.</w:t>
      </w:r>
      <w:r>
        <w:rPr>
          <w:rFonts w:hint="eastAsia" w:cs="Times New Roman"/>
          <w:color w:val="auto"/>
          <w:kern w:val="2"/>
          <w:sz w:val="28"/>
          <w:szCs w:val="24"/>
          <w:lang w:val="en-US" w:eastAsia="zh-CN" w:bidi="ar-SA"/>
        </w:rPr>
        <w:t xml:space="preserve"> </w:t>
      </w:r>
      <w:r>
        <w:rPr>
          <w:rFonts w:hint="default"/>
          <w:color w:val="auto"/>
          <w:lang w:val="en-US" w:eastAsia="zh-CN"/>
        </w:rPr>
        <w:t>设计情况</w:t>
      </w:r>
    </w:p>
    <w:p w14:paraId="5476FD79">
      <w:pPr>
        <w:rPr>
          <w:rFonts w:hint="default"/>
          <w:color w:val="auto"/>
          <w:lang w:val="en-US" w:eastAsia="zh-CN"/>
        </w:rPr>
      </w:pPr>
      <w:r>
        <w:rPr>
          <w:rFonts w:hint="default"/>
          <w:color w:val="auto"/>
          <w:lang w:val="en-US" w:eastAsia="zh-CN"/>
        </w:rPr>
        <w:t>（1）排洪方式：排水斜槽（左右支沟）</w:t>
      </w:r>
      <w:r>
        <w:rPr>
          <w:rFonts w:hint="eastAsia" w:ascii="宋体" w:hAnsi="宋体" w:eastAsia="宋体" w:cs="宋体"/>
          <w:color w:val="auto"/>
          <w:lang w:val="en-US" w:eastAsia="zh-CN"/>
        </w:rPr>
        <w:t>＋</w:t>
      </w:r>
      <w:r>
        <w:rPr>
          <w:rFonts w:hint="default"/>
          <w:color w:val="auto"/>
          <w:lang w:val="en-US" w:eastAsia="zh-CN"/>
        </w:rPr>
        <w:t>转角井</w:t>
      </w:r>
      <w:r>
        <w:rPr>
          <w:rFonts w:hint="eastAsia" w:ascii="宋体" w:hAnsi="宋体" w:eastAsia="宋体" w:cs="宋体"/>
          <w:color w:val="auto"/>
          <w:lang w:val="en-US" w:eastAsia="zh-CN"/>
        </w:rPr>
        <w:t>＋</w:t>
      </w:r>
      <w:r>
        <w:rPr>
          <w:rFonts w:hint="default"/>
          <w:color w:val="auto"/>
          <w:lang w:val="en-US" w:eastAsia="zh-CN"/>
        </w:rPr>
        <w:t>排水方涵。</w:t>
      </w:r>
    </w:p>
    <w:p w14:paraId="443A7110">
      <w:pPr>
        <w:rPr>
          <w:rFonts w:hint="default"/>
          <w:color w:val="auto"/>
          <w:lang w:val="en-US" w:eastAsia="zh-CN"/>
        </w:rPr>
      </w:pPr>
      <w:r>
        <w:rPr>
          <w:rFonts w:hint="default"/>
          <w:color w:val="auto"/>
          <w:lang w:val="en-US" w:eastAsia="zh-CN"/>
        </w:rPr>
        <w:t>（2）排水构筑物：在库内左右沟设C25钢筋砼结构的排水斜槽，斜槽矩形断面，尺寸B</w:t>
      </w:r>
      <w:r>
        <w:rPr>
          <w:rFonts w:hint="eastAsia"/>
          <w:color w:val="auto"/>
          <w:lang w:val="en-US" w:eastAsia="zh-CN"/>
        </w:rPr>
        <w:t>×</w:t>
      </w:r>
      <w:r>
        <w:rPr>
          <w:rFonts w:hint="default"/>
          <w:color w:val="auto"/>
          <w:lang w:val="en-US" w:eastAsia="zh-CN"/>
        </w:rPr>
        <w:t>H=1.2m</w:t>
      </w:r>
      <w:r>
        <w:rPr>
          <w:rFonts w:hint="eastAsia"/>
          <w:color w:val="auto"/>
          <w:lang w:val="en-US" w:eastAsia="zh-CN"/>
        </w:rPr>
        <w:t>×</w:t>
      </w:r>
      <w:r>
        <w:rPr>
          <w:rFonts w:hint="default"/>
          <w:color w:val="auto"/>
          <w:lang w:val="en-US" w:eastAsia="zh-CN"/>
        </w:rPr>
        <w:t>1.2m，槽身壁厚0.3m；排水斜槽的最高进水点标高为+100.00m，最低进水点标高为+81.00m；预制盖板厚0.3m；转角井C25钢筋砼结构，内径3m，壁厚0.4m，高2.4m；排水方涵C25钢筋砼结构，断面尺寸B</w:t>
      </w:r>
      <w:r>
        <w:rPr>
          <w:rFonts w:hint="eastAsia"/>
          <w:color w:val="auto"/>
          <w:lang w:val="en-US" w:eastAsia="zh-CN"/>
        </w:rPr>
        <w:t>×</w:t>
      </w:r>
      <w:r>
        <w:rPr>
          <w:rFonts w:hint="default"/>
          <w:color w:val="auto"/>
          <w:lang w:val="en-US" w:eastAsia="zh-CN"/>
        </w:rPr>
        <w:t>H=1.2m</w:t>
      </w:r>
      <w:r>
        <w:rPr>
          <w:rFonts w:hint="eastAsia"/>
          <w:color w:val="auto"/>
          <w:lang w:val="en-US" w:eastAsia="zh-CN"/>
        </w:rPr>
        <w:t>×</w:t>
      </w:r>
      <w:r>
        <w:rPr>
          <w:rFonts w:hint="default"/>
          <w:color w:val="auto"/>
          <w:lang w:val="en-US" w:eastAsia="zh-CN"/>
        </w:rPr>
        <w:t>（1.2～1.4）m，斜槽、方涵每隔8m设一条温度缝，在岩性变化处、断层断裂及坡度变化处加设沉降缝，接缝处用橡胶或塑料止水带止水。</w:t>
      </w:r>
    </w:p>
    <w:p w14:paraId="1CEE9927">
      <w:pPr>
        <w:rPr>
          <w:rFonts w:hint="default"/>
          <w:color w:val="auto"/>
          <w:lang w:val="en-US" w:eastAsia="zh-CN"/>
        </w:rPr>
      </w:pPr>
      <w:r>
        <w:rPr>
          <w:rFonts w:hint="default"/>
          <w:color w:val="auto"/>
          <w:lang w:val="en-US" w:eastAsia="zh-CN"/>
        </w:rPr>
        <w:t>（3）截洪沟在库内按地形情况设置浆砌块石结构的环库截洪沟，矩形断面，内断面尺寸B</w:t>
      </w:r>
      <w:r>
        <w:rPr>
          <w:rFonts w:hint="eastAsia"/>
          <w:color w:val="auto"/>
          <w:lang w:val="en-US" w:eastAsia="zh-CN"/>
        </w:rPr>
        <w:t>×</w:t>
      </w:r>
      <w:r>
        <w:rPr>
          <w:rFonts w:hint="default"/>
          <w:color w:val="auto"/>
          <w:lang w:val="en-US" w:eastAsia="zh-CN"/>
        </w:rPr>
        <w:t>H=0.6m</w:t>
      </w:r>
      <w:r>
        <w:rPr>
          <w:rFonts w:hint="eastAsia"/>
          <w:color w:val="auto"/>
          <w:lang w:val="en-US" w:eastAsia="zh-CN"/>
        </w:rPr>
        <w:t>×</w:t>
      </w:r>
      <w:r>
        <w:rPr>
          <w:rFonts w:hint="default"/>
          <w:color w:val="auto"/>
          <w:lang w:val="en-US" w:eastAsia="zh-CN"/>
        </w:rPr>
        <w:t>0.6m。部分地段截洪沟材质为厚10mm的水泥毯，截洪沟结构尺寸为等腰梯形结构，底宽0.6m、高0.6m，边坡比为1</w:t>
      </w:r>
      <w:r>
        <w:rPr>
          <w:rFonts w:hint="default"/>
          <w:color w:val="000000" w:themeColor="text1"/>
          <w:lang w:val="en-US" w:eastAsia="zh-CN"/>
          <w14:textFill>
            <w14:solidFill>
              <w14:schemeClr w14:val="tx1"/>
            </w14:solidFill>
          </w14:textFill>
        </w:rPr>
        <w:t>∶</w:t>
      </w:r>
      <w:r>
        <w:rPr>
          <w:rFonts w:hint="default"/>
          <w:color w:val="auto"/>
          <w:lang w:val="en-US" w:eastAsia="zh-CN"/>
        </w:rPr>
        <w:t>0.5。</w:t>
      </w:r>
    </w:p>
    <w:p w14:paraId="442C9A8F">
      <w:pPr>
        <w:numPr>
          <w:ilvl w:val="0"/>
          <w:numId w:val="0"/>
        </w:numPr>
        <w:ind w:left="0" w:leftChars="0" w:firstLine="560" w:firstLineChars="200"/>
        <w:rPr>
          <w:rFonts w:hint="default"/>
          <w:color w:val="auto"/>
          <w:lang w:val="en-US" w:eastAsia="zh-CN"/>
        </w:rPr>
      </w:pPr>
      <w:r>
        <w:rPr>
          <w:rFonts w:hint="default" w:ascii="Times New Roman" w:hAnsi="Times New Roman" w:eastAsia="宋体" w:cs="Times New Roman"/>
          <w:color w:val="auto"/>
          <w:kern w:val="2"/>
          <w:sz w:val="28"/>
          <w:szCs w:val="24"/>
          <w:lang w:val="en-US" w:eastAsia="zh-CN" w:bidi="ar-SA"/>
        </w:rPr>
        <w:t>2.</w:t>
      </w:r>
      <w:r>
        <w:rPr>
          <w:rFonts w:hint="eastAsia" w:cs="Times New Roman"/>
          <w:color w:val="auto"/>
          <w:kern w:val="2"/>
          <w:sz w:val="28"/>
          <w:szCs w:val="24"/>
          <w:lang w:val="en-US" w:eastAsia="zh-CN" w:bidi="ar-SA"/>
        </w:rPr>
        <w:t xml:space="preserve"> </w:t>
      </w:r>
      <w:r>
        <w:rPr>
          <w:rFonts w:hint="default"/>
          <w:color w:val="auto"/>
          <w:lang w:val="en-US" w:eastAsia="zh-CN"/>
        </w:rPr>
        <w:t>现场检查情况</w:t>
      </w:r>
    </w:p>
    <w:p w14:paraId="6A1E1918">
      <w:pPr>
        <w:numPr>
          <w:ilvl w:val="0"/>
          <w:numId w:val="0"/>
        </w:numPr>
        <w:ind w:left="0" w:leftChars="0" w:firstLine="560" w:firstLineChars="200"/>
        <w:rPr>
          <w:rFonts w:hint="default"/>
          <w:color w:val="auto"/>
          <w:lang w:val="en-US" w:eastAsia="zh-CN"/>
        </w:rPr>
      </w:pPr>
      <w:r>
        <w:rPr>
          <w:rFonts w:hint="default"/>
          <w:color w:val="auto"/>
          <w:lang w:val="en-US" w:eastAsia="zh-CN"/>
        </w:rPr>
        <w:t>（1）排洪方式</w:t>
      </w:r>
    </w:p>
    <w:p w14:paraId="5D0FF7EB">
      <w:pPr>
        <w:numPr>
          <w:ilvl w:val="0"/>
          <w:numId w:val="0"/>
        </w:numPr>
        <w:ind w:left="0" w:leftChars="0" w:firstLine="560" w:firstLineChars="200"/>
        <w:rPr>
          <w:rFonts w:hint="default"/>
          <w:color w:val="auto"/>
          <w:lang w:val="en-US" w:eastAsia="zh-CN"/>
        </w:rPr>
      </w:pPr>
      <w:r>
        <w:rPr>
          <w:rFonts w:hint="default"/>
          <w:color w:val="auto"/>
          <w:lang w:val="en-US" w:eastAsia="zh-CN"/>
        </w:rPr>
        <w:t>经现场检查和查阅企业提供的资料，库内排水构筑物为排水斜槽</w:t>
      </w:r>
      <w:r>
        <w:rPr>
          <w:rFonts w:hint="eastAsia" w:ascii="宋体" w:hAnsi="宋体" w:eastAsia="宋体" w:cs="宋体"/>
          <w:color w:val="auto"/>
          <w:lang w:val="en-US" w:eastAsia="zh-CN"/>
        </w:rPr>
        <w:t>＋</w:t>
      </w:r>
      <w:r>
        <w:rPr>
          <w:rFonts w:hint="default"/>
          <w:color w:val="auto"/>
          <w:lang w:val="en-US" w:eastAsia="zh-CN"/>
        </w:rPr>
        <w:t>连接井</w:t>
      </w:r>
      <w:r>
        <w:rPr>
          <w:rFonts w:hint="eastAsia" w:ascii="宋体" w:hAnsi="宋体" w:eastAsia="宋体" w:cs="宋体"/>
          <w:color w:val="auto"/>
          <w:lang w:val="en-US" w:eastAsia="zh-CN"/>
        </w:rPr>
        <w:t>＋</w:t>
      </w:r>
      <w:r>
        <w:rPr>
          <w:rFonts w:hint="default"/>
          <w:color w:val="auto"/>
          <w:lang w:val="en-US" w:eastAsia="zh-CN"/>
        </w:rPr>
        <w:t>排水方涵，均清基至强风化角砾岩之上。</w:t>
      </w:r>
    </w:p>
    <w:p w14:paraId="7FFB63C1">
      <w:pPr>
        <w:numPr>
          <w:ilvl w:val="0"/>
          <w:numId w:val="0"/>
        </w:numPr>
        <w:ind w:left="0" w:leftChars="0" w:firstLine="560" w:firstLineChars="200"/>
        <w:rPr>
          <w:rFonts w:hint="default"/>
          <w:color w:val="auto"/>
          <w:lang w:val="en-US" w:eastAsia="zh-CN"/>
        </w:rPr>
      </w:pPr>
      <w:r>
        <w:rPr>
          <w:rFonts w:hint="default"/>
          <w:color w:val="auto"/>
          <w:lang w:val="en-US" w:eastAsia="zh-CN"/>
        </w:rPr>
        <w:t>（2）排水构筑物</w:t>
      </w:r>
    </w:p>
    <w:p w14:paraId="4D772B5A">
      <w:pPr>
        <w:numPr>
          <w:ilvl w:val="0"/>
          <w:numId w:val="0"/>
        </w:numPr>
        <w:ind w:left="0" w:leftChars="0" w:firstLine="560" w:firstLineChars="200"/>
        <w:rPr>
          <w:rFonts w:hint="default"/>
          <w:color w:val="auto"/>
          <w:lang w:val="en-US" w:eastAsia="zh-CN"/>
        </w:rPr>
      </w:pPr>
      <w:r>
        <w:rPr>
          <w:rFonts w:hint="default"/>
          <w:color w:val="auto"/>
          <w:lang w:val="en-US" w:eastAsia="zh-CN"/>
        </w:rPr>
        <w:t>在库内左右沟设有C25钢筋砼结构排水斜槽，其中左侧斜槽最高进水口高程约+100.00m，右侧斜槽最高进水口高程约+100.00m，最低进水口高程均为+81.0m；排水斜槽矩形断面，壁厚0.3m，内断面尺寸及凹槽形状与设计吻合。</w:t>
      </w:r>
    </w:p>
    <w:p w14:paraId="143D2514">
      <w:pPr>
        <w:numPr>
          <w:ilvl w:val="0"/>
          <w:numId w:val="0"/>
        </w:numPr>
        <w:ind w:left="0" w:leftChars="0" w:firstLine="56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连接井</w:t>
      </w:r>
      <w:r>
        <w:rPr>
          <w:rFonts w:hint="eastAsia" w:cs="Times New Roman"/>
          <w:color w:val="auto"/>
          <w:lang w:val="en-US" w:eastAsia="zh-CN"/>
        </w:rPr>
        <w:t>为</w:t>
      </w:r>
      <w:r>
        <w:rPr>
          <w:rFonts w:hint="eastAsia" w:ascii="Times New Roman" w:hAnsi="Times New Roman" w:eastAsia="宋体" w:cs="Times New Roman"/>
          <w:color w:val="auto"/>
          <w:lang w:val="en-US" w:eastAsia="zh-CN"/>
        </w:rPr>
        <w:t>现浇钢筋砼结构，圆形断面，外径3.8</w:t>
      </w:r>
      <w:r>
        <w:rPr>
          <w:rFonts w:hint="default" w:ascii="Times New Roman" w:hAnsi="Times New Roman" w:eastAsia="宋体" w:cs="Times New Roman"/>
          <w:color w:val="auto"/>
          <w:lang w:val="en-US" w:eastAsia="zh-CN"/>
        </w:rPr>
        <w:t>m</w:t>
      </w:r>
      <w:r>
        <w:rPr>
          <w:rFonts w:hint="eastAsia" w:ascii="Times New Roman" w:hAnsi="Times New Roman" w:eastAsia="宋体" w:cs="Times New Roman"/>
          <w:color w:val="auto"/>
          <w:lang w:val="en-US" w:eastAsia="zh-CN"/>
        </w:rPr>
        <w:t>，内径3.0m，顶部密封。连接井外接排水方涵，排水方涵钢筋砼结构，矩形断面，外部尺寸</w:t>
      </w:r>
      <w:r>
        <w:rPr>
          <w:rFonts w:hint="default" w:ascii="Times New Roman" w:hAnsi="Times New Roman" w:eastAsia="宋体" w:cs="Times New Roman"/>
          <w:color w:val="auto"/>
          <w:lang w:val="en-US" w:eastAsia="zh-CN"/>
        </w:rPr>
        <w:t>B</w:t>
      </w:r>
      <w:r>
        <w:rPr>
          <w:rFonts w:hint="eastAsia"/>
          <w:color w:val="auto"/>
          <w:lang w:val="en-US" w:eastAsia="zh-CN"/>
        </w:rPr>
        <w:t>×</w:t>
      </w:r>
      <w:r>
        <w:rPr>
          <w:rFonts w:hint="default" w:ascii="Times New Roman" w:hAnsi="Times New Roman" w:eastAsia="宋体" w:cs="Times New Roman"/>
          <w:color w:val="auto"/>
          <w:lang w:val="en-US" w:eastAsia="zh-CN"/>
        </w:rPr>
        <w:t>H</w:t>
      </w:r>
      <w:r>
        <w:rPr>
          <w:rFonts w:hint="eastAsia" w:ascii="Times New Roman" w:hAnsi="Times New Roman" w:eastAsia="宋体" w:cs="Times New Roman"/>
          <w:color w:val="auto"/>
          <w:lang w:val="en-US" w:eastAsia="zh-CN"/>
        </w:rPr>
        <w:t>=1.8</w:t>
      </w:r>
      <w:r>
        <w:rPr>
          <w:rFonts w:hint="default" w:ascii="Times New Roman" w:hAnsi="Times New Roman" w:eastAsia="宋体" w:cs="Times New Roman"/>
          <w:color w:val="auto"/>
          <w:lang w:val="en-US" w:eastAsia="zh-CN"/>
        </w:rPr>
        <w:t>m</w:t>
      </w:r>
      <w:r>
        <w:rPr>
          <w:rFonts w:hint="eastAsia"/>
          <w:color w:val="auto"/>
          <w:lang w:val="en-US" w:eastAsia="zh-CN"/>
        </w:rPr>
        <w:t>×</w:t>
      </w:r>
      <w:r>
        <w:rPr>
          <w:rFonts w:hint="eastAsia" w:ascii="Times New Roman" w:hAnsi="Times New Roman" w:eastAsia="宋体" w:cs="Times New Roman"/>
          <w:color w:val="auto"/>
          <w:lang w:val="en-US" w:eastAsia="zh-CN"/>
        </w:rPr>
        <w:t>1.7</w:t>
      </w:r>
      <w:r>
        <w:rPr>
          <w:rFonts w:hint="default" w:ascii="Times New Roman" w:hAnsi="Times New Roman" w:eastAsia="宋体" w:cs="Times New Roman"/>
          <w:color w:val="auto"/>
          <w:lang w:val="en-US" w:eastAsia="zh-CN"/>
        </w:rPr>
        <w:t>m</w:t>
      </w:r>
      <w:r>
        <w:rPr>
          <w:rFonts w:hint="eastAsia" w:ascii="Times New Roman" w:hAnsi="Times New Roman" w:eastAsia="宋体" w:cs="Times New Roman"/>
          <w:color w:val="auto"/>
          <w:lang w:val="en-US" w:eastAsia="zh-CN"/>
        </w:rPr>
        <w:t>，内净断面</w:t>
      </w:r>
      <w:r>
        <w:rPr>
          <w:rFonts w:hint="default" w:ascii="Times New Roman" w:hAnsi="Times New Roman" w:eastAsia="宋体" w:cs="Times New Roman"/>
          <w:color w:val="auto"/>
          <w:lang w:val="en-US" w:eastAsia="zh-CN"/>
        </w:rPr>
        <w:t>B</w:t>
      </w:r>
      <w:r>
        <w:rPr>
          <w:rFonts w:hint="eastAsia"/>
          <w:color w:val="auto"/>
          <w:lang w:val="en-US" w:eastAsia="zh-CN"/>
        </w:rPr>
        <w:t>×</w:t>
      </w:r>
      <w:r>
        <w:rPr>
          <w:rFonts w:hint="default" w:ascii="Times New Roman" w:hAnsi="Times New Roman" w:eastAsia="宋体" w:cs="Times New Roman"/>
          <w:color w:val="auto"/>
          <w:lang w:val="en-US" w:eastAsia="zh-CN"/>
        </w:rPr>
        <w:t>H=</w:t>
      </w:r>
      <w:r>
        <w:rPr>
          <w:rFonts w:hint="eastAsia" w:ascii="Times New Roman" w:hAnsi="Times New Roman" w:eastAsia="宋体" w:cs="Times New Roman"/>
          <w:color w:val="auto"/>
          <w:lang w:val="en-US" w:eastAsia="zh-CN"/>
        </w:rPr>
        <w:t>1.2</w:t>
      </w:r>
      <w:r>
        <w:rPr>
          <w:rFonts w:hint="default" w:ascii="Times New Roman" w:hAnsi="Times New Roman" w:eastAsia="宋体" w:cs="Times New Roman"/>
          <w:color w:val="auto"/>
          <w:lang w:val="en-US" w:eastAsia="zh-CN"/>
        </w:rPr>
        <w:t>m</w:t>
      </w:r>
      <w:r>
        <w:rPr>
          <w:rFonts w:hint="eastAsia"/>
          <w:color w:val="auto"/>
          <w:lang w:val="en-US" w:eastAsia="zh-CN"/>
        </w:rPr>
        <w:t>×</w:t>
      </w:r>
      <w:r>
        <w:rPr>
          <w:rFonts w:hint="eastAsia" w:ascii="Times New Roman" w:hAnsi="Times New Roman" w:eastAsia="宋体" w:cs="Times New Roman"/>
          <w:color w:val="auto"/>
          <w:lang w:val="en-US" w:eastAsia="zh-CN"/>
        </w:rPr>
        <w:t>1.4</w:t>
      </w:r>
      <w:r>
        <w:rPr>
          <w:rFonts w:hint="default" w:ascii="Times New Roman" w:hAnsi="Times New Roman" w:eastAsia="宋体" w:cs="Times New Roman"/>
          <w:color w:val="auto"/>
          <w:lang w:val="en-US" w:eastAsia="zh-CN"/>
        </w:rPr>
        <w:t>m</w:t>
      </w:r>
      <w:r>
        <w:rPr>
          <w:rFonts w:hint="eastAsia" w:ascii="Times New Roman" w:hAnsi="Times New Roman" w:eastAsia="宋体" w:cs="Times New Roman"/>
          <w:color w:val="auto"/>
          <w:lang w:val="en-US" w:eastAsia="zh-CN"/>
        </w:rPr>
        <w:t>。排水方涵出口位于初期坝排水棱体外坡脚，直接与污水池相连，排水方涵出水口大部分已被污水淹没。</w:t>
      </w:r>
    </w:p>
    <w:p w14:paraId="22A6A29C">
      <w:pPr>
        <w:numPr>
          <w:ilvl w:val="0"/>
          <w:numId w:val="0"/>
        </w:numPr>
        <w:ind w:left="0" w:leftChars="0" w:firstLine="560" w:firstLineChars="200"/>
        <w:rPr>
          <w:rFonts w:hint="default"/>
          <w:color w:val="auto"/>
          <w:lang w:val="en-US" w:eastAsia="zh-CN"/>
        </w:rPr>
      </w:pPr>
      <w:r>
        <w:rPr>
          <w:rFonts w:hint="default"/>
          <w:color w:val="auto"/>
          <w:lang w:val="en-US" w:eastAsia="zh-CN"/>
        </w:rPr>
        <w:t>（3）截洪沟</w:t>
      </w:r>
    </w:p>
    <w:p w14:paraId="35D3BBD5">
      <w:pPr>
        <w:numPr>
          <w:ilvl w:val="0"/>
          <w:numId w:val="0"/>
        </w:numPr>
        <w:ind w:left="0" w:leftChars="0" w:firstLine="560" w:firstLineChars="200"/>
        <w:rPr>
          <w:rFonts w:hint="default"/>
          <w:color w:val="auto"/>
          <w:lang w:val="en-US" w:eastAsia="zh-CN"/>
        </w:rPr>
      </w:pPr>
      <w:r>
        <w:rPr>
          <w:rFonts w:hint="default"/>
          <w:color w:val="auto"/>
          <w:lang w:val="en-US" w:eastAsia="zh-CN"/>
        </w:rPr>
        <w:t>①在库内按地形情况设置了浆砌块石结构的环库截洪沟，矩形断面，内断面尺寸B</w:t>
      </w:r>
      <w:r>
        <w:rPr>
          <w:rFonts w:hint="eastAsia"/>
          <w:color w:val="auto"/>
          <w:lang w:val="en-US" w:eastAsia="zh-CN"/>
        </w:rPr>
        <w:t>×</w:t>
      </w:r>
      <w:r>
        <w:rPr>
          <w:rFonts w:hint="default"/>
          <w:color w:val="auto"/>
          <w:lang w:val="en-US" w:eastAsia="zh-CN"/>
        </w:rPr>
        <w:t>H=0.6m</w:t>
      </w:r>
      <w:r>
        <w:rPr>
          <w:rFonts w:hint="eastAsia"/>
          <w:color w:val="auto"/>
          <w:lang w:val="en-US" w:eastAsia="zh-CN"/>
        </w:rPr>
        <w:t>×</w:t>
      </w:r>
      <w:r>
        <w:rPr>
          <w:rFonts w:hint="default"/>
          <w:color w:val="auto"/>
          <w:lang w:val="en-US" w:eastAsia="zh-CN"/>
        </w:rPr>
        <w:t>0.6m。</w:t>
      </w:r>
    </w:p>
    <w:p w14:paraId="177C96A2">
      <w:pPr>
        <w:numPr>
          <w:ilvl w:val="0"/>
          <w:numId w:val="0"/>
        </w:numPr>
        <w:ind w:left="0" w:leftChars="0" w:firstLine="560" w:firstLineChars="200"/>
        <w:rPr>
          <w:rFonts w:hint="default"/>
          <w:color w:val="auto"/>
          <w:lang w:val="en-US" w:eastAsia="zh-CN"/>
        </w:rPr>
      </w:pPr>
      <w:r>
        <w:rPr>
          <w:rFonts w:hint="default"/>
          <w:color w:val="auto"/>
          <w:lang w:val="en-US" w:eastAsia="zh-CN"/>
        </w:rPr>
        <w:t>②部分地段截洪沟材质为厚10mm的水泥毯，截洪沟结构尺寸为等腰梯形结构，底宽0.6m、高0.6m，边坡比为1</w:t>
      </w:r>
      <w:r>
        <w:rPr>
          <w:rFonts w:hint="default"/>
          <w:color w:val="000000" w:themeColor="text1"/>
          <w:lang w:val="en-US" w:eastAsia="zh-CN"/>
          <w14:textFill>
            <w14:solidFill>
              <w14:schemeClr w14:val="tx1"/>
            </w14:solidFill>
          </w14:textFill>
        </w:rPr>
        <w:t>∶</w:t>
      </w:r>
      <w:r>
        <w:rPr>
          <w:rFonts w:hint="default"/>
          <w:color w:val="auto"/>
          <w:lang w:val="en-US" w:eastAsia="zh-CN"/>
        </w:rPr>
        <w:t>0.5。</w:t>
      </w:r>
    </w:p>
    <w:p w14:paraId="46B37FCE">
      <w:pPr>
        <w:numPr>
          <w:ilvl w:val="0"/>
          <w:numId w:val="0"/>
        </w:numPr>
        <w:ind w:left="0" w:leftChars="0" w:firstLine="560" w:firstLineChars="200"/>
        <w:rPr>
          <w:rFonts w:hint="default"/>
          <w:color w:val="auto"/>
          <w:lang w:val="en-US" w:eastAsia="zh-CN"/>
        </w:rPr>
      </w:pPr>
      <w:r>
        <w:rPr>
          <w:rFonts w:hint="default"/>
          <w:color w:val="auto"/>
          <w:lang w:val="en-US" w:eastAsia="zh-CN"/>
        </w:rPr>
        <w:t>2024年3月，三和金业委托南昌科禹工程质量检测有限公司，对三号（氰化渣）尾矿库原排洪系统进行了检测，出具了《</w:t>
      </w:r>
      <w:r>
        <w:rPr>
          <w:rFonts w:hint="eastAsia" w:cs="Times New Roman"/>
          <w:strike w:val="0"/>
          <w:dstrike w:val="0"/>
          <w:color w:val="auto"/>
          <w:lang w:eastAsia="zh-CN"/>
        </w:rPr>
        <w:t>江西三和金业有限公司3#</w:t>
      </w:r>
      <w:r>
        <w:rPr>
          <w:rFonts w:hint="eastAsia" w:ascii="Times New Roman" w:hAnsi="Times New Roman" w:eastAsia="宋体" w:cs="Times New Roman"/>
          <w:strike w:val="0"/>
          <w:dstrike w:val="0"/>
          <w:color w:val="auto"/>
        </w:rPr>
        <w:t>（氰化渣）</w:t>
      </w:r>
      <w:r>
        <w:rPr>
          <w:rFonts w:hint="eastAsia" w:cs="Times New Roman"/>
          <w:strike w:val="0"/>
          <w:dstrike w:val="0"/>
          <w:color w:val="auto"/>
          <w:lang w:eastAsia="zh-CN"/>
        </w:rPr>
        <w:t>尾矿库排洪系统检测报告</w:t>
      </w:r>
      <w:r>
        <w:rPr>
          <w:rFonts w:hint="default"/>
          <w:color w:val="auto"/>
          <w:lang w:val="en-US" w:eastAsia="zh-CN"/>
        </w:rPr>
        <w:t>》，检测成果表明：江西三和金业有限公司三号（氰化渣）尾矿库排洪系统主要构筑物现龄期混凝土强度推定值满足设计要求，混凝土钢筋保护层符合规范要求，运行无异常，满足当前使用要求。</w:t>
      </w:r>
    </w:p>
    <w:p w14:paraId="11E13FD1">
      <w:pPr>
        <w:numPr>
          <w:ilvl w:val="0"/>
          <w:numId w:val="0"/>
        </w:numPr>
        <w:ind w:left="0" w:leftChars="0" w:firstLine="560" w:firstLineChars="200"/>
        <w:rPr>
          <w:rFonts w:hint="default"/>
          <w:color w:val="auto"/>
          <w:lang w:val="en-US" w:eastAsia="zh-CN"/>
        </w:rPr>
      </w:pPr>
      <w:r>
        <w:rPr>
          <w:rFonts w:hint="default"/>
          <w:color w:val="auto"/>
          <w:lang w:val="en-US" w:eastAsia="zh-CN"/>
        </w:rPr>
        <w:t>经现场检查，三号（氰化渣）尾矿库各排水构筑物未出现堵塞、坍塌、裂缝、变形、位移、倾斜、磨蚀、漏砂等现象，运行工况正常</w:t>
      </w:r>
      <w:r>
        <w:rPr>
          <w:rFonts w:hint="eastAsia"/>
          <w:color w:val="auto"/>
          <w:lang w:val="en-US" w:eastAsia="zh-CN"/>
        </w:rPr>
        <w:t>；</w:t>
      </w:r>
      <w:r>
        <w:rPr>
          <w:rFonts w:hint="default"/>
          <w:color w:val="auto"/>
          <w:lang w:val="en-US" w:eastAsia="zh-CN"/>
        </w:rPr>
        <w:t>截洪沟也未出现堵塞、坍塌、裂缝、变形、位移、倾斜等现象，运行工况正常。</w:t>
      </w:r>
    </w:p>
    <w:p w14:paraId="78D55A4D">
      <w:pPr>
        <w:pStyle w:val="4"/>
        <w:bidi w:val="0"/>
        <w:rPr>
          <w:rFonts w:hint="default"/>
          <w:lang w:val="en-US" w:eastAsia="zh-CN"/>
        </w:rPr>
      </w:pPr>
      <w:bookmarkStart w:id="153" w:name="_Toc23883"/>
      <w:bookmarkStart w:id="154" w:name="_Toc20695"/>
      <w:bookmarkStart w:id="155" w:name="_Toc17259"/>
      <w:bookmarkStart w:id="156" w:name="_Toc27587"/>
      <w:bookmarkStart w:id="157" w:name="_Toc16718"/>
      <w:r>
        <w:rPr>
          <w:rFonts w:hint="eastAsia"/>
          <w:lang w:val="en-US" w:eastAsia="zh-CN"/>
        </w:rPr>
        <w:t>2.6.3 堆存、碾压工艺</w:t>
      </w:r>
      <w:bookmarkEnd w:id="153"/>
    </w:p>
    <w:p w14:paraId="33C414FC">
      <w:pPr>
        <w:numPr>
          <w:ilvl w:val="0"/>
          <w:numId w:val="0"/>
        </w:numPr>
        <w:ind w:firstLine="560" w:firstLineChars="200"/>
        <w:rPr>
          <w:rFonts w:hint="default"/>
          <w:color w:val="auto"/>
          <w:lang w:val="en-US" w:eastAsia="zh-CN"/>
        </w:rPr>
      </w:pPr>
      <w:r>
        <w:rPr>
          <w:rFonts w:hint="default" w:ascii="Times New Roman" w:hAnsi="Times New Roman" w:eastAsia="宋体" w:cs="Times New Roman"/>
          <w:color w:val="auto"/>
          <w:kern w:val="2"/>
          <w:sz w:val="28"/>
          <w:szCs w:val="24"/>
          <w:lang w:val="en-US" w:eastAsia="zh-CN" w:bidi="ar-SA"/>
        </w:rPr>
        <w:t>1.</w:t>
      </w:r>
      <w:r>
        <w:rPr>
          <w:rFonts w:hint="eastAsia" w:cs="Times New Roman"/>
          <w:color w:val="auto"/>
          <w:kern w:val="2"/>
          <w:sz w:val="28"/>
          <w:szCs w:val="24"/>
          <w:lang w:val="en-US" w:eastAsia="zh-CN" w:bidi="ar-SA"/>
        </w:rPr>
        <w:t xml:space="preserve"> </w:t>
      </w:r>
      <w:r>
        <w:rPr>
          <w:rFonts w:hint="default"/>
          <w:color w:val="auto"/>
          <w:lang w:val="en-US" w:eastAsia="zh-CN"/>
        </w:rPr>
        <w:t>设计情况</w:t>
      </w:r>
    </w:p>
    <w:p w14:paraId="191BE39C">
      <w:pPr>
        <w:keepNext w:val="0"/>
        <w:keepLines w:val="0"/>
        <w:pageBreakBefore w:val="0"/>
        <w:widowControl w:val="0"/>
        <w:kinsoku/>
        <w:wordWrap/>
        <w:overflowPunct/>
        <w:topLinePunct w:val="0"/>
        <w:autoSpaceDE/>
        <w:autoSpaceDN/>
        <w:bidi w:val="0"/>
        <w:adjustRightInd/>
        <w:snapToGrid w:val="0"/>
        <w:spacing w:line="360" w:lineRule="auto"/>
        <w:ind w:left="34" w:right="11" w:firstLine="465"/>
        <w:textAlignment w:val="auto"/>
        <w:rPr>
          <w:rFonts w:hint="eastAsia" w:ascii="Times New Roman" w:hAnsi="Times New Roman" w:eastAsia="宋体" w:cs="Times New Roman"/>
          <w:color w:val="auto"/>
          <w:kern w:val="2"/>
          <w:sz w:val="28"/>
          <w:szCs w:val="28"/>
          <w:lang w:val="en-US" w:eastAsia="zh-CN" w:bidi="ar-SA"/>
        </w:rPr>
      </w:pPr>
      <w:r>
        <w:rPr>
          <w:rFonts w:hint="eastAsia" w:ascii="Times New Roman" w:hAnsi="Times New Roman" w:eastAsia="宋体" w:cs="Times New Roman"/>
          <w:color w:val="auto"/>
          <w:kern w:val="2"/>
          <w:sz w:val="28"/>
          <w:szCs w:val="28"/>
          <w:lang w:val="en-US" w:eastAsia="zh-CN" w:bidi="ar-SA"/>
        </w:rPr>
        <w:t>（1）堆存工艺</w:t>
      </w:r>
    </w:p>
    <w:p w14:paraId="72336B05">
      <w:pPr>
        <w:bidi w:val="0"/>
        <w:rPr>
          <w:rFonts w:hint="default"/>
          <w:lang w:val="en-US" w:eastAsia="zh-CN"/>
        </w:rPr>
      </w:pPr>
      <w:r>
        <w:rPr>
          <w:rFonts w:hint="default"/>
          <w:lang w:val="en-US" w:eastAsia="zh-CN"/>
        </w:rPr>
        <w:t>尾矿堆存方式为压滤干堆，采用上游法堆存。为更好的实现尾矿压滤滤饼的有效晾晒和安全堆存，尾砂采用分区排放堆存工艺。尾矿堆存的主要工艺为：胶带机倒运卸料、晾晒、干燥整平、质量检查等四个环节。根据工艺需要将尾矿排放区划分为三个区：卸料区、晾晒区和干燥整平区。三区根据尾砂排放量确定，轮换交替作业，堆存面逐渐向库尾推进，实现科学堆放，安全堆存。</w:t>
      </w:r>
    </w:p>
    <w:p w14:paraId="3F8D55EF">
      <w:pPr>
        <w:bidi w:val="0"/>
        <w:rPr>
          <w:rFonts w:hint="eastAsia" w:ascii="Times New Roman" w:hAnsi="Times New Roman" w:eastAsia="宋体" w:cs="Times New Roman"/>
          <w:color w:val="auto"/>
          <w:kern w:val="2"/>
          <w:sz w:val="28"/>
          <w:szCs w:val="28"/>
          <w:lang w:val="en-US" w:eastAsia="zh-CN" w:bidi="ar-SA"/>
        </w:rPr>
      </w:pPr>
      <w:r>
        <w:rPr>
          <w:rFonts w:hint="eastAsia" w:ascii="Times New Roman" w:hAnsi="Times New Roman" w:eastAsia="宋体" w:cs="Times New Roman"/>
          <w:color w:val="auto"/>
          <w:kern w:val="2"/>
          <w:sz w:val="28"/>
          <w:szCs w:val="28"/>
          <w:lang w:val="en-US" w:eastAsia="zh-CN" w:bidi="ar-SA"/>
        </w:rPr>
        <w:t>（2）碾压技术要求</w:t>
      </w:r>
    </w:p>
    <w:p w14:paraId="78576DE2">
      <w:pPr>
        <w:bidi w:val="0"/>
        <w:rPr>
          <w:rFonts w:hint="default" w:ascii="Times New Roman" w:hAnsi="Times New Roman" w:eastAsia="宋体" w:cs="Times New Roman"/>
          <w:color w:val="000000" w:themeColor="text1"/>
          <w:kern w:val="2"/>
          <w:sz w:val="28"/>
          <w:szCs w:val="28"/>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8"/>
          <w:szCs w:val="28"/>
          <w:lang w:val="en-US" w:eastAsia="zh-CN" w:bidi="ar-SA"/>
          <w14:textFill>
            <w14:solidFill>
              <w14:schemeClr w14:val="tx1"/>
            </w14:solidFill>
          </w14:textFill>
        </w:rPr>
        <w:t>排放尾矿过程中，推土机在排放坡下部推运分层碾压，每层厚度1.5m</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8"/>
          <w:szCs w:val="28"/>
          <w:lang w:val="en-US" w:eastAsia="zh-CN" w:bidi="ar-SA"/>
          <w14:textFill>
            <w14:solidFill>
              <w14:schemeClr w14:val="tx1"/>
            </w14:solidFill>
          </w14:textFill>
        </w:rPr>
        <w:t>向库内推运50m，库面尾砂压实系数不低于0.9</w:t>
      </w:r>
      <w:r>
        <w:rPr>
          <w:rFonts w:hint="eastAsia" w:ascii="Times New Roman" w:hAnsi="Times New Roman" w:eastAsia="宋体" w:cs="Times New Roman"/>
          <w:color w:val="000000" w:themeColor="text1"/>
          <w:kern w:val="2"/>
          <w:sz w:val="28"/>
          <w:szCs w:val="28"/>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8"/>
          <w:szCs w:val="28"/>
          <w:lang w:val="en-US" w:eastAsia="zh-CN" w:bidi="ar-SA"/>
          <w14:textFill>
            <w14:solidFill>
              <w14:schemeClr w14:val="tx1"/>
            </w14:solidFill>
          </w14:textFill>
        </w:rPr>
        <w:t>，库内在不影响堆积坝体稳定的区域可适当降低碾压标准，如库内尾矿的压实系数可控制在0.8以上</w:t>
      </w:r>
      <w:r>
        <w:rPr>
          <w:rFonts w:hint="eastAsia" w:ascii="Times New Roman" w:hAnsi="Times New Roman" w:eastAsia="宋体" w:cs="Times New Roman"/>
          <w:color w:val="000000" w:themeColor="text1"/>
          <w:kern w:val="2"/>
          <w:sz w:val="28"/>
          <w:szCs w:val="28"/>
          <w:lang w:val="en-US" w:eastAsia="zh-CN" w:bidi="ar-SA"/>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坡度不小于3%，滤饼含水率为12</w:t>
      </w:r>
      <w:r>
        <w:rPr>
          <w:rFonts w:hint="default"/>
          <w:color w:val="000000" w:themeColor="text1"/>
          <w:lang w:val="en-US"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17%。</w:t>
      </w:r>
    </w:p>
    <w:p w14:paraId="11EE0478">
      <w:pPr>
        <w:numPr>
          <w:ilvl w:val="0"/>
          <w:numId w:val="0"/>
        </w:numPr>
        <w:ind w:left="0" w:leftChars="0" w:firstLine="560" w:firstLineChars="200"/>
        <w:rPr>
          <w:rFonts w:hint="default"/>
          <w:color w:val="auto"/>
          <w:lang w:val="en-US" w:eastAsia="zh-CN"/>
        </w:rPr>
      </w:pPr>
      <w:r>
        <w:rPr>
          <w:rFonts w:hint="default" w:ascii="Times New Roman" w:hAnsi="Times New Roman" w:eastAsia="宋体" w:cs="Times New Roman"/>
          <w:color w:val="auto"/>
          <w:kern w:val="2"/>
          <w:sz w:val="28"/>
          <w:szCs w:val="24"/>
          <w:lang w:val="en-US" w:eastAsia="zh-CN" w:bidi="ar-SA"/>
        </w:rPr>
        <w:t>2.</w:t>
      </w:r>
      <w:r>
        <w:rPr>
          <w:rFonts w:hint="eastAsia" w:cs="Times New Roman"/>
          <w:color w:val="auto"/>
          <w:kern w:val="2"/>
          <w:sz w:val="28"/>
          <w:szCs w:val="24"/>
          <w:lang w:val="en-US" w:eastAsia="zh-CN" w:bidi="ar-SA"/>
        </w:rPr>
        <w:t xml:space="preserve"> </w:t>
      </w:r>
      <w:r>
        <w:rPr>
          <w:rFonts w:hint="default"/>
          <w:color w:val="auto"/>
          <w:lang w:val="en-US" w:eastAsia="zh-CN"/>
        </w:rPr>
        <w:t>现场检查情况</w:t>
      </w:r>
    </w:p>
    <w:p w14:paraId="0834F433">
      <w:pP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现场检查，目前干堆区采用</w:t>
      </w:r>
      <w:r>
        <w:rPr>
          <w:rFonts w:hint="default"/>
          <w:lang w:val="en-US" w:eastAsia="zh-CN"/>
        </w:rPr>
        <w:t>分区排放堆存工艺。尾矿排放区</w:t>
      </w:r>
      <w:r>
        <w:rPr>
          <w:rFonts w:hint="eastAsia"/>
          <w:lang w:val="en-US" w:eastAsia="zh-CN"/>
        </w:rPr>
        <w:t>已</w:t>
      </w:r>
      <w:r>
        <w:rPr>
          <w:rFonts w:hint="default"/>
          <w:lang w:val="en-US" w:eastAsia="zh-CN"/>
        </w:rPr>
        <w:t>划分为三个区：卸料区、晾晒区和干燥整平区。</w:t>
      </w:r>
      <w:r>
        <w:rPr>
          <w:rFonts w:hint="eastAsia" w:ascii="Times New Roman" w:hAnsi="Times New Roman" w:eastAsia="宋体" w:cs="Times New Roman"/>
          <w:color w:val="auto"/>
          <w:lang w:val="en-US" w:eastAsia="zh-CN"/>
        </w:rPr>
        <w:t>尾矿分层厚度为</w:t>
      </w:r>
      <w:r>
        <w:rPr>
          <w:rFonts w:hint="eastAsia" w:ascii="Times New Roman" w:hAnsi="Times New Roman" w:cs="Times New Roman"/>
          <w:b w:val="0"/>
          <w:bCs w:val="0"/>
          <w:strike w:val="0"/>
          <w:dstrike w:val="0"/>
          <w:color w:val="auto"/>
          <w:u w:val="none"/>
          <w:lang w:val="en-US" w:eastAsia="zh-CN"/>
        </w:rPr>
        <w:t>1.5</w:t>
      </w:r>
      <w:r>
        <w:rPr>
          <w:rFonts w:hint="eastAsia" w:ascii="Times New Roman" w:hAnsi="Times New Roman" w:eastAsia="宋体" w:cs="Times New Roman"/>
          <w:b w:val="0"/>
          <w:bCs w:val="0"/>
          <w:strike w:val="0"/>
          <w:dstrike w:val="0"/>
          <w:color w:val="auto"/>
          <w:u w:val="none"/>
          <w:lang w:val="en-US" w:eastAsia="zh-CN"/>
        </w:rPr>
        <w:t>m</w:t>
      </w:r>
      <w:r>
        <w:rPr>
          <w:rFonts w:hint="eastAsia" w:ascii="Times New Roman" w:hAnsi="Times New Roman" w:cs="Times New Roman"/>
          <w:color w:val="auto"/>
          <w:lang w:val="en-US" w:eastAsia="zh-CN"/>
        </w:rPr>
        <w:t>，</w:t>
      </w:r>
      <w:r>
        <w:rPr>
          <w:rFonts w:hint="eastAsia" w:ascii="Times New Roman" w:hAnsi="Times New Roman" w:eastAsia="宋体" w:cs="Times New Roman"/>
          <w:color w:val="000000" w:themeColor="text1"/>
          <w:lang w:val="en-US" w:eastAsia="zh-CN"/>
          <w14:textFill>
            <w14:solidFill>
              <w14:schemeClr w14:val="tx1"/>
            </w14:solidFill>
          </w14:textFill>
        </w:rPr>
        <w:t>坡度大于3%</w:t>
      </w:r>
      <w:r>
        <w:rPr>
          <w:rFonts w:hint="eastAsia" w:ascii="Times New Roman" w:hAnsi="Times New Roman" w:cs="Times New Roman"/>
          <w:color w:val="auto"/>
          <w:lang w:val="en-US" w:eastAsia="zh-CN"/>
        </w:rPr>
        <w:t>，</w:t>
      </w:r>
      <w:r>
        <w:rPr>
          <w:rFonts w:hint="default" w:ascii="Times New Roman" w:hAnsi="Times New Roman" w:eastAsia="宋体" w:cs="Times New Roman"/>
          <w:color w:val="auto"/>
          <w:lang w:val="en-US" w:eastAsia="zh-CN"/>
        </w:rPr>
        <w:t>堆积坝坝前</w:t>
      </w:r>
      <w:r>
        <w:rPr>
          <w:rFonts w:hint="eastAsia" w:ascii="Times New Roman" w:hAnsi="Times New Roman" w:cs="Times New Roman"/>
          <w:color w:val="auto"/>
          <w:lang w:val="en-US" w:eastAsia="zh-CN"/>
        </w:rPr>
        <w:t>50</w:t>
      </w:r>
      <w:r>
        <w:rPr>
          <w:rFonts w:hint="default" w:ascii="Times New Roman" w:hAnsi="Times New Roman" w:eastAsia="宋体" w:cs="Times New Roman"/>
          <w:color w:val="auto"/>
          <w:lang w:val="en-US" w:eastAsia="zh-CN"/>
        </w:rPr>
        <w:t>.0m范围压实度检</w:t>
      </w:r>
      <w:r>
        <w:rPr>
          <w:rFonts w:hint="default" w:ascii="Times New Roman" w:hAnsi="Times New Roman" w:eastAsia="宋体" w:cs="Times New Roman"/>
          <w:b w:val="0"/>
          <w:bCs w:val="0"/>
          <w:strike w:val="0"/>
          <w:dstrike w:val="0"/>
          <w:color w:val="auto"/>
          <w:lang w:val="en-US" w:eastAsia="zh-CN"/>
        </w:rPr>
        <w:t>测</w:t>
      </w:r>
      <w:r>
        <w:rPr>
          <w:rFonts w:hint="eastAsia" w:cs="Times New Roman"/>
          <w:b w:val="0"/>
          <w:bCs w:val="0"/>
          <w:strike w:val="0"/>
          <w:dstrike w:val="0"/>
          <w:color w:val="auto"/>
          <w:lang w:val="en-US" w:eastAsia="zh-CN"/>
        </w:rPr>
        <w:t>：</w:t>
      </w:r>
      <w:r>
        <w:rPr>
          <w:rFonts w:hint="default" w:ascii="Times New Roman" w:hAnsi="Times New Roman" w:eastAsia="宋体" w:cs="Times New Roman"/>
          <w:b w:val="0"/>
          <w:bCs w:val="0"/>
          <w:strike w:val="0"/>
          <w:dstrike w:val="0"/>
          <w:color w:val="auto"/>
          <w:lang w:val="en-US" w:eastAsia="zh-CN"/>
        </w:rPr>
        <w:t>根据</w:t>
      </w:r>
      <w:r>
        <w:rPr>
          <w:rFonts w:hint="eastAsia" w:cs="Times New Roman"/>
          <w:b w:val="0"/>
          <w:bCs w:val="0"/>
          <w:strike w:val="0"/>
          <w:dstrike w:val="0"/>
          <w:color w:val="auto"/>
          <w:lang w:val="en-US" w:eastAsia="zh-CN"/>
        </w:rPr>
        <w:t>企业提供的</w:t>
      </w:r>
      <w:r>
        <w:rPr>
          <w:rFonts w:hint="default" w:ascii="Times New Roman" w:hAnsi="Times New Roman" w:eastAsia="宋体" w:cs="Times New Roman"/>
          <w:b w:val="0"/>
          <w:bCs w:val="0"/>
          <w:strike w:val="0"/>
          <w:dstrike w:val="0"/>
          <w:color w:val="auto"/>
          <w:lang w:val="en-US" w:eastAsia="zh-CN"/>
        </w:rPr>
        <w:t>检测数据，压实度在</w:t>
      </w:r>
      <w:r>
        <w:rPr>
          <w:rFonts w:hint="eastAsia" w:ascii="Times New Roman" w:hAnsi="Times New Roman" w:cs="Times New Roman"/>
          <w:b w:val="0"/>
          <w:bCs w:val="0"/>
          <w:strike w:val="0"/>
          <w:dstrike w:val="0"/>
          <w:color w:val="auto"/>
          <w:lang w:val="en-US" w:eastAsia="zh-CN"/>
        </w:rPr>
        <w:t>0.922</w:t>
      </w:r>
      <w:r>
        <w:rPr>
          <w:rFonts w:hint="default" w:ascii="Times New Roman" w:hAnsi="Times New Roman" w:eastAsia="宋体" w:cs="Times New Roman"/>
          <w:b w:val="0"/>
          <w:bCs w:val="0"/>
          <w:strike w:val="0"/>
          <w:dstrike w:val="0"/>
          <w:color w:val="auto"/>
          <w:lang w:val="en-US" w:eastAsia="zh-CN"/>
        </w:rPr>
        <w:t>～0.9</w:t>
      </w:r>
      <w:r>
        <w:rPr>
          <w:rFonts w:hint="eastAsia" w:cs="Times New Roman"/>
          <w:b w:val="0"/>
          <w:bCs w:val="0"/>
          <w:strike w:val="0"/>
          <w:dstrike w:val="0"/>
          <w:color w:val="auto"/>
          <w:lang w:val="en-US" w:eastAsia="zh-CN"/>
        </w:rPr>
        <w:t>28</w:t>
      </w:r>
      <w:r>
        <w:rPr>
          <w:rFonts w:hint="default" w:ascii="Times New Roman" w:hAnsi="Times New Roman" w:eastAsia="宋体" w:cs="Times New Roman"/>
          <w:b w:val="0"/>
          <w:bCs w:val="0"/>
          <w:strike w:val="0"/>
          <w:dstrike w:val="0"/>
          <w:color w:val="auto"/>
          <w:lang w:val="en-US" w:eastAsia="zh-CN"/>
        </w:rPr>
        <w:t>之间</w:t>
      </w:r>
      <w:r>
        <w:rPr>
          <w:rFonts w:hint="eastAsia" w:cs="Times New Roman"/>
          <w:b w:val="0"/>
          <w:bCs w:val="0"/>
          <w:strike w:val="0"/>
          <w:dstrike w:val="0"/>
          <w:color w:val="auto"/>
          <w:lang w:val="en-US" w:eastAsia="zh-CN"/>
        </w:rPr>
        <w:t>，</w:t>
      </w:r>
      <w:r>
        <w:rPr>
          <w:rFonts w:hint="eastAsia" w:ascii="Times New Roman" w:hAnsi="Times New Roman" w:eastAsia="宋体" w:cs="Times New Roman"/>
          <w:b w:val="0"/>
          <w:bCs w:val="0"/>
          <w:strike w:val="0"/>
          <w:dstrike w:val="0"/>
          <w:color w:val="auto"/>
          <w:lang w:val="en-US" w:eastAsia="zh-CN"/>
        </w:rPr>
        <w:t>符合</w:t>
      </w:r>
      <w:r>
        <w:rPr>
          <w:rFonts w:hint="eastAsia" w:cs="Times New Roman"/>
          <w:b w:val="0"/>
          <w:bCs w:val="0"/>
          <w:strike w:val="0"/>
          <w:dstrike w:val="0"/>
          <w:color w:val="auto"/>
          <w:lang w:val="en-US" w:eastAsia="zh-CN"/>
        </w:rPr>
        <w:t>设计</w:t>
      </w:r>
      <w:r>
        <w:rPr>
          <w:rFonts w:hint="eastAsia" w:ascii="Times New Roman" w:hAnsi="Times New Roman" w:eastAsia="宋体" w:cs="Times New Roman"/>
          <w:b w:val="0"/>
          <w:bCs w:val="0"/>
          <w:strike w:val="0"/>
          <w:dstrike w:val="0"/>
          <w:color w:val="auto"/>
          <w:lang w:val="en-US" w:eastAsia="zh-CN"/>
        </w:rPr>
        <w:t>要求</w:t>
      </w:r>
      <w:r>
        <w:rPr>
          <w:rFonts w:hint="eastAsia" w:cs="Times New Roman"/>
          <w:b w:val="0"/>
          <w:bCs w:val="0"/>
          <w:strike w:val="0"/>
          <w:dstrike w:val="0"/>
          <w:color w:val="auto"/>
          <w:lang w:val="en-US" w:eastAsia="zh-CN"/>
        </w:rPr>
        <w:t>；</w:t>
      </w:r>
      <w:r>
        <w:rPr>
          <w:rFonts w:hint="default" w:ascii="Times New Roman" w:hAnsi="Times New Roman" w:eastAsia="宋体" w:cs="Times New Roman"/>
          <w:color w:val="000000" w:themeColor="text1"/>
          <w:kern w:val="2"/>
          <w:sz w:val="28"/>
          <w:szCs w:val="28"/>
          <w:lang w:val="en-US" w:eastAsia="zh-CN" w:bidi="ar-SA"/>
          <w14:textFill>
            <w14:solidFill>
              <w14:schemeClr w14:val="tx1"/>
            </w14:solidFill>
          </w14:textFill>
        </w:rPr>
        <w:t>库内在不影响堆积坝体稳定</w:t>
      </w:r>
      <w:r>
        <w:rPr>
          <w:rFonts w:hint="eastAsia" w:cs="Times New Roman"/>
          <w:color w:val="000000" w:themeColor="text1"/>
          <w:kern w:val="2"/>
          <w:sz w:val="28"/>
          <w:szCs w:val="28"/>
          <w:lang w:val="en-US" w:eastAsia="zh-CN" w:bidi="ar-SA"/>
          <w14:textFill>
            <w14:solidFill>
              <w14:schemeClr w14:val="tx1"/>
            </w14:solidFill>
          </w14:textFill>
        </w:rPr>
        <w:t>的</w:t>
      </w:r>
      <w:r>
        <w:rPr>
          <w:rFonts w:hint="default" w:ascii="Times New Roman" w:hAnsi="Times New Roman" w:eastAsia="宋体" w:cs="Times New Roman"/>
          <w:color w:val="000000" w:themeColor="text1"/>
          <w:kern w:val="2"/>
          <w:sz w:val="28"/>
          <w:szCs w:val="28"/>
          <w:lang w:val="en-US" w:eastAsia="zh-CN" w:bidi="ar-SA"/>
          <w14:textFill>
            <w14:solidFill>
              <w14:schemeClr w14:val="tx1"/>
            </w14:solidFill>
          </w14:textFill>
        </w:rPr>
        <w:t>区域</w:t>
      </w:r>
      <w:r>
        <w:rPr>
          <w:rFonts w:hint="default" w:ascii="Times New Roman" w:hAnsi="Times New Roman" w:eastAsia="宋体" w:cs="Times New Roman"/>
          <w:color w:val="auto"/>
          <w:lang w:val="en-US" w:eastAsia="zh-CN"/>
        </w:rPr>
        <w:t>检</w:t>
      </w:r>
      <w:r>
        <w:rPr>
          <w:rFonts w:hint="default" w:ascii="Times New Roman" w:hAnsi="Times New Roman" w:eastAsia="宋体" w:cs="Times New Roman"/>
          <w:b w:val="0"/>
          <w:bCs w:val="0"/>
          <w:strike w:val="0"/>
          <w:dstrike w:val="0"/>
          <w:color w:val="auto"/>
          <w:lang w:val="en-US" w:eastAsia="zh-CN"/>
        </w:rPr>
        <w:t>测</w:t>
      </w:r>
      <w:r>
        <w:rPr>
          <w:rFonts w:hint="eastAsia" w:cs="Times New Roman"/>
          <w:b w:val="0"/>
          <w:bCs w:val="0"/>
          <w:strike w:val="0"/>
          <w:dstrike w:val="0"/>
          <w:color w:val="auto"/>
          <w:lang w:val="en-US" w:eastAsia="zh-CN"/>
        </w:rPr>
        <w:t>：</w:t>
      </w:r>
      <w:r>
        <w:rPr>
          <w:rFonts w:hint="default" w:ascii="Times New Roman" w:hAnsi="Times New Roman" w:eastAsia="宋体" w:cs="Times New Roman"/>
          <w:b w:val="0"/>
          <w:bCs w:val="0"/>
          <w:strike w:val="0"/>
          <w:dstrike w:val="0"/>
          <w:color w:val="auto"/>
          <w:lang w:val="en-US" w:eastAsia="zh-CN"/>
        </w:rPr>
        <w:t>根据</w:t>
      </w:r>
      <w:r>
        <w:rPr>
          <w:rFonts w:hint="eastAsia" w:cs="Times New Roman"/>
          <w:b w:val="0"/>
          <w:bCs w:val="0"/>
          <w:strike w:val="0"/>
          <w:dstrike w:val="0"/>
          <w:color w:val="auto"/>
          <w:lang w:val="en-US" w:eastAsia="zh-CN"/>
        </w:rPr>
        <w:t>企业提供的</w:t>
      </w:r>
      <w:r>
        <w:rPr>
          <w:rFonts w:hint="default" w:ascii="Times New Roman" w:hAnsi="Times New Roman" w:eastAsia="宋体" w:cs="Times New Roman"/>
          <w:b w:val="0"/>
          <w:bCs w:val="0"/>
          <w:strike w:val="0"/>
          <w:dstrike w:val="0"/>
          <w:color w:val="auto"/>
          <w:lang w:val="en-US" w:eastAsia="zh-CN"/>
        </w:rPr>
        <w:t>检测数据，</w:t>
      </w:r>
      <w:r>
        <w:rPr>
          <w:rFonts w:hint="default" w:ascii="Times New Roman" w:hAnsi="Times New Roman" w:eastAsia="宋体" w:cs="Times New Roman"/>
          <w:color w:val="000000" w:themeColor="text1"/>
          <w:kern w:val="2"/>
          <w:sz w:val="28"/>
          <w:szCs w:val="28"/>
          <w:lang w:val="en-US" w:eastAsia="zh-CN" w:bidi="ar-SA"/>
          <w14:textFill>
            <w14:solidFill>
              <w14:schemeClr w14:val="tx1"/>
            </w14:solidFill>
          </w14:textFill>
        </w:rPr>
        <w:t>平均压实度</w:t>
      </w:r>
      <w:r>
        <w:rPr>
          <w:rFonts w:hint="eastAsia" w:cs="Times New Roman"/>
          <w:color w:val="000000" w:themeColor="text1"/>
          <w:kern w:val="2"/>
          <w:sz w:val="28"/>
          <w:szCs w:val="28"/>
          <w:lang w:val="en-US" w:eastAsia="zh-CN" w:bidi="ar-SA"/>
          <w14:textFill>
            <w14:solidFill>
              <w14:schemeClr w14:val="tx1"/>
            </w14:solidFill>
          </w14:textFill>
        </w:rPr>
        <w:t>为</w:t>
      </w:r>
      <w:r>
        <w:rPr>
          <w:rFonts w:hint="default" w:ascii="Times New Roman" w:hAnsi="Times New Roman" w:eastAsia="宋体" w:cs="Times New Roman"/>
          <w:color w:val="000000" w:themeColor="text1"/>
          <w:kern w:val="2"/>
          <w:sz w:val="28"/>
          <w:szCs w:val="28"/>
          <w:lang w:val="en-US" w:eastAsia="zh-CN" w:bidi="ar-SA"/>
          <w14:textFill>
            <w14:solidFill>
              <w14:schemeClr w14:val="tx1"/>
            </w14:solidFill>
          </w14:textFill>
        </w:rPr>
        <w:t>0.86</w:t>
      </w:r>
      <w:r>
        <w:rPr>
          <w:rFonts w:hint="eastAsia" w:cs="Times New Roman"/>
          <w:b w:val="0"/>
          <w:bCs w:val="0"/>
          <w:strike w:val="0"/>
          <w:dstrike w:val="0"/>
          <w:color w:val="auto"/>
          <w:lang w:val="en-US" w:eastAsia="zh-CN"/>
        </w:rPr>
        <w:t>，</w:t>
      </w:r>
      <w:r>
        <w:rPr>
          <w:rFonts w:hint="eastAsia" w:ascii="Times New Roman" w:hAnsi="Times New Roman" w:eastAsia="宋体" w:cs="Times New Roman"/>
          <w:b w:val="0"/>
          <w:bCs w:val="0"/>
          <w:strike w:val="0"/>
          <w:dstrike w:val="0"/>
          <w:color w:val="auto"/>
          <w:lang w:val="en-US" w:eastAsia="zh-CN"/>
        </w:rPr>
        <w:t>符合</w:t>
      </w:r>
      <w:r>
        <w:rPr>
          <w:rFonts w:hint="eastAsia" w:cs="Times New Roman"/>
          <w:b w:val="0"/>
          <w:bCs w:val="0"/>
          <w:strike w:val="0"/>
          <w:dstrike w:val="0"/>
          <w:color w:val="auto"/>
          <w:lang w:val="en-US" w:eastAsia="zh-CN"/>
        </w:rPr>
        <w:t>设计</w:t>
      </w:r>
      <w:r>
        <w:rPr>
          <w:rFonts w:hint="eastAsia" w:ascii="Times New Roman" w:hAnsi="Times New Roman" w:eastAsia="宋体" w:cs="Times New Roman"/>
          <w:b w:val="0"/>
          <w:bCs w:val="0"/>
          <w:strike w:val="0"/>
          <w:dstrike w:val="0"/>
          <w:color w:val="auto"/>
          <w:lang w:val="en-US" w:eastAsia="zh-CN"/>
        </w:rPr>
        <w:t>要求；</w:t>
      </w:r>
      <w:r>
        <w:rPr>
          <w:rFonts w:hint="default" w:ascii="Times New Roman" w:hAnsi="Times New Roman" w:eastAsia="宋体" w:cs="Times New Roman"/>
          <w:b w:val="0"/>
          <w:bCs w:val="0"/>
          <w:strike w:val="0"/>
          <w:dstrike w:val="0"/>
          <w:color w:val="auto"/>
          <w:lang w:val="en-US" w:eastAsia="zh-CN"/>
        </w:rPr>
        <w:t>尾砂含水率检测</w:t>
      </w:r>
      <w:r>
        <w:rPr>
          <w:rFonts w:hint="eastAsia" w:cs="Times New Roman"/>
          <w:b w:val="0"/>
          <w:bCs w:val="0"/>
          <w:strike w:val="0"/>
          <w:dstrike w:val="0"/>
          <w:color w:val="auto"/>
          <w:lang w:val="en-US" w:eastAsia="zh-CN"/>
        </w:rPr>
        <w:t>：</w:t>
      </w:r>
      <w:r>
        <w:rPr>
          <w:rFonts w:hint="default" w:ascii="Times New Roman" w:hAnsi="Times New Roman" w:eastAsia="宋体" w:cs="Times New Roman"/>
          <w:b w:val="0"/>
          <w:bCs w:val="0"/>
          <w:strike w:val="0"/>
          <w:dstrike w:val="0"/>
          <w:color w:val="auto"/>
          <w:lang w:val="en-US" w:eastAsia="zh-CN"/>
        </w:rPr>
        <w:t>根据</w:t>
      </w:r>
      <w:r>
        <w:rPr>
          <w:rFonts w:hint="eastAsia" w:cs="Times New Roman"/>
          <w:b w:val="0"/>
          <w:bCs w:val="0"/>
          <w:strike w:val="0"/>
          <w:dstrike w:val="0"/>
          <w:color w:val="auto"/>
          <w:lang w:val="en-US" w:eastAsia="zh-CN"/>
        </w:rPr>
        <w:t>企业提供的</w:t>
      </w:r>
      <w:r>
        <w:rPr>
          <w:rFonts w:hint="default" w:ascii="Times New Roman" w:hAnsi="Times New Roman" w:eastAsia="宋体" w:cs="Times New Roman"/>
          <w:b w:val="0"/>
          <w:bCs w:val="0"/>
          <w:strike w:val="0"/>
          <w:dstrike w:val="0"/>
          <w:color w:val="auto"/>
          <w:lang w:val="en-US" w:eastAsia="zh-CN"/>
        </w:rPr>
        <w:t>检测数据，尾矿含水率在</w:t>
      </w:r>
      <w:r>
        <w:rPr>
          <w:rFonts w:hint="eastAsia" w:cs="Times New Roman"/>
          <w:b w:val="0"/>
          <w:bCs w:val="0"/>
          <w:strike w:val="0"/>
          <w:dstrike w:val="0"/>
          <w:color w:val="auto"/>
          <w:lang w:val="en-US" w:eastAsia="zh-CN"/>
        </w:rPr>
        <w:t>14.9</w:t>
      </w:r>
      <w:r>
        <w:rPr>
          <w:rFonts w:hint="default" w:ascii="Times New Roman" w:hAnsi="Times New Roman" w:eastAsia="宋体" w:cs="Times New Roman"/>
          <w:b w:val="0"/>
          <w:bCs w:val="0"/>
          <w:strike w:val="0"/>
          <w:dstrike w:val="0"/>
          <w:color w:val="auto"/>
          <w:lang w:val="en-US" w:eastAsia="zh-CN"/>
        </w:rPr>
        <w:t>%～</w:t>
      </w:r>
      <w:r>
        <w:rPr>
          <w:rFonts w:hint="eastAsia" w:cs="Times New Roman"/>
          <w:b w:val="0"/>
          <w:bCs w:val="0"/>
          <w:strike w:val="0"/>
          <w:dstrike w:val="0"/>
          <w:color w:val="auto"/>
          <w:lang w:val="en-US" w:eastAsia="zh-CN"/>
        </w:rPr>
        <w:t>16.7</w:t>
      </w:r>
      <w:r>
        <w:rPr>
          <w:rFonts w:hint="default" w:ascii="Times New Roman" w:hAnsi="Times New Roman" w:eastAsia="宋体" w:cs="Times New Roman"/>
          <w:b w:val="0"/>
          <w:bCs w:val="0"/>
          <w:strike w:val="0"/>
          <w:dstrike w:val="0"/>
          <w:color w:val="auto"/>
          <w:lang w:val="en-US" w:eastAsia="zh-CN"/>
        </w:rPr>
        <w:t>%之间</w:t>
      </w:r>
      <w:r>
        <w:rPr>
          <w:rFonts w:hint="eastAsia" w:ascii="Times New Roman" w:hAnsi="Times New Roman" w:eastAsia="宋体" w:cs="Times New Roman"/>
          <w:b w:val="0"/>
          <w:bCs w:val="0"/>
          <w:strike w:val="0"/>
          <w:dstrike w:val="0"/>
          <w:color w:val="auto"/>
          <w:lang w:val="en-US" w:eastAsia="zh-CN"/>
        </w:rPr>
        <w:t>，符合</w:t>
      </w:r>
      <w:r>
        <w:rPr>
          <w:rFonts w:hint="eastAsia" w:cs="Times New Roman"/>
          <w:b w:val="0"/>
          <w:bCs w:val="0"/>
          <w:strike w:val="0"/>
          <w:dstrike w:val="0"/>
          <w:color w:val="auto"/>
          <w:lang w:val="en-US" w:eastAsia="zh-CN"/>
        </w:rPr>
        <w:t>设计</w:t>
      </w:r>
      <w:r>
        <w:rPr>
          <w:rFonts w:hint="eastAsia" w:ascii="Times New Roman" w:hAnsi="Times New Roman" w:eastAsia="宋体" w:cs="Times New Roman"/>
          <w:b w:val="0"/>
          <w:bCs w:val="0"/>
          <w:strike w:val="0"/>
          <w:dstrike w:val="0"/>
          <w:color w:val="auto"/>
          <w:lang w:val="en-US" w:eastAsia="zh-CN"/>
        </w:rPr>
        <w:t>要求。</w:t>
      </w:r>
    </w:p>
    <w:p w14:paraId="6B4549B2">
      <w:pPr>
        <w:pStyle w:val="4"/>
        <w:bidi w:val="0"/>
        <w:rPr>
          <w:rFonts w:hint="default"/>
          <w:color w:val="auto"/>
          <w:lang w:val="en-US" w:eastAsia="zh-CN"/>
        </w:rPr>
      </w:pPr>
      <w:bookmarkStart w:id="158" w:name="_Toc17367"/>
      <w:r>
        <w:rPr>
          <w:rFonts w:hint="default"/>
          <w:color w:val="auto"/>
          <w:lang w:val="en-US" w:eastAsia="zh-CN"/>
        </w:rPr>
        <w:t>2.6.</w:t>
      </w:r>
      <w:r>
        <w:rPr>
          <w:rFonts w:hint="eastAsia"/>
          <w:color w:val="auto"/>
          <w:lang w:val="en-US" w:eastAsia="zh-CN"/>
        </w:rPr>
        <w:t xml:space="preserve">4 </w:t>
      </w:r>
      <w:r>
        <w:rPr>
          <w:rFonts w:hint="default"/>
          <w:color w:val="auto"/>
          <w:lang w:val="en-US" w:eastAsia="zh-CN"/>
        </w:rPr>
        <w:t>安全监测设施</w:t>
      </w:r>
      <w:bookmarkEnd w:id="154"/>
      <w:bookmarkEnd w:id="155"/>
      <w:bookmarkEnd w:id="156"/>
      <w:bookmarkEnd w:id="157"/>
      <w:bookmarkEnd w:id="158"/>
    </w:p>
    <w:p w14:paraId="7D10B2D1">
      <w:pPr>
        <w:rPr>
          <w:rFonts w:hint="default"/>
          <w:color w:val="auto"/>
          <w:lang w:val="en-US" w:eastAsia="zh-CN"/>
        </w:rPr>
      </w:pPr>
      <w:r>
        <w:rPr>
          <w:rFonts w:hint="default"/>
          <w:color w:val="auto"/>
          <w:lang w:val="en-US" w:eastAsia="zh-CN"/>
        </w:rPr>
        <w:t>经现场检查，江西三和金业有限公司三号（氰化渣）尾矿库设有人工安全监测设施和在线监测设施，具体情况如下：</w:t>
      </w:r>
    </w:p>
    <w:p w14:paraId="2C749AF3">
      <w:pPr>
        <w:rPr>
          <w:rFonts w:hint="default"/>
          <w:color w:val="auto"/>
          <w:lang w:val="en-US" w:eastAsia="zh-CN"/>
        </w:rPr>
      </w:pPr>
      <w:r>
        <w:rPr>
          <w:rFonts w:hint="default"/>
          <w:color w:val="auto"/>
          <w:lang w:val="en-US" w:eastAsia="zh-CN"/>
        </w:rPr>
        <w:t>1</w:t>
      </w:r>
      <w:r>
        <w:rPr>
          <w:rFonts w:hint="eastAsia"/>
          <w:color w:val="auto"/>
          <w:lang w:val="en-US" w:eastAsia="zh-CN"/>
        </w:rPr>
        <w:t xml:space="preserve">. </w:t>
      </w:r>
      <w:r>
        <w:rPr>
          <w:rFonts w:hint="default"/>
          <w:color w:val="auto"/>
          <w:lang w:val="en-US" w:eastAsia="zh-CN"/>
        </w:rPr>
        <w:t>人工监测设施</w:t>
      </w:r>
    </w:p>
    <w:p w14:paraId="110A7C7B">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sz w:val="28"/>
          <w:szCs w:val="28"/>
        </w:rPr>
      </w:pPr>
      <w:r>
        <w:rPr>
          <w:rFonts w:hint="default"/>
          <w:color w:val="auto"/>
          <w:lang w:val="en-US" w:eastAsia="zh-CN"/>
        </w:rPr>
        <w:t>目前尾矿库人工监测设施有：初期坝上设置了3个坝体沉降</w:t>
      </w:r>
      <w:r>
        <w:rPr>
          <w:rFonts w:hint="eastAsia" w:ascii="宋体" w:hAnsi="宋体" w:eastAsia="宋体" w:cs="宋体"/>
          <w:sz w:val="28"/>
          <w:szCs w:val="28"/>
        </w:rPr>
        <w:t>位移观测点</w:t>
      </w:r>
      <w:r>
        <w:rPr>
          <w:rFonts w:hint="default"/>
          <w:color w:val="auto"/>
          <w:lang w:val="en-US" w:eastAsia="zh-CN"/>
        </w:rPr>
        <w:t>和3个坝体浸润线观测孔，在初期坝</w:t>
      </w:r>
      <w:r>
        <w:rPr>
          <w:rFonts w:hint="eastAsia"/>
          <w:color w:val="auto"/>
          <w:lang w:val="en-US" w:eastAsia="zh-CN"/>
        </w:rPr>
        <w:t>两侧</w:t>
      </w:r>
      <w:r>
        <w:rPr>
          <w:rFonts w:hint="default"/>
          <w:color w:val="auto"/>
          <w:lang w:val="en-US" w:eastAsia="zh-CN"/>
        </w:rPr>
        <w:t>坝肩山体上设有位移观测基准桩。</w:t>
      </w:r>
      <w:r>
        <w:rPr>
          <w:rFonts w:hint="eastAsia"/>
          <w:sz w:val="28"/>
          <w:szCs w:val="28"/>
        </w:rPr>
        <w:t>排水斜槽槽身上设置</w:t>
      </w:r>
      <w:r>
        <w:rPr>
          <w:rFonts w:hint="eastAsia"/>
          <w:sz w:val="28"/>
          <w:szCs w:val="28"/>
          <w:lang w:val="en-US" w:eastAsia="zh-CN"/>
        </w:rPr>
        <w:t>有</w:t>
      </w:r>
      <w:r>
        <w:rPr>
          <w:rFonts w:hint="eastAsia"/>
          <w:sz w:val="28"/>
          <w:szCs w:val="28"/>
        </w:rPr>
        <w:t>水位标尺刻度。</w:t>
      </w:r>
    </w:p>
    <w:p w14:paraId="115CCAA2">
      <w:pPr>
        <w:rPr>
          <w:rFonts w:hint="default"/>
          <w:color w:val="auto"/>
          <w:lang w:val="en-US" w:eastAsia="zh-CN"/>
        </w:rPr>
      </w:pPr>
      <w:r>
        <w:rPr>
          <w:rFonts w:hint="default"/>
          <w:color w:val="auto"/>
          <w:lang w:val="en-US" w:eastAsia="zh-CN"/>
        </w:rPr>
        <w:t>2</w:t>
      </w:r>
      <w:r>
        <w:rPr>
          <w:rFonts w:hint="eastAsia"/>
          <w:color w:val="auto"/>
          <w:lang w:val="en-US" w:eastAsia="zh-CN"/>
        </w:rPr>
        <w:t xml:space="preserve">. </w:t>
      </w:r>
      <w:r>
        <w:rPr>
          <w:rFonts w:hint="default"/>
          <w:color w:val="auto"/>
          <w:lang w:val="en-US" w:eastAsia="zh-CN"/>
        </w:rPr>
        <w:t>在线监测</w:t>
      </w:r>
    </w:p>
    <w:p w14:paraId="01765A22">
      <w:pPr>
        <w:rPr>
          <w:rFonts w:hint="default"/>
          <w:strike w:val="0"/>
          <w:dstrike w:val="0"/>
          <w:color w:val="auto"/>
          <w:lang w:val="en-US" w:eastAsia="zh-CN"/>
        </w:rPr>
      </w:pPr>
      <w:r>
        <w:rPr>
          <w:rFonts w:hint="eastAsia"/>
        </w:rPr>
        <w:t>三号（氰化渣）</w:t>
      </w:r>
      <w:r>
        <w:rPr>
          <w:rFonts w:hint="default"/>
          <w:strike w:val="0"/>
          <w:dstrike w:val="0"/>
          <w:color w:val="auto"/>
          <w:lang w:val="en-US" w:eastAsia="zh-CN"/>
        </w:rPr>
        <w:t>尾矿库在线监测系统设置表面位移、降雨量及视频监控监测项目。</w:t>
      </w:r>
    </w:p>
    <w:p w14:paraId="7240C220">
      <w:pPr>
        <w:rPr>
          <w:rFonts w:hint="default"/>
          <w:strike w:val="0"/>
          <w:dstrike w:val="0"/>
          <w:color w:val="auto"/>
          <w:lang w:val="en-US" w:eastAsia="zh-CN"/>
        </w:rPr>
      </w:pPr>
      <w:r>
        <w:rPr>
          <w:rFonts w:hint="default"/>
          <w:strike w:val="0"/>
          <w:dstrike w:val="0"/>
          <w:color w:val="auto"/>
          <w:lang w:val="en-US" w:eastAsia="zh-CN"/>
        </w:rPr>
        <w:t>坝体表面沉降监测：在初期坝坝顶设置了3个。</w:t>
      </w:r>
    </w:p>
    <w:p w14:paraId="03AA2C43">
      <w:pPr>
        <w:rPr>
          <w:rFonts w:hint="default"/>
          <w:strike w:val="0"/>
          <w:dstrike w:val="0"/>
          <w:color w:val="auto"/>
          <w:lang w:val="en-US" w:eastAsia="zh-CN"/>
        </w:rPr>
      </w:pPr>
      <w:r>
        <w:rPr>
          <w:rFonts w:hint="default"/>
          <w:strike w:val="0"/>
          <w:dstrike w:val="0"/>
          <w:color w:val="auto"/>
          <w:lang w:val="en-US" w:eastAsia="zh-CN"/>
        </w:rPr>
        <w:t>视频监测：在初期坝坝顶右侧、污水池右侧各设置</w:t>
      </w:r>
      <w:r>
        <w:rPr>
          <w:rFonts w:hint="eastAsia"/>
          <w:strike w:val="0"/>
          <w:dstrike w:val="0"/>
          <w:color w:val="auto"/>
          <w:lang w:val="en-US" w:eastAsia="zh-CN"/>
        </w:rPr>
        <w:t>了</w:t>
      </w:r>
      <w:r>
        <w:rPr>
          <w:rFonts w:hint="default"/>
          <w:strike w:val="0"/>
          <w:dstrike w:val="0"/>
          <w:color w:val="auto"/>
          <w:lang w:val="en-US" w:eastAsia="zh-CN"/>
        </w:rPr>
        <w:t>1个，共2个，通过现场摄像头实时拍摄并传输至控制室的显示屏上，直观显现尾矿库放矿及尾矿库运行等情况。</w:t>
      </w:r>
    </w:p>
    <w:p w14:paraId="68EDC8EE">
      <w:pPr>
        <w:rPr>
          <w:rFonts w:hint="default"/>
          <w:strike w:val="0"/>
          <w:dstrike w:val="0"/>
          <w:color w:val="auto"/>
          <w:lang w:val="en-US" w:eastAsia="zh-CN"/>
        </w:rPr>
      </w:pPr>
      <w:r>
        <w:rPr>
          <w:rFonts w:hint="default"/>
          <w:strike w:val="0"/>
          <w:dstrike w:val="0"/>
          <w:color w:val="auto"/>
          <w:lang w:val="en-US" w:eastAsia="zh-CN"/>
        </w:rPr>
        <w:t>降雨量监测：尾矿坝值班房处布置</w:t>
      </w:r>
      <w:r>
        <w:rPr>
          <w:rFonts w:hint="eastAsia"/>
          <w:strike w:val="0"/>
          <w:dstrike w:val="0"/>
          <w:color w:val="auto"/>
          <w:lang w:val="en-US" w:eastAsia="zh-CN"/>
        </w:rPr>
        <w:t>了</w:t>
      </w:r>
      <w:r>
        <w:rPr>
          <w:rFonts w:hint="default"/>
          <w:strike w:val="0"/>
          <w:dstrike w:val="0"/>
          <w:color w:val="auto"/>
          <w:lang w:val="en-US" w:eastAsia="zh-CN"/>
        </w:rPr>
        <w:t>1台雨量计。</w:t>
      </w:r>
    </w:p>
    <w:p w14:paraId="1CEDB98E">
      <w:pPr>
        <w:rPr>
          <w:rFonts w:hint="default"/>
          <w:strike w:val="0"/>
          <w:dstrike w:val="0"/>
          <w:color w:val="auto"/>
          <w:lang w:val="en-US" w:eastAsia="zh-CN"/>
        </w:rPr>
      </w:pPr>
      <w:r>
        <w:rPr>
          <w:rFonts w:hint="default"/>
          <w:color w:val="auto"/>
          <w:lang w:val="en-US" w:eastAsia="zh-CN"/>
        </w:rPr>
        <w:t>江西三和金业有限公司</w:t>
      </w:r>
      <w:r>
        <w:rPr>
          <w:rFonts w:hint="default"/>
          <w:strike w:val="0"/>
          <w:dstrike w:val="0"/>
          <w:color w:val="auto"/>
          <w:lang w:val="en-US" w:eastAsia="zh-CN"/>
        </w:rPr>
        <w:t>已按要求进行了坝体位移沉降、浸润线、库水位观测，保留有坝体位移沉降、浸润线、库水位观测记录，从坝体位移沉降、浸润线观测记录来看，坝体已固结、稳定，观测值变化、波动偏小，浸润线水位随暴雨、枯水季节有所波动，变化很小，浸润线埋深在</w:t>
      </w:r>
      <w:r>
        <w:rPr>
          <w:rFonts w:hint="eastAsia"/>
          <w:strike w:val="0"/>
          <w:dstrike w:val="0"/>
          <w:color w:val="auto"/>
          <w:lang w:val="en-US" w:eastAsia="zh-CN"/>
        </w:rPr>
        <w:t>5.18</w:t>
      </w:r>
      <w:r>
        <w:rPr>
          <w:rFonts w:hint="default"/>
          <w:strike w:val="0"/>
          <w:dstrike w:val="0"/>
          <w:color w:val="auto"/>
          <w:lang w:val="en-US" w:eastAsia="zh-CN"/>
        </w:rPr>
        <w:t>m～</w:t>
      </w:r>
      <w:r>
        <w:rPr>
          <w:rFonts w:hint="eastAsia"/>
          <w:strike w:val="0"/>
          <w:dstrike w:val="0"/>
          <w:color w:val="auto"/>
          <w:lang w:val="en-US" w:eastAsia="zh-CN"/>
        </w:rPr>
        <w:t>5.65</w:t>
      </w:r>
      <w:r>
        <w:rPr>
          <w:rFonts w:hint="default"/>
          <w:strike w:val="0"/>
          <w:dstrike w:val="0"/>
          <w:color w:val="auto"/>
          <w:lang w:val="en-US" w:eastAsia="zh-CN"/>
        </w:rPr>
        <w:t>m之间，符合规范值要求。</w:t>
      </w:r>
    </w:p>
    <w:p w14:paraId="5E08C689">
      <w:pPr>
        <w:rPr>
          <w:rFonts w:hint="default"/>
          <w:color w:val="auto"/>
          <w:lang w:val="en-US" w:eastAsia="zh-CN"/>
        </w:rPr>
      </w:pPr>
      <w:r>
        <w:rPr>
          <w:rFonts w:hint="default"/>
          <w:color w:val="auto"/>
          <w:lang w:val="en-US" w:eastAsia="zh-CN"/>
        </w:rPr>
        <w:t>现场检查时，江西三和金业有限公司</w:t>
      </w:r>
      <w:r>
        <w:rPr>
          <w:rFonts w:hint="eastAsia"/>
          <w:color w:val="auto"/>
          <w:lang w:val="en-US" w:eastAsia="zh-CN"/>
        </w:rPr>
        <w:t>的人工监测设施、在线监测设备运行正常。</w:t>
      </w:r>
    </w:p>
    <w:p w14:paraId="5C4A8FD8">
      <w:pPr>
        <w:rPr>
          <w:rFonts w:hint="default"/>
          <w:color w:val="auto"/>
          <w:lang w:val="en-US" w:eastAsia="zh-CN"/>
        </w:rPr>
      </w:pPr>
      <w:r>
        <w:rPr>
          <w:rFonts w:hint="eastAsia"/>
        </w:rPr>
        <w:t>江西三和金业有限公司三号（氰化渣）尾矿库</w:t>
      </w:r>
      <w:r>
        <w:rPr>
          <w:rFonts w:hint="default"/>
          <w:color w:val="auto"/>
          <w:lang w:val="en-US" w:eastAsia="zh-CN"/>
        </w:rPr>
        <w:t>在线监测系统</w:t>
      </w:r>
      <w:r>
        <w:rPr>
          <w:rFonts w:hint="eastAsia"/>
          <w:color w:val="auto"/>
          <w:lang w:val="en-US" w:eastAsia="zh-CN"/>
        </w:rPr>
        <w:t>已</w:t>
      </w:r>
      <w:r>
        <w:rPr>
          <w:rFonts w:hint="default"/>
          <w:color w:val="auto"/>
          <w:lang w:val="en-US" w:eastAsia="zh-CN"/>
        </w:rPr>
        <w:t>接入了省级尾矿库安全生产风险监测预警平台，实现了数据共享、互联互通；与国家灾害风险综合监测预警信息平台的对接，实现了环境监测、安全监管数据共享。</w:t>
      </w:r>
    </w:p>
    <w:p w14:paraId="3FCD3EFF">
      <w:pPr>
        <w:pStyle w:val="4"/>
        <w:bidi w:val="0"/>
        <w:rPr>
          <w:rFonts w:hint="default"/>
          <w:color w:val="auto"/>
          <w:lang w:val="en-US" w:eastAsia="zh-CN"/>
        </w:rPr>
      </w:pPr>
      <w:bookmarkStart w:id="159" w:name="_Toc19332"/>
      <w:bookmarkStart w:id="160" w:name="_Toc22816"/>
      <w:bookmarkStart w:id="161" w:name="_Toc23289"/>
      <w:bookmarkStart w:id="162" w:name="_Toc12021"/>
      <w:bookmarkStart w:id="163" w:name="_Toc16204"/>
      <w:r>
        <w:rPr>
          <w:rFonts w:hint="default"/>
          <w:color w:val="auto"/>
          <w:lang w:val="en-US" w:eastAsia="zh-CN"/>
        </w:rPr>
        <w:t>2.6.</w:t>
      </w:r>
      <w:r>
        <w:rPr>
          <w:rFonts w:hint="eastAsia"/>
          <w:color w:val="auto"/>
          <w:lang w:val="en-US" w:eastAsia="zh-CN"/>
        </w:rPr>
        <w:t xml:space="preserve">5 </w:t>
      </w:r>
      <w:r>
        <w:rPr>
          <w:rFonts w:hint="default"/>
          <w:color w:val="auto"/>
          <w:lang w:val="en-US" w:eastAsia="zh-CN"/>
        </w:rPr>
        <w:t>辅助安全设施</w:t>
      </w:r>
      <w:bookmarkEnd w:id="159"/>
      <w:bookmarkEnd w:id="160"/>
      <w:bookmarkEnd w:id="161"/>
      <w:bookmarkEnd w:id="162"/>
      <w:bookmarkEnd w:id="163"/>
    </w:p>
    <w:p w14:paraId="57E1EEAA">
      <w:pPr>
        <w:rPr>
          <w:rFonts w:hint="default"/>
          <w:color w:val="auto"/>
          <w:lang w:val="en-US" w:eastAsia="zh-CN"/>
        </w:rPr>
      </w:pPr>
      <w:r>
        <w:rPr>
          <w:rFonts w:hint="default"/>
          <w:color w:val="auto"/>
          <w:lang w:val="en-US" w:eastAsia="zh-CN"/>
        </w:rPr>
        <w:t>三和金业在初期坝下游约100.0m设有尾矿输送二级泵站，并建有尾矿库管理值班室和应急物资库，尾矿工采用手机与安环部联系。应急物资库配备了相应数量的土工布、编织袋、铁锹、锄头、救生衣、救生圈、应急灯等应急物资。三和金业在尾矿坝坝顶等处设有照明设施、在三号（氰化渣）尾矿库适当地点张贴有尾矿库安全运行牌、在库内适当地点树立有安全警示牌。</w:t>
      </w:r>
    </w:p>
    <w:p w14:paraId="22914F50">
      <w:pPr>
        <w:rPr>
          <w:rFonts w:hint="default"/>
          <w:color w:val="auto"/>
          <w:lang w:val="en-US" w:eastAsia="zh-CN"/>
        </w:rPr>
      </w:pPr>
      <w:r>
        <w:rPr>
          <w:rFonts w:hint="default"/>
          <w:color w:val="auto"/>
          <w:lang w:val="en-US" w:eastAsia="zh-CN"/>
        </w:rPr>
        <w:t>库区内有巡查道路可直达坝顶及排水斜槽等处，巡查道路畅通无阻。</w:t>
      </w:r>
    </w:p>
    <w:p w14:paraId="082CCF4B">
      <w:pPr>
        <w:pStyle w:val="3"/>
        <w:bidi w:val="0"/>
        <w:rPr>
          <w:rFonts w:hint="default"/>
          <w:color w:val="auto"/>
          <w:lang w:val="en-US" w:eastAsia="zh-CN"/>
        </w:rPr>
      </w:pPr>
      <w:bookmarkStart w:id="164" w:name="_Toc32552"/>
      <w:bookmarkStart w:id="165" w:name="_Toc10335"/>
      <w:bookmarkStart w:id="166" w:name="_Toc26250"/>
      <w:bookmarkStart w:id="167" w:name="_Toc28178"/>
      <w:bookmarkStart w:id="168" w:name="_Toc9284"/>
      <w:r>
        <w:rPr>
          <w:rFonts w:hint="default"/>
          <w:color w:val="auto"/>
          <w:lang w:val="en-US" w:eastAsia="zh-CN"/>
        </w:rPr>
        <w:t>2.7</w:t>
      </w:r>
      <w:r>
        <w:rPr>
          <w:rFonts w:hint="eastAsia"/>
          <w:color w:val="auto"/>
          <w:lang w:val="en-US" w:eastAsia="zh-CN"/>
        </w:rPr>
        <w:t xml:space="preserve"> </w:t>
      </w:r>
      <w:bookmarkEnd w:id="164"/>
      <w:bookmarkEnd w:id="165"/>
      <w:r>
        <w:rPr>
          <w:rFonts w:hint="default"/>
          <w:color w:val="auto"/>
          <w:lang w:val="en-US" w:eastAsia="zh-CN"/>
        </w:rPr>
        <w:t>干式尾矿运输</w:t>
      </w:r>
      <w:bookmarkEnd w:id="166"/>
      <w:bookmarkEnd w:id="167"/>
      <w:bookmarkEnd w:id="168"/>
    </w:p>
    <w:p w14:paraId="3CB12D3D">
      <w:pPr>
        <w:numPr>
          <w:ilvl w:val="0"/>
          <w:numId w:val="0"/>
        </w:numPr>
        <w:ind w:firstLine="560" w:firstLineChars="200"/>
        <w:rPr>
          <w:rFonts w:hint="default" w:ascii="Times New Roman" w:hAnsi="Times New Roman" w:eastAsia="宋体" w:cs="Times New Roman"/>
          <w:color w:val="auto"/>
          <w:lang w:val="en-US" w:eastAsia="zh-CN"/>
        </w:rPr>
      </w:pPr>
      <w:bookmarkStart w:id="169" w:name="_Toc26215"/>
      <w:bookmarkStart w:id="170" w:name="_Toc16602"/>
      <w:r>
        <w:rPr>
          <w:rFonts w:hint="default" w:ascii="Times New Roman" w:hAnsi="Times New Roman" w:eastAsia="宋体" w:cs="Times New Roman"/>
          <w:color w:val="auto"/>
          <w:kern w:val="2"/>
          <w:sz w:val="28"/>
          <w:szCs w:val="24"/>
          <w:lang w:val="en-US" w:eastAsia="zh-CN" w:bidi="ar-SA"/>
        </w:rPr>
        <w:t>1.</w:t>
      </w:r>
      <w:r>
        <w:rPr>
          <w:rFonts w:hint="eastAsia" w:ascii="Times New Roman" w:hAnsi="Times New Roman" w:eastAsia="宋体" w:cs="Times New Roman"/>
          <w:color w:val="auto"/>
          <w:kern w:val="2"/>
          <w:sz w:val="28"/>
          <w:szCs w:val="24"/>
          <w:lang w:val="en-US" w:eastAsia="zh-CN" w:bidi="ar-SA"/>
        </w:rPr>
        <w:t xml:space="preserve"> </w:t>
      </w:r>
      <w:r>
        <w:rPr>
          <w:rFonts w:hint="default" w:ascii="Times New Roman" w:hAnsi="Times New Roman" w:eastAsia="宋体" w:cs="Times New Roman"/>
          <w:color w:val="auto"/>
          <w:lang w:val="en-US" w:eastAsia="zh-CN"/>
        </w:rPr>
        <w:t>设计情况</w:t>
      </w:r>
    </w:p>
    <w:p w14:paraId="567AA98A">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选厂排出的尾矿浆压力输送至压滤间搅拌槽中，再经过压滤机压滤后</w:t>
      </w:r>
      <w:r>
        <w:rPr>
          <w:rFonts w:hint="eastAsia" w:cs="Times New Roman"/>
          <w:color w:val="auto"/>
          <w:lang w:val="en-US" w:eastAsia="zh-CN"/>
        </w:rPr>
        <w:t>，</w:t>
      </w:r>
      <w:r>
        <w:rPr>
          <w:rFonts w:hint="default" w:ascii="Times New Roman" w:hAnsi="Times New Roman" w:eastAsia="宋体" w:cs="Times New Roman"/>
          <w:color w:val="auto"/>
          <w:lang w:val="en-US" w:eastAsia="zh-CN"/>
        </w:rPr>
        <w:t>通过带式输送机直接送入尾矿库</w:t>
      </w:r>
      <w:r>
        <w:rPr>
          <w:rFonts w:hint="eastAsia" w:cs="Times New Roman"/>
          <w:color w:val="auto"/>
          <w:lang w:val="en-US" w:eastAsia="zh-CN"/>
        </w:rPr>
        <w:t>，</w:t>
      </w:r>
      <w:r>
        <w:rPr>
          <w:rFonts w:hint="default" w:ascii="Times New Roman" w:hAnsi="Times New Roman" w:eastAsia="宋体" w:cs="Times New Roman"/>
          <w:color w:val="auto"/>
          <w:lang w:val="en-US" w:eastAsia="zh-CN"/>
        </w:rPr>
        <w:t>推土机向库尾推进方式堆存尾矿。</w:t>
      </w:r>
    </w:p>
    <w:p w14:paraId="09EB8D01">
      <w:pPr>
        <w:numPr>
          <w:ilvl w:val="0"/>
          <w:numId w:val="0"/>
        </w:numPr>
        <w:ind w:left="0" w:leftChars="0" w:firstLine="56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2"/>
          <w:sz w:val="28"/>
          <w:szCs w:val="24"/>
          <w:lang w:val="en-US" w:eastAsia="zh-CN" w:bidi="ar-SA"/>
        </w:rPr>
        <w:t>2.</w:t>
      </w:r>
      <w:r>
        <w:rPr>
          <w:rFonts w:hint="eastAsia" w:ascii="Times New Roman" w:hAnsi="Times New Roman" w:eastAsia="宋体" w:cs="Times New Roman"/>
          <w:color w:val="auto"/>
          <w:kern w:val="2"/>
          <w:sz w:val="28"/>
          <w:szCs w:val="24"/>
          <w:lang w:val="en-US" w:eastAsia="zh-CN" w:bidi="ar-SA"/>
        </w:rPr>
        <w:t xml:space="preserve"> </w:t>
      </w:r>
      <w:r>
        <w:rPr>
          <w:rFonts w:hint="default" w:ascii="Times New Roman" w:hAnsi="Times New Roman" w:eastAsia="宋体" w:cs="Times New Roman"/>
          <w:color w:val="auto"/>
          <w:lang w:val="en-US" w:eastAsia="zh-CN"/>
        </w:rPr>
        <w:t>现场检查情况</w:t>
      </w:r>
    </w:p>
    <w:p w14:paraId="087923C8">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经现场检查，</w:t>
      </w:r>
      <w:r>
        <w:rPr>
          <w:rFonts w:hint="eastAsia" w:cs="Times New Roman"/>
          <w:color w:val="auto"/>
          <w:lang w:val="en-US" w:eastAsia="zh-CN"/>
        </w:rPr>
        <w:t>三</w:t>
      </w:r>
      <w:r>
        <w:rPr>
          <w:rFonts w:hint="default" w:ascii="Times New Roman" w:hAnsi="Times New Roman" w:eastAsia="宋体" w:cs="Times New Roman"/>
          <w:color w:val="auto"/>
          <w:lang w:val="en-US" w:eastAsia="zh-CN"/>
        </w:rPr>
        <w:t>号（氰化渣）尾矿库库内设有带式输送机及其支墩，目前在</w:t>
      </w:r>
      <w:r>
        <w:rPr>
          <w:rFonts w:hint="eastAsia" w:cs="Times New Roman"/>
          <w:color w:val="auto"/>
          <w:lang w:val="en-US" w:eastAsia="zh-CN"/>
        </w:rPr>
        <w:t>堆积</w:t>
      </w:r>
      <w:r>
        <w:rPr>
          <w:rFonts w:hint="default" w:ascii="Times New Roman" w:hAnsi="Times New Roman" w:eastAsia="宋体" w:cs="Times New Roman"/>
          <w:color w:val="auto"/>
          <w:lang w:val="en-US" w:eastAsia="zh-CN"/>
        </w:rPr>
        <w:t>坝前约</w:t>
      </w:r>
      <w:r>
        <w:rPr>
          <w:rFonts w:hint="eastAsia" w:cs="Times New Roman"/>
          <w:color w:val="auto"/>
          <w:lang w:val="en-US" w:eastAsia="zh-CN"/>
        </w:rPr>
        <w:t>9</w:t>
      </w:r>
      <w:r>
        <w:rPr>
          <w:rFonts w:hint="default" w:ascii="Times New Roman" w:hAnsi="Times New Roman" w:eastAsia="宋体" w:cs="Times New Roman"/>
          <w:color w:val="auto"/>
          <w:lang w:val="en-US" w:eastAsia="zh-CN"/>
        </w:rPr>
        <w:t>0m处、靠近压滤车间、现有带式输送机正下方排放尾矿，采用推土机分层碾压形成滩面。</w:t>
      </w:r>
    </w:p>
    <w:p w14:paraId="1C24BC71">
      <w:pPr>
        <w:pStyle w:val="3"/>
        <w:bidi w:val="0"/>
        <w:rPr>
          <w:rFonts w:hint="default"/>
          <w:color w:val="auto"/>
          <w:lang w:val="en-US" w:eastAsia="zh-CN"/>
        </w:rPr>
      </w:pPr>
      <w:bookmarkStart w:id="171" w:name="_Toc15196"/>
      <w:bookmarkStart w:id="172" w:name="_Toc25714"/>
      <w:bookmarkStart w:id="173" w:name="_Toc13057"/>
      <w:r>
        <w:rPr>
          <w:rFonts w:hint="default"/>
          <w:color w:val="auto"/>
          <w:lang w:val="en-US" w:eastAsia="zh-CN"/>
        </w:rPr>
        <w:t>2.8</w:t>
      </w:r>
      <w:r>
        <w:rPr>
          <w:rFonts w:hint="eastAsia"/>
          <w:color w:val="auto"/>
          <w:lang w:val="en-US" w:eastAsia="zh-CN"/>
        </w:rPr>
        <w:t xml:space="preserve"> </w:t>
      </w:r>
      <w:r>
        <w:rPr>
          <w:rFonts w:hint="default"/>
          <w:color w:val="auto"/>
          <w:lang w:val="en-US" w:eastAsia="zh-CN"/>
        </w:rPr>
        <w:t>安全综合管理</w:t>
      </w:r>
      <w:bookmarkEnd w:id="169"/>
      <w:bookmarkEnd w:id="170"/>
      <w:bookmarkEnd w:id="171"/>
      <w:bookmarkEnd w:id="172"/>
      <w:bookmarkEnd w:id="173"/>
    </w:p>
    <w:p w14:paraId="5C9F65AB">
      <w:pPr>
        <w:pStyle w:val="4"/>
        <w:bidi w:val="0"/>
        <w:rPr>
          <w:rFonts w:hint="default"/>
          <w:color w:val="auto"/>
          <w:lang w:val="en-US" w:eastAsia="zh-CN"/>
        </w:rPr>
      </w:pPr>
      <w:bookmarkStart w:id="174" w:name="_Toc29417"/>
      <w:bookmarkStart w:id="175" w:name="_Toc5047"/>
      <w:bookmarkStart w:id="176" w:name="_Toc4708"/>
      <w:bookmarkStart w:id="177" w:name="_Toc19361"/>
      <w:bookmarkStart w:id="178" w:name="_Toc20241"/>
      <w:r>
        <w:rPr>
          <w:rFonts w:hint="default"/>
          <w:color w:val="auto"/>
          <w:lang w:val="en-US" w:eastAsia="zh-CN"/>
        </w:rPr>
        <w:t>2.8.1</w:t>
      </w:r>
      <w:r>
        <w:rPr>
          <w:rFonts w:hint="eastAsia"/>
          <w:color w:val="auto"/>
          <w:lang w:val="en-US" w:eastAsia="zh-CN"/>
        </w:rPr>
        <w:t xml:space="preserve"> </w:t>
      </w:r>
      <w:r>
        <w:rPr>
          <w:rFonts w:hint="default"/>
          <w:color w:val="auto"/>
          <w:lang w:val="en-US" w:eastAsia="zh-CN"/>
        </w:rPr>
        <w:t>安全机构设置</w:t>
      </w:r>
      <w:bookmarkEnd w:id="174"/>
      <w:bookmarkEnd w:id="175"/>
      <w:bookmarkEnd w:id="176"/>
      <w:bookmarkEnd w:id="177"/>
      <w:bookmarkEnd w:id="178"/>
    </w:p>
    <w:p w14:paraId="7B04FEDD">
      <w:pPr>
        <w:bidi w:val="0"/>
        <w:rPr>
          <w:rFonts w:hint="default"/>
          <w:strike w:val="0"/>
          <w:dstrike w:val="0"/>
          <w:color w:val="auto"/>
          <w:lang w:val="en-US" w:eastAsia="zh-CN"/>
        </w:rPr>
      </w:pPr>
      <w:r>
        <w:rPr>
          <w:rFonts w:hint="default"/>
          <w:strike w:val="0"/>
          <w:dstrike w:val="0"/>
          <w:color w:val="auto"/>
          <w:lang w:val="en-US" w:eastAsia="zh-CN"/>
        </w:rPr>
        <w:t>江西三和金业有限公司设立了专职安全生产管理机构，配备了专职管理人员。</w:t>
      </w:r>
    </w:p>
    <w:p w14:paraId="54680625">
      <w:pPr>
        <w:rPr>
          <w:rFonts w:hint="default"/>
          <w:strike w:val="0"/>
          <w:dstrike w:val="0"/>
          <w:color w:val="auto"/>
          <w:lang w:val="en-US" w:eastAsia="zh-CN"/>
        </w:rPr>
      </w:pPr>
      <w:r>
        <w:rPr>
          <w:rFonts w:hint="default"/>
          <w:strike w:val="0"/>
          <w:dstrike w:val="0"/>
          <w:color w:val="auto"/>
          <w:lang w:val="en-US" w:eastAsia="zh-CN"/>
        </w:rPr>
        <w:t>配备了</w:t>
      </w:r>
      <w:r>
        <w:rPr>
          <w:rFonts w:hint="eastAsia"/>
          <w:b w:val="0"/>
          <w:bCs w:val="0"/>
          <w:strike w:val="0"/>
          <w:dstrike w:val="0"/>
          <w:color w:val="auto"/>
          <w:lang w:val="en-US" w:eastAsia="zh-CN"/>
        </w:rPr>
        <w:t>2</w:t>
      </w:r>
      <w:r>
        <w:rPr>
          <w:rFonts w:hint="default"/>
          <w:strike w:val="0"/>
          <w:dstrike w:val="0"/>
          <w:color w:val="auto"/>
          <w:lang w:val="en-US" w:eastAsia="zh-CN"/>
        </w:rPr>
        <w:t>名专职安全管理人员</w:t>
      </w:r>
      <w:r>
        <w:rPr>
          <w:rFonts w:hint="eastAsia"/>
          <w:strike w:val="0"/>
          <w:dstrike w:val="0"/>
          <w:color w:val="auto"/>
          <w:lang w:val="en-US" w:eastAsia="zh-CN"/>
        </w:rPr>
        <w:t>、</w:t>
      </w:r>
      <w:r>
        <w:rPr>
          <w:rFonts w:hint="default"/>
          <w:strike w:val="0"/>
          <w:dstrike w:val="0"/>
          <w:color w:val="auto"/>
          <w:lang w:val="en-US" w:eastAsia="zh-CN"/>
        </w:rPr>
        <w:t>专业技术人员</w:t>
      </w:r>
      <w:r>
        <w:rPr>
          <w:rFonts w:hint="eastAsia"/>
          <w:strike w:val="0"/>
          <w:dstrike w:val="0"/>
          <w:color w:val="auto"/>
          <w:lang w:val="en-US" w:eastAsia="zh-CN"/>
        </w:rPr>
        <w:t>1</w:t>
      </w:r>
      <w:r>
        <w:rPr>
          <w:rFonts w:hint="default"/>
          <w:strike w:val="0"/>
          <w:dstrike w:val="0"/>
          <w:color w:val="auto"/>
          <w:lang w:val="en-US" w:eastAsia="zh-CN"/>
        </w:rPr>
        <w:t>人</w:t>
      </w:r>
      <w:r>
        <w:rPr>
          <w:rFonts w:hint="eastAsia"/>
          <w:strike w:val="0"/>
          <w:dstrike w:val="0"/>
          <w:color w:val="auto"/>
          <w:lang w:val="en-US" w:eastAsia="zh-CN"/>
        </w:rPr>
        <w:t>（矿物加工工程）、</w:t>
      </w:r>
      <w:r>
        <w:rPr>
          <w:rFonts w:hint="default"/>
          <w:strike w:val="0"/>
          <w:dstrike w:val="0"/>
          <w:color w:val="auto"/>
          <w:lang w:val="en-US" w:eastAsia="zh-CN"/>
        </w:rPr>
        <w:t>尾矿作业人员</w:t>
      </w:r>
      <w:r>
        <w:rPr>
          <w:rFonts w:hint="eastAsia"/>
          <w:strike w:val="0"/>
          <w:dstrike w:val="0"/>
          <w:color w:val="auto"/>
          <w:lang w:val="en-US" w:eastAsia="zh-CN"/>
        </w:rPr>
        <w:t>6</w:t>
      </w:r>
      <w:r>
        <w:rPr>
          <w:rFonts w:hint="default"/>
          <w:strike w:val="0"/>
          <w:dstrike w:val="0"/>
          <w:color w:val="auto"/>
          <w:lang w:val="en-US" w:eastAsia="zh-CN"/>
        </w:rPr>
        <w:t>人</w:t>
      </w:r>
      <w:r>
        <w:rPr>
          <w:rFonts w:hint="eastAsia"/>
          <w:strike w:val="0"/>
          <w:dstrike w:val="0"/>
          <w:color w:val="auto"/>
          <w:lang w:val="en-US" w:eastAsia="zh-CN"/>
        </w:rPr>
        <w:t>管理尾矿库</w:t>
      </w:r>
      <w:r>
        <w:rPr>
          <w:rFonts w:hint="default"/>
          <w:strike w:val="0"/>
          <w:dstrike w:val="0"/>
          <w:color w:val="auto"/>
          <w:lang w:val="en-US" w:eastAsia="zh-CN"/>
        </w:rPr>
        <w:t>，上述人员均持证上岗且证件均在有效期内。另外，企业配有</w:t>
      </w:r>
      <w:r>
        <w:rPr>
          <w:rFonts w:hint="eastAsia"/>
          <w:strike w:val="0"/>
          <w:dstrike w:val="0"/>
          <w:color w:val="auto"/>
          <w:lang w:val="en-US" w:eastAsia="zh-CN"/>
        </w:rPr>
        <w:t>1</w:t>
      </w:r>
      <w:r>
        <w:rPr>
          <w:rFonts w:hint="default"/>
          <w:strike w:val="0"/>
          <w:dstrike w:val="0"/>
          <w:color w:val="auto"/>
          <w:lang w:val="en-US" w:eastAsia="zh-CN"/>
        </w:rPr>
        <w:t>名注册安全工程师从事安全生产管理工作。</w:t>
      </w:r>
    </w:p>
    <w:p w14:paraId="16B512B3">
      <w:pPr>
        <w:pStyle w:val="4"/>
        <w:bidi w:val="0"/>
        <w:rPr>
          <w:rFonts w:hint="default"/>
          <w:color w:val="auto"/>
          <w:lang w:val="en-US" w:eastAsia="zh-CN"/>
        </w:rPr>
      </w:pPr>
      <w:bookmarkStart w:id="179" w:name="_Toc17369"/>
      <w:bookmarkStart w:id="180" w:name="_Toc7798"/>
      <w:bookmarkStart w:id="181" w:name="_Toc10834"/>
      <w:bookmarkStart w:id="182" w:name="_Toc12525"/>
      <w:bookmarkStart w:id="183" w:name="_Toc26109"/>
      <w:r>
        <w:rPr>
          <w:rFonts w:hint="default"/>
          <w:color w:val="auto"/>
          <w:lang w:val="en-US" w:eastAsia="zh-CN"/>
        </w:rPr>
        <w:t>2.8.2</w:t>
      </w:r>
      <w:r>
        <w:rPr>
          <w:rFonts w:hint="eastAsia"/>
          <w:color w:val="auto"/>
          <w:lang w:val="en-US" w:eastAsia="zh-CN"/>
        </w:rPr>
        <w:t xml:space="preserve"> </w:t>
      </w:r>
      <w:r>
        <w:rPr>
          <w:rFonts w:hint="default"/>
          <w:color w:val="auto"/>
          <w:lang w:val="en-US" w:eastAsia="zh-CN"/>
        </w:rPr>
        <w:t>安全生产管理</w:t>
      </w:r>
      <w:r>
        <w:rPr>
          <w:rFonts w:hint="eastAsia"/>
          <w:color w:val="auto"/>
          <w:lang w:val="en-US" w:eastAsia="zh-CN"/>
        </w:rPr>
        <w:t>规章</w:t>
      </w:r>
      <w:r>
        <w:rPr>
          <w:rFonts w:hint="default"/>
          <w:color w:val="auto"/>
          <w:lang w:val="en-US" w:eastAsia="zh-CN"/>
        </w:rPr>
        <w:t>制度</w:t>
      </w:r>
      <w:bookmarkEnd w:id="179"/>
      <w:bookmarkEnd w:id="180"/>
      <w:bookmarkEnd w:id="181"/>
      <w:bookmarkEnd w:id="182"/>
      <w:bookmarkEnd w:id="183"/>
    </w:p>
    <w:p w14:paraId="5729A3C9">
      <w:pPr>
        <w:rPr>
          <w:rFonts w:hint="default"/>
          <w:strike w:val="0"/>
          <w:dstrike w:val="0"/>
          <w:color w:val="auto"/>
          <w:lang w:val="en-US" w:eastAsia="zh-CN"/>
        </w:rPr>
      </w:pPr>
      <w:r>
        <w:rPr>
          <w:rFonts w:hint="default"/>
          <w:strike w:val="0"/>
          <w:dstrike w:val="0"/>
          <w:color w:val="auto"/>
          <w:lang w:val="en-US" w:eastAsia="zh-CN"/>
        </w:rPr>
        <w:t>三和金业制定了安全教育培训制度、安全检查制度、事故隐患排查与整改制度等各项安全管理制度。建立了公司领导、各职能部门和管理人员及包括尾矿工在内的各从业人员的岗位安全生产责任制。还制定了包括尾矿工在内的数十个工种的操作规程和作业安全规程。</w:t>
      </w:r>
    </w:p>
    <w:p w14:paraId="59CE2FAF">
      <w:pPr>
        <w:pStyle w:val="4"/>
        <w:bidi w:val="0"/>
        <w:rPr>
          <w:rFonts w:hint="default"/>
          <w:color w:val="auto"/>
          <w:lang w:val="en-US" w:eastAsia="zh-CN"/>
        </w:rPr>
      </w:pPr>
      <w:bookmarkStart w:id="184" w:name="_Toc29200"/>
      <w:bookmarkStart w:id="185" w:name="_Toc30555"/>
      <w:bookmarkStart w:id="186" w:name="_Toc27827"/>
      <w:bookmarkStart w:id="187" w:name="_Toc9814"/>
      <w:bookmarkStart w:id="188" w:name="_Toc28479"/>
      <w:r>
        <w:rPr>
          <w:rFonts w:hint="default"/>
          <w:color w:val="auto"/>
          <w:lang w:val="en-US" w:eastAsia="zh-CN"/>
        </w:rPr>
        <w:t>2.8.3</w:t>
      </w:r>
      <w:r>
        <w:rPr>
          <w:rFonts w:hint="eastAsia"/>
          <w:color w:val="auto"/>
          <w:lang w:val="en-US" w:eastAsia="zh-CN"/>
        </w:rPr>
        <w:t xml:space="preserve"> </w:t>
      </w:r>
      <w:r>
        <w:rPr>
          <w:rFonts w:hint="default"/>
          <w:color w:val="auto"/>
          <w:lang w:val="en-US" w:eastAsia="zh-CN"/>
        </w:rPr>
        <w:t>安全生产应急救援与措施</w:t>
      </w:r>
      <w:bookmarkEnd w:id="184"/>
      <w:bookmarkEnd w:id="185"/>
      <w:bookmarkEnd w:id="186"/>
      <w:bookmarkEnd w:id="187"/>
      <w:bookmarkEnd w:id="188"/>
    </w:p>
    <w:p w14:paraId="420B6C85">
      <w:pPr>
        <w:rPr>
          <w:rFonts w:hint="default"/>
          <w:color w:val="auto"/>
          <w:lang w:val="en-US" w:eastAsia="zh-CN"/>
        </w:rPr>
      </w:pPr>
      <w:r>
        <w:rPr>
          <w:rFonts w:hint="eastAsia"/>
          <w:color w:val="auto"/>
          <w:lang w:val="en-US" w:eastAsia="zh-CN"/>
        </w:rPr>
        <w:t xml:space="preserve">1. </w:t>
      </w:r>
      <w:r>
        <w:rPr>
          <w:rFonts w:hint="default"/>
          <w:color w:val="auto"/>
          <w:lang w:val="en-US" w:eastAsia="zh-CN"/>
        </w:rPr>
        <w:t>应急救援预案</w:t>
      </w:r>
    </w:p>
    <w:p w14:paraId="24AB2A96">
      <w:pPr>
        <w:rPr>
          <w:rFonts w:hint="default"/>
          <w:color w:val="auto"/>
          <w:lang w:val="en-US" w:eastAsia="zh-CN"/>
        </w:rPr>
      </w:pPr>
      <w:r>
        <w:rPr>
          <w:rFonts w:hint="default"/>
          <w:color w:val="auto"/>
          <w:lang w:val="en-US" w:eastAsia="zh-CN"/>
        </w:rPr>
        <w:t>企业</w:t>
      </w:r>
      <w:r>
        <w:rPr>
          <w:rFonts w:hint="eastAsia" w:ascii="Times New Roman" w:hAnsi="Times New Roman" w:eastAsia="宋体" w:cs="Times New Roman"/>
          <w:color w:val="auto"/>
          <w:sz w:val="28"/>
          <w:szCs w:val="28"/>
          <w:lang w:val="en-US" w:eastAsia="zh-CN"/>
        </w:rPr>
        <w:t>制定了</w:t>
      </w:r>
      <w:r>
        <w:rPr>
          <w:rFonts w:hint="default"/>
          <w:color w:val="auto"/>
          <w:lang w:val="en-US" w:eastAsia="zh-CN"/>
        </w:rPr>
        <w:t>《</w:t>
      </w:r>
      <w:r>
        <w:rPr>
          <w:rFonts w:hint="eastAsia" w:ascii="Times New Roman" w:hAnsi="Times New Roman" w:eastAsia="宋体" w:cs="Times New Roman"/>
          <w:color w:val="auto"/>
          <w:sz w:val="28"/>
          <w:szCs w:val="28"/>
          <w:lang w:val="en-US" w:eastAsia="zh-CN"/>
        </w:rPr>
        <w:t>江西三和金业有限公司安全生产事故应急预案</w:t>
      </w:r>
      <w:r>
        <w:rPr>
          <w:rFonts w:hint="default"/>
          <w:color w:val="auto"/>
          <w:lang w:val="en-US" w:eastAsia="zh-CN"/>
        </w:rPr>
        <w:t>》</w:t>
      </w:r>
      <w:r>
        <w:rPr>
          <w:rFonts w:hint="eastAsia"/>
          <w:color w:val="auto"/>
          <w:lang w:val="en-US" w:eastAsia="zh-CN"/>
        </w:rPr>
        <w:t>，</w:t>
      </w:r>
      <w:r>
        <w:rPr>
          <w:rFonts w:hint="default"/>
          <w:color w:val="auto"/>
          <w:lang w:val="en-US" w:eastAsia="zh-CN"/>
        </w:rPr>
        <w:t>该应急救援预案于202</w:t>
      </w:r>
      <w:r>
        <w:rPr>
          <w:rFonts w:hint="eastAsia"/>
          <w:color w:val="auto"/>
          <w:lang w:val="en-US" w:eastAsia="zh-CN"/>
        </w:rPr>
        <w:t>5</w:t>
      </w:r>
      <w:r>
        <w:rPr>
          <w:rFonts w:hint="default"/>
          <w:color w:val="auto"/>
          <w:lang w:val="en-US" w:eastAsia="zh-CN"/>
        </w:rPr>
        <w:t>年</w:t>
      </w:r>
      <w:r>
        <w:rPr>
          <w:rFonts w:hint="eastAsia"/>
          <w:color w:val="auto"/>
          <w:lang w:val="en-US" w:eastAsia="zh-CN"/>
        </w:rPr>
        <w:t>8</w:t>
      </w:r>
      <w:r>
        <w:rPr>
          <w:rFonts w:hint="default"/>
          <w:color w:val="auto"/>
          <w:lang w:val="en-US" w:eastAsia="zh-CN"/>
        </w:rPr>
        <w:t>月</w:t>
      </w:r>
      <w:r>
        <w:rPr>
          <w:rFonts w:hint="eastAsia"/>
          <w:color w:val="auto"/>
          <w:lang w:val="en-US" w:eastAsia="zh-CN"/>
        </w:rPr>
        <w:t>6</w:t>
      </w:r>
      <w:r>
        <w:rPr>
          <w:rFonts w:hint="default"/>
          <w:color w:val="auto"/>
          <w:lang w:val="en-US" w:eastAsia="zh-CN"/>
        </w:rPr>
        <w:t>日经</w:t>
      </w:r>
      <w:r>
        <w:rPr>
          <w:rFonts w:hint="eastAsia"/>
          <w:color w:val="auto"/>
          <w:lang w:val="en-US" w:eastAsia="zh-CN"/>
        </w:rPr>
        <w:t>上饶市应急管理局</w:t>
      </w:r>
      <w:r>
        <w:rPr>
          <w:rFonts w:hint="default"/>
          <w:color w:val="auto"/>
          <w:lang w:val="en-US" w:eastAsia="zh-CN"/>
        </w:rPr>
        <w:t>备案，备案</w:t>
      </w:r>
      <w:r>
        <w:rPr>
          <w:rFonts w:hint="eastAsia"/>
          <w:color w:val="auto"/>
          <w:lang w:val="en-US" w:eastAsia="zh-CN"/>
        </w:rPr>
        <w:t>编</w:t>
      </w:r>
      <w:r>
        <w:rPr>
          <w:rFonts w:hint="default"/>
          <w:color w:val="auto"/>
          <w:lang w:val="en-US" w:eastAsia="zh-CN"/>
        </w:rPr>
        <w:t>号为</w:t>
      </w:r>
      <w:r>
        <w:rPr>
          <w:rFonts w:hint="eastAsia" w:ascii="Times New Roman" w:hAnsi="Times New Roman" w:eastAsia="宋体" w:cs="Times New Roman"/>
          <w:color w:val="auto"/>
          <w:sz w:val="28"/>
          <w:szCs w:val="28"/>
          <w:lang w:val="en-US" w:eastAsia="zh-CN"/>
        </w:rPr>
        <w:t>YJYA362325-2025-4002</w:t>
      </w:r>
      <w:r>
        <w:rPr>
          <w:rFonts w:hint="default"/>
          <w:color w:val="auto"/>
          <w:lang w:val="en-US" w:eastAsia="zh-CN"/>
        </w:rPr>
        <w:t>。</w:t>
      </w:r>
    </w:p>
    <w:p w14:paraId="282ACABC">
      <w:pPr>
        <w:rPr>
          <w:rFonts w:hint="default"/>
          <w:color w:val="auto"/>
          <w:lang w:val="en-US" w:eastAsia="zh-CN"/>
        </w:rPr>
      </w:pPr>
      <w:r>
        <w:rPr>
          <w:rFonts w:hint="eastAsia"/>
          <w:color w:val="auto"/>
          <w:lang w:val="en-US" w:eastAsia="zh-CN"/>
        </w:rPr>
        <w:t xml:space="preserve">2. </w:t>
      </w:r>
      <w:r>
        <w:rPr>
          <w:rFonts w:hint="default"/>
          <w:color w:val="auto"/>
          <w:lang w:val="en-US" w:eastAsia="zh-CN"/>
        </w:rPr>
        <w:t>事故应急救援队伍</w:t>
      </w:r>
    </w:p>
    <w:p w14:paraId="44F76E33">
      <w:pPr>
        <w:rPr>
          <w:rFonts w:hint="default"/>
          <w:color w:val="auto"/>
          <w:lang w:val="en-US" w:eastAsia="zh-CN"/>
        </w:rPr>
      </w:pPr>
      <w:r>
        <w:rPr>
          <w:rFonts w:hint="default"/>
          <w:color w:val="auto"/>
          <w:lang w:val="en-US" w:eastAsia="zh-CN"/>
        </w:rPr>
        <w:t>202</w:t>
      </w:r>
      <w:r>
        <w:rPr>
          <w:rFonts w:hint="eastAsia"/>
          <w:color w:val="auto"/>
          <w:lang w:val="en-US" w:eastAsia="zh-CN"/>
        </w:rPr>
        <w:t>5</w:t>
      </w:r>
      <w:r>
        <w:rPr>
          <w:rFonts w:hint="default"/>
          <w:color w:val="auto"/>
          <w:lang w:val="en-US" w:eastAsia="zh-CN"/>
        </w:rPr>
        <w:t>年</w:t>
      </w:r>
      <w:r>
        <w:rPr>
          <w:rFonts w:hint="eastAsia"/>
          <w:color w:val="auto"/>
          <w:lang w:val="en-US" w:eastAsia="zh-CN"/>
        </w:rPr>
        <w:t>9</w:t>
      </w:r>
      <w:r>
        <w:rPr>
          <w:rFonts w:hint="default"/>
          <w:color w:val="auto"/>
          <w:lang w:val="en-US" w:eastAsia="zh-CN"/>
        </w:rPr>
        <w:t>月</w:t>
      </w:r>
      <w:r>
        <w:rPr>
          <w:rFonts w:hint="eastAsia"/>
          <w:color w:val="auto"/>
          <w:lang w:val="en-US" w:eastAsia="zh-CN"/>
        </w:rPr>
        <w:t>15</w:t>
      </w:r>
      <w:r>
        <w:rPr>
          <w:rFonts w:hint="default"/>
          <w:color w:val="auto"/>
          <w:lang w:val="en-US" w:eastAsia="zh-CN"/>
        </w:rPr>
        <w:t>日</w:t>
      </w:r>
      <w:r>
        <w:rPr>
          <w:rFonts w:hint="eastAsia"/>
          <w:color w:val="auto"/>
          <w:lang w:val="en-US" w:eastAsia="zh-CN"/>
        </w:rPr>
        <w:t>，</w:t>
      </w:r>
      <w:r>
        <w:rPr>
          <w:rFonts w:hint="eastAsia" w:ascii="Times New Roman" w:hAnsi="Times New Roman" w:eastAsia="宋体" w:cs="Times New Roman"/>
          <w:color w:val="auto"/>
          <w:sz w:val="28"/>
          <w:szCs w:val="28"/>
          <w:lang w:val="en-US" w:eastAsia="zh-CN"/>
        </w:rPr>
        <w:t>江西三和金业有限公司</w:t>
      </w:r>
      <w:r>
        <w:rPr>
          <w:rFonts w:hint="default"/>
          <w:color w:val="auto"/>
          <w:lang w:val="en-US" w:eastAsia="zh-CN"/>
        </w:rPr>
        <w:t>与</w:t>
      </w:r>
      <w:r>
        <w:rPr>
          <w:rFonts w:hint="eastAsia"/>
          <w:color w:val="auto"/>
          <w:lang w:val="en-US" w:eastAsia="zh-CN"/>
        </w:rPr>
        <w:t>德兴市森林消防大队</w:t>
      </w:r>
      <w:r>
        <w:rPr>
          <w:rFonts w:hint="default"/>
          <w:color w:val="auto"/>
          <w:lang w:val="en-US" w:eastAsia="zh-CN"/>
        </w:rPr>
        <w:t>签订了《非煤矿山生产灾害事故救护协议》，有效期</w:t>
      </w:r>
      <w:r>
        <w:rPr>
          <w:rFonts w:hint="eastAsia"/>
          <w:color w:val="auto"/>
          <w:lang w:val="en-US" w:eastAsia="zh-CN"/>
        </w:rPr>
        <w:t>壹年，</w:t>
      </w:r>
      <w:r>
        <w:rPr>
          <w:rFonts w:hint="default"/>
          <w:color w:val="auto"/>
          <w:lang w:val="en-US" w:eastAsia="zh-CN"/>
        </w:rPr>
        <w:t>有效期至202</w:t>
      </w:r>
      <w:r>
        <w:rPr>
          <w:rFonts w:hint="eastAsia"/>
          <w:color w:val="auto"/>
          <w:lang w:val="en-US" w:eastAsia="zh-CN"/>
        </w:rPr>
        <w:t>6</w:t>
      </w:r>
      <w:r>
        <w:rPr>
          <w:rFonts w:hint="default"/>
          <w:color w:val="auto"/>
          <w:lang w:val="en-US" w:eastAsia="zh-CN"/>
        </w:rPr>
        <w:t>年</w:t>
      </w:r>
      <w:r>
        <w:rPr>
          <w:rFonts w:hint="eastAsia"/>
          <w:color w:val="auto"/>
          <w:lang w:val="en-US" w:eastAsia="zh-CN"/>
        </w:rPr>
        <w:t>9</w:t>
      </w:r>
      <w:r>
        <w:rPr>
          <w:rFonts w:hint="default"/>
          <w:color w:val="auto"/>
          <w:lang w:val="en-US" w:eastAsia="zh-CN"/>
        </w:rPr>
        <w:t>月</w:t>
      </w:r>
      <w:r>
        <w:rPr>
          <w:rFonts w:hint="eastAsia"/>
          <w:color w:val="auto"/>
          <w:lang w:val="en-US" w:eastAsia="zh-CN"/>
        </w:rPr>
        <w:t>14</w:t>
      </w:r>
      <w:r>
        <w:rPr>
          <w:rFonts w:hint="default"/>
          <w:color w:val="auto"/>
          <w:lang w:val="en-US" w:eastAsia="zh-CN"/>
        </w:rPr>
        <w:t>日。</w:t>
      </w:r>
    </w:p>
    <w:p w14:paraId="62306917">
      <w:pPr>
        <w:rPr>
          <w:rFonts w:hint="default"/>
          <w:color w:val="auto"/>
          <w:lang w:val="en-US" w:eastAsia="zh-CN"/>
        </w:rPr>
      </w:pPr>
      <w:r>
        <w:rPr>
          <w:rFonts w:hint="default"/>
          <w:color w:val="auto"/>
          <w:lang w:val="en-US" w:eastAsia="zh-CN"/>
        </w:rPr>
        <w:t>202</w:t>
      </w:r>
      <w:r>
        <w:rPr>
          <w:rFonts w:hint="eastAsia"/>
          <w:color w:val="auto"/>
          <w:lang w:val="en-US" w:eastAsia="zh-CN"/>
        </w:rPr>
        <w:t>5</w:t>
      </w:r>
      <w:r>
        <w:rPr>
          <w:rFonts w:hint="default"/>
          <w:color w:val="auto"/>
          <w:lang w:val="en-US" w:eastAsia="zh-CN"/>
        </w:rPr>
        <w:t>年</w:t>
      </w:r>
      <w:r>
        <w:rPr>
          <w:rFonts w:hint="eastAsia"/>
          <w:color w:val="auto"/>
          <w:lang w:val="en-US" w:eastAsia="zh-CN"/>
        </w:rPr>
        <w:t>4</w:t>
      </w:r>
      <w:r>
        <w:rPr>
          <w:rFonts w:hint="default"/>
          <w:color w:val="auto"/>
          <w:lang w:val="en-US" w:eastAsia="zh-CN"/>
        </w:rPr>
        <w:t>月</w:t>
      </w:r>
      <w:r>
        <w:rPr>
          <w:rFonts w:hint="eastAsia"/>
          <w:color w:val="auto"/>
          <w:lang w:val="en-US" w:eastAsia="zh-CN"/>
        </w:rPr>
        <w:t>11日</w:t>
      </w:r>
      <w:r>
        <w:rPr>
          <w:rFonts w:hint="default"/>
          <w:color w:val="auto"/>
          <w:lang w:val="en-US" w:eastAsia="zh-CN"/>
        </w:rPr>
        <w:t>，</w:t>
      </w:r>
      <w:r>
        <w:rPr>
          <w:rFonts w:hint="eastAsia" w:ascii="Times New Roman" w:hAnsi="Times New Roman" w:eastAsia="宋体" w:cs="Times New Roman"/>
          <w:color w:val="auto"/>
          <w:sz w:val="28"/>
          <w:szCs w:val="28"/>
          <w:lang w:val="en-US" w:eastAsia="zh-CN"/>
        </w:rPr>
        <w:t>江西三和金业有限公司</w:t>
      </w:r>
      <w:r>
        <w:rPr>
          <w:rFonts w:hint="default"/>
          <w:color w:val="auto"/>
          <w:lang w:val="en-US" w:eastAsia="zh-CN"/>
        </w:rPr>
        <w:t>进行</w:t>
      </w:r>
      <w:r>
        <w:rPr>
          <w:rFonts w:hint="default" w:ascii="Times New Roman" w:hAnsi="Times New Roman" w:eastAsia="宋体" w:cs="Times New Roman"/>
          <w:color w:val="auto"/>
          <w:sz w:val="28"/>
          <w:szCs w:val="28"/>
          <w:lang w:val="en-US" w:eastAsia="zh-CN"/>
        </w:rPr>
        <w:t>了</w:t>
      </w:r>
      <w:r>
        <w:rPr>
          <w:rFonts w:hint="eastAsia" w:ascii="Times New Roman" w:hAnsi="Times New Roman" w:eastAsia="宋体" w:cs="Times New Roman"/>
          <w:strike w:val="0"/>
          <w:dstrike w:val="0"/>
          <w:color w:val="auto"/>
        </w:rPr>
        <w:t>三号（氰化渣）</w:t>
      </w:r>
      <w:r>
        <w:rPr>
          <w:rFonts w:hint="default"/>
          <w:color w:val="auto"/>
          <w:lang w:val="en-US" w:eastAsia="zh-CN"/>
        </w:rPr>
        <w:t>漫坝事故应急演练，演练结束后，进行了评估、总结，保留有影像资料和相关记录。</w:t>
      </w:r>
    </w:p>
    <w:p w14:paraId="6D6FDF20">
      <w:pPr>
        <w:pStyle w:val="4"/>
        <w:bidi w:val="0"/>
        <w:rPr>
          <w:rFonts w:hint="default"/>
          <w:color w:val="auto"/>
          <w:lang w:val="en-US" w:eastAsia="zh-CN"/>
        </w:rPr>
      </w:pPr>
      <w:bookmarkStart w:id="189" w:name="_Toc9058"/>
      <w:bookmarkStart w:id="190" w:name="_Toc11412"/>
      <w:bookmarkStart w:id="191" w:name="_Toc19286"/>
      <w:bookmarkStart w:id="192" w:name="_Toc16379"/>
      <w:bookmarkStart w:id="193" w:name="_Toc26412"/>
      <w:r>
        <w:rPr>
          <w:rFonts w:hint="default"/>
          <w:color w:val="auto"/>
          <w:lang w:val="en-US" w:eastAsia="zh-CN"/>
        </w:rPr>
        <w:t>2.8.4</w:t>
      </w:r>
      <w:r>
        <w:rPr>
          <w:rFonts w:hint="eastAsia"/>
          <w:color w:val="auto"/>
          <w:lang w:val="en-US" w:eastAsia="zh-CN"/>
        </w:rPr>
        <w:t xml:space="preserve"> </w:t>
      </w:r>
      <w:r>
        <w:rPr>
          <w:rFonts w:hint="default"/>
          <w:color w:val="auto"/>
          <w:lang w:val="en-US" w:eastAsia="zh-CN"/>
        </w:rPr>
        <w:t>安全教育培训</w:t>
      </w:r>
      <w:bookmarkEnd w:id="189"/>
      <w:bookmarkEnd w:id="190"/>
      <w:bookmarkEnd w:id="191"/>
      <w:bookmarkEnd w:id="192"/>
      <w:bookmarkEnd w:id="193"/>
    </w:p>
    <w:p w14:paraId="3460399F">
      <w:pPr>
        <w:rPr>
          <w:rFonts w:hint="default"/>
          <w:color w:val="auto"/>
          <w:lang w:val="en-US" w:eastAsia="zh-CN"/>
        </w:rPr>
      </w:pPr>
      <w:r>
        <w:rPr>
          <w:rFonts w:hint="eastAsia" w:ascii="Times New Roman" w:hAnsi="Times New Roman" w:eastAsia="宋体" w:cs="Times New Roman"/>
          <w:color w:val="auto"/>
          <w:sz w:val="28"/>
          <w:szCs w:val="28"/>
          <w:lang w:val="en-US" w:eastAsia="zh-CN"/>
        </w:rPr>
        <w:t>江西三和金业有限公司</w:t>
      </w:r>
      <w:r>
        <w:rPr>
          <w:rFonts w:hint="default"/>
          <w:color w:val="auto"/>
          <w:lang w:val="en-US" w:eastAsia="zh-CN"/>
        </w:rPr>
        <w:t>较重视职工的安全教育培训工作，安全管理人员及特种作业人员均经培训获得相应安全资质。主要负责人经安全培训机构培训、考核合格，</w:t>
      </w:r>
      <w:r>
        <w:rPr>
          <w:rFonts w:hint="eastAsia"/>
          <w:color w:val="auto"/>
          <w:lang w:val="en-US" w:eastAsia="zh-CN"/>
        </w:rPr>
        <w:t>已</w:t>
      </w:r>
      <w:r>
        <w:rPr>
          <w:rFonts w:hint="default"/>
          <w:color w:val="auto"/>
          <w:lang w:val="en-US" w:eastAsia="zh-CN"/>
        </w:rPr>
        <w:t>获得安全资质证书，有</w:t>
      </w:r>
      <w:r>
        <w:rPr>
          <w:rFonts w:hint="eastAsia"/>
          <w:b w:val="0"/>
          <w:bCs w:val="0"/>
          <w:color w:val="auto"/>
          <w:lang w:val="en-US" w:eastAsia="zh-CN"/>
        </w:rPr>
        <w:t>2</w:t>
      </w:r>
      <w:r>
        <w:rPr>
          <w:rFonts w:hint="default"/>
          <w:color w:val="auto"/>
          <w:lang w:val="en-US" w:eastAsia="zh-CN"/>
        </w:rPr>
        <w:t>名安全管理人员获得安全资质证书。尾矿工</w:t>
      </w:r>
      <w:r>
        <w:rPr>
          <w:rFonts w:hint="eastAsia"/>
          <w:color w:val="auto"/>
          <w:lang w:val="en-US" w:eastAsia="zh-CN"/>
        </w:rPr>
        <w:t>6</w:t>
      </w:r>
      <w:r>
        <w:rPr>
          <w:rFonts w:hint="default"/>
          <w:color w:val="auto"/>
          <w:lang w:val="en-US" w:eastAsia="zh-CN"/>
        </w:rPr>
        <w:t>人做到了持证上岗。上述人员证件均在有效期内。</w:t>
      </w:r>
    </w:p>
    <w:p w14:paraId="5AB9268F">
      <w:pPr>
        <w:bidi w:val="0"/>
        <w:ind w:left="0" w:leftChars="0" w:firstLine="0" w:firstLineChars="0"/>
        <w:jc w:val="center"/>
        <w:rPr>
          <w:rFonts w:hint="default"/>
          <w:strike w:val="0"/>
          <w:dstrike w:val="0"/>
          <w:color w:val="auto"/>
          <w:lang w:val="en-US" w:eastAsia="zh-CN"/>
        </w:rPr>
      </w:pPr>
      <w:r>
        <w:rPr>
          <w:rFonts w:hint="eastAsia" w:ascii="Times New Roman" w:eastAsia="宋体"/>
          <w:strike w:val="0"/>
          <w:dstrike w:val="0"/>
          <w:color w:val="auto"/>
          <w:lang w:val="en-US" w:eastAsia="zh-CN"/>
        </w:rPr>
        <w:t>表2.8-1 人员证件清单</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7"/>
        <w:gridCol w:w="903"/>
        <w:gridCol w:w="710"/>
        <w:gridCol w:w="2235"/>
        <w:gridCol w:w="1061"/>
        <w:gridCol w:w="2632"/>
      </w:tblGrid>
      <w:tr w14:paraId="1242B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771" w:type="dxa"/>
            <w:vAlign w:val="center"/>
          </w:tcPr>
          <w:p w14:paraId="161220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主要负责人</w:t>
            </w:r>
          </w:p>
        </w:tc>
        <w:tc>
          <w:tcPr>
            <w:tcW w:w="912" w:type="dxa"/>
            <w:vAlign w:val="center"/>
          </w:tcPr>
          <w:p w14:paraId="7623C3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strike w:val="0"/>
                <w:dstrike w:val="0"/>
                <w:color w:val="auto"/>
                <w:sz w:val="21"/>
                <w:szCs w:val="21"/>
                <w:vertAlign w:val="baseline"/>
                <w:lang w:val="en-US" w:eastAsia="zh-CN"/>
              </w:rPr>
              <w:t>陶柱群</w:t>
            </w:r>
          </w:p>
        </w:tc>
        <w:tc>
          <w:tcPr>
            <w:tcW w:w="715" w:type="dxa"/>
            <w:vAlign w:val="center"/>
          </w:tcPr>
          <w:p w14:paraId="4E1BFF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default"/>
                <w:strike w:val="0"/>
                <w:dstrike w:val="0"/>
                <w:color w:val="auto"/>
                <w:sz w:val="21"/>
                <w:szCs w:val="21"/>
                <w:vertAlign w:val="baseline"/>
                <w:lang w:val="en-US" w:eastAsia="zh-CN"/>
              </w:rPr>
              <w:t>证号</w:t>
            </w:r>
          </w:p>
        </w:tc>
        <w:tc>
          <w:tcPr>
            <w:tcW w:w="2181" w:type="dxa"/>
            <w:vAlign w:val="center"/>
          </w:tcPr>
          <w:p w14:paraId="03AE70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strike w:val="0"/>
                <w:dstrike w:val="0"/>
                <w:color w:val="auto"/>
                <w:sz w:val="21"/>
                <w:szCs w:val="21"/>
                <w:vertAlign w:val="baseline"/>
                <w:lang w:val="en-US" w:eastAsia="zh-CN"/>
              </w:rPr>
              <w:t>362302196809105035</w:t>
            </w:r>
          </w:p>
        </w:tc>
        <w:tc>
          <w:tcPr>
            <w:tcW w:w="1073" w:type="dxa"/>
            <w:vAlign w:val="center"/>
          </w:tcPr>
          <w:p w14:paraId="30C9C0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有效期</w:t>
            </w:r>
          </w:p>
        </w:tc>
        <w:tc>
          <w:tcPr>
            <w:tcW w:w="2636" w:type="dxa"/>
            <w:vAlign w:val="center"/>
          </w:tcPr>
          <w:p w14:paraId="2D8B11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202</w:t>
            </w:r>
            <w:r>
              <w:rPr>
                <w:rFonts w:hint="eastAsia"/>
                <w:strike w:val="0"/>
                <w:dstrike w:val="0"/>
                <w:color w:val="auto"/>
                <w:sz w:val="21"/>
                <w:szCs w:val="21"/>
                <w:vertAlign w:val="baseline"/>
                <w:lang w:val="en-US" w:eastAsia="zh-CN"/>
              </w:rPr>
              <w:t>5</w:t>
            </w:r>
            <w:r>
              <w:rPr>
                <w:rFonts w:hint="eastAsia" w:ascii="Times New Roman" w:eastAsia="宋体"/>
                <w:strike w:val="0"/>
                <w:dstrike w:val="0"/>
                <w:color w:val="auto"/>
                <w:sz w:val="21"/>
                <w:szCs w:val="21"/>
                <w:vertAlign w:val="baseline"/>
                <w:lang w:val="en-US" w:eastAsia="zh-CN"/>
              </w:rPr>
              <w:t>-0</w:t>
            </w:r>
            <w:r>
              <w:rPr>
                <w:rFonts w:hint="eastAsia"/>
                <w:strike w:val="0"/>
                <w:dstrike w:val="0"/>
                <w:color w:val="auto"/>
                <w:sz w:val="21"/>
                <w:szCs w:val="21"/>
                <w:vertAlign w:val="baseline"/>
                <w:lang w:val="en-US" w:eastAsia="zh-CN"/>
              </w:rPr>
              <w:t>8</w:t>
            </w:r>
            <w:r>
              <w:rPr>
                <w:rFonts w:hint="eastAsia" w:ascii="Times New Roman" w:eastAsia="宋体"/>
                <w:strike w:val="0"/>
                <w:dstrike w:val="0"/>
                <w:color w:val="auto"/>
                <w:sz w:val="21"/>
                <w:szCs w:val="21"/>
                <w:vertAlign w:val="baseline"/>
                <w:lang w:val="en-US" w:eastAsia="zh-CN"/>
              </w:rPr>
              <w:t>-</w:t>
            </w:r>
            <w:r>
              <w:rPr>
                <w:rFonts w:hint="eastAsia"/>
                <w:strike w:val="0"/>
                <w:dstrike w:val="0"/>
                <w:color w:val="auto"/>
                <w:sz w:val="21"/>
                <w:szCs w:val="21"/>
                <w:vertAlign w:val="baseline"/>
                <w:lang w:val="en-US" w:eastAsia="zh-CN"/>
              </w:rPr>
              <w:t>08</w:t>
            </w:r>
            <w:r>
              <w:rPr>
                <w:rFonts w:hint="eastAsia" w:ascii="Times New Roman" w:eastAsia="宋体"/>
                <w:strike w:val="0"/>
                <w:dstrike w:val="0"/>
                <w:color w:val="auto"/>
                <w:sz w:val="21"/>
                <w:szCs w:val="21"/>
                <w:vertAlign w:val="baseline"/>
                <w:lang w:val="en-US" w:eastAsia="zh-CN"/>
              </w:rPr>
              <w:t>—202</w:t>
            </w:r>
            <w:r>
              <w:rPr>
                <w:rFonts w:hint="eastAsia"/>
                <w:strike w:val="0"/>
                <w:dstrike w:val="0"/>
                <w:color w:val="auto"/>
                <w:sz w:val="21"/>
                <w:szCs w:val="21"/>
                <w:vertAlign w:val="baseline"/>
                <w:lang w:val="en-US" w:eastAsia="zh-CN"/>
              </w:rPr>
              <w:t>8</w:t>
            </w:r>
            <w:r>
              <w:rPr>
                <w:rFonts w:hint="eastAsia" w:ascii="Times New Roman" w:eastAsia="宋体"/>
                <w:strike w:val="0"/>
                <w:dstrike w:val="0"/>
                <w:color w:val="auto"/>
                <w:sz w:val="21"/>
                <w:szCs w:val="21"/>
                <w:vertAlign w:val="baseline"/>
                <w:lang w:val="en-US" w:eastAsia="zh-CN"/>
              </w:rPr>
              <w:t>-0</w:t>
            </w:r>
            <w:r>
              <w:rPr>
                <w:rFonts w:hint="eastAsia"/>
                <w:strike w:val="0"/>
                <w:dstrike w:val="0"/>
                <w:color w:val="auto"/>
                <w:sz w:val="21"/>
                <w:szCs w:val="21"/>
                <w:vertAlign w:val="baseline"/>
                <w:lang w:val="en-US" w:eastAsia="zh-CN"/>
              </w:rPr>
              <w:t>8</w:t>
            </w:r>
            <w:r>
              <w:rPr>
                <w:rFonts w:hint="eastAsia" w:ascii="Times New Roman" w:eastAsia="宋体"/>
                <w:strike w:val="0"/>
                <w:dstrike w:val="0"/>
                <w:color w:val="auto"/>
                <w:sz w:val="21"/>
                <w:szCs w:val="21"/>
                <w:vertAlign w:val="baseline"/>
                <w:lang w:val="en-US" w:eastAsia="zh-CN"/>
              </w:rPr>
              <w:t>-</w:t>
            </w:r>
            <w:r>
              <w:rPr>
                <w:rFonts w:hint="eastAsia"/>
                <w:strike w:val="0"/>
                <w:dstrike w:val="0"/>
                <w:color w:val="auto"/>
                <w:sz w:val="21"/>
                <w:szCs w:val="21"/>
                <w:vertAlign w:val="baseline"/>
                <w:lang w:val="en-US" w:eastAsia="zh-CN"/>
              </w:rPr>
              <w:t>07</w:t>
            </w:r>
          </w:p>
        </w:tc>
      </w:tr>
      <w:tr w14:paraId="2587C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771" w:type="dxa"/>
            <w:vAlign w:val="center"/>
          </w:tcPr>
          <w:p w14:paraId="4768FD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安全管理人员</w:t>
            </w:r>
          </w:p>
        </w:tc>
        <w:tc>
          <w:tcPr>
            <w:tcW w:w="912" w:type="dxa"/>
            <w:vAlign w:val="center"/>
          </w:tcPr>
          <w:p w14:paraId="4179AA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董绍荣</w:t>
            </w:r>
          </w:p>
        </w:tc>
        <w:tc>
          <w:tcPr>
            <w:tcW w:w="715" w:type="dxa"/>
            <w:vAlign w:val="center"/>
          </w:tcPr>
          <w:p w14:paraId="4C7AA7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default"/>
                <w:strike w:val="0"/>
                <w:dstrike w:val="0"/>
                <w:color w:val="auto"/>
                <w:sz w:val="21"/>
                <w:szCs w:val="21"/>
                <w:vertAlign w:val="baseline"/>
                <w:lang w:val="en-US" w:eastAsia="zh-CN"/>
              </w:rPr>
              <w:t>证号</w:t>
            </w:r>
          </w:p>
        </w:tc>
        <w:tc>
          <w:tcPr>
            <w:tcW w:w="2181" w:type="dxa"/>
            <w:vAlign w:val="center"/>
          </w:tcPr>
          <w:p w14:paraId="63A8A2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strike w:val="0"/>
                <w:dstrike w:val="0"/>
                <w:color w:val="auto"/>
                <w:sz w:val="21"/>
                <w:szCs w:val="21"/>
                <w:vertAlign w:val="baseline"/>
                <w:lang w:val="en-US" w:eastAsia="zh-CN"/>
              </w:rPr>
              <w:t>362302198311205011</w:t>
            </w:r>
          </w:p>
        </w:tc>
        <w:tc>
          <w:tcPr>
            <w:tcW w:w="1073" w:type="dxa"/>
            <w:vAlign w:val="center"/>
          </w:tcPr>
          <w:p w14:paraId="267D1E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有效期</w:t>
            </w:r>
          </w:p>
        </w:tc>
        <w:tc>
          <w:tcPr>
            <w:tcW w:w="2636" w:type="dxa"/>
            <w:vAlign w:val="center"/>
          </w:tcPr>
          <w:p w14:paraId="765949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202</w:t>
            </w:r>
            <w:r>
              <w:rPr>
                <w:rFonts w:hint="eastAsia"/>
                <w:strike w:val="0"/>
                <w:dstrike w:val="0"/>
                <w:color w:val="auto"/>
                <w:sz w:val="21"/>
                <w:szCs w:val="21"/>
                <w:vertAlign w:val="baseline"/>
                <w:lang w:val="en-US" w:eastAsia="zh-CN"/>
              </w:rPr>
              <w:t>3</w:t>
            </w:r>
            <w:r>
              <w:rPr>
                <w:rFonts w:hint="eastAsia" w:ascii="Times New Roman" w:eastAsia="宋体"/>
                <w:strike w:val="0"/>
                <w:dstrike w:val="0"/>
                <w:color w:val="auto"/>
                <w:sz w:val="21"/>
                <w:szCs w:val="21"/>
                <w:vertAlign w:val="baseline"/>
                <w:lang w:val="en-US" w:eastAsia="zh-CN"/>
              </w:rPr>
              <w:t>-0</w:t>
            </w:r>
            <w:r>
              <w:rPr>
                <w:rFonts w:hint="eastAsia"/>
                <w:strike w:val="0"/>
                <w:dstrike w:val="0"/>
                <w:color w:val="auto"/>
                <w:sz w:val="21"/>
                <w:szCs w:val="21"/>
                <w:vertAlign w:val="baseline"/>
                <w:lang w:val="en-US" w:eastAsia="zh-CN"/>
              </w:rPr>
              <w:t>8</w:t>
            </w:r>
            <w:r>
              <w:rPr>
                <w:rFonts w:hint="eastAsia" w:ascii="Times New Roman" w:eastAsia="宋体"/>
                <w:strike w:val="0"/>
                <w:dstrike w:val="0"/>
                <w:color w:val="auto"/>
                <w:sz w:val="21"/>
                <w:szCs w:val="21"/>
                <w:vertAlign w:val="baseline"/>
                <w:lang w:val="en-US" w:eastAsia="zh-CN"/>
              </w:rPr>
              <w:t>-</w:t>
            </w:r>
            <w:r>
              <w:rPr>
                <w:rFonts w:hint="eastAsia"/>
                <w:strike w:val="0"/>
                <w:dstrike w:val="0"/>
                <w:color w:val="auto"/>
                <w:sz w:val="21"/>
                <w:szCs w:val="21"/>
                <w:vertAlign w:val="baseline"/>
                <w:lang w:val="en-US" w:eastAsia="zh-CN"/>
              </w:rPr>
              <w:t>25</w:t>
            </w:r>
            <w:r>
              <w:rPr>
                <w:rFonts w:hint="eastAsia" w:ascii="Times New Roman" w:eastAsia="宋体"/>
                <w:strike w:val="0"/>
                <w:dstrike w:val="0"/>
                <w:color w:val="auto"/>
                <w:sz w:val="21"/>
                <w:szCs w:val="21"/>
                <w:vertAlign w:val="baseline"/>
                <w:lang w:val="en-US" w:eastAsia="zh-CN"/>
              </w:rPr>
              <w:t>—202</w:t>
            </w:r>
            <w:r>
              <w:rPr>
                <w:rFonts w:hint="eastAsia"/>
                <w:strike w:val="0"/>
                <w:dstrike w:val="0"/>
                <w:color w:val="auto"/>
                <w:sz w:val="21"/>
                <w:szCs w:val="21"/>
                <w:vertAlign w:val="baseline"/>
                <w:lang w:val="en-US" w:eastAsia="zh-CN"/>
              </w:rPr>
              <w:t>6</w:t>
            </w:r>
            <w:r>
              <w:rPr>
                <w:rFonts w:hint="eastAsia" w:ascii="Times New Roman" w:eastAsia="宋体"/>
                <w:strike w:val="0"/>
                <w:dstrike w:val="0"/>
                <w:color w:val="auto"/>
                <w:sz w:val="21"/>
                <w:szCs w:val="21"/>
                <w:vertAlign w:val="baseline"/>
                <w:lang w:val="en-US" w:eastAsia="zh-CN"/>
              </w:rPr>
              <w:t>-0</w:t>
            </w:r>
            <w:r>
              <w:rPr>
                <w:rFonts w:hint="eastAsia"/>
                <w:strike w:val="0"/>
                <w:dstrike w:val="0"/>
                <w:color w:val="auto"/>
                <w:sz w:val="21"/>
                <w:szCs w:val="21"/>
                <w:vertAlign w:val="baseline"/>
                <w:lang w:val="en-US" w:eastAsia="zh-CN"/>
              </w:rPr>
              <w:t>8</w:t>
            </w:r>
            <w:r>
              <w:rPr>
                <w:rFonts w:hint="eastAsia" w:ascii="Times New Roman" w:eastAsia="宋体"/>
                <w:strike w:val="0"/>
                <w:dstrike w:val="0"/>
                <w:color w:val="auto"/>
                <w:sz w:val="21"/>
                <w:szCs w:val="21"/>
                <w:vertAlign w:val="baseline"/>
                <w:lang w:val="en-US" w:eastAsia="zh-CN"/>
              </w:rPr>
              <w:t>-2</w:t>
            </w:r>
            <w:r>
              <w:rPr>
                <w:rFonts w:hint="eastAsia"/>
                <w:strike w:val="0"/>
                <w:dstrike w:val="0"/>
                <w:color w:val="auto"/>
                <w:sz w:val="21"/>
                <w:szCs w:val="21"/>
                <w:vertAlign w:val="baseline"/>
                <w:lang w:val="en-US" w:eastAsia="zh-CN"/>
              </w:rPr>
              <w:t>4</w:t>
            </w:r>
          </w:p>
        </w:tc>
      </w:tr>
      <w:tr w14:paraId="756C7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771" w:type="dxa"/>
            <w:vAlign w:val="center"/>
          </w:tcPr>
          <w:p w14:paraId="2FAAB0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安全管理人员</w:t>
            </w:r>
          </w:p>
        </w:tc>
        <w:tc>
          <w:tcPr>
            <w:tcW w:w="912" w:type="dxa"/>
            <w:vAlign w:val="center"/>
          </w:tcPr>
          <w:p w14:paraId="23C4C0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default"/>
                <w:strike w:val="0"/>
                <w:dstrike w:val="0"/>
                <w:color w:val="auto"/>
                <w:sz w:val="21"/>
                <w:szCs w:val="21"/>
                <w:vertAlign w:val="baseline"/>
                <w:lang w:val="en-US" w:eastAsia="zh-CN"/>
              </w:rPr>
              <w:t>齐旭辉</w:t>
            </w:r>
          </w:p>
        </w:tc>
        <w:tc>
          <w:tcPr>
            <w:tcW w:w="715" w:type="dxa"/>
            <w:vAlign w:val="center"/>
          </w:tcPr>
          <w:p w14:paraId="52D266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default"/>
                <w:strike w:val="0"/>
                <w:dstrike w:val="0"/>
                <w:color w:val="auto"/>
                <w:sz w:val="21"/>
                <w:szCs w:val="21"/>
                <w:vertAlign w:val="baseline"/>
                <w:lang w:val="en-US" w:eastAsia="zh-CN"/>
              </w:rPr>
              <w:t>证号</w:t>
            </w:r>
          </w:p>
        </w:tc>
        <w:tc>
          <w:tcPr>
            <w:tcW w:w="2181" w:type="dxa"/>
            <w:vAlign w:val="center"/>
          </w:tcPr>
          <w:p w14:paraId="29323A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strike w:val="0"/>
                <w:dstrike w:val="0"/>
                <w:color w:val="auto"/>
                <w:sz w:val="21"/>
                <w:szCs w:val="21"/>
                <w:vertAlign w:val="baseline"/>
                <w:lang w:val="en-US" w:eastAsia="zh-CN"/>
              </w:rPr>
              <w:t>362302198510175011</w:t>
            </w:r>
          </w:p>
        </w:tc>
        <w:tc>
          <w:tcPr>
            <w:tcW w:w="1073" w:type="dxa"/>
            <w:vAlign w:val="center"/>
          </w:tcPr>
          <w:p w14:paraId="315D88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有效期</w:t>
            </w:r>
          </w:p>
        </w:tc>
        <w:tc>
          <w:tcPr>
            <w:tcW w:w="2636" w:type="dxa"/>
            <w:vAlign w:val="center"/>
          </w:tcPr>
          <w:p w14:paraId="53E54E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2023-0</w:t>
            </w:r>
            <w:r>
              <w:rPr>
                <w:rFonts w:hint="eastAsia"/>
                <w:strike w:val="0"/>
                <w:dstrike w:val="0"/>
                <w:color w:val="auto"/>
                <w:sz w:val="21"/>
                <w:szCs w:val="21"/>
                <w:vertAlign w:val="baseline"/>
                <w:lang w:val="en-US" w:eastAsia="zh-CN"/>
              </w:rPr>
              <w:t>3</w:t>
            </w:r>
            <w:r>
              <w:rPr>
                <w:rFonts w:hint="eastAsia" w:ascii="Times New Roman" w:eastAsia="宋体"/>
                <w:strike w:val="0"/>
                <w:dstrike w:val="0"/>
                <w:color w:val="auto"/>
                <w:sz w:val="21"/>
                <w:szCs w:val="21"/>
                <w:vertAlign w:val="baseline"/>
                <w:lang w:val="en-US" w:eastAsia="zh-CN"/>
              </w:rPr>
              <w:t>-</w:t>
            </w:r>
            <w:r>
              <w:rPr>
                <w:rFonts w:hint="eastAsia"/>
                <w:strike w:val="0"/>
                <w:dstrike w:val="0"/>
                <w:color w:val="auto"/>
                <w:sz w:val="21"/>
                <w:szCs w:val="21"/>
                <w:vertAlign w:val="baseline"/>
                <w:lang w:val="en-US" w:eastAsia="zh-CN"/>
              </w:rPr>
              <w:t>31</w:t>
            </w:r>
            <w:r>
              <w:rPr>
                <w:rFonts w:hint="eastAsia" w:ascii="Times New Roman" w:eastAsia="宋体"/>
                <w:strike w:val="0"/>
                <w:dstrike w:val="0"/>
                <w:color w:val="auto"/>
                <w:sz w:val="21"/>
                <w:szCs w:val="21"/>
                <w:vertAlign w:val="baseline"/>
                <w:lang w:val="en-US" w:eastAsia="zh-CN"/>
              </w:rPr>
              <w:t>—2026-0</w:t>
            </w:r>
            <w:r>
              <w:rPr>
                <w:rFonts w:hint="eastAsia"/>
                <w:strike w:val="0"/>
                <w:dstrike w:val="0"/>
                <w:color w:val="auto"/>
                <w:sz w:val="21"/>
                <w:szCs w:val="21"/>
                <w:vertAlign w:val="baseline"/>
                <w:lang w:val="en-US" w:eastAsia="zh-CN"/>
              </w:rPr>
              <w:t>3</w:t>
            </w:r>
            <w:r>
              <w:rPr>
                <w:rFonts w:hint="eastAsia" w:ascii="Times New Roman" w:eastAsia="宋体"/>
                <w:strike w:val="0"/>
                <w:dstrike w:val="0"/>
                <w:color w:val="auto"/>
                <w:sz w:val="21"/>
                <w:szCs w:val="21"/>
                <w:vertAlign w:val="baseline"/>
                <w:lang w:val="en-US" w:eastAsia="zh-CN"/>
              </w:rPr>
              <w:t>-</w:t>
            </w:r>
            <w:r>
              <w:rPr>
                <w:rFonts w:hint="eastAsia"/>
                <w:strike w:val="0"/>
                <w:dstrike w:val="0"/>
                <w:color w:val="auto"/>
                <w:sz w:val="21"/>
                <w:szCs w:val="21"/>
                <w:vertAlign w:val="baseline"/>
                <w:lang w:val="en-US" w:eastAsia="zh-CN"/>
              </w:rPr>
              <w:t>30</w:t>
            </w:r>
          </w:p>
        </w:tc>
      </w:tr>
      <w:tr w14:paraId="0A813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1771" w:type="dxa"/>
            <w:vAlign w:val="center"/>
          </w:tcPr>
          <w:p w14:paraId="6D6792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专业技术人员</w:t>
            </w:r>
          </w:p>
        </w:tc>
        <w:tc>
          <w:tcPr>
            <w:tcW w:w="912" w:type="dxa"/>
            <w:vAlign w:val="center"/>
          </w:tcPr>
          <w:p w14:paraId="150239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strike w:val="0"/>
                <w:dstrike w:val="0"/>
                <w:color w:val="auto"/>
                <w:sz w:val="21"/>
                <w:szCs w:val="21"/>
                <w:vertAlign w:val="baseline"/>
                <w:lang w:val="en-US" w:eastAsia="zh-CN"/>
              </w:rPr>
              <w:t>周健</w:t>
            </w:r>
          </w:p>
        </w:tc>
        <w:tc>
          <w:tcPr>
            <w:tcW w:w="715" w:type="dxa"/>
            <w:vAlign w:val="center"/>
          </w:tcPr>
          <w:p w14:paraId="2A84BE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default"/>
                <w:strike w:val="0"/>
                <w:dstrike w:val="0"/>
                <w:color w:val="auto"/>
                <w:sz w:val="21"/>
                <w:szCs w:val="21"/>
                <w:vertAlign w:val="baseline"/>
                <w:lang w:val="en-US" w:eastAsia="zh-CN"/>
              </w:rPr>
              <w:t>证</w:t>
            </w:r>
            <w:r>
              <w:rPr>
                <w:rFonts w:hint="eastAsia" w:ascii="Times New Roman" w:eastAsia="宋体"/>
                <w:strike w:val="0"/>
                <w:dstrike w:val="0"/>
                <w:color w:val="auto"/>
                <w:sz w:val="21"/>
                <w:szCs w:val="21"/>
                <w:vertAlign w:val="baseline"/>
                <w:lang w:val="en-US" w:eastAsia="zh-CN"/>
              </w:rPr>
              <w:t>书编</w:t>
            </w:r>
            <w:r>
              <w:rPr>
                <w:rFonts w:hint="default"/>
                <w:strike w:val="0"/>
                <w:dstrike w:val="0"/>
                <w:color w:val="auto"/>
                <w:sz w:val="21"/>
                <w:szCs w:val="21"/>
                <w:vertAlign w:val="baseline"/>
                <w:lang w:val="en-US" w:eastAsia="zh-CN"/>
              </w:rPr>
              <w:t>号</w:t>
            </w:r>
          </w:p>
        </w:tc>
        <w:tc>
          <w:tcPr>
            <w:tcW w:w="5890" w:type="dxa"/>
            <w:gridSpan w:val="3"/>
            <w:vAlign w:val="center"/>
          </w:tcPr>
          <w:p w14:paraId="69D060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104901201505004703</w:t>
            </w:r>
          </w:p>
        </w:tc>
      </w:tr>
      <w:tr w14:paraId="3ABD8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1" w:type="dxa"/>
            <w:vAlign w:val="center"/>
          </w:tcPr>
          <w:p w14:paraId="3F9427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注册安全工程师</w:t>
            </w:r>
          </w:p>
        </w:tc>
        <w:tc>
          <w:tcPr>
            <w:tcW w:w="912" w:type="dxa"/>
            <w:vAlign w:val="center"/>
          </w:tcPr>
          <w:p w14:paraId="26E1D3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祝丽云</w:t>
            </w:r>
          </w:p>
        </w:tc>
        <w:tc>
          <w:tcPr>
            <w:tcW w:w="715" w:type="dxa"/>
            <w:vAlign w:val="center"/>
          </w:tcPr>
          <w:p w14:paraId="59A15B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default"/>
                <w:strike w:val="0"/>
                <w:dstrike w:val="0"/>
                <w:color w:val="auto"/>
                <w:sz w:val="21"/>
                <w:szCs w:val="21"/>
                <w:vertAlign w:val="baseline"/>
                <w:lang w:val="en-US" w:eastAsia="zh-CN"/>
              </w:rPr>
              <w:t>证</w:t>
            </w:r>
            <w:r>
              <w:rPr>
                <w:rFonts w:hint="eastAsia" w:ascii="Times New Roman" w:eastAsia="宋体"/>
                <w:strike w:val="0"/>
                <w:dstrike w:val="0"/>
                <w:color w:val="auto"/>
                <w:sz w:val="21"/>
                <w:szCs w:val="21"/>
                <w:vertAlign w:val="baseline"/>
                <w:lang w:val="en-US" w:eastAsia="zh-CN"/>
              </w:rPr>
              <w:t>书编</w:t>
            </w:r>
            <w:r>
              <w:rPr>
                <w:rFonts w:hint="default"/>
                <w:strike w:val="0"/>
                <w:dstrike w:val="0"/>
                <w:color w:val="auto"/>
                <w:sz w:val="21"/>
                <w:szCs w:val="21"/>
                <w:vertAlign w:val="baseline"/>
                <w:lang w:val="en-US" w:eastAsia="zh-CN"/>
              </w:rPr>
              <w:t>号</w:t>
            </w:r>
          </w:p>
        </w:tc>
        <w:tc>
          <w:tcPr>
            <w:tcW w:w="5890" w:type="dxa"/>
            <w:gridSpan w:val="3"/>
            <w:vAlign w:val="center"/>
          </w:tcPr>
          <w:p w14:paraId="5A05BE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20231004636000001005</w:t>
            </w:r>
          </w:p>
        </w:tc>
      </w:tr>
      <w:tr w14:paraId="04115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771" w:type="dxa"/>
            <w:vAlign w:val="center"/>
          </w:tcPr>
          <w:p w14:paraId="6BC2B9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尾矿作业人员</w:t>
            </w:r>
          </w:p>
        </w:tc>
        <w:tc>
          <w:tcPr>
            <w:tcW w:w="912" w:type="dxa"/>
            <w:vAlign w:val="center"/>
          </w:tcPr>
          <w:p w14:paraId="3C5F1C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strike w:val="0"/>
                <w:dstrike w:val="0"/>
                <w:color w:val="auto"/>
                <w:sz w:val="21"/>
                <w:szCs w:val="21"/>
                <w:vertAlign w:val="baseline"/>
                <w:lang w:val="en-US" w:eastAsia="zh-CN"/>
              </w:rPr>
              <w:t>朱荣富</w:t>
            </w:r>
          </w:p>
        </w:tc>
        <w:tc>
          <w:tcPr>
            <w:tcW w:w="715" w:type="dxa"/>
            <w:vAlign w:val="center"/>
          </w:tcPr>
          <w:p w14:paraId="0B6408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default"/>
                <w:strike w:val="0"/>
                <w:dstrike w:val="0"/>
                <w:color w:val="auto"/>
                <w:sz w:val="21"/>
                <w:szCs w:val="21"/>
                <w:vertAlign w:val="baseline"/>
                <w:lang w:val="en-US" w:eastAsia="zh-CN"/>
              </w:rPr>
              <w:t>证号</w:t>
            </w:r>
          </w:p>
        </w:tc>
        <w:tc>
          <w:tcPr>
            <w:tcW w:w="2181" w:type="dxa"/>
            <w:vAlign w:val="center"/>
          </w:tcPr>
          <w:p w14:paraId="36B0CD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default"/>
                <w:strike w:val="0"/>
                <w:dstrike w:val="0"/>
                <w:color w:val="auto"/>
                <w:sz w:val="21"/>
                <w:szCs w:val="21"/>
                <w:vertAlign w:val="baseline"/>
                <w:lang w:val="en-US" w:eastAsia="zh-CN"/>
              </w:rPr>
              <w:t>T362302197705105019</w:t>
            </w:r>
          </w:p>
        </w:tc>
        <w:tc>
          <w:tcPr>
            <w:tcW w:w="1073" w:type="dxa"/>
            <w:vAlign w:val="center"/>
          </w:tcPr>
          <w:p w14:paraId="5622F1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有效期</w:t>
            </w:r>
          </w:p>
        </w:tc>
        <w:tc>
          <w:tcPr>
            <w:tcW w:w="2636" w:type="dxa"/>
            <w:vAlign w:val="center"/>
          </w:tcPr>
          <w:p w14:paraId="5BB539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202</w:t>
            </w:r>
            <w:r>
              <w:rPr>
                <w:rFonts w:hint="eastAsia"/>
                <w:strike w:val="0"/>
                <w:dstrike w:val="0"/>
                <w:color w:val="auto"/>
                <w:sz w:val="21"/>
                <w:szCs w:val="21"/>
                <w:vertAlign w:val="baseline"/>
                <w:lang w:val="en-US" w:eastAsia="zh-CN"/>
              </w:rPr>
              <w:t>2</w:t>
            </w:r>
            <w:r>
              <w:rPr>
                <w:rFonts w:hint="eastAsia" w:ascii="Times New Roman" w:eastAsia="宋体"/>
                <w:strike w:val="0"/>
                <w:dstrike w:val="0"/>
                <w:color w:val="auto"/>
                <w:sz w:val="21"/>
                <w:szCs w:val="21"/>
                <w:vertAlign w:val="baseline"/>
                <w:lang w:val="en-US" w:eastAsia="zh-CN"/>
              </w:rPr>
              <w:t>-</w:t>
            </w:r>
            <w:r>
              <w:rPr>
                <w:rFonts w:hint="eastAsia"/>
                <w:strike w:val="0"/>
                <w:dstrike w:val="0"/>
                <w:color w:val="auto"/>
                <w:sz w:val="21"/>
                <w:szCs w:val="21"/>
                <w:vertAlign w:val="baseline"/>
                <w:lang w:val="en-US" w:eastAsia="zh-CN"/>
              </w:rPr>
              <w:t>11</w:t>
            </w:r>
            <w:r>
              <w:rPr>
                <w:rFonts w:hint="eastAsia" w:ascii="Times New Roman" w:eastAsia="宋体"/>
                <w:strike w:val="0"/>
                <w:dstrike w:val="0"/>
                <w:color w:val="auto"/>
                <w:sz w:val="21"/>
                <w:szCs w:val="21"/>
                <w:vertAlign w:val="baseline"/>
                <w:lang w:val="en-US" w:eastAsia="zh-CN"/>
              </w:rPr>
              <w:t>-</w:t>
            </w:r>
            <w:r>
              <w:rPr>
                <w:rFonts w:hint="eastAsia"/>
                <w:strike w:val="0"/>
                <w:dstrike w:val="0"/>
                <w:color w:val="auto"/>
                <w:sz w:val="21"/>
                <w:szCs w:val="21"/>
                <w:vertAlign w:val="baseline"/>
                <w:lang w:val="en-US" w:eastAsia="zh-CN"/>
              </w:rPr>
              <w:t>11</w:t>
            </w:r>
            <w:r>
              <w:rPr>
                <w:rFonts w:hint="eastAsia" w:ascii="Times New Roman" w:eastAsia="宋体"/>
                <w:strike w:val="0"/>
                <w:dstrike w:val="0"/>
                <w:color w:val="auto"/>
                <w:sz w:val="21"/>
                <w:szCs w:val="21"/>
                <w:vertAlign w:val="baseline"/>
                <w:lang w:val="en-US" w:eastAsia="zh-CN"/>
              </w:rPr>
              <w:t>—202</w:t>
            </w:r>
            <w:r>
              <w:rPr>
                <w:rFonts w:hint="eastAsia"/>
                <w:strike w:val="0"/>
                <w:dstrike w:val="0"/>
                <w:color w:val="auto"/>
                <w:sz w:val="21"/>
                <w:szCs w:val="21"/>
                <w:vertAlign w:val="baseline"/>
                <w:lang w:val="en-US" w:eastAsia="zh-CN"/>
              </w:rPr>
              <w:t>8</w:t>
            </w:r>
            <w:r>
              <w:rPr>
                <w:rFonts w:hint="eastAsia" w:ascii="Times New Roman" w:eastAsia="宋体"/>
                <w:strike w:val="0"/>
                <w:dstrike w:val="0"/>
                <w:color w:val="auto"/>
                <w:sz w:val="21"/>
                <w:szCs w:val="21"/>
                <w:vertAlign w:val="baseline"/>
                <w:lang w:val="en-US" w:eastAsia="zh-CN"/>
              </w:rPr>
              <w:t>-</w:t>
            </w:r>
            <w:r>
              <w:rPr>
                <w:rFonts w:hint="eastAsia"/>
                <w:strike w:val="0"/>
                <w:dstrike w:val="0"/>
                <w:color w:val="auto"/>
                <w:sz w:val="21"/>
                <w:szCs w:val="21"/>
                <w:vertAlign w:val="baseline"/>
                <w:lang w:val="en-US" w:eastAsia="zh-CN"/>
              </w:rPr>
              <w:t>11</w:t>
            </w:r>
            <w:r>
              <w:rPr>
                <w:rFonts w:hint="eastAsia" w:ascii="Times New Roman" w:eastAsia="宋体"/>
                <w:strike w:val="0"/>
                <w:dstrike w:val="0"/>
                <w:color w:val="auto"/>
                <w:sz w:val="21"/>
                <w:szCs w:val="21"/>
                <w:vertAlign w:val="baseline"/>
                <w:lang w:val="en-US" w:eastAsia="zh-CN"/>
              </w:rPr>
              <w:t>-</w:t>
            </w:r>
            <w:r>
              <w:rPr>
                <w:rFonts w:hint="eastAsia"/>
                <w:strike w:val="0"/>
                <w:dstrike w:val="0"/>
                <w:color w:val="auto"/>
                <w:sz w:val="21"/>
                <w:szCs w:val="21"/>
                <w:vertAlign w:val="baseline"/>
                <w:lang w:val="en-US" w:eastAsia="zh-CN"/>
              </w:rPr>
              <w:t>10</w:t>
            </w:r>
          </w:p>
        </w:tc>
      </w:tr>
      <w:tr w14:paraId="73E5B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771" w:type="dxa"/>
            <w:vAlign w:val="center"/>
          </w:tcPr>
          <w:p w14:paraId="3E522F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尾矿作业人员</w:t>
            </w:r>
          </w:p>
        </w:tc>
        <w:tc>
          <w:tcPr>
            <w:tcW w:w="912" w:type="dxa"/>
            <w:vAlign w:val="center"/>
          </w:tcPr>
          <w:p w14:paraId="1E5393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strike w:val="0"/>
                <w:dstrike w:val="0"/>
                <w:color w:val="auto"/>
                <w:sz w:val="21"/>
                <w:szCs w:val="21"/>
                <w:vertAlign w:val="baseline"/>
                <w:lang w:val="en-US" w:eastAsia="zh-CN"/>
              </w:rPr>
              <w:t>邵刚</w:t>
            </w:r>
          </w:p>
        </w:tc>
        <w:tc>
          <w:tcPr>
            <w:tcW w:w="715" w:type="dxa"/>
            <w:vAlign w:val="center"/>
          </w:tcPr>
          <w:p w14:paraId="67535F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default"/>
                <w:strike w:val="0"/>
                <w:dstrike w:val="0"/>
                <w:color w:val="auto"/>
                <w:sz w:val="21"/>
                <w:szCs w:val="21"/>
                <w:vertAlign w:val="baseline"/>
                <w:lang w:val="en-US" w:eastAsia="zh-CN"/>
              </w:rPr>
              <w:t>证号</w:t>
            </w:r>
          </w:p>
        </w:tc>
        <w:tc>
          <w:tcPr>
            <w:tcW w:w="2181" w:type="dxa"/>
            <w:vAlign w:val="center"/>
          </w:tcPr>
          <w:p w14:paraId="36FFE7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default"/>
                <w:strike w:val="0"/>
                <w:dstrike w:val="0"/>
                <w:color w:val="auto"/>
                <w:sz w:val="21"/>
                <w:szCs w:val="21"/>
                <w:vertAlign w:val="baseline"/>
                <w:lang w:val="en-US" w:eastAsia="zh-CN"/>
              </w:rPr>
              <w:t>T362302198910245015</w:t>
            </w:r>
          </w:p>
        </w:tc>
        <w:tc>
          <w:tcPr>
            <w:tcW w:w="1073" w:type="dxa"/>
            <w:vAlign w:val="center"/>
          </w:tcPr>
          <w:p w14:paraId="1A2275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有效期</w:t>
            </w:r>
          </w:p>
        </w:tc>
        <w:tc>
          <w:tcPr>
            <w:tcW w:w="2636" w:type="dxa"/>
            <w:vAlign w:val="center"/>
          </w:tcPr>
          <w:p w14:paraId="3B28BA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202</w:t>
            </w:r>
            <w:r>
              <w:rPr>
                <w:rFonts w:hint="eastAsia"/>
                <w:strike w:val="0"/>
                <w:dstrike w:val="0"/>
                <w:color w:val="auto"/>
                <w:sz w:val="21"/>
                <w:szCs w:val="21"/>
                <w:vertAlign w:val="baseline"/>
                <w:lang w:val="en-US" w:eastAsia="zh-CN"/>
              </w:rPr>
              <w:t>3</w:t>
            </w:r>
            <w:r>
              <w:rPr>
                <w:rFonts w:hint="eastAsia" w:ascii="Times New Roman" w:eastAsia="宋体"/>
                <w:strike w:val="0"/>
                <w:dstrike w:val="0"/>
                <w:color w:val="auto"/>
                <w:sz w:val="21"/>
                <w:szCs w:val="21"/>
                <w:vertAlign w:val="baseline"/>
                <w:lang w:val="en-US" w:eastAsia="zh-CN"/>
              </w:rPr>
              <w:t>-0</w:t>
            </w:r>
            <w:r>
              <w:rPr>
                <w:rFonts w:hint="eastAsia"/>
                <w:strike w:val="0"/>
                <w:dstrike w:val="0"/>
                <w:color w:val="auto"/>
                <w:sz w:val="21"/>
                <w:szCs w:val="21"/>
                <w:vertAlign w:val="baseline"/>
                <w:lang w:val="en-US" w:eastAsia="zh-CN"/>
              </w:rPr>
              <w:t>3</w:t>
            </w:r>
            <w:r>
              <w:rPr>
                <w:rFonts w:hint="eastAsia" w:ascii="Times New Roman" w:eastAsia="宋体"/>
                <w:strike w:val="0"/>
                <w:dstrike w:val="0"/>
                <w:color w:val="auto"/>
                <w:sz w:val="21"/>
                <w:szCs w:val="21"/>
                <w:vertAlign w:val="baseline"/>
                <w:lang w:val="en-US" w:eastAsia="zh-CN"/>
              </w:rPr>
              <w:t>-</w:t>
            </w:r>
            <w:r>
              <w:rPr>
                <w:rFonts w:hint="eastAsia"/>
                <w:strike w:val="0"/>
                <w:dstrike w:val="0"/>
                <w:color w:val="auto"/>
                <w:sz w:val="21"/>
                <w:szCs w:val="21"/>
                <w:vertAlign w:val="baseline"/>
                <w:lang w:val="en-US" w:eastAsia="zh-CN"/>
              </w:rPr>
              <w:t>31</w:t>
            </w:r>
            <w:r>
              <w:rPr>
                <w:rFonts w:hint="eastAsia" w:ascii="Times New Roman" w:eastAsia="宋体"/>
                <w:strike w:val="0"/>
                <w:dstrike w:val="0"/>
                <w:color w:val="auto"/>
                <w:sz w:val="21"/>
                <w:szCs w:val="21"/>
                <w:vertAlign w:val="baseline"/>
                <w:lang w:val="en-US" w:eastAsia="zh-CN"/>
              </w:rPr>
              <w:t>—202</w:t>
            </w:r>
            <w:r>
              <w:rPr>
                <w:rFonts w:hint="eastAsia"/>
                <w:strike w:val="0"/>
                <w:dstrike w:val="0"/>
                <w:color w:val="auto"/>
                <w:sz w:val="21"/>
                <w:szCs w:val="21"/>
                <w:vertAlign w:val="baseline"/>
                <w:lang w:val="en-US" w:eastAsia="zh-CN"/>
              </w:rPr>
              <w:t>9</w:t>
            </w:r>
            <w:r>
              <w:rPr>
                <w:rFonts w:hint="eastAsia" w:ascii="Times New Roman" w:eastAsia="宋体"/>
                <w:strike w:val="0"/>
                <w:dstrike w:val="0"/>
                <w:color w:val="auto"/>
                <w:sz w:val="21"/>
                <w:szCs w:val="21"/>
                <w:vertAlign w:val="baseline"/>
                <w:lang w:val="en-US" w:eastAsia="zh-CN"/>
              </w:rPr>
              <w:t>-0</w:t>
            </w:r>
            <w:r>
              <w:rPr>
                <w:rFonts w:hint="eastAsia"/>
                <w:strike w:val="0"/>
                <w:dstrike w:val="0"/>
                <w:color w:val="auto"/>
                <w:sz w:val="21"/>
                <w:szCs w:val="21"/>
                <w:vertAlign w:val="baseline"/>
                <w:lang w:val="en-US" w:eastAsia="zh-CN"/>
              </w:rPr>
              <w:t>3</w:t>
            </w:r>
            <w:r>
              <w:rPr>
                <w:rFonts w:hint="eastAsia" w:ascii="Times New Roman" w:eastAsia="宋体"/>
                <w:strike w:val="0"/>
                <w:dstrike w:val="0"/>
                <w:color w:val="auto"/>
                <w:sz w:val="21"/>
                <w:szCs w:val="21"/>
                <w:vertAlign w:val="baseline"/>
                <w:lang w:val="en-US" w:eastAsia="zh-CN"/>
              </w:rPr>
              <w:t>-</w:t>
            </w:r>
            <w:r>
              <w:rPr>
                <w:rFonts w:hint="eastAsia"/>
                <w:strike w:val="0"/>
                <w:dstrike w:val="0"/>
                <w:color w:val="auto"/>
                <w:sz w:val="21"/>
                <w:szCs w:val="21"/>
                <w:vertAlign w:val="baseline"/>
                <w:lang w:val="en-US" w:eastAsia="zh-CN"/>
              </w:rPr>
              <w:t>30</w:t>
            </w:r>
          </w:p>
        </w:tc>
      </w:tr>
      <w:tr w14:paraId="6BD0B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771" w:type="dxa"/>
            <w:vAlign w:val="center"/>
          </w:tcPr>
          <w:p w14:paraId="69A9A3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尾矿作业人员</w:t>
            </w:r>
          </w:p>
        </w:tc>
        <w:tc>
          <w:tcPr>
            <w:tcW w:w="912" w:type="dxa"/>
            <w:vAlign w:val="center"/>
          </w:tcPr>
          <w:p w14:paraId="44AB41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倪九灯</w:t>
            </w:r>
          </w:p>
        </w:tc>
        <w:tc>
          <w:tcPr>
            <w:tcW w:w="715" w:type="dxa"/>
            <w:vAlign w:val="center"/>
          </w:tcPr>
          <w:p w14:paraId="31A688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default"/>
                <w:strike w:val="0"/>
                <w:dstrike w:val="0"/>
                <w:color w:val="auto"/>
                <w:sz w:val="21"/>
                <w:szCs w:val="21"/>
                <w:vertAlign w:val="baseline"/>
                <w:lang w:val="en-US" w:eastAsia="zh-CN"/>
              </w:rPr>
              <w:t>证号</w:t>
            </w:r>
          </w:p>
        </w:tc>
        <w:tc>
          <w:tcPr>
            <w:tcW w:w="2181" w:type="dxa"/>
            <w:vAlign w:val="center"/>
          </w:tcPr>
          <w:p w14:paraId="5A1690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default"/>
                <w:strike w:val="0"/>
                <w:dstrike w:val="0"/>
                <w:color w:val="auto"/>
                <w:sz w:val="21"/>
                <w:szCs w:val="21"/>
                <w:vertAlign w:val="baseline"/>
                <w:lang w:val="en-US" w:eastAsia="zh-CN"/>
              </w:rPr>
              <w:t>T362302199106095014</w:t>
            </w:r>
          </w:p>
        </w:tc>
        <w:tc>
          <w:tcPr>
            <w:tcW w:w="1073" w:type="dxa"/>
            <w:vAlign w:val="center"/>
          </w:tcPr>
          <w:p w14:paraId="6A9730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有效期</w:t>
            </w:r>
          </w:p>
        </w:tc>
        <w:tc>
          <w:tcPr>
            <w:tcW w:w="2636" w:type="dxa"/>
            <w:vAlign w:val="center"/>
          </w:tcPr>
          <w:p w14:paraId="5A0DDA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202</w:t>
            </w:r>
            <w:r>
              <w:rPr>
                <w:rFonts w:hint="eastAsia"/>
                <w:strike w:val="0"/>
                <w:dstrike w:val="0"/>
                <w:color w:val="auto"/>
                <w:sz w:val="21"/>
                <w:szCs w:val="21"/>
                <w:vertAlign w:val="baseline"/>
                <w:lang w:val="en-US" w:eastAsia="zh-CN"/>
              </w:rPr>
              <w:t>3</w:t>
            </w:r>
            <w:r>
              <w:rPr>
                <w:rFonts w:hint="eastAsia" w:ascii="Times New Roman" w:eastAsia="宋体"/>
                <w:strike w:val="0"/>
                <w:dstrike w:val="0"/>
                <w:color w:val="auto"/>
                <w:sz w:val="21"/>
                <w:szCs w:val="21"/>
                <w:vertAlign w:val="baseline"/>
                <w:lang w:val="en-US" w:eastAsia="zh-CN"/>
              </w:rPr>
              <w:t>-0</w:t>
            </w:r>
            <w:r>
              <w:rPr>
                <w:rFonts w:hint="eastAsia"/>
                <w:strike w:val="0"/>
                <w:dstrike w:val="0"/>
                <w:color w:val="auto"/>
                <w:sz w:val="21"/>
                <w:szCs w:val="21"/>
                <w:vertAlign w:val="baseline"/>
                <w:lang w:val="en-US" w:eastAsia="zh-CN"/>
              </w:rPr>
              <w:t>6</w:t>
            </w:r>
            <w:r>
              <w:rPr>
                <w:rFonts w:hint="eastAsia" w:ascii="Times New Roman" w:eastAsia="宋体"/>
                <w:strike w:val="0"/>
                <w:dstrike w:val="0"/>
                <w:color w:val="auto"/>
                <w:sz w:val="21"/>
                <w:szCs w:val="21"/>
                <w:vertAlign w:val="baseline"/>
                <w:lang w:val="en-US" w:eastAsia="zh-CN"/>
              </w:rPr>
              <w:t>-0</w:t>
            </w:r>
            <w:r>
              <w:rPr>
                <w:rFonts w:hint="eastAsia"/>
                <w:strike w:val="0"/>
                <w:dstrike w:val="0"/>
                <w:color w:val="auto"/>
                <w:sz w:val="21"/>
                <w:szCs w:val="21"/>
                <w:vertAlign w:val="baseline"/>
                <w:lang w:val="en-US" w:eastAsia="zh-CN"/>
              </w:rPr>
              <w:t>2</w:t>
            </w:r>
            <w:r>
              <w:rPr>
                <w:rFonts w:hint="eastAsia" w:ascii="Times New Roman" w:eastAsia="宋体"/>
                <w:strike w:val="0"/>
                <w:dstrike w:val="0"/>
                <w:color w:val="auto"/>
                <w:sz w:val="21"/>
                <w:szCs w:val="21"/>
                <w:vertAlign w:val="baseline"/>
                <w:lang w:val="en-US" w:eastAsia="zh-CN"/>
              </w:rPr>
              <w:t>—20</w:t>
            </w:r>
            <w:r>
              <w:rPr>
                <w:rFonts w:hint="eastAsia"/>
                <w:strike w:val="0"/>
                <w:dstrike w:val="0"/>
                <w:color w:val="auto"/>
                <w:sz w:val="21"/>
                <w:szCs w:val="21"/>
                <w:vertAlign w:val="baseline"/>
                <w:lang w:val="en-US" w:eastAsia="zh-CN"/>
              </w:rPr>
              <w:t>29</w:t>
            </w:r>
            <w:r>
              <w:rPr>
                <w:rFonts w:hint="eastAsia" w:ascii="Times New Roman" w:eastAsia="宋体"/>
                <w:strike w:val="0"/>
                <w:dstrike w:val="0"/>
                <w:color w:val="auto"/>
                <w:sz w:val="21"/>
                <w:szCs w:val="21"/>
                <w:vertAlign w:val="baseline"/>
                <w:lang w:val="en-US" w:eastAsia="zh-CN"/>
              </w:rPr>
              <w:t>-0</w:t>
            </w:r>
            <w:r>
              <w:rPr>
                <w:rFonts w:hint="eastAsia"/>
                <w:strike w:val="0"/>
                <w:dstrike w:val="0"/>
                <w:color w:val="auto"/>
                <w:sz w:val="21"/>
                <w:szCs w:val="21"/>
                <w:vertAlign w:val="baseline"/>
                <w:lang w:val="en-US" w:eastAsia="zh-CN"/>
              </w:rPr>
              <w:t>6</w:t>
            </w:r>
            <w:r>
              <w:rPr>
                <w:rFonts w:hint="eastAsia" w:ascii="Times New Roman" w:eastAsia="宋体"/>
                <w:strike w:val="0"/>
                <w:dstrike w:val="0"/>
                <w:color w:val="auto"/>
                <w:sz w:val="21"/>
                <w:szCs w:val="21"/>
                <w:vertAlign w:val="baseline"/>
                <w:lang w:val="en-US" w:eastAsia="zh-CN"/>
              </w:rPr>
              <w:t>-0</w:t>
            </w:r>
            <w:r>
              <w:rPr>
                <w:rFonts w:hint="eastAsia"/>
                <w:strike w:val="0"/>
                <w:dstrike w:val="0"/>
                <w:color w:val="auto"/>
                <w:sz w:val="21"/>
                <w:szCs w:val="21"/>
                <w:vertAlign w:val="baseline"/>
                <w:lang w:val="en-US" w:eastAsia="zh-CN"/>
              </w:rPr>
              <w:t>1</w:t>
            </w:r>
          </w:p>
        </w:tc>
      </w:tr>
      <w:tr w14:paraId="046A0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771" w:type="dxa"/>
            <w:vAlign w:val="center"/>
          </w:tcPr>
          <w:p w14:paraId="4F03F4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strike w:val="0"/>
                <w:dstrike w:val="0"/>
                <w:color w:val="auto"/>
                <w:sz w:val="21"/>
                <w:szCs w:val="21"/>
                <w:vertAlign w:val="baseline"/>
                <w:lang w:val="en-US" w:eastAsia="zh-CN"/>
              </w:rPr>
            </w:pPr>
            <w:bookmarkStart w:id="194" w:name="_Toc5519"/>
            <w:bookmarkStart w:id="195" w:name="_Toc18553"/>
            <w:bookmarkStart w:id="196" w:name="_Toc31311"/>
            <w:bookmarkStart w:id="197" w:name="_Toc25836"/>
            <w:r>
              <w:rPr>
                <w:rFonts w:hint="eastAsia" w:ascii="Times New Roman" w:eastAsia="宋体"/>
                <w:strike w:val="0"/>
                <w:dstrike w:val="0"/>
                <w:color w:val="auto"/>
                <w:sz w:val="21"/>
                <w:szCs w:val="21"/>
                <w:vertAlign w:val="baseline"/>
                <w:lang w:val="en-US" w:eastAsia="zh-CN"/>
              </w:rPr>
              <w:t>尾矿作业人员</w:t>
            </w:r>
          </w:p>
        </w:tc>
        <w:tc>
          <w:tcPr>
            <w:tcW w:w="912" w:type="dxa"/>
            <w:vAlign w:val="center"/>
          </w:tcPr>
          <w:p w14:paraId="4BC301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叶根生</w:t>
            </w:r>
          </w:p>
        </w:tc>
        <w:tc>
          <w:tcPr>
            <w:tcW w:w="715" w:type="dxa"/>
            <w:vAlign w:val="center"/>
          </w:tcPr>
          <w:p w14:paraId="0222E3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default"/>
                <w:strike w:val="0"/>
                <w:dstrike w:val="0"/>
                <w:color w:val="auto"/>
                <w:sz w:val="21"/>
                <w:szCs w:val="21"/>
                <w:vertAlign w:val="baseline"/>
                <w:lang w:val="en-US" w:eastAsia="zh-CN"/>
              </w:rPr>
              <w:t>证号</w:t>
            </w:r>
          </w:p>
        </w:tc>
        <w:tc>
          <w:tcPr>
            <w:tcW w:w="2181" w:type="dxa"/>
            <w:vAlign w:val="center"/>
          </w:tcPr>
          <w:p w14:paraId="354844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default"/>
                <w:strike w:val="0"/>
                <w:dstrike w:val="0"/>
                <w:color w:val="auto"/>
                <w:sz w:val="21"/>
                <w:szCs w:val="21"/>
                <w:vertAlign w:val="baseline"/>
                <w:lang w:val="en-US" w:eastAsia="zh-CN"/>
              </w:rPr>
              <w:t>T362302197411280057</w:t>
            </w:r>
          </w:p>
        </w:tc>
        <w:tc>
          <w:tcPr>
            <w:tcW w:w="1073" w:type="dxa"/>
            <w:vAlign w:val="center"/>
          </w:tcPr>
          <w:p w14:paraId="408D69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有效期</w:t>
            </w:r>
          </w:p>
        </w:tc>
        <w:tc>
          <w:tcPr>
            <w:tcW w:w="2636" w:type="dxa"/>
            <w:vAlign w:val="center"/>
          </w:tcPr>
          <w:p w14:paraId="628E34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2026-06-02—2029-06-01</w:t>
            </w:r>
          </w:p>
        </w:tc>
      </w:tr>
      <w:tr w14:paraId="44D97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771" w:type="dxa"/>
            <w:vAlign w:val="center"/>
          </w:tcPr>
          <w:p w14:paraId="36E367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尾矿作业人员</w:t>
            </w:r>
          </w:p>
        </w:tc>
        <w:tc>
          <w:tcPr>
            <w:tcW w:w="912" w:type="dxa"/>
            <w:vAlign w:val="center"/>
          </w:tcPr>
          <w:p w14:paraId="0CCE11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方金有</w:t>
            </w:r>
          </w:p>
        </w:tc>
        <w:tc>
          <w:tcPr>
            <w:tcW w:w="715" w:type="dxa"/>
            <w:vAlign w:val="center"/>
          </w:tcPr>
          <w:p w14:paraId="766CA8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default"/>
                <w:strike w:val="0"/>
                <w:dstrike w:val="0"/>
                <w:color w:val="auto"/>
                <w:sz w:val="21"/>
                <w:szCs w:val="21"/>
                <w:vertAlign w:val="baseline"/>
                <w:lang w:val="en-US" w:eastAsia="zh-CN"/>
              </w:rPr>
              <w:t>证号</w:t>
            </w:r>
          </w:p>
        </w:tc>
        <w:tc>
          <w:tcPr>
            <w:tcW w:w="2181" w:type="dxa"/>
            <w:vAlign w:val="center"/>
          </w:tcPr>
          <w:p w14:paraId="7DED40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default"/>
                <w:strike w:val="0"/>
                <w:dstrike w:val="0"/>
                <w:color w:val="auto"/>
                <w:sz w:val="21"/>
                <w:szCs w:val="21"/>
                <w:vertAlign w:val="baseline"/>
                <w:lang w:val="en-US" w:eastAsia="zh-CN"/>
              </w:rPr>
              <w:t>T362302196811075031</w:t>
            </w:r>
          </w:p>
        </w:tc>
        <w:tc>
          <w:tcPr>
            <w:tcW w:w="1073" w:type="dxa"/>
            <w:vAlign w:val="center"/>
          </w:tcPr>
          <w:p w14:paraId="4C0F56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有效期</w:t>
            </w:r>
          </w:p>
        </w:tc>
        <w:tc>
          <w:tcPr>
            <w:tcW w:w="2636" w:type="dxa"/>
            <w:vAlign w:val="center"/>
          </w:tcPr>
          <w:p w14:paraId="74BE25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2022-08-10—2028-08-09</w:t>
            </w:r>
          </w:p>
        </w:tc>
      </w:tr>
      <w:tr w14:paraId="7B0BA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771" w:type="dxa"/>
            <w:vAlign w:val="center"/>
          </w:tcPr>
          <w:p w14:paraId="4898BF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尾矿作业人员</w:t>
            </w:r>
          </w:p>
        </w:tc>
        <w:tc>
          <w:tcPr>
            <w:tcW w:w="912" w:type="dxa"/>
            <w:vAlign w:val="center"/>
          </w:tcPr>
          <w:p w14:paraId="0AE841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舒林毅</w:t>
            </w:r>
          </w:p>
        </w:tc>
        <w:tc>
          <w:tcPr>
            <w:tcW w:w="715" w:type="dxa"/>
            <w:vAlign w:val="center"/>
          </w:tcPr>
          <w:p w14:paraId="28CCB7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default"/>
                <w:strike w:val="0"/>
                <w:dstrike w:val="0"/>
                <w:color w:val="auto"/>
                <w:sz w:val="21"/>
                <w:szCs w:val="21"/>
                <w:vertAlign w:val="baseline"/>
                <w:lang w:val="en-US" w:eastAsia="zh-CN"/>
              </w:rPr>
              <w:t>证号</w:t>
            </w:r>
          </w:p>
        </w:tc>
        <w:tc>
          <w:tcPr>
            <w:tcW w:w="2181" w:type="dxa"/>
            <w:vAlign w:val="center"/>
          </w:tcPr>
          <w:p w14:paraId="3AFDBB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default"/>
                <w:strike w:val="0"/>
                <w:dstrike w:val="0"/>
                <w:color w:val="auto"/>
                <w:sz w:val="21"/>
                <w:szCs w:val="21"/>
                <w:vertAlign w:val="baseline"/>
                <w:lang w:val="en-US" w:eastAsia="zh-CN"/>
              </w:rPr>
              <w:t>T362302198908035035</w:t>
            </w:r>
          </w:p>
        </w:tc>
        <w:tc>
          <w:tcPr>
            <w:tcW w:w="1073" w:type="dxa"/>
            <w:vAlign w:val="center"/>
          </w:tcPr>
          <w:p w14:paraId="757254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有效期</w:t>
            </w:r>
          </w:p>
        </w:tc>
        <w:tc>
          <w:tcPr>
            <w:tcW w:w="2636" w:type="dxa"/>
            <w:vAlign w:val="center"/>
          </w:tcPr>
          <w:p w14:paraId="55C084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2023-03-31—2029-03-30</w:t>
            </w:r>
          </w:p>
        </w:tc>
      </w:tr>
    </w:tbl>
    <w:p w14:paraId="1A0EBDF6">
      <w:pPr>
        <w:pStyle w:val="4"/>
        <w:bidi w:val="0"/>
        <w:rPr>
          <w:rFonts w:hint="default"/>
          <w:color w:val="auto"/>
          <w:lang w:val="en-US" w:eastAsia="zh-CN"/>
        </w:rPr>
      </w:pPr>
      <w:bookmarkStart w:id="198" w:name="_Toc20659"/>
      <w:r>
        <w:rPr>
          <w:rFonts w:hint="default"/>
          <w:color w:val="auto"/>
          <w:lang w:val="en-US" w:eastAsia="zh-CN"/>
        </w:rPr>
        <w:t>2.8.5</w:t>
      </w:r>
      <w:r>
        <w:rPr>
          <w:rFonts w:hint="eastAsia"/>
          <w:color w:val="auto"/>
          <w:lang w:val="en-US" w:eastAsia="zh-CN"/>
        </w:rPr>
        <w:t xml:space="preserve"> </w:t>
      </w:r>
      <w:r>
        <w:rPr>
          <w:rFonts w:hint="default"/>
          <w:color w:val="auto"/>
          <w:lang w:val="en-US" w:eastAsia="zh-CN"/>
        </w:rPr>
        <w:t>安全措施费用</w:t>
      </w:r>
      <w:bookmarkEnd w:id="194"/>
      <w:bookmarkEnd w:id="195"/>
      <w:bookmarkEnd w:id="196"/>
      <w:bookmarkEnd w:id="197"/>
      <w:bookmarkEnd w:id="198"/>
    </w:p>
    <w:p w14:paraId="1235102F">
      <w:pPr>
        <w:rPr>
          <w:rFonts w:hint="default"/>
          <w:strike w:val="0"/>
          <w:dstrike w:val="0"/>
          <w:color w:val="auto"/>
          <w:lang w:val="en-US" w:eastAsia="zh-CN"/>
        </w:rPr>
      </w:pPr>
      <w:r>
        <w:rPr>
          <w:rFonts w:hint="default"/>
          <w:strike w:val="0"/>
          <w:dstrike w:val="0"/>
          <w:color w:val="auto"/>
          <w:lang w:val="en-US" w:eastAsia="zh-CN"/>
        </w:rPr>
        <w:t>江西三和金业有限公司制定了202</w:t>
      </w:r>
      <w:r>
        <w:rPr>
          <w:rFonts w:hint="eastAsia"/>
          <w:strike w:val="0"/>
          <w:dstrike w:val="0"/>
          <w:color w:val="auto"/>
          <w:lang w:val="en-US" w:eastAsia="zh-CN"/>
        </w:rPr>
        <w:t>5</w:t>
      </w:r>
      <w:r>
        <w:rPr>
          <w:rFonts w:hint="default"/>
          <w:strike w:val="0"/>
          <w:dstrike w:val="0"/>
          <w:color w:val="auto"/>
          <w:lang w:val="en-US" w:eastAsia="zh-CN"/>
        </w:rPr>
        <w:t>年安全措施费用提取和使用计划，</w:t>
      </w:r>
      <w:r>
        <w:rPr>
          <w:rFonts w:hint="eastAsia"/>
          <w:strike w:val="0"/>
          <w:dstrike w:val="0"/>
          <w:color w:val="auto"/>
          <w:lang w:val="en-US" w:eastAsia="zh-CN"/>
        </w:rPr>
        <w:t>计划提取763万元，2025年1-7月共计提取445.4万元，实际使用317.6万元，</w:t>
      </w:r>
      <w:r>
        <w:rPr>
          <w:rFonts w:hint="default"/>
          <w:strike w:val="0"/>
          <w:dstrike w:val="0"/>
          <w:color w:val="auto"/>
          <w:lang w:val="en-US" w:eastAsia="zh-CN"/>
        </w:rPr>
        <w:t>主要用于劳动防护用品费用支出，应急救援器材、设备及进行应急救援演练的支出、安全生产隐患整改支出</w:t>
      </w:r>
      <w:r>
        <w:rPr>
          <w:rFonts w:hint="eastAsia"/>
          <w:strike w:val="0"/>
          <w:dstrike w:val="0"/>
          <w:color w:val="auto"/>
          <w:lang w:val="en-US" w:eastAsia="zh-CN"/>
        </w:rPr>
        <w:t>、安全评价报告及安责险的支出、重大危险源的评估、整改及监控</w:t>
      </w:r>
      <w:r>
        <w:rPr>
          <w:rFonts w:hint="default"/>
          <w:strike w:val="0"/>
          <w:dstrike w:val="0"/>
          <w:color w:val="auto"/>
          <w:lang w:val="en-US" w:eastAsia="zh-CN"/>
        </w:rPr>
        <w:t>及安全宣传、教育、技能培训的支出、安全奖励的支出，做到安全费用专款专用。</w:t>
      </w:r>
    </w:p>
    <w:p w14:paraId="163D4A19">
      <w:pPr>
        <w:pStyle w:val="4"/>
        <w:bidi w:val="0"/>
        <w:rPr>
          <w:rFonts w:hint="default"/>
          <w:lang w:val="en-US" w:eastAsia="zh-CN"/>
        </w:rPr>
      </w:pPr>
      <w:bookmarkStart w:id="199" w:name="_Toc26445"/>
      <w:bookmarkStart w:id="200" w:name="_Toc6679"/>
      <w:bookmarkStart w:id="201" w:name="_Toc31936"/>
      <w:bookmarkStart w:id="202" w:name="_Toc5691"/>
      <w:bookmarkStart w:id="203" w:name="_Toc20331"/>
      <w:r>
        <w:rPr>
          <w:rFonts w:hint="default"/>
          <w:lang w:val="en-US" w:eastAsia="zh-CN"/>
        </w:rPr>
        <w:t>2.8.6</w:t>
      </w:r>
      <w:r>
        <w:rPr>
          <w:rFonts w:hint="eastAsia"/>
          <w:lang w:val="en-US" w:eastAsia="zh-CN"/>
        </w:rPr>
        <w:t xml:space="preserve"> </w:t>
      </w:r>
      <w:r>
        <w:rPr>
          <w:rFonts w:hint="default"/>
          <w:lang w:val="en-US" w:eastAsia="zh-CN"/>
        </w:rPr>
        <w:t>安全检查</w:t>
      </w:r>
      <w:bookmarkEnd w:id="199"/>
      <w:bookmarkEnd w:id="200"/>
      <w:bookmarkEnd w:id="201"/>
      <w:bookmarkEnd w:id="202"/>
      <w:bookmarkEnd w:id="203"/>
    </w:p>
    <w:p w14:paraId="579D6887">
      <w:pPr>
        <w:bidi w:val="0"/>
        <w:rPr>
          <w:rFonts w:hint="eastAsia"/>
          <w:lang w:val="en-US" w:eastAsia="zh-CN"/>
        </w:rPr>
      </w:pPr>
      <w:r>
        <w:rPr>
          <w:rFonts w:hint="default"/>
          <w:strike w:val="0"/>
          <w:dstrike w:val="0"/>
          <w:color w:val="auto"/>
          <w:lang w:val="en-US" w:eastAsia="zh-CN"/>
        </w:rPr>
        <w:t>江西三和金业有限公司</w:t>
      </w:r>
      <w:r>
        <w:rPr>
          <w:rFonts w:hint="eastAsia"/>
          <w:lang w:val="en-US" w:eastAsia="zh-CN"/>
        </w:rPr>
        <w:t>正常开展公司、车间、库区（班组）级安全检查工作，对尾矿库区岸坡长期进行巡视，并建立日常运行记录，有公司、选厂、班组级安全检查情况及隐患整改情况记录。</w:t>
      </w:r>
    </w:p>
    <w:p w14:paraId="21E6F2C7">
      <w:pPr>
        <w:bidi w:val="0"/>
        <w:rPr>
          <w:rFonts w:hint="eastAsia"/>
          <w:lang w:val="en-US" w:eastAsia="zh-CN"/>
        </w:rPr>
      </w:pPr>
      <w:r>
        <w:rPr>
          <w:rFonts w:hint="eastAsia"/>
          <w:lang w:val="en-US" w:eastAsia="zh-CN"/>
        </w:rPr>
        <w:t>截至到今年10月份，共计排查出</w:t>
      </w:r>
      <w:r>
        <w:rPr>
          <w:rFonts w:hint="eastAsia"/>
          <w:strike w:val="0"/>
          <w:dstrike w:val="0"/>
          <w:color w:val="auto"/>
          <w:lang w:val="en-US" w:eastAsia="zh-CN"/>
        </w:rPr>
        <w:t>三</w:t>
      </w:r>
      <w:r>
        <w:rPr>
          <w:rFonts w:hint="default"/>
          <w:strike w:val="0"/>
          <w:dstrike w:val="0"/>
          <w:color w:val="auto"/>
          <w:lang w:val="en-US" w:eastAsia="zh-CN"/>
        </w:rPr>
        <w:t>号（氰化渣）</w:t>
      </w:r>
      <w:r>
        <w:rPr>
          <w:rFonts w:hint="eastAsia"/>
          <w:lang w:val="en-US" w:eastAsia="zh-CN"/>
        </w:rPr>
        <w:t>一般隐患15条，已全部完成整改。</w:t>
      </w:r>
    </w:p>
    <w:p w14:paraId="452B04CD">
      <w:pPr>
        <w:pStyle w:val="4"/>
        <w:bidi w:val="0"/>
        <w:rPr>
          <w:rFonts w:hint="default"/>
          <w:color w:val="auto"/>
          <w:lang w:val="en-US" w:eastAsia="zh-CN"/>
        </w:rPr>
      </w:pPr>
      <w:bookmarkStart w:id="204" w:name="_Toc32019"/>
      <w:bookmarkStart w:id="205" w:name="_Toc26936"/>
      <w:bookmarkStart w:id="206" w:name="_Toc25330"/>
      <w:bookmarkStart w:id="207" w:name="_Toc453"/>
      <w:bookmarkStart w:id="208" w:name="_Toc14117"/>
      <w:r>
        <w:rPr>
          <w:rFonts w:hint="default"/>
          <w:color w:val="auto"/>
          <w:lang w:val="en-US" w:eastAsia="zh-CN"/>
        </w:rPr>
        <w:t>2.8.7</w:t>
      </w:r>
      <w:r>
        <w:rPr>
          <w:rFonts w:hint="eastAsia"/>
          <w:color w:val="auto"/>
          <w:lang w:val="en-US" w:eastAsia="zh-CN"/>
        </w:rPr>
        <w:t xml:space="preserve"> </w:t>
      </w:r>
      <w:r>
        <w:rPr>
          <w:rFonts w:hint="default"/>
          <w:color w:val="auto"/>
          <w:lang w:val="en-US" w:eastAsia="zh-CN"/>
        </w:rPr>
        <w:t>安全生产标准化</w:t>
      </w:r>
      <w:bookmarkEnd w:id="204"/>
      <w:bookmarkEnd w:id="205"/>
      <w:bookmarkEnd w:id="206"/>
      <w:bookmarkEnd w:id="207"/>
      <w:bookmarkEnd w:id="208"/>
    </w:p>
    <w:p w14:paraId="26058C9D">
      <w:pPr>
        <w:rPr>
          <w:rFonts w:hint="default"/>
          <w:b/>
          <w:bCs/>
          <w:strike w:val="0"/>
          <w:dstrike w:val="0"/>
          <w:color w:val="auto"/>
          <w:lang w:val="en-US" w:eastAsia="zh-CN"/>
        </w:rPr>
      </w:pPr>
      <w:r>
        <w:rPr>
          <w:rFonts w:hint="default"/>
          <w:strike w:val="0"/>
          <w:dstrike w:val="0"/>
          <w:color w:val="auto"/>
          <w:lang w:val="en-US" w:eastAsia="zh-CN"/>
        </w:rPr>
        <w:t>江西三和金业有限公司于2015年启动</w:t>
      </w:r>
      <w:r>
        <w:rPr>
          <w:rFonts w:hint="eastAsia"/>
          <w:strike w:val="0"/>
          <w:dstrike w:val="0"/>
          <w:color w:val="auto"/>
          <w:lang w:val="en-US" w:eastAsia="zh-CN"/>
        </w:rPr>
        <w:t>三</w:t>
      </w:r>
      <w:r>
        <w:rPr>
          <w:rFonts w:hint="default"/>
          <w:strike w:val="0"/>
          <w:dstrike w:val="0"/>
          <w:color w:val="auto"/>
          <w:lang w:val="en-US" w:eastAsia="zh-CN"/>
        </w:rPr>
        <w:t>号（氰化渣）尾矿库安全生产标准化工作，于2016年10月通过了由上饶市安全生产协会组织的专家组安标化三级评审，取得了上饶市安全生产监督管理局颁发的相应证书和牌匾，证书编号：赣AQB3611KSⅢ201600004，有效期至2019年12月06日。其后，进行了</w:t>
      </w:r>
      <w:r>
        <w:rPr>
          <w:rFonts w:hint="eastAsia" w:ascii="Times New Roman" w:hAnsi="Times New Roman" w:eastAsia="宋体" w:cs="Times New Roman"/>
          <w:strike w:val="0"/>
          <w:dstrike w:val="0"/>
          <w:color w:val="auto"/>
        </w:rPr>
        <w:t>三号（氰化渣）</w:t>
      </w:r>
      <w:r>
        <w:rPr>
          <w:rFonts w:hint="default"/>
          <w:strike w:val="0"/>
          <w:dstrike w:val="0"/>
          <w:color w:val="auto"/>
          <w:lang w:val="en-US" w:eastAsia="zh-CN"/>
        </w:rPr>
        <w:t>尾矿库安全生产标准化复评评审工作，于202</w:t>
      </w:r>
      <w:r>
        <w:rPr>
          <w:rFonts w:hint="eastAsia"/>
          <w:strike w:val="0"/>
          <w:dstrike w:val="0"/>
          <w:color w:val="auto"/>
          <w:lang w:val="en-US" w:eastAsia="zh-CN"/>
        </w:rPr>
        <w:t>5</w:t>
      </w:r>
      <w:r>
        <w:rPr>
          <w:rFonts w:hint="default"/>
          <w:strike w:val="0"/>
          <w:dstrike w:val="0"/>
          <w:color w:val="auto"/>
          <w:lang w:val="en-US" w:eastAsia="zh-CN"/>
        </w:rPr>
        <w:t>年</w:t>
      </w:r>
      <w:r>
        <w:rPr>
          <w:rFonts w:hint="eastAsia"/>
          <w:strike w:val="0"/>
          <w:dstrike w:val="0"/>
          <w:color w:val="auto"/>
          <w:lang w:val="en-US" w:eastAsia="zh-CN"/>
        </w:rPr>
        <w:t>2</w:t>
      </w:r>
      <w:r>
        <w:rPr>
          <w:rFonts w:hint="default"/>
          <w:strike w:val="0"/>
          <w:dstrike w:val="0"/>
          <w:color w:val="auto"/>
          <w:lang w:val="en-US" w:eastAsia="zh-CN"/>
        </w:rPr>
        <w:t>月取得了上饶市应急管理局颁发的相应证书，证书编号：赣DDZXKSSL-2024047，有效期至202</w:t>
      </w:r>
      <w:r>
        <w:rPr>
          <w:rFonts w:hint="eastAsia"/>
          <w:strike w:val="0"/>
          <w:dstrike w:val="0"/>
          <w:color w:val="auto"/>
          <w:lang w:val="en-US" w:eastAsia="zh-CN"/>
        </w:rPr>
        <w:t>8</w:t>
      </w:r>
      <w:r>
        <w:rPr>
          <w:rFonts w:hint="default"/>
          <w:strike w:val="0"/>
          <w:dstrike w:val="0"/>
          <w:color w:val="auto"/>
          <w:lang w:val="en-US" w:eastAsia="zh-CN"/>
        </w:rPr>
        <w:t>年0</w:t>
      </w:r>
      <w:r>
        <w:rPr>
          <w:rFonts w:hint="eastAsia"/>
          <w:strike w:val="0"/>
          <w:dstrike w:val="0"/>
          <w:color w:val="auto"/>
          <w:lang w:val="en-US" w:eastAsia="zh-CN"/>
        </w:rPr>
        <w:t>2</w:t>
      </w:r>
      <w:r>
        <w:rPr>
          <w:rFonts w:hint="default"/>
          <w:strike w:val="0"/>
          <w:dstrike w:val="0"/>
          <w:color w:val="auto"/>
          <w:lang w:val="en-US" w:eastAsia="zh-CN"/>
        </w:rPr>
        <w:t>月</w:t>
      </w:r>
      <w:r>
        <w:rPr>
          <w:rFonts w:hint="eastAsia"/>
          <w:strike w:val="0"/>
          <w:dstrike w:val="0"/>
          <w:color w:val="auto"/>
          <w:lang w:val="en-US" w:eastAsia="zh-CN"/>
        </w:rPr>
        <w:t>09</w:t>
      </w:r>
      <w:r>
        <w:rPr>
          <w:rFonts w:hint="default"/>
          <w:strike w:val="0"/>
          <w:dstrike w:val="0"/>
          <w:color w:val="auto"/>
          <w:lang w:val="en-US" w:eastAsia="zh-CN"/>
        </w:rPr>
        <w:t>日。</w:t>
      </w:r>
    </w:p>
    <w:p w14:paraId="5FD17D13">
      <w:pPr>
        <w:pStyle w:val="4"/>
        <w:bidi w:val="0"/>
        <w:rPr>
          <w:rFonts w:hint="default"/>
          <w:color w:val="auto"/>
          <w:lang w:val="en-US" w:eastAsia="zh-CN"/>
        </w:rPr>
      </w:pPr>
      <w:bookmarkStart w:id="209" w:name="_Toc8276"/>
      <w:bookmarkStart w:id="210" w:name="_Toc4059"/>
      <w:bookmarkStart w:id="211" w:name="_Toc29590"/>
      <w:bookmarkStart w:id="212" w:name="_Toc22580"/>
      <w:bookmarkStart w:id="213" w:name="_Toc12485"/>
      <w:r>
        <w:rPr>
          <w:rFonts w:hint="default"/>
          <w:color w:val="auto"/>
          <w:lang w:val="en-US" w:eastAsia="zh-CN"/>
        </w:rPr>
        <w:t>2.8.8</w:t>
      </w:r>
      <w:r>
        <w:rPr>
          <w:rFonts w:hint="eastAsia"/>
          <w:color w:val="auto"/>
          <w:lang w:val="en-US" w:eastAsia="zh-CN"/>
        </w:rPr>
        <w:t xml:space="preserve"> </w:t>
      </w:r>
      <w:r>
        <w:rPr>
          <w:rFonts w:hint="default"/>
          <w:color w:val="auto"/>
          <w:lang w:val="en-US" w:eastAsia="zh-CN"/>
        </w:rPr>
        <w:t>事故情况</w:t>
      </w:r>
      <w:bookmarkEnd w:id="209"/>
      <w:bookmarkEnd w:id="210"/>
      <w:bookmarkEnd w:id="211"/>
      <w:bookmarkEnd w:id="212"/>
      <w:bookmarkEnd w:id="213"/>
    </w:p>
    <w:p w14:paraId="469BB14E">
      <w:pPr>
        <w:rPr>
          <w:rFonts w:hint="default"/>
          <w:color w:val="auto"/>
          <w:lang w:val="en-US" w:eastAsia="zh-CN"/>
        </w:rPr>
      </w:pPr>
      <w:r>
        <w:rPr>
          <w:rFonts w:hint="eastAsia"/>
          <w:color w:val="auto"/>
          <w:lang w:val="en-US" w:eastAsia="zh-CN"/>
        </w:rPr>
        <w:t>江西三和金业有限公司三号（氰化渣）尾矿库自2022年取证以来未发生任何安全事故</w:t>
      </w:r>
      <w:r>
        <w:rPr>
          <w:rFonts w:hint="default"/>
          <w:color w:val="auto"/>
          <w:lang w:val="en-US" w:eastAsia="zh-CN"/>
        </w:rPr>
        <w:t>。</w:t>
      </w:r>
    </w:p>
    <w:p w14:paraId="78772293">
      <w:pPr>
        <w:pStyle w:val="4"/>
        <w:bidi w:val="0"/>
        <w:rPr>
          <w:rFonts w:hint="default"/>
          <w:color w:val="auto"/>
          <w:lang w:val="en-US" w:eastAsia="zh-CN"/>
        </w:rPr>
      </w:pPr>
      <w:bookmarkStart w:id="214" w:name="_Toc31948"/>
      <w:bookmarkStart w:id="215" w:name="_Toc7004"/>
      <w:bookmarkStart w:id="216" w:name="_Toc26466"/>
      <w:bookmarkStart w:id="217" w:name="_Toc32305"/>
      <w:bookmarkStart w:id="218" w:name="_Toc11951"/>
      <w:r>
        <w:rPr>
          <w:rFonts w:hint="default"/>
          <w:color w:val="auto"/>
          <w:lang w:val="en-US" w:eastAsia="zh-CN"/>
        </w:rPr>
        <w:t>2.8.9</w:t>
      </w:r>
      <w:r>
        <w:rPr>
          <w:rFonts w:hint="eastAsia"/>
          <w:color w:val="auto"/>
          <w:lang w:val="en-US" w:eastAsia="zh-CN"/>
        </w:rPr>
        <w:t xml:space="preserve"> </w:t>
      </w:r>
      <w:r>
        <w:rPr>
          <w:rFonts w:hint="default"/>
          <w:color w:val="auto"/>
          <w:lang w:val="en-US" w:eastAsia="zh-CN"/>
        </w:rPr>
        <w:t>安全生产责任保险</w:t>
      </w:r>
      <w:bookmarkEnd w:id="214"/>
      <w:bookmarkEnd w:id="215"/>
      <w:bookmarkEnd w:id="216"/>
      <w:bookmarkEnd w:id="217"/>
      <w:bookmarkEnd w:id="218"/>
    </w:p>
    <w:p w14:paraId="2B9AFD43">
      <w:pPr>
        <w:rPr>
          <w:rFonts w:hint="default"/>
          <w:strike w:val="0"/>
          <w:dstrike w:val="0"/>
          <w:color w:val="auto"/>
          <w:lang w:val="en-US" w:eastAsia="zh-CN"/>
        </w:rPr>
      </w:pPr>
      <w:r>
        <w:rPr>
          <w:rFonts w:hint="eastAsia"/>
          <w:color w:val="auto"/>
          <w:lang w:val="en-US" w:eastAsia="zh-CN"/>
        </w:rPr>
        <w:t>江西三和金业有限公司</w:t>
      </w:r>
      <w:r>
        <w:rPr>
          <w:rFonts w:hint="default"/>
          <w:strike w:val="0"/>
          <w:dstrike w:val="0"/>
          <w:color w:val="auto"/>
          <w:lang w:val="en-US" w:eastAsia="zh-CN"/>
        </w:rPr>
        <w:t>已依法参加工伤等社会保险和安全生产责任险，按规定发放</w:t>
      </w:r>
      <w:r>
        <w:rPr>
          <w:rFonts w:hint="eastAsia"/>
          <w:strike w:val="0"/>
          <w:dstrike w:val="0"/>
          <w:color w:val="auto"/>
          <w:lang w:val="en-US" w:eastAsia="zh-CN"/>
        </w:rPr>
        <w:t>了</w:t>
      </w:r>
      <w:r>
        <w:rPr>
          <w:rFonts w:hint="default"/>
          <w:strike w:val="0"/>
          <w:dstrike w:val="0"/>
          <w:color w:val="auto"/>
          <w:lang w:val="en-US" w:eastAsia="zh-CN"/>
        </w:rPr>
        <w:t>劳动保护用品。</w:t>
      </w:r>
    </w:p>
    <w:p w14:paraId="00C6C050">
      <w:pPr>
        <w:pStyle w:val="3"/>
        <w:bidi w:val="0"/>
        <w:rPr>
          <w:rFonts w:hint="eastAsia"/>
          <w:color w:val="auto"/>
          <w:lang w:val="en-US" w:eastAsia="zh-CN"/>
        </w:rPr>
      </w:pPr>
      <w:bookmarkStart w:id="219" w:name="_Toc27078"/>
      <w:bookmarkStart w:id="220" w:name="_Toc24926"/>
      <w:bookmarkStart w:id="221" w:name="_Toc2493"/>
      <w:bookmarkStart w:id="222" w:name="_Toc10212"/>
      <w:r>
        <w:rPr>
          <w:rFonts w:hint="eastAsia"/>
          <w:color w:val="auto"/>
          <w:lang w:val="en-US" w:eastAsia="zh-CN"/>
        </w:rPr>
        <w:t>2.9 隐蔽致灾因素普查</w:t>
      </w:r>
      <w:bookmarkEnd w:id="219"/>
      <w:bookmarkEnd w:id="220"/>
      <w:bookmarkEnd w:id="221"/>
      <w:bookmarkEnd w:id="222"/>
    </w:p>
    <w:p w14:paraId="6A975698">
      <w:pPr>
        <w:rPr>
          <w:rFonts w:hint="eastAsia"/>
          <w:strike w:val="0"/>
          <w:dstrike w:val="0"/>
          <w:color w:val="auto"/>
          <w:lang w:val="en-US" w:eastAsia="zh-CN"/>
        </w:rPr>
      </w:pPr>
      <w:r>
        <w:rPr>
          <w:rFonts w:hint="eastAsia"/>
          <w:strike w:val="0"/>
          <w:dstrike w:val="0"/>
          <w:color w:val="auto"/>
          <w:lang w:val="en-US" w:eastAsia="zh-CN"/>
        </w:rPr>
        <w:t>2025年10月，</w:t>
      </w:r>
      <w:r>
        <w:rPr>
          <w:rFonts w:hint="eastAsia"/>
          <w:color w:val="auto"/>
          <w:lang w:val="en-US" w:eastAsia="zh-CN"/>
        </w:rPr>
        <w:t>江西三和金业有限公司</w:t>
      </w:r>
      <w:r>
        <w:rPr>
          <w:rFonts w:hint="eastAsia"/>
          <w:strike w:val="0"/>
          <w:dstrike w:val="0"/>
          <w:color w:val="auto"/>
          <w:lang w:val="en-US" w:eastAsia="zh-CN"/>
        </w:rPr>
        <w:t>已完成尾矿库隐蔽致灾因素普查工作，编制提交了《江西三和金业有限公司三号（氰化渣）尾矿库隐蔽致灾因素普查报告》，目前正在进行隐蔽致灾因素治理工作。</w:t>
      </w:r>
    </w:p>
    <w:p w14:paraId="1E7FA298">
      <w:pPr>
        <w:pStyle w:val="3"/>
        <w:pageBreakBefore w:val="0"/>
        <w:widowControl w:val="0"/>
        <w:kinsoku/>
        <w:wordWrap/>
        <w:overflowPunct/>
        <w:topLinePunct w:val="0"/>
        <w:autoSpaceDE/>
        <w:autoSpaceDN/>
        <w:bidi w:val="0"/>
        <w:adjustRightInd/>
        <w:snapToGrid/>
        <w:spacing w:line="360" w:lineRule="auto"/>
        <w:textAlignment w:val="auto"/>
        <w:rPr>
          <w:rFonts w:hint="default"/>
          <w:color w:val="auto"/>
          <w:lang w:val="en-US" w:eastAsia="zh-CN"/>
        </w:rPr>
      </w:pPr>
      <w:bookmarkStart w:id="223" w:name="_Toc6394"/>
      <w:bookmarkStart w:id="224" w:name="_Toc16626"/>
      <w:bookmarkStart w:id="225" w:name="_Toc27595"/>
      <w:bookmarkStart w:id="226" w:name="_Toc7801"/>
      <w:bookmarkStart w:id="227" w:name="_Toc8125"/>
      <w:r>
        <w:rPr>
          <w:rFonts w:hint="default"/>
          <w:color w:val="auto"/>
          <w:lang w:val="en-US" w:eastAsia="zh-CN"/>
        </w:rPr>
        <w:t>2.</w:t>
      </w:r>
      <w:r>
        <w:rPr>
          <w:rFonts w:hint="eastAsia"/>
          <w:color w:val="auto"/>
          <w:lang w:val="en-US" w:eastAsia="zh-CN"/>
        </w:rPr>
        <w:t xml:space="preserve">10 </w:t>
      </w:r>
      <w:r>
        <w:rPr>
          <w:rFonts w:hint="default"/>
          <w:color w:val="auto"/>
          <w:lang w:val="en-US" w:eastAsia="zh-CN"/>
        </w:rPr>
        <w:t>周边环境</w:t>
      </w:r>
      <w:bookmarkEnd w:id="223"/>
      <w:bookmarkEnd w:id="224"/>
      <w:bookmarkEnd w:id="225"/>
      <w:bookmarkEnd w:id="226"/>
      <w:bookmarkEnd w:id="227"/>
    </w:p>
    <w:p w14:paraId="36BDC0C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olor w:val="auto"/>
          <w:lang w:val="en-US" w:eastAsia="zh-CN"/>
        </w:rPr>
      </w:pPr>
      <w:r>
        <w:rPr>
          <w:rFonts w:hint="default"/>
          <w:color w:val="auto"/>
          <w:lang w:val="en-US" w:eastAsia="zh-CN"/>
        </w:rPr>
        <w:t>三号（氰化渣）尾矿库位于三和金业冶炼厂西南侧，直线距离约0.7km的田坑口东支沟内，沟谷走向东南～西北，东南高西北低，总长约0.66km。初期坝坝址选择在一狭窄沟谷处，坝轴线走向为近东西向。田坑口右下方为洎水河，田坑口沟口离洎水河约500m，中间为大片农田，沟口向南100m为岔沟，岔沟西侧10m即为4号（中和渣）尾矿库库址，岔沟东侧80m即为三号（氰化渣）尾矿库库址，其上游及库内无居民、无其他工业设施、不压矿，库下游1km以内无居民，但有农田。洎水河右岸为花桥～德兴市公路（县道735），跨过公路约100m处为黄柏洋村居民区（坝址至黄柏洋村居民区距离1km），农田、洎水河、黄柏洋村居民区标高分别为+70.0m、+68.0m、+74.0m。</w:t>
      </w:r>
    </w:p>
    <w:p w14:paraId="70D85E3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olor w:val="auto"/>
          <w:lang w:val="en-US" w:eastAsia="zh-CN"/>
        </w:rPr>
      </w:pPr>
      <w:r>
        <w:rPr>
          <w:rFonts w:hint="default"/>
          <w:color w:val="auto"/>
          <w:lang w:val="en-US" w:eastAsia="zh-CN"/>
        </w:rPr>
        <w:t>三号（氰化渣）尾矿库分别与2#（中和渣）尾矿库、4号（中和渣）尾矿库一山之隔。三号（氰化渣）尾矿库位于已闭库的2#（中和渣）尾矿库西南侧临沟内，且两库鞍部建有2#（中和渣）尾矿库副坝。三号（氰化渣）尾矿库为干排、干堆库，库底和岸边均铺设有防渗膜，其库内渗水和洪水对2#（中和渣）尾矿库副坝基本无影响，且随着三号（氰化渣）尾矿库的逐渐堆高，对2#（中和渣）尾矿库副坝的安全更为有利（两库终期标高一致，均为+100.0m）。2#（中和渣）尾矿库对三号（氰化渣）尾矿库运行也无影响；三号（氰化渣）尾矿库和4号（中和渣）尾矿库位于同一主沟的不同支沟内，相互之间的道路距离约500m，两库相互之间无影响。</w:t>
      </w:r>
    </w:p>
    <w:p w14:paraId="65773140">
      <w:pPr>
        <w:ind w:left="0" w:leftChars="0" w:firstLine="0" w:firstLineChars="0"/>
        <w:jc w:val="center"/>
        <w:rPr>
          <w:color w:val="auto"/>
        </w:rPr>
      </w:pPr>
      <w:r>
        <w:rPr>
          <w:position w:val="-121"/>
        </w:rPr>
        <w:drawing>
          <wp:inline distT="0" distB="0" distL="114300" distR="114300">
            <wp:extent cx="5702300" cy="3542030"/>
            <wp:effectExtent l="0" t="0" r="12700" b="1270"/>
            <wp:docPr id="11" name="图片 1"/>
            <wp:cNvGraphicFramePr/>
            <a:graphic xmlns:a="http://schemas.openxmlformats.org/drawingml/2006/main">
              <a:graphicData uri="http://schemas.openxmlformats.org/drawingml/2006/picture">
                <pic:pic xmlns:pic="http://schemas.openxmlformats.org/drawingml/2006/picture">
                  <pic:nvPicPr>
                    <pic:cNvPr id="11" name="图片 1"/>
                    <pic:cNvPicPr/>
                  </pic:nvPicPr>
                  <pic:blipFill>
                    <a:blip r:embed="rId10"/>
                    <a:stretch>
                      <a:fillRect/>
                    </a:stretch>
                  </pic:blipFill>
                  <pic:spPr>
                    <a:xfrm>
                      <a:off x="0" y="0"/>
                      <a:ext cx="5702300" cy="3542030"/>
                    </a:xfrm>
                    <a:prstGeom prst="rect">
                      <a:avLst/>
                    </a:prstGeom>
                    <a:noFill/>
                    <a:ln>
                      <a:noFill/>
                    </a:ln>
                  </pic:spPr>
                </pic:pic>
              </a:graphicData>
            </a:graphic>
          </wp:inline>
        </w:drawing>
      </w:r>
    </w:p>
    <w:p w14:paraId="2B55E7C3">
      <w:pPr>
        <w:ind w:left="0" w:leftChars="0" w:firstLine="0" w:firstLineChars="0"/>
        <w:jc w:val="center"/>
        <w:rPr>
          <w:color w:val="auto"/>
        </w:rPr>
      </w:pPr>
      <w:r>
        <w:rPr>
          <w:rFonts w:hint="eastAsia"/>
          <w:color w:val="auto"/>
          <w:lang w:val="en-US" w:eastAsia="zh-CN"/>
        </w:rPr>
        <w:t xml:space="preserve">图2.10-1 </w:t>
      </w:r>
      <w:r>
        <w:rPr>
          <w:rFonts w:hint="eastAsia"/>
          <w:color w:val="auto"/>
        </w:rPr>
        <w:t>三</w:t>
      </w:r>
      <w:r>
        <w:rPr>
          <w:rFonts w:hint="eastAsia"/>
          <w:color w:val="auto"/>
          <w:lang w:val="en-US" w:eastAsia="zh-CN"/>
        </w:rPr>
        <w:t>和</w:t>
      </w:r>
      <w:r>
        <w:rPr>
          <w:rFonts w:hint="eastAsia"/>
          <w:color w:val="auto"/>
        </w:rPr>
        <w:t>金业尾矿库卫星图</w:t>
      </w:r>
    </w:p>
    <w:p w14:paraId="47708E68">
      <w:pPr>
        <w:ind w:left="0" w:leftChars="0" w:firstLine="0" w:firstLineChars="0"/>
        <w:jc w:val="center"/>
        <w:rPr>
          <w:rFonts w:hint="default"/>
          <w:color w:val="auto"/>
          <w:lang w:val="en-US" w:eastAsia="zh-CN"/>
        </w:rPr>
      </w:pPr>
      <w:r>
        <w:rPr>
          <w:rFonts w:hint="default"/>
          <w:color w:val="auto"/>
          <w:lang w:val="en-US" w:eastAsia="zh-CN"/>
        </w:rPr>
        <w:br w:type="page"/>
      </w:r>
    </w:p>
    <w:p w14:paraId="07B96571">
      <w:pPr>
        <w:pStyle w:val="2"/>
        <w:numPr>
          <w:ilvl w:val="0"/>
          <w:numId w:val="1"/>
        </w:numPr>
        <w:bidi w:val="0"/>
        <w:ind w:left="0" w:leftChars="0" w:firstLine="0" w:firstLineChars="0"/>
        <w:rPr>
          <w:rFonts w:hint="default"/>
          <w:color w:val="auto"/>
          <w:lang w:val="en-US" w:eastAsia="zh-CN"/>
        </w:rPr>
      </w:pPr>
      <w:bookmarkStart w:id="228" w:name="_Toc27227"/>
      <w:bookmarkStart w:id="229" w:name="_Toc28966"/>
      <w:bookmarkStart w:id="230" w:name="_Toc10699"/>
      <w:bookmarkStart w:id="231" w:name="_Toc6734"/>
      <w:bookmarkStart w:id="232" w:name="_Toc16325"/>
      <w:r>
        <w:rPr>
          <w:rFonts w:hint="default"/>
          <w:color w:val="auto"/>
          <w:lang w:val="en-US" w:eastAsia="zh-CN"/>
        </w:rPr>
        <w:t>辩识与分析危险、有害因素</w:t>
      </w:r>
      <w:bookmarkEnd w:id="228"/>
      <w:bookmarkEnd w:id="229"/>
      <w:bookmarkEnd w:id="230"/>
      <w:bookmarkEnd w:id="231"/>
      <w:bookmarkEnd w:id="232"/>
      <w:r>
        <w:rPr>
          <w:rFonts w:hint="default"/>
          <w:color w:val="auto"/>
          <w:lang w:val="en-US" w:eastAsia="zh-CN"/>
        </w:rPr>
        <w:tab/>
      </w:r>
    </w:p>
    <w:p w14:paraId="53A18270">
      <w:pPr>
        <w:rPr>
          <w:rFonts w:hint="default"/>
          <w:color w:val="auto"/>
          <w:lang w:val="en-US" w:eastAsia="zh-CN"/>
        </w:rPr>
      </w:pPr>
      <w:r>
        <w:rPr>
          <w:rFonts w:hint="default"/>
          <w:color w:val="auto"/>
          <w:lang w:val="en-US" w:eastAsia="zh-CN"/>
        </w:rPr>
        <w:t>尾矿库是矿山的一项重要生产设施，它的运行状况好坏，直接关系到矿山的安全生产和人民生命财产的安全。据统计，在世界上的各种重大灾害中，尾矿库灾害仅次于发生地震、霍乱、洪水和氢弹爆炸而居于第18位。它一旦发生事故，必将对下游地区居民的生命和财产造成巨大灾害，并对环境造成严重污染。</w:t>
      </w:r>
    </w:p>
    <w:p w14:paraId="1CEAE9BC">
      <w:pPr>
        <w:pStyle w:val="3"/>
        <w:numPr>
          <w:ilvl w:val="1"/>
          <w:numId w:val="0"/>
        </w:numPr>
        <w:bidi w:val="0"/>
        <w:ind w:left="0" w:leftChars="0" w:firstLine="0" w:firstLineChars="0"/>
        <w:rPr>
          <w:rFonts w:hint="eastAsia"/>
          <w:color w:val="auto"/>
          <w:lang w:eastAsia="zh-CN"/>
        </w:rPr>
      </w:pPr>
      <w:bookmarkStart w:id="233" w:name="_Toc1374"/>
      <w:bookmarkStart w:id="234" w:name="_Toc9916"/>
      <w:bookmarkStart w:id="235" w:name="_Toc23486"/>
      <w:bookmarkStart w:id="236" w:name="_Toc24321"/>
      <w:bookmarkStart w:id="237" w:name="_Toc3280"/>
      <w:bookmarkStart w:id="238" w:name="_Toc5371"/>
      <w:bookmarkStart w:id="239" w:name="_Toc25017"/>
      <w:bookmarkStart w:id="240" w:name="_Toc11111"/>
      <w:r>
        <w:rPr>
          <w:rFonts w:hint="eastAsia" w:cs="Times New Roman"/>
          <w:b/>
          <w:color w:val="auto"/>
          <w:kern w:val="2"/>
          <w:sz w:val="30"/>
          <w:szCs w:val="24"/>
          <w:lang w:val="en-US" w:eastAsia="zh-CN" w:bidi="ar-SA"/>
        </w:rPr>
        <w:t>3</w:t>
      </w:r>
      <w:r>
        <w:rPr>
          <w:rFonts w:hint="default" w:ascii="Times New Roman" w:hAnsi="Times New Roman" w:eastAsia="黑体" w:cs="Times New Roman"/>
          <w:b/>
          <w:color w:val="auto"/>
          <w:kern w:val="2"/>
          <w:sz w:val="30"/>
          <w:szCs w:val="24"/>
          <w:lang w:val="en-US" w:eastAsia="zh-CN" w:bidi="ar-SA"/>
        </w:rPr>
        <w:t>.1</w:t>
      </w:r>
      <w:r>
        <w:rPr>
          <w:rFonts w:hint="eastAsia" w:cs="Times New Roman"/>
          <w:b/>
          <w:color w:val="auto"/>
          <w:kern w:val="2"/>
          <w:sz w:val="30"/>
          <w:szCs w:val="24"/>
          <w:lang w:val="en-US" w:eastAsia="zh-CN" w:bidi="ar-SA"/>
        </w:rPr>
        <w:t xml:space="preserve"> </w:t>
      </w:r>
      <w:r>
        <w:rPr>
          <w:rFonts w:hint="eastAsia"/>
          <w:color w:val="auto"/>
          <w:lang w:eastAsia="zh-CN"/>
        </w:rPr>
        <w:t>尾矿库病害的产生原因</w:t>
      </w:r>
      <w:bookmarkEnd w:id="233"/>
      <w:bookmarkEnd w:id="234"/>
      <w:bookmarkEnd w:id="235"/>
      <w:bookmarkEnd w:id="236"/>
      <w:bookmarkEnd w:id="237"/>
      <w:bookmarkEnd w:id="238"/>
      <w:bookmarkEnd w:id="239"/>
      <w:bookmarkEnd w:id="240"/>
    </w:p>
    <w:p w14:paraId="06F4F278">
      <w:pPr>
        <w:rPr>
          <w:rFonts w:hint="eastAsia"/>
          <w:color w:val="auto"/>
          <w:lang w:eastAsia="zh-CN"/>
        </w:rPr>
      </w:pPr>
      <w:r>
        <w:rPr>
          <w:rFonts w:hint="eastAsia" w:eastAsia="宋体"/>
          <w:color w:val="auto"/>
          <w:lang w:eastAsia="zh-CN"/>
        </w:rPr>
        <w:t>尾矿库从勘察、设计、施工到使用的全过程中，任何一个环节有毛病，都可能导致尾矿库不能正常使用。其中，由于生产管理不善、操作不当或外界环境因素干扰所造成的病害比较容易检查发现；而勘察、设计、施工或其它原因造成隐患，在使用初期不易显现出来，这些常被人忽视的隐患往往属于很难补救和治理的病害。</w:t>
      </w:r>
    </w:p>
    <w:p w14:paraId="069BB11A">
      <w:pPr>
        <w:pStyle w:val="4"/>
        <w:bidi w:val="0"/>
        <w:rPr>
          <w:rFonts w:hint="eastAsia"/>
          <w:color w:val="auto"/>
          <w:lang w:eastAsia="zh-CN"/>
        </w:rPr>
      </w:pPr>
      <w:bookmarkStart w:id="241" w:name="_Toc9241"/>
      <w:bookmarkStart w:id="242" w:name="_Toc20861"/>
      <w:bookmarkStart w:id="243" w:name="_Toc20826"/>
      <w:bookmarkStart w:id="244" w:name="_Toc25961"/>
      <w:bookmarkStart w:id="245" w:name="_Toc27439"/>
      <w:bookmarkStart w:id="246" w:name="_Toc29015"/>
      <w:bookmarkStart w:id="247" w:name="_Toc29693"/>
      <w:bookmarkStart w:id="248" w:name="_Toc19828"/>
      <w:r>
        <w:rPr>
          <w:rFonts w:hint="eastAsia"/>
          <w:color w:val="auto"/>
          <w:lang w:eastAsia="zh-CN"/>
        </w:rPr>
        <w:t>3.1.1</w:t>
      </w:r>
      <w:r>
        <w:rPr>
          <w:rFonts w:hint="eastAsia"/>
          <w:color w:val="auto"/>
          <w:lang w:val="en-US" w:eastAsia="zh-CN"/>
        </w:rPr>
        <w:t xml:space="preserve"> </w:t>
      </w:r>
      <w:r>
        <w:rPr>
          <w:rFonts w:hint="eastAsia"/>
          <w:color w:val="auto"/>
          <w:lang w:eastAsia="zh-CN"/>
        </w:rPr>
        <w:t>勘察因素造成的病害</w:t>
      </w:r>
      <w:bookmarkEnd w:id="241"/>
      <w:bookmarkEnd w:id="242"/>
      <w:bookmarkEnd w:id="243"/>
      <w:bookmarkEnd w:id="244"/>
      <w:bookmarkEnd w:id="245"/>
      <w:bookmarkEnd w:id="246"/>
      <w:bookmarkEnd w:id="247"/>
      <w:bookmarkEnd w:id="248"/>
    </w:p>
    <w:p w14:paraId="6C5E77AA">
      <w:pPr>
        <w:rPr>
          <w:rFonts w:hint="eastAsia"/>
          <w:color w:val="auto"/>
          <w:lang w:eastAsia="zh-CN"/>
        </w:rPr>
      </w:pPr>
      <w:r>
        <w:rPr>
          <w:rFonts w:hint="eastAsia" w:eastAsia="宋体"/>
          <w:color w:val="auto"/>
          <w:lang w:eastAsia="zh-CN"/>
        </w:rPr>
        <w:t>对库区、坝基、排洪管线等处的不良地质条件未能查明，就可能造成库内滑坡、坝体变形、坝基渗漏、排洪涵管断裂、排水井倒塌等病害。</w:t>
      </w:r>
    </w:p>
    <w:p w14:paraId="13730F9C">
      <w:pPr>
        <w:rPr>
          <w:rFonts w:hint="eastAsia"/>
          <w:color w:val="auto"/>
          <w:lang w:eastAsia="zh-CN"/>
        </w:rPr>
      </w:pPr>
      <w:r>
        <w:rPr>
          <w:rFonts w:hint="eastAsia" w:eastAsia="宋体"/>
          <w:color w:val="auto"/>
          <w:lang w:eastAsia="zh-CN"/>
        </w:rPr>
        <w:t>对尾矿堆坝坝体的勘察质量低劣，则导致稳定分析、排洪能力等结论的不可靠。</w:t>
      </w:r>
    </w:p>
    <w:p w14:paraId="209C9E53">
      <w:pPr>
        <w:pStyle w:val="4"/>
        <w:bidi w:val="0"/>
        <w:rPr>
          <w:rFonts w:hint="eastAsia"/>
          <w:color w:val="auto"/>
          <w:lang w:eastAsia="zh-CN"/>
        </w:rPr>
      </w:pPr>
      <w:bookmarkStart w:id="249" w:name="_Toc24253"/>
      <w:bookmarkStart w:id="250" w:name="_Toc4962"/>
      <w:bookmarkStart w:id="251" w:name="_Toc30883"/>
      <w:bookmarkStart w:id="252" w:name="_Toc14833"/>
      <w:bookmarkStart w:id="253" w:name="_Toc3239"/>
      <w:bookmarkStart w:id="254" w:name="_Toc22549"/>
      <w:bookmarkStart w:id="255" w:name="_Toc6634"/>
      <w:bookmarkStart w:id="256" w:name="_Toc6407"/>
      <w:r>
        <w:rPr>
          <w:rFonts w:hint="eastAsia"/>
          <w:color w:val="auto"/>
          <w:lang w:eastAsia="zh-CN"/>
        </w:rPr>
        <w:t>3.1.2</w:t>
      </w:r>
      <w:r>
        <w:rPr>
          <w:rFonts w:hint="eastAsia"/>
          <w:color w:val="auto"/>
          <w:lang w:val="en-US" w:eastAsia="zh-CN"/>
        </w:rPr>
        <w:t xml:space="preserve"> </w:t>
      </w:r>
      <w:r>
        <w:rPr>
          <w:rFonts w:hint="eastAsia"/>
          <w:color w:val="auto"/>
          <w:lang w:eastAsia="zh-CN"/>
        </w:rPr>
        <w:t>设计因素造成的病害</w:t>
      </w:r>
      <w:bookmarkEnd w:id="249"/>
      <w:bookmarkEnd w:id="250"/>
      <w:bookmarkEnd w:id="251"/>
      <w:bookmarkEnd w:id="252"/>
      <w:bookmarkEnd w:id="253"/>
      <w:bookmarkEnd w:id="254"/>
      <w:bookmarkEnd w:id="255"/>
      <w:bookmarkEnd w:id="256"/>
    </w:p>
    <w:p w14:paraId="0DA18BE8">
      <w:pPr>
        <w:bidi w:val="0"/>
        <w:rPr>
          <w:rFonts w:hint="eastAsia"/>
          <w:color w:val="auto"/>
          <w:lang w:eastAsia="zh-CN"/>
        </w:rPr>
      </w:pPr>
      <w:r>
        <w:rPr>
          <w:rFonts w:hint="eastAsia" w:eastAsia="宋体"/>
          <w:color w:val="auto"/>
          <w:lang w:eastAsia="zh-CN"/>
        </w:rPr>
        <w:t>设计质量低劣表现在基础资料不确切、设计方案及技术论证方法不当、不遵循设计规范、对库水位及浸润线深度的控制要求不明确，或要求不切实际等方面。尽管目前设计单位资质齐全，但上述因素造成尾矿库带病运行的现象屡见不鲜。由此造成的隐患大多为坝体在中、后期稳定性和防洪能力不能满足设计规范的要求。其次，排水构筑物出现断裂、气蚀、倒塌等病害也可能是由于设计人员技术不高或经验不足所造成。</w:t>
      </w:r>
    </w:p>
    <w:p w14:paraId="5F3635FD">
      <w:pPr>
        <w:pStyle w:val="4"/>
        <w:bidi w:val="0"/>
        <w:rPr>
          <w:rFonts w:hint="eastAsia"/>
          <w:color w:val="auto"/>
          <w:lang w:eastAsia="zh-CN"/>
        </w:rPr>
      </w:pPr>
      <w:bookmarkStart w:id="257" w:name="_Toc14439"/>
      <w:bookmarkStart w:id="258" w:name="_Toc1234"/>
      <w:bookmarkStart w:id="259" w:name="_Toc2462"/>
      <w:bookmarkStart w:id="260" w:name="_Toc19724"/>
      <w:bookmarkStart w:id="261" w:name="_Toc25605"/>
      <w:bookmarkStart w:id="262" w:name="_Toc17545"/>
      <w:bookmarkStart w:id="263" w:name="_Toc582"/>
      <w:bookmarkStart w:id="264" w:name="_Toc29215"/>
      <w:r>
        <w:rPr>
          <w:rFonts w:hint="eastAsia"/>
          <w:color w:val="auto"/>
          <w:lang w:eastAsia="zh-CN"/>
        </w:rPr>
        <w:t>3.1.3</w:t>
      </w:r>
      <w:r>
        <w:rPr>
          <w:rFonts w:hint="eastAsia"/>
          <w:color w:val="auto"/>
          <w:lang w:val="en-US" w:eastAsia="zh-CN"/>
        </w:rPr>
        <w:t xml:space="preserve"> </w:t>
      </w:r>
      <w:r>
        <w:rPr>
          <w:rFonts w:hint="eastAsia"/>
          <w:color w:val="auto"/>
          <w:lang w:eastAsia="zh-CN"/>
        </w:rPr>
        <w:t>施工因素造成的病害</w:t>
      </w:r>
      <w:bookmarkEnd w:id="257"/>
      <w:bookmarkEnd w:id="258"/>
      <w:bookmarkEnd w:id="259"/>
      <w:bookmarkEnd w:id="260"/>
      <w:bookmarkEnd w:id="261"/>
      <w:bookmarkEnd w:id="262"/>
      <w:bookmarkEnd w:id="263"/>
      <w:bookmarkEnd w:id="264"/>
    </w:p>
    <w:p w14:paraId="758B3856">
      <w:pPr>
        <w:rPr>
          <w:rFonts w:hint="eastAsia"/>
          <w:color w:val="auto"/>
          <w:lang w:eastAsia="zh-CN"/>
        </w:rPr>
      </w:pPr>
      <w:r>
        <w:rPr>
          <w:rFonts w:hint="eastAsia" w:eastAsia="宋体"/>
          <w:color w:val="auto"/>
          <w:lang w:eastAsia="zh-CN"/>
        </w:rPr>
        <w:t>初期坝施工中清基不彻底、坝体密实度不均、坝料不符合要求、反滤层铺设不当等，会造成坝体沉降不均、坝基或坝体漏矿、后期坝局部塌陷；排洪构筑物有蜂窝、麻面或强度不达标，当负荷逐渐增大时，会造成掉块、漏筋、断裂、甚至倒塌等病害。</w:t>
      </w:r>
    </w:p>
    <w:p w14:paraId="3165544F">
      <w:pPr>
        <w:pStyle w:val="4"/>
        <w:bidi w:val="0"/>
        <w:rPr>
          <w:rFonts w:hint="eastAsia"/>
          <w:color w:val="auto"/>
          <w:lang w:eastAsia="zh-CN"/>
        </w:rPr>
      </w:pPr>
      <w:bookmarkStart w:id="265" w:name="_Toc23986"/>
      <w:bookmarkStart w:id="266" w:name="_Toc4862"/>
      <w:bookmarkStart w:id="267" w:name="_Toc29857"/>
      <w:bookmarkStart w:id="268" w:name="_Toc13268"/>
      <w:bookmarkStart w:id="269" w:name="_Toc9219"/>
      <w:bookmarkStart w:id="270" w:name="_Toc18452"/>
      <w:bookmarkStart w:id="271" w:name="_Toc13765"/>
      <w:bookmarkStart w:id="272" w:name="_Toc19265"/>
      <w:r>
        <w:rPr>
          <w:rFonts w:hint="eastAsia"/>
          <w:color w:val="auto"/>
          <w:lang w:eastAsia="zh-CN"/>
        </w:rPr>
        <w:t>3.1.4</w:t>
      </w:r>
      <w:r>
        <w:rPr>
          <w:rFonts w:hint="eastAsia"/>
          <w:color w:val="auto"/>
          <w:lang w:val="en-US" w:eastAsia="zh-CN"/>
        </w:rPr>
        <w:t xml:space="preserve"> </w:t>
      </w:r>
      <w:r>
        <w:rPr>
          <w:rFonts w:hint="eastAsia"/>
          <w:color w:val="auto"/>
          <w:lang w:eastAsia="zh-CN"/>
        </w:rPr>
        <w:t>操作管理不当造成的病害</w:t>
      </w:r>
      <w:bookmarkEnd w:id="265"/>
      <w:bookmarkEnd w:id="266"/>
      <w:bookmarkEnd w:id="267"/>
      <w:bookmarkEnd w:id="268"/>
      <w:bookmarkEnd w:id="269"/>
      <w:bookmarkEnd w:id="270"/>
      <w:bookmarkEnd w:id="271"/>
      <w:bookmarkEnd w:id="272"/>
    </w:p>
    <w:p w14:paraId="51EA40AF">
      <w:pPr>
        <w:bidi w:val="0"/>
        <w:rPr>
          <w:rFonts w:hint="eastAsia" w:eastAsia="宋体"/>
          <w:color w:val="auto"/>
          <w:lang w:eastAsia="zh-CN"/>
        </w:rPr>
      </w:pPr>
      <w:r>
        <w:rPr>
          <w:rFonts w:hint="eastAsia" w:eastAsia="宋体"/>
          <w:color w:val="auto"/>
          <w:lang w:eastAsia="zh-CN"/>
        </w:rPr>
        <w:t>在长期生产过程中，由于操作不当造成的常见病害和隐患如下：</w:t>
      </w:r>
    </w:p>
    <w:p w14:paraId="2CDFD554">
      <w:pPr>
        <w:bidi w:val="0"/>
        <w:rPr>
          <w:rFonts w:hint="eastAsia" w:eastAsia="宋体"/>
          <w:color w:val="auto"/>
          <w:lang w:eastAsia="zh-CN"/>
        </w:rPr>
      </w:pPr>
      <w:r>
        <w:rPr>
          <w:rFonts w:hint="eastAsia" w:eastAsia="宋体"/>
          <w:color w:val="auto"/>
          <w:lang w:eastAsia="zh-CN"/>
        </w:rPr>
        <w:t>1.</w:t>
      </w:r>
      <w:r>
        <w:rPr>
          <w:rFonts w:hint="eastAsia"/>
          <w:color w:val="auto"/>
          <w:lang w:val="en-US" w:eastAsia="zh-CN"/>
        </w:rPr>
        <w:t xml:space="preserve"> </w:t>
      </w:r>
      <w:r>
        <w:rPr>
          <w:rFonts w:hint="eastAsia" w:eastAsia="宋体"/>
          <w:color w:val="auto"/>
          <w:lang w:eastAsia="zh-CN"/>
        </w:rPr>
        <w:t>坝面维护不善，雨水冲刷拉沟，严重时会造成局部坝段滑坡；</w:t>
      </w:r>
    </w:p>
    <w:p w14:paraId="7FC02B3C">
      <w:pPr>
        <w:bidi w:val="0"/>
        <w:rPr>
          <w:rFonts w:hint="eastAsia" w:eastAsia="宋体"/>
          <w:color w:val="auto"/>
          <w:lang w:eastAsia="zh-CN"/>
        </w:rPr>
      </w:pPr>
      <w:r>
        <w:rPr>
          <w:rFonts w:hint="eastAsia" w:eastAsia="宋体"/>
          <w:color w:val="auto"/>
          <w:lang w:eastAsia="zh-CN"/>
        </w:rPr>
        <w:t>2.</w:t>
      </w:r>
      <w:r>
        <w:rPr>
          <w:rFonts w:hint="eastAsia"/>
          <w:color w:val="auto"/>
          <w:lang w:val="en-US" w:eastAsia="zh-CN"/>
        </w:rPr>
        <w:t xml:space="preserve"> </w:t>
      </w:r>
      <w:r>
        <w:rPr>
          <w:rFonts w:hint="eastAsia" w:eastAsia="宋体"/>
          <w:color w:val="auto"/>
          <w:lang w:eastAsia="zh-CN"/>
        </w:rPr>
        <w:t>长期对排洪构筑物不进行检查、维修，致使堵塞、露筋、塌陷等隐患未能及时发现。</w:t>
      </w:r>
    </w:p>
    <w:p w14:paraId="6BD61235">
      <w:pPr>
        <w:bidi w:val="0"/>
        <w:rPr>
          <w:rFonts w:hint="eastAsia"/>
          <w:color w:val="auto"/>
          <w:lang w:eastAsia="zh-CN"/>
        </w:rPr>
      </w:pPr>
      <w:r>
        <w:rPr>
          <w:rFonts w:hint="eastAsia" w:eastAsia="宋体"/>
          <w:color w:val="auto"/>
          <w:lang w:eastAsia="zh-CN"/>
        </w:rPr>
        <w:t>由于管理不当造成的问题主要表现在未能有效地对勘察、设计、施工和操作进行必要的审查和监督；对设计意图不甚了解，片面追求经济效益，未按设计要求指导生产；对防洪、防震问题抱有侥幸心理；明知有隐患，不能及时采取措施消除；未经原设计同意，擅自修改设计等。</w:t>
      </w:r>
    </w:p>
    <w:p w14:paraId="1101F3A2">
      <w:pPr>
        <w:pStyle w:val="4"/>
        <w:bidi w:val="0"/>
        <w:rPr>
          <w:rFonts w:hint="eastAsia"/>
          <w:color w:val="auto"/>
          <w:lang w:eastAsia="zh-CN"/>
        </w:rPr>
      </w:pPr>
      <w:bookmarkStart w:id="273" w:name="_Toc6286"/>
      <w:bookmarkStart w:id="274" w:name="_Toc27510"/>
      <w:bookmarkStart w:id="275" w:name="_Toc6527"/>
      <w:bookmarkStart w:id="276" w:name="_Toc10866"/>
      <w:bookmarkStart w:id="277" w:name="_Toc13913"/>
      <w:bookmarkStart w:id="278" w:name="_Toc3890"/>
      <w:bookmarkStart w:id="279" w:name="_Toc25124"/>
      <w:bookmarkStart w:id="280" w:name="_Toc17842"/>
      <w:r>
        <w:rPr>
          <w:rFonts w:hint="eastAsia"/>
          <w:color w:val="auto"/>
          <w:lang w:eastAsia="zh-CN"/>
        </w:rPr>
        <w:t>3.1.5</w:t>
      </w:r>
      <w:r>
        <w:rPr>
          <w:rFonts w:hint="eastAsia"/>
          <w:color w:val="auto"/>
          <w:lang w:val="en-US" w:eastAsia="zh-CN"/>
        </w:rPr>
        <w:t xml:space="preserve"> </w:t>
      </w:r>
      <w:r>
        <w:rPr>
          <w:rFonts w:hint="eastAsia"/>
          <w:color w:val="auto"/>
          <w:lang w:eastAsia="zh-CN"/>
        </w:rPr>
        <w:t>其他因素造成的病害</w:t>
      </w:r>
      <w:bookmarkEnd w:id="273"/>
      <w:bookmarkEnd w:id="274"/>
      <w:bookmarkEnd w:id="275"/>
      <w:bookmarkEnd w:id="276"/>
      <w:bookmarkEnd w:id="277"/>
      <w:bookmarkEnd w:id="278"/>
      <w:bookmarkEnd w:id="279"/>
      <w:bookmarkEnd w:id="280"/>
    </w:p>
    <w:p w14:paraId="53D8F588">
      <w:pPr>
        <w:rPr>
          <w:rFonts w:hint="eastAsia" w:eastAsia="宋体"/>
          <w:color w:val="auto"/>
          <w:lang w:eastAsia="zh-CN"/>
        </w:rPr>
      </w:pPr>
      <w:r>
        <w:rPr>
          <w:rFonts w:hint="eastAsia" w:eastAsia="宋体"/>
          <w:color w:val="auto"/>
          <w:lang w:eastAsia="zh-CN"/>
        </w:rPr>
        <w:t>暴雨、地震之后可能对坝体、排洪构筑物造成病害：</w:t>
      </w:r>
    </w:p>
    <w:p w14:paraId="2440E7EC">
      <w:pPr>
        <w:rPr>
          <w:rFonts w:hint="eastAsia" w:eastAsia="宋体"/>
          <w:color w:val="auto"/>
          <w:lang w:eastAsia="zh-CN"/>
        </w:rPr>
      </w:pPr>
      <w:r>
        <w:rPr>
          <w:rFonts w:hint="eastAsia" w:eastAsia="宋体"/>
          <w:color w:val="auto"/>
          <w:lang w:eastAsia="zh-CN"/>
        </w:rPr>
        <w:t>1.</w:t>
      </w:r>
      <w:r>
        <w:rPr>
          <w:rFonts w:hint="eastAsia"/>
          <w:color w:val="auto"/>
          <w:lang w:val="en-US" w:eastAsia="zh-CN"/>
        </w:rPr>
        <w:t xml:space="preserve"> </w:t>
      </w:r>
      <w:r>
        <w:rPr>
          <w:rFonts w:hint="eastAsia" w:eastAsia="宋体"/>
          <w:color w:val="auto"/>
          <w:lang w:eastAsia="zh-CN"/>
        </w:rPr>
        <w:t>由于矿石性质或选矿工艺流程变更，引起尾矿性质（粒度组成、粒径、比重、矿浆浓度等）的改变，而这种改变如果对坝体稳定和防洪不利时，自然会成为隐患；</w:t>
      </w:r>
    </w:p>
    <w:p w14:paraId="402E175C">
      <w:pPr>
        <w:rPr>
          <w:rFonts w:hint="eastAsia" w:eastAsia="宋体"/>
          <w:color w:val="auto"/>
          <w:lang w:eastAsia="zh-CN"/>
        </w:rPr>
      </w:pPr>
      <w:r>
        <w:rPr>
          <w:rFonts w:hint="eastAsia" w:eastAsia="宋体"/>
          <w:color w:val="auto"/>
          <w:lang w:eastAsia="zh-CN"/>
        </w:rPr>
        <w:t>2.</w:t>
      </w:r>
      <w:r>
        <w:rPr>
          <w:rFonts w:hint="eastAsia"/>
          <w:color w:val="auto"/>
          <w:lang w:val="en-US" w:eastAsia="zh-CN"/>
        </w:rPr>
        <w:t xml:space="preserve"> </w:t>
      </w:r>
      <w:r>
        <w:rPr>
          <w:rFonts w:hint="eastAsia" w:eastAsia="宋体"/>
          <w:color w:val="auto"/>
          <w:lang w:eastAsia="zh-CN"/>
        </w:rPr>
        <w:t>因工农关系未协调好，而产生的干扰常常造成尾矿库隐患。如农民在库区上游甚至于在库区以内乱采、滥挖等。</w:t>
      </w:r>
    </w:p>
    <w:p w14:paraId="0C5B9809">
      <w:pPr>
        <w:rPr>
          <w:rFonts w:hint="eastAsia" w:eastAsia="宋体"/>
          <w:color w:val="auto"/>
          <w:lang w:eastAsia="zh-CN"/>
        </w:rPr>
      </w:pPr>
      <w:r>
        <w:rPr>
          <w:rFonts w:hint="eastAsia" w:eastAsia="宋体"/>
          <w:color w:val="auto"/>
          <w:lang w:eastAsia="zh-CN"/>
        </w:rPr>
        <w:t>根据实际发生事故的统计资料，各种尾矿库事故发生的原因与比例见表3.1-1。</w:t>
      </w:r>
    </w:p>
    <w:p w14:paraId="08A8C6E2">
      <w:pPr>
        <w:rPr>
          <w:rFonts w:hint="eastAsia" w:eastAsia="宋体"/>
          <w:color w:val="auto"/>
          <w:lang w:eastAsia="zh-CN"/>
        </w:rPr>
      </w:pPr>
    </w:p>
    <w:p w14:paraId="772ECDB3">
      <w:pPr>
        <w:rPr>
          <w:rFonts w:hint="eastAsia" w:eastAsia="宋体"/>
          <w:color w:val="auto"/>
          <w:lang w:eastAsia="zh-CN"/>
        </w:rPr>
      </w:pPr>
    </w:p>
    <w:p w14:paraId="6F0E51BD">
      <w:pPr>
        <w:rPr>
          <w:rFonts w:hint="eastAsia" w:eastAsia="宋体"/>
          <w:color w:val="auto"/>
          <w:lang w:eastAsia="zh-CN"/>
        </w:rPr>
      </w:pPr>
    </w:p>
    <w:p w14:paraId="1FD8761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宋体" w:cs="Times New Roman"/>
          <w:color w:val="auto"/>
        </w:rPr>
      </w:pPr>
      <w:r>
        <w:rPr>
          <w:rFonts w:ascii="Times New Roman" w:hAnsi="Times New Roman" w:eastAsia="宋体" w:cs="Times New Roman"/>
          <w:color w:val="auto"/>
        </w:rPr>
        <w:t>表3</w:t>
      </w:r>
      <w:r>
        <w:rPr>
          <w:rFonts w:hint="eastAsia" w:cs="Times New Roman"/>
          <w:color w:val="auto"/>
          <w:lang w:val="en-US" w:eastAsia="zh-CN"/>
        </w:rPr>
        <w:t>.1</w:t>
      </w:r>
      <w:r>
        <w:rPr>
          <w:rFonts w:hint="eastAsia" w:ascii="Times New Roman" w:hAnsi="Times New Roman" w:eastAsia="宋体" w:cs="Times New Roman"/>
          <w:color w:val="auto"/>
        </w:rPr>
        <w:t>-</w:t>
      </w:r>
      <w:r>
        <w:rPr>
          <w:rFonts w:ascii="Times New Roman" w:hAnsi="Times New Roman" w:eastAsia="宋体" w:cs="Times New Roman"/>
          <w:color w:val="auto"/>
        </w:rPr>
        <w:t>1</w:t>
      </w:r>
      <w:r>
        <w:rPr>
          <w:rFonts w:hint="eastAsia" w:ascii="Times New Roman" w:hAnsi="Times New Roman" w:eastAsia="宋体" w:cs="Times New Roman"/>
          <w:color w:val="auto"/>
          <w:lang w:val="en-US" w:eastAsia="zh-CN"/>
        </w:rPr>
        <w:t xml:space="preserve"> </w:t>
      </w:r>
      <w:r>
        <w:rPr>
          <w:rFonts w:ascii="Times New Roman" w:hAnsi="Times New Roman" w:eastAsia="宋体" w:cs="Times New Roman"/>
          <w:color w:val="auto"/>
        </w:rPr>
        <w:t>尾矿库失事的主要原因分析表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9"/>
        <w:gridCol w:w="1539"/>
        <w:gridCol w:w="1539"/>
        <w:gridCol w:w="1539"/>
        <w:gridCol w:w="1539"/>
        <w:gridCol w:w="1539"/>
      </w:tblGrid>
      <w:tr w14:paraId="15C86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539" w:type="dxa"/>
            <w:noWrap w:val="0"/>
            <w:vAlign w:val="center"/>
          </w:tcPr>
          <w:p w14:paraId="2A0B7C0C">
            <w:pPr>
              <w:spacing w:line="300" w:lineRule="exact"/>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失事原因</w:t>
            </w:r>
          </w:p>
        </w:tc>
        <w:tc>
          <w:tcPr>
            <w:tcW w:w="1539" w:type="dxa"/>
            <w:noWrap w:val="0"/>
            <w:vAlign w:val="center"/>
          </w:tcPr>
          <w:p w14:paraId="47EE2D5A">
            <w:pPr>
              <w:spacing w:line="300" w:lineRule="exact"/>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洪水漫顶</w:t>
            </w:r>
          </w:p>
        </w:tc>
        <w:tc>
          <w:tcPr>
            <w:tcW w:w="1539" w:type="dxa"/>
            <w:noWrap w:val="0"/>
            <w:vAlign w:val="center"/>
          </w:tcPr>
          <w:p w14:paraId="52F066C0">
            <w:pPr>
              <w:spacing w:line="300" w:lineRule="exact"/>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坝身渗漏</w:t>
            </w:r>
          </w:p>
          <w:p w14:paraId="38316D15">
            <w:pPr>
              <w:spacing w:line="300" w:lineRule="exact"/>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（包括管涌）</w:t>
            </w:r>
          </w:p>
        </w:tc>
        <w:tc>
          <w:tcPr>
            <w:tcW w:w="1539" w:type="dxa"/>
            <w:noWrap w:val="0"/>
            <w:vAlign w:val="center"/>
          </w:tcPr>
          <w:p w14:paraId="2D7B845C">
            <w:pPr>
              <w:spacing w:line="300" w:lineRule="exact"/>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基础渗漏</w:t>
            </w:r>
          </w:p>
          <w:p w14:paraId="3FD3233D">
            <w:pPr>
              <w:spacing w:line="300" w:lineRule="exact"/>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（包括管涌）</w:t>
            </w:r>
          </w:p>
        </w:tc>
        <w:tc>
          <w:tcPr>
            <w:tcW w:w="1539" w:type="dxa"/>
            <w:noWrap w:val="0"/>
            <w:vAlign w:val="center"/>
          </w:tcPr>
          <w:p w14:paraId="6B1E00C4">
            <w:pPr>
              <w:spacing w:line="300" w:lineRule="exact"/>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排洪或</w:t>
            </w:r>
          </w:p>
          <w:p w14:paraId="6D0CE4C9">
            <w:pPr>
              <w:spacing w:line="300" w:lineRule="exact"/>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泄水工程</w:t>
            </w:r>
          </w:p>
        </w:tc>
        <w:tc>
          <w:tcPr>
            <w:tcW w:w="1539" w:type="dxa"/>
            <w:noWrap w:val="0"/>
            <w:vAlign w:val="center"/>
          </w:tcPr>
          <w:p w14:paraId="25427B2D">
            <w:pPr>
              <w:spacing w:line="300" w:lineRule="exact"/>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w:t>
            </w:r>
          </w:p>
        </w:tc>
      </w:tr>
      <w:tr w14:paraId="46B3E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539" w:type="dxa"/>
            <w:noWrap w:val="0"/>
            <w:vAlign w:val="center"/>
          </w:tcPr>
          <w:p w14:paraId="676EF84A">
            <w:pPr>
              <w:spacing w:line="300" w:lineRule="exact"/>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比例（%）</w:t>
            </w:r>
          </w:p>
        </w:tc>
        <w:tc>
          <w:tcPr>
            <w:tcW w:w="1539" w:type="dxa"/>
            <w:noWrap w:val="0"/>
            <w:vAlign w:val="center"/>
          </w:tcPr>
          <w:p w14:paraId="496214AB">
            <w:pPr>
              <w:spacing w:line="300" w:lineRule="exact"/>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c>
          <w:tcPr>
            <w:tcW w:w="1539" w:type="dxa"/>
            <w:noWrap w:val="0"/>
            <w:vAlign w:val="center"/>
          </w:tcPr>
          <w:p w14:paraId="5DD30F17">
            <w:pPr>
              <w:spacing w:line="300" w:lineRule="exact"/>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w:t>
            </w:r>
          </w:p>
        </w:tc>
        <w:tc>
          <w:tcPr>
            <w:tcW w:w="1539" w:type="dxa"/>
            <w:noWrap w:val="0"/>
            <w:vAlign w:val="center"/>
          </w:tcPr>
          <w:p w14:paraId="0F44B20C">
            <w:pPr>
              <w:spacing w:line="300" w:lineRule="exact"/>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w:t>
            </w:r>
          </w:p>
        </w:tc>
        <w:tc>
          <w:tcPr>
            <w:tcW w:w="1539" w:type="dxa"/>
            <w:noWrap w:val="0"/>
            <w:vAlign w:val="center"/>
          </w:tcPr>
          <w:p w14:paraId="1C5FDBF7">
            <w:pPr>
              <w:spacing w:line="300" w:lineRule="exact"/>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1539" w:type="dxa"/>
            <w:noWrap w:val="0"/>
            <w:vAlign w:val="center"/>
          </w:tcPr>
          <w:p w14:paraId="739E0B15">
            <w:pPr>
              <w:spacing w:line="300" w:lineRule="exact"/>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r>
    </w:tbl>
    <w:p w14:paraId="5B4F0721">
      <w:pPr>
        <w:bidi w:val="0"/>
        <w:rPr>
          <w:rFonts w:hint="eastAsia" w:eastAsia="宋体"/>
          <w:color w:val="auto"/>
          <w:lang w:eastAsia="zh-CN"/>
        </w:rPr>
      </w:pPr>
      <w:r>
        <w:rPr>
          <w:rFonts w:hint="eastAsia" w:eastAsia="宋体"/>
          <w:color w:val="auto"/>
          <w:lang w:eastAsia="zh-CN"/>
        </w:rPr>
        <w:t>通过统计分析可知，洪水漫顶和渗漏破坏造成的失事几率较大。洪水漫顶的主要原因：</w:t>
      </w:r>
    </w:p>
    <w:p w14:paraId="0551339B">
      <w:pPr>
        <w:bidi w:val="0"/>
        <w:rPr>
          <w:rFonts w:hint="eastAsia" w:eastAsia="宋体"/>
          <w:color w:val="auto"/>
          <w:lang w:eastAsia="zh-CN"/>
        </w:rPr>
      </w:pPr>
      <w:r>
        <w:rPr>
          <w:rFonts w:hint="eastAsia" w:eastAsia="宋体"/>
          <w:color w:val="auto"/>
          <w:lang w:eastAsia="zh-CN"/>
        </w:rPr>
        <w:t>（1）排水系统能力不够；</w:t>
      </w:r>
    </w:p>
    <w:p w14:paraId="42697149">
      <w:pPr>
        <w:bidi w:val="0"/>
        <w:rPr>
          <w:rFonts w:hint="eastAsia" w:eastAsia="宋体"/>
          <w:color w:val="auto"/>
          <w:lang w:eastAsia="zh-CN"/>
        </w:rPr>
      </w:pPr>
      <w:r>
        <w:rPr>
          <w:rFonts w:hint="eastAsia" w:eastAsia="宋体"/>
          <w:color w:val="auto"/>
          <w:lang w:eastAsia="zh-CN"/>
        </w:rPr>
        <w:t>（2）尾矿库的调洪能力和安全超高过小；</w:t>
      </w:r>
    </w:p>
    <w:p w14:paraId="1686A55A">
      <w:pPr>
        <w:bidi w:val="0"/>
        <w:rPr>
          <w:rFonts w:hint="eastAsia" w:eastAsia="宋体"/>
          <w:color w:val="auto"/>
          <w:lang w:eastAsia="zh-CN"/>
        </w:rPr>
      </w:pPr>
      <w:r>
        <w:rPr>
          <w:rFonts w:hint="eastAsia" w:eastAsia="宋体"/>
          <w:color w:val="auto"/>
          <w:lang w:eastAsia="zh-CN"/>
        </w:rPr>
        <w:t>（3）用子坝挡水；</w:t>
      </w:r>
    </w:p>
    <w:p w14:paraId="7CB0AA11">
      <w:pPr>
        <w:bidi w:val="0"/>
        <w:rPr>
          <w:rFonts w:hint="eastAsia" w:eastAsia="宋体"/>
          <w:color w:val="auto"/>
          <w:lang w:eastAsia="zh-CN"/>
        </w:rPr>
      </w:pPr>
      <w:r>
        <w:rPr>
          <w:rFonts w:hint="eastAsia" w:eastAsia="宋体"/>
          <w:color w:val="auto"/>
          <w:lang w:eastAsia="zh-CN"/>
        </w:rPr>
        <w:t>（4）管理中的失误造成排水系统堵塞。</w:t>
      </w:r>
    </w:p>
    <w:p w14:paraId="202EC415">
      <w:pPr>
        <w:bidi w:val="0"/>
        <w:rPr>
          <w:rFonts w:hint="eastAsia" w:eastAsia="宋体"/>
          <w:color w:val="auto"/>
          <w:lang w:eastAsia="zh-CN"/>
        </w:rPr>
      </w:pPr>
      <w:r>
        <w:rPr>
          <w:rFonts w:hint="eastAsia" w:eastAsia="宋体"/>
          <w:color w:val="auto"/>
          <w:lang w:eastAsia="zh-CN"/>
        </w:rPr>
        <w:t>坝身渗漏的主要原因：</w:t>
      </w:r>
    </w:p>
    <w:p w14:paraId="715670BB">
      <w:pPr>
        <w:bidi w:val="0"/>
        <w:rPr>
          <w:rFonts w:hint="eastAsia" w:eastAsia="宋体"/>
          <w:color w:val="auto"/>
          <w:lang w:eastAsia="zh-CN"/>
        </w:rPr>
      </w:pPr>
      <w:r>
        <w:rPr>
          <w:rFonts w:hint="eastAsia" w:eastAsia="宋体"/>
          <w:color w:val="auto"/>
          <w:lang w:eastAsia="zh-CN"/>
        </w:rPr>
        <w:t>（1）尾矿坝无排渗设施；</w:t>
      </w:r>
    </w:p>
    <w:p w14:paraId="7B04B982">
      <w:pPr>
        <w:bidi w:val="0"/>
        <w:rPr>
          <w:rFonts w:hint="eastAsia" w:eastAsia="宋体"/>
          <w:color w:val="auto"/>
          <w:lang w:eastAsia="zh-CN"/>
        </w:rPr>
      </w:pPr>
      <w:r>
        <w:rPr>
          <w:rFonts w:hint="eastAsia" w:eastAsia="宋体"/>
          <w:color w:val="auto"/>
          <w:lang w:eastAsia="zh-CN"/>
        </w:rPr>
        <w:t>（2）尾矿坝下游坝面坡度过陡；</w:t>
      </w:r>
    </w:p>
    <w:p w14:paraId="13B80407">
      <w:pPr>
        <w:bidi w:val="0"/>
        <w:rPr>
          <w:rFonts w:hint="eastAsia" w:eastAsia="宋体"/>
          <w:color w:val="auto"/>
          <w:lang w:eastAsia="zh-CN"/>
        </w:rPr>
      </w:pPr>
      <w:r>
        <w:rPr>
          <w:rFonts w:hint="eastAsia" w:eastAsia="宋体"/>
          <w:color w:val="auto"/>
          <w:lang w:eastAsia="zh-CN"/>
        </w:rPr>
        <w:t>基础渗漏的主要原因：</w:t>
      </w:r>
    </w:p>
    <w:p w14:paraId="37789617">
      <w:pPr>
        <w:bidi w:val="0"/>
        <w:rPr>
          <w:rFonts w:hint="eastAsia" w:eastAsia="宋体"/>
          <w:color w:val="auto"/>
          <w:lang w:eastAsia="zh-CN"/>
        </w:rPr>
      </w:pPr>
      <w:r>
        <w:rPr>
          <w:rFonts w:hint="eastAsia" w:eastAsia="宋体"/>
          <w:color w:val="auto"/>
          <w:lang w:eastAsia="zh-CN"/>
        </w:rPr>
        <w:t>（1）坝基的工程地质条件差，且施工时未进行必要的处理；</w:t>
      </w:r>
    </w:p>
    <w:p w14:paraId="76E0628A">
      <w:pPr>
        <w:bidi w:val="0"/>
        <w:rPr>
          <w:rFonts w:hint="eastAsia" w:eastAsia="宋体"/>
          <w:color w:val="auto"/>
          <w:lang w:eastAsia="zh-CN"/>
        </w:rPr>
      </w:pPr>
      <w:r>
        <w:rPr>
          <w:rFonts w:hint="eastAsia" w:eastAsia="宋体"/>
          <w:color w:val="auto"/>
          <w:lang w:eastAsia="zh-CN"/>
        </w:rPr>
        <w:t>（2）筑坝材料不当；</w:t>
      </w:r>
    </w:p>
    <w:p w14:paraId="755CB1D4">
      <w:pPr>
        <w:bidi w:val="0"/>
        <w:rPr>
          <w:rFonts w:hint="eastAsia" w:eastAsia="宋体"/>
          <w:color w:val="auto"/>
          <w:lang w:eastAsia="zh-CN"/>
        </w:rPr>
      </w:pPr>
      <w:r>
        <w:rPr>
          <w:rFonts w:hint="eastAsia" w:eastAsia="宋体"/>
          <w:color w:val="auto"/>
          <w:lang w:eastAsia="zh-CN"/>
        </w:rPr>
        <w:t>（3）无排渗设施。</w:t>
      </w:r>
    </w:p>
    <w:p w14:paraId="2EEDC223">
      <w:pPr>
        <w:bidi w:val="0"/>
        <w:rPr>
          <w:rFonts w:hint="eastAsia" w:eastAsia="宋体"/>
          <w:color w:val="auto"/>
          <w:lang w:eastAsia="zh-CN"/>
        </w:rPr>
      </w:pPr>
      <w:r>
        <w:rPr>
          <w:rFonts w:hint="eastAsia" w:eastAsia="宋体"/>
          <w:color w:val="auto"/>
          <w:lang w:eastAsia="zh-CN"/>
        </w:rPr>
        <w:t>排洪或泄水工程发生事故的主要原因：</w:t>
      </w:r>
    </w:p>
    <w:p w14:paraId="369C26D2">
      <w:pPr>
        <w:bidi w:val="0"/>
        <w:rPr>
          <w:rFonts w:hint="eastAsia" w:eastAsia="宋体"/>
          <w:color w:val="auto"/>
          <w:lang w:eastAsia="zh-CN"/>
        </w:rPr>
      </w:pPr>
      <w:r>
        <w:rPr>
          <w:rFonts w:hint="eastAsia" w:eastAsia="宋体"/>
          <w:color w:val="auto"/>
          <w:lang w:eastAsia="zh-CN"/>
        </w:rPr>
        <w:t>（1）排水设施的施工质量不符合设计要求；</w:t>
      </w:r>
    </w:p>
    <w:p w14:paraId="3A320FBD">
      <w:pPr>
        <w:bidi w:val="0"/>
        <w:rPr>
          <w:rFonts w:hint="eastAsia" w:eastAsia="宋体"/>
          <w:color w:val="auto"/>
          <w:lang w:eastAsia="zh-CN"/>
        </w:rPr>
      </w:pPr>
      <w:r>
        <w:rPr>
          <w:rFonts w:hint="eastAsia" w:eastAsia="宋体"/>
          <w:color w:val="auto"/>
          <w:lang w:eastAsia="zh-CN"/>
        </w:rPr>
        <w:t>（2）排水工程基础不稳而未进行处理；</w:t>
      </w:r>
    </w:p>
    <w:p w14:paraId="076C2DA1">
      <w:pPr>
        <w:bidi w:val="0"/>
        <w:rPr>
          <w:rFonts w:hint="eastAsia" w:eastAsia="宋体"/>
          <w:color w:val="auto"/>
          <w:lang w:eastAsia="zh-CN"/>
        </w:rPr>
      </w:pPr>
      <w:r>
        <w:rPr>
          <w:rFonts w:hint="eastAsia" w:eastAsia="宋体"/>
          <w:color w:val="auto"/>
          <w:lang w:eastAsia="zh-CN"/>
        </w:rPr>
        <w:t>（3）管理措施不当或误操作引发。</w:t>
      </w:r>
    </w:p>
    <w:p w14:paraId="549663C0">
      <w:pPr>
        <w:bidi w:val="0"/>
        <w:rPr>
          <w:rFonts w:hint="eastAsia"/>
          <w:color w:val="auto"/>
          <w:lang w:eastAsia="zh-CN"/>
        </w:rPr>
      </w:pPr>
      <w:r>
        <w:rPr>
          <w:rFonts w:hint="eastAsia" w:eastAsia="宋体"/>
          <w:color w:val="auto"/>
          <w:lang w:eastAsia="zh-CN"/>
        </w:rPr>
        <w:t>事故分析还表明，地基渗漏失事多发生在4年坝龄以前，而50%发生在运行的第一年里；坝身渗漏造成失事的有三分之一发生在竣工后5年之内；溢洪泄水构筑物破坏有1/3发生在施工后的一年之内，而泄流失事的有60%在泄流时发生；坝坡或坝肩滑动而失事的，96%在竣工15年后发生；因不均匀变形，贯穿性裂缝而失事的，60%以上是在坝体竣工后很快发生。</w:t>
      </w:r>
    </w:p>
    <w:p w14:paraId="2D4C2B6F">
      <w:pPr>
        <w:pStyle w:val="4"/>
        <w:bidi w:val="0"/>
        <w:rPr>
          <w:rFonts w:hint="eastAsia"/>
          <w:color w:val="auto"/>
          <w:lang w:eastAsia="zh-CN"/>
        </w:rPr>
      </w:pPr>
      <w:bookmarkStart w:id="281" w:name="_Toc14570"/>
      <w:bookmarkStart w:id="282" w:name="_Toc17809"/>
      <w:bookmarkStart w:id="283" w:name="_Toc4051"/>
      <w:bookmarkStart w:id="284" w:name="_Toc3175"/>
      <w:bookmarkStart w:id="285" w:name="_Toc17862"/>
      <w:bookmarkStart w:id="286" w:name="_Toc29460"/>
      <w:bookmarkStart w:id="287" w:name="_Toc5088"/>
      <w:bookmarkStart w:id="288" w:name="_Toc23406"/>
      <w:r>
        <w:rPr>
          <w:rFonts w:hint="eastAsia"/>
          <w:color w:val="auto"/>
          <w:lang w:eastAsia="zh-CN"/>
        </w:rPr>
        <w:t>3.1.6</w:t>
      </w:r>
      <w:r>
        <w:rPr>
          <w:rFonts w:hint="eastAsia"/>
          <w:color w:val="auto"/>
          <w:lang w:val="en-US" w:eastAsia="zh-CN"/>
        </w:rPr>
        <w:t xml:space="preserve"> </w:t>
      </w:r>
      <w:r>
        <w:rPr>
          <w:rFonts w:hint="eastAsia"/>
          <w:color w:val="auto"/>
          <w:lang w:eastAsia="zh-CN"/>
        </w:rPr>
        <w:t>尾矿库失事实例</w:t>
      </w:r>
      <w:bookmarkEnd w:id="281"/>
      <w:bookmarkEnd w:id="282"/>
      <w:bookmarkEnd w:id="283"/>
      <w:bookmarkEnd w:id="284"/>
      <w:bookmarkEnd w:id="285"/>
      <w:bookmarkEnd w:id="286"/>
      <w:bookmarkEnd w:id="287"/>
      <w:bookmarkEnd w:id="288"/>
    </w:p>
    <w:p w14:paraId="4C5DF5AE">
      <w:pPr>
        <w:rPr>
          <w:rFonts w:hint="eastAsia" w:eastAsia="宋体"/>
          <w:color w:val="auto"/>
          <w:lang w:eastAsia="zh-CN"/>
        </w:rPr>
      </w:pPr>
      <w:r>
        <w:rPr>
          <w:rFonts w:hint="eastAsia" w:eastAsia="宋体"/>
          <w:color w:val="auto"/>
          <w:lang w:eastAsia="zh-CN"/>
        </w:rPr>
        <w:t>实例1：2003年6月，因大宝山地区普降大雨，8日槽对坑尾矿库东侧下游山体因土体水饱和而产生滑坡，导致溢洪道的陡坡段中部出现断裂和导流管中间折断，尾矿库的排洪通道受到严重影响。</w:t>
      </w:r>
    </w:p>
    <w:p w14:paraId="0163D222">
      <w:pPr>
        <w:rPr>
          <w:rFonts w:hint="eastAsia" w:eastAsia="宋体"/>
          <w:color w:val="auto"/>
          <w:lang w:eastAsia="zh-CN"/>
        </w:rPr>
      </w:pPr>
      <w:r>
        <w:rPr>
          <w:rFonts w:hint="eastAsia" w:eastAsia="宋体"/>
          <w:color w:val="auto"/>
          <w:lang w:eastAsia="zh-CN"/>
        </w:rPr>
        <w:t>实例2：湖北省大冶有色金属公司龙角山铜矿尾矿库溃坝，死亡28人，失踪3人。</w:t>
      </w:r>
    </w:p>
    <w:p w14:paraId="6CB79D97">
      <w:pPr>
        <w:rPr>
          <w:rFonts w:hint="eastAsia" w:eastAsia="宋体"/>
          <w:color w:val="auto"/>
          <w:lang w:eastAsia="zh-CN"/>
        </w:rPr>
      </w:pPr>
      <w:r>
        <w:rPr>
          <w:rFonts w:hint="eastAsia" w:eastAsia="宋体"/>
          <w:color w:val="auto"/>
          <w:lang w:eastAsia="zh-CN"/>
        </w:rPr>
        <w:t>实例3：大厂鸿图尾矿库倒塌，导致28人死亡，56人受伤、70多间房屋倒塌的重大事故。</w:t>
      </w:r>
    </w:p>
    <w:p w14:paraId="07438C75">
      <w:pPr>
        <w:rPr>
          <w:rFonts w:hint="eastAsia" w:eastAsia="宋体"/>
          <w:color w:val="auto"/>
          <w:lang w:eastAsia="zh-CN"/>
        </w:rPr>
      </w:pPr>
      <w:r>
        <w:rPr>
          <w:rFonts w:hint="eastAsia" w:eastAsia="宋体"/>
          <w:color w:val="auto"/>
          <w:lang w:eastAsia="zh-CN"/>
        </w:rPr>
        <w:t>实例4：2006年4月30日18时24分，陕西省商洛市镇安县黄金矿业有限责任公司尾矿库在加高坝体扩容施工时发生溃坝事故，外泄尾矿砂量约20万m3，冲毁居民房屋76间，22人被淹埋，5人获救，17人失踪。</w:t>
      </w:r>
    </w:p>
    <w:p w14:paraId="48A5D191">
      <w:pPr>
        <w:rPr>
          <w:rFonts w:hint="eastAsia" w:eastAsia="宋体"/>
          <w:color w:val="auto"/>
          <w:lang w:eastAsia="zh-CN"/>
        </w:rPr>
      </w:pPr>
      <w:r>
        <w:rPr>
          <w:rFonts w:hint="eastAsia" w:eastAsia="宋体"/>
          <w:color w:val="auto"/>
          <w:lang w:eastAsia="zh-CN"/>
        </w:rPr>
        <w:t>实例5：2006年12月27日，贵州紫金矿业股份有限公司贞丰县水银洞金矿尾矿库子坝发生塌溃事故，约20万m</w:t>
      </w:r>
      <w:r>
        <w:rPr>
          <w:rFonts w:hint="eastAsia" w:eastAsia="宋体"/>
          <w:color w:val="auto"/>
          <w:vertAlign w:val="superscript"/>
          <w:lang w:eastAsia="zh-CN"/>
        </w:rPr>
        <w:t>3</w:t>
      </w:r>
      <w:r>
        <w:rPr>
          <w:rFonts w:hint="eastAsia" w:eastAsia="宋体"/>
          <w:color w:val="auto"/>
          <w:lang w:eastAsia="zh-CN"/>
        </w:rPr>
        <w:t>尾矿下泄，造成1人轻伤，下游2座水库受到污染，其中，约17万m</w:t>
      </w:r>
      <w:r>
        <w:rPr>
          <w:rFonts w:hint="eastAsia" w:eastAsia="宋体"/>
          <w:color w:val="auto"/>
          <w:vertAlign w:val="superscript"/>
          <w:lang w:eastAsia="zh-CN"/>
        </w:rPr>
        <w:t>3</w:t>
      </w:r>
      <w:r>
        <w:rPr>
          <w:rFonts w:hint="eastAsia" w:eastAsia="宋体"/>
          <w:color w:val="auto"/>
          <w:lang w:eastAsia="zh-CN"/>
        </w:rPr>
        <w:t>尾矿排入小厂水库(废弃水库)，3万m3尾矿溢出小厂水库后进入白坟水库（农灌水库）。</w:t>
      </w:r>
    </w:p>
    <w:p w14:paraId="62F1F648">
      <w:pPr>
        <w:rPr>
          <w:rFonts w:hint="eastAsia"/>
          <w:color w:val="auto"/>
          <w:lang w:eastAsia="zh-CN"/>
        </w:rPr>
      </w:pPr>
      <w:r>
        <w:rPr>
          <w:rFonts w:hint="eastAsia" w:eastAsia="宋体"/>
          <w:color w:val="auto"/>
          <w:lang w:eastAsia="zh-CN"/>
        </w:rPr>
        <w:t>实例6：2008年9月8日山西省襄汾县新塔矿业公司尾矿坝溃坝，死亡281人。</w:t>
      </w:r>
    </w:p>
    <w:p w14:paraId="2E796B20">
      <w:pPr>
        <w:pStyle w:val="3"/>
        <w:bidi w:val="0"/>
        <w:rPr>
          <w:rFonts w:hint="eastAsia"/>
          <w:color w:val="auto"/>
          <w:lang w:eastAsia="zh-CN"/>
        </w:rPr>
      </w:pPr>
      <w:bookmarkStart w:id="289" w:name="_Toc712"/>
      <w:bookmarkStart w:id="290" w:name="_Toc9448"/>
      <w:bookmarkStart w:id="291" w:name="_Toc2457"/>
      <w:bookmarkStart w:id="292" w:name="_Toc24174"/>
      <w:bookmarkStart w:id="293" w:name="_Toc2637"/>
      <w:bookmarkStart w:id="294" w:name="_Toc7503"/>
      <w:bookmarkStart w:id="295" w:name="_Toc19671"/>
      <w:bookmarkStart w:id="296" w:name="_Toc19341"/>
      <w:r>
        <w:rPr>
          <w:rFonts w:hint="eastAsia"/>
          <w:color w:val="auto"/>
          <w:lang w:eastAsia="zh-CN"/>
        </w:rPr>
        <w:t>3.2</w:t>
      </w:r>
      <w:r>
        <w:rPr>
          <w:rFonts w:hint="eastAsia"/>
          <w:color w:val="auto"/>
          <w:lang w:val="en-US" w:eastAsia="zh-CN"/>
        </w:rPr>
        <w:t xml:space="preserve"> </w:t>
      </w:r>
      <w:r>
        <w:rPr>
          <w:rFonts w:hint="eastAsia"/>
          <w:color w:val="auto"/>
          <w:lang w:eastAsia="zh-CN"/>
        </w:rPr>
        <w:t>尾矿库危险、有害因素分析</w:t>
      </w:r>
      <w:bookmarkEnd w:id="289"/>
      <w:bookmarkEnd w:id="290"/>
      <w:bookmarkEnd w:id="291"/>
      <w:bookmarkEnd w:id="292"/>
      <w:bookmarkEnd w:id="293"/>
      <w:bookmarkEnd w:id="294"/>
      <w:bookmarkEnd w:id="295"/>
      <w:bookmarkEnd w:id="296"/>
    </w:p>
    <w:p w14:paraId="630D96F0">
      <w:pPr>
        <w:pStyle w:val="4"/>
        <w:bidi w:val="0"/>
        <w:rPr>
          <w:rFonts w:hint="eastAsia"/>
          <w:color w:val="auto"/>
          <w:lang w:eastAsia="zh-CN"/>
        </w:rPr>
      </w:pPr>
      <w:bookmarkStart w:id="297" w:name="_Toc18593"/>
      <w:bookmarkStart w:id="298" w:name="_Toc19893"/>
      <w:bookmarkStart w:id="299" w:name="_Toc25754"/>
      <w:bookmarkStart w:id="300" w:name="_Toc13809"/>
      <w:bookmarkStart w:id="301" w:name="_Toc16352"/>
      <w:bookmarkStart w:id="302" w:name="_Toc31038"/>
      <w:bookmarkStart w:id="303" w:name="_Toc18834"/>
      <w:bookmarkStart w:id="304" w:name="_Toc17421"/>
      <w:r>
        <w:rPr>
          <w:rFonts w:hint="eastAsia"/>
          <w:color w:val="auto"/>
          <w:lang w:eastAsia="zh-CN"/>
        </w:rPr>
        <w:t>3.2.1</w:t>
      </w:r>
      <w:r>
        <w:rPr>
          <w:rFonts w:hint="eastAsia"/>
          <w:color w:val="auto"/>
          <w:lang w:val="en-US" w:eastAsia="zh-CN"/>
        </w:rPr>
        <w:t xml:space="preserve"> </w:t>
      </w:r>
      <w:r>
        <w:rPr>
          <w:rFonts w:hint="eastAsia"/>
          <w:color w:val="auto"/>
          <w:lang w:eastAsia="zh-CN"/>
        </w:rPr>
        <w:t>滑坡（坝坡失稳）</w:t>
      </w:r>
      <w:bookmarkEnd w:id="297"/>
      <w:bookmarkEnd w:id="298"/>
      <w:bookmarkEnd w:id="299"/>
      <w:bookmarkEnd w:id="300"/>
      <w:bookmarkEnd w:id="301"/>
      <w:bookmarkEnd w:id="302"/>
      <w:bookmarkEnd w:id="303"/>
      <w:bookmarkEnd w:id="304"/>
    </w:p>
    <w:p w14:paraId="69598818">
      <w:pPr>
        <w:numPr>
          <w:ilvl w:val="0"/>
          <w:numId w:val="0"/>
        </w:numPr>
        <w:bidi w:val="0"/>
        <w:ind w:left="0" w:leftChars="0" w:firstLine="560" w:firstLineChars="200"/>
        <w:rPr>
          <w:rFonts w:hint="default"/>
          <w:color w:val="auto"/>
          <w:lang w:val="en-US" w:eastAsia="zh-CN"/>
        </w:rPr>
      </w:pPr>
      <w:r>
        <w:rPr>
          <w:rFonts w:hint="default"/>
          <w:color w:val="auto"/>
          <w:lang w:val="en-US" w:eastAsia="zh-CN"/>
        </w:rPr>
        <w:t>滑坡是尾矿坝最危险的因素之一，较大规模的滑坡，往往是垮坝事故的先兆，即使是较小的滑坡也不能掉以轻心。有些滑坡是突然发生的，有的先由裂缝开始，如不及时处理，逐步扩大和漫延，则可能造成垮坝重大事故。</w:t>
      </w:r>
    </w:p>
    <w:p w14:paraId="550FE9B7">
      <w:pPr>
        <w:numPr>
          <w:ilvl w:val="0"/>
          <w:numId w:val="0"/>
        </w:numPr>
        <w:bidi w:val="0"/>
        <w:ind w:left="0" w:leftChars="0" w:firstLine="560" w:firstLineChars="200"/>
        <w:rPr>
          <w:rFonts w:hint="default"/>
          <w:color w:val="auto"/>
          <w:lang w:val="en-US" w:eastAsia="zh-CN"/>
        </w:rPr>
      </w:pPr>
      <w:r>
        <w:rPr>
          <w:rFonts w:hint="default"/>
          <w:color w:val="auto"/>
          <w:lang w:val="en-US" w:eastAsia="zh-CN"/>
        </w:rPr>
        <w:t>滑坡的种类，按滑坡的性质分剪切性滑坡，塑流性滑坡和液化性滑坡。</w:t>
      </w:r>
    </w:p>
    <w:p w14:paraId="094CD76D">
      <w:pPr>
        <w:numPr>
          <w:ilvl w:val="0"/>
          <w:numId w:val="0"/>
        </w:numPr>
        <w:bidi w:val="0"/>
        <w:ind w:left="0" w:leftChars="0" w:firstLine="560" w:firstLineChars="200"/>
        <w:rPr>
          <w:rFonts w:hint="default"/>
          <w:color w:val="auto"/>
          <w:lang w:val="en-US" w:eastAsia="zh-CN"/>
        </w:rPr>
      </w:pPr>
      <w:r>
        <w:rPr>
          <w:rFonts w:hint="default"/>
          <w:color w:val="auto"/>
          <w:lang w:val="en-US" w:eastAsia="zh-CN"/>
        </w:rPr>
        <w:t>滑坡的主要原因：</w:t>
      </w:r>
    </w:p>
    <w:p w14:paraId="6CE93FF3">
      <w:pPr>
        <w:numPr>
          <w:ilvl w:val="0"/>
          <w:numId w:val="0"/>
        </w:numPr>
        <w:bidi w:val="0"/>
        <w:ind w:left="0" w:leftChars="0" w:firstLine="560" w:firstLineChars="200"/>
        <w:rPr>
          <w:rFonts w:hint="default"/>
          <w:color w:val="auto"/>
          <w:lang w:val="en-US" w:eastAsia="zh-CN"/>
        </w:rPr>
      </w:pPr>
      <w:r>
        <w:rPr>
          <w:rFonts w:hint="default"/>
          <w:color w:val="auto"/>
          <w:lang w:val="en-US" w:eastAsia="zh-CN"/>
        </w:rPr>
        <w:t>1. 尾矿坝边坡陡于设计边坡，坝体抗滑安全系数不足；</w:t>
      </w:r>
    </w:p>
    <w:p w14:paraId="0A03DA5D">
      <w:pPr>
        <w:numPr>
          <w:ilvl w:val="0"/>
          <w:numId w:val="0"/>
        </w:numPr>
        <w:bidi w:val="0"/>
        <w:ind w:left="0" w:leftChars="0" w:firstLine="560" w:firstLineChars="200"/>
        <w:rPr>
          <w:rFonts w:hint="default"/>
          <w:color w:val="auto"/>
          <w:lang w:val="en-US" w:eastAsia="zh-CN"/>
        </w:rPr>
      </w:pPr>
      <w:r>
        <w:rPr>
          <w:rFonts w:hint="default"/>
          <w:color w:val="auto"/>
          <w:lang w:val="en-US" w:eastAsia="zh-CN"/>
        </w:rPr>
        <w:t>2. 坝面维护不善，雨水冲刷拉沟，严重时会造成局部坝段滑坡；</w:t>
      </w:r>
    </w:p>
    <w:p w14:paraId="3B2762CF">
      <w:pPr>
        <w:numPr>
          <w:ilvl w:val="0"/>
          <w:numId w:val="0"/>
        </w:numPr>
        <w:bidi w:val="0"/>
        <w:ind w:left="0" w:leftChars="0" w:firstLine="560" w:firstLineChars="200"/>
        <w:rPr>
          <w:rFonts w:hint="default"/>
          <w:color w:val="auto"/>
          <w:lang w:val="en-US" w:eastAsia="zh-CN"/>
        </w:rPr>
      </w:pPr>
      <w:r>
        <w:rPr>
          <w:rFonts w:hint="default"/>
          <w:color w:val="auto"/>
          <w:lang w:val="en-US" w:eastAsia="zh-CN"/>
        </w:rPr>
        <w:t>3. 尾矿坝坡面无排水系统或排水系统不完善，造成坝面冲刷严重，威胁坝体安全。</w:t>
      </w:r>
    </w:p>
    <w:p w14:paraId="7C36784D">
      <w:pPr>
        <w:numPr>
          <w:ilvl w:val="0"/>
          <w:numId w:val="0"/>
        </w:numPr>
        <w:bidi w:val="0"/>
        <w:ind w:left="0" w:leftChars="0" w:firstLine="560" w:firstLineChars="200"/>
        <w:rPr>
          <w:rFonts w:hint="default"/>
          <w:color w:val="auto"/>
          <w:lang w:val="en-US" w:eastAsia="zh-CN"/>
        </w:rPr>
      </w:pPr>
      <w:r>
        <w:rPr>
          <w:rFonts w:hint="default"/>
          <w:color w:val="auto"/>
          <w:lang w:val="en-US" w:eastAsia="zh-CN"/>
        </w:rPr>
        <w:t>4. 为增加蓄水量，片面提高库内水位，造成尾矿库安全超高不足，降低坝体稳定性。</w:t>
      </w:r>
    </w:p>
    <w:p w14:paraId="6F3A2909">
      <w:pPr>
        <w:bidi w:val="0"/>
        <w:rPr>
          <w:rFonts w:hint="default"/>
          <w:color w:val="auto"/>
          <w:lang w:val="en-US" w:eastAsia="zh-CN"/>
        </w:rPr>
      </w:pPr>
      <w:r>
        <w:rPr>
          <w:rFonts w:hint="default"/>
          <w:color w:val="auto"/>
          <w:lang w:val="en-US" w:eastAsia="zh-CN"/>
        </w:rPr>
        <w:t>经现场检查，</w:t>
      </w:r>
      <w:r>
        <w:rPr>
          <w:rFonts w:hint="eastAsia"/>
          <w:color w:val="auto"/>
          <w:lang w:val="en-US" w:eastAsia="zh-CN"/>
        </w:rPr>
        <w:t>三</w:t>
      </w:r>
      <w:r>
        <w:rPr>
          <w:rFonts w:hint="eastAsia" w:hAnsi="宋体"/>
          <w:sz w:val="28"/>
          <w:szCs w:val="28"/>
        </w:rPr>
        <w:t>号（氰化渣）尾矿库</w:t>
      </w:r>
      <w:r>
        <w:rPr>
          <w:rFonts w:hint="default"/>
          <w:color w:val="auto"/>
          <w:lang w:val="en-US" w:eastAsia="zh-CN"/>
        </w:rPr>
        <w:t>尾矿坝无滑坡现象。</w:t>
      </w:r>
    </w:p>
    <w:p w14:paraId="3503BFFE">
      <w:pPr>
        <w:pStyle w:val="4"/>
        <w:bidi w:val="0"/>
        <w:rPr>
          <w:rFonts w:hint="default"/>
          <w:color w:val="auto"/>
          <w:lang w:val="en-US" w:eastAsia="zh-CN"/>
        </w:rPr>
      </w:pPr>
      <w:bookmarkStart w:id="305" w:name="_Toc23723"/>
      <w:bookmarkStart w:id="306" w:name="_Toc29734"/>
      <w:bookmarkStart w:id="307" w:name="_Toc5185"/>
      <w:bookmarkStart w:id="308" w:name="_Toc13996"/>
      <w:bookmarkStart w:id="309" w:name="_Toc10273"/>
      <w:bookmarkStart w:id="310" w:name="_Toc1246"/>
      <w:r>
        <w:rPr>
          <w:rFonts w:hint="default"/>
          <w:color w:val="auto"/>
          <w:lang w:val="en-US" w:eastAsia="zh-CN"/>
        </w:rPr>
        <w:t>3.2.2</w:t>
      </w:r>
      <w:r>
        <w:rPr>
          <w:rFonts w:hint="eastAsia"/>
          <w:color w:val="auto"/>
          <w:lang w:val="en-US" w:eastAsia="zh-CN"/>
        </w:rPr>
        <w:t xml:space="preserve"> </w:t>
      </w:r>
      <w:r>
        <w:rPr>
          <w:rFonts w:hint="default"/>
          <w:color w:val="auto"/>
          <w:lang w:val="en-US" w:eastAsia="zh-CN"/>
        </w:rPr>
        <w:t>洪水漫顶</w:t>
      </w:r>
      <w:bookmarkEnd w:id="305"/>
      <w:bookmarkEnd w:id="306"/>
      <w:bookmarkEnd w:id="307"/>
      <w:bookmarkEnd w:id="308"/>
      <w:bookmarkEnd w:id="309"/>
      <w:bookmarkEnd w:id="310"/>
    </w:p>
    <w:p w14:paraId="2CC229CC">
      <w:pPr>
        <w:rPr>
          <w:rFonts w:hint="eastAsia"/>
          <w:color w:val="auto"/>
          <w:lang w:eastAsia="zh-CN"/>
        </w:rPr>
      </w:pPr>
      <w:r>
        <w:rPr>
          <w:rFonts w:hint="eastAsia" w:eastAsia="宋体"/>
          <w:color w:val="auto"/>
          <w:lang w:eastAsia="zh-CN"/>
        </w:rPr>
        <w:t>洪水漫顶是造成尾矿库事故的主要危险因素，造成洪水漫顶的原因有：</w:t>
      </w:r>
    </w:p>
    <w:p w14:paraId="11282074">
      <w:pPr>
        <w:numPr>
          <w:ilvl w:val="0"/>
          <w:numId w:val="0"/>
        </w:numPr>
        <w:ind w:firstLine="560" w:firstLineChars="200"/>
        <w:rPr>
          <w:rFonts w:hint="eastAsia"/>
          <w:color w:val="auto"/>
          <w:lang w:eastAsia="zh-CN"/>
        </w:rPr>
      </w:pPr>
      <w:r>
        <w:rPr>
          <w:rFonts w:hint="eastAsia" w:ascii="Times New Roman" w:hAnsi="Times New Roman" w:eastAsia="宋体" w:cs="Times New Roman"/>
          <w:color w:val="auto"/>
          <w:kern w:val="2"/>
          <w:sz w:val="28"/>
          <w:szCs w:val="24"/>
          <w:lang w:val="en-US" w:eastAsia="zh-CN" w:bidi="ar-SA"/>
        </w:rPr>
        <w:t>1.</w:t>
      </w:r>
      <w:r>
        <w:rPr>
          <w:rFonts w:hint="eastAsia" w:cs="Times New Roman"/>
          <w:color w:val="auto"/>
          <w:kern w:val="2"/>
          <w:sz w:val="28"/>
          <w:szCs w:val="24"/>
          <w:lang w:val="en-US" w:eastAsia="zh-CN" w:bidi="ar-SA"/>
        </w:rPr>
        <w:t xml:space="preserve"> </w:t>
      </w:r>
      <w:r>
        <w:rPr>
          <w:rFonts w:hint="eastAsia" w:eastAsia="宋体"/>
          <w:color w:val="auto"/>
          <w:lang w:eastAsia="zh-CN"/>
        </w:rPr>
        <w:t>排水系统能力不够；</w:t>
      </w:r>
    </w:p>
    <w:p w14:paraId="422886FC">
      <w:pPr>
        <w:numPr>
          <w:ilvl w:val="0"/>
          <w:numId w:val="0"/>
        </w:numPr>
        <w:ind w:left="0" w:leftChars="0" w:firstLine="560" w:firstLineChars="200"/>
        <w:rPr>
          <w:rFonts w:hint="eastAsia"/>
          <w:color w:val="auto"/>
          <w:lang w:eastAsia="zh-CN"/>
        </w:rPr>
      </w:pPr>
      <w:r>
        <w:rPr>
          <w:rFonts w:hint="eastAsia" w:ascii="Times New Roman" w:hAnsi="Times New Roman" w:eastAsia="宋体" w:cs="Times New Roman"/>
          <w:color w:val="auto"/>
          <w:kern w:val="2"/>
          <w:sz w:val="28"/>
          <w:szCs w:val="24"/>
          <w:lang w:val="en-US" w:eastAsia="zh-CN" w:bidi="ar-SA"/>
        </w:rPr>
        <w:t>2.</w:t>
      </w:r>
      <w:r>
        <w:rPr>
          <w:rFonts w:hint="eastAsia" w:cs="Times New Roman"/>
          <w:color w:val="auto"/>
          <w:kern w:val="2"/>
          <w:sz w:val="28"/>
          <w:szCs w:val="24"/>
          <w:lang w:val="en-US" w:eastAsia="zh-CN" w:bidi="ar-SA"/>
        </w:rPr>
        <w:t xml:space="preserve"> </w:t>
      </w:r>
      <w:r>
        <w:rPr>
          <w:rFonts w:hint="eastAsia" w:eastAsia="宋体"/>
          <w:color w:val="auto"/>
          <w:lang w:eastAsia="zh-CN"/>
        </w:rPr>
        <w:t>尾矿库的调洪能力和安全超高过小；</w:t>
      </w:r>
    </w:p>
    <w:p w14:paraId="405A5783">
      <w:pPr>
        <w:numPr>
          <w:ilvl w:val="0"/>
          <w:numId w:val="0"/>
        </w:numPr>
        <w:ind w:left="0" w:leftChars="0" w:firstLine="560" w:firstLineChars="200"/>
        <w:rPr>
          <w:rFonts w:hint="eastAsia"/>
          <w:color w:val="auto"/>
          <w:lang w:eastAsia="zh-CN"/>
        </w:rPr>
      </w:pPr>
      <w:r>
        <w:rPr>
          <w:rFonts w:hint="eastAsia" w:ascii="Times New Roman" w:hAnsi="Times New Roman" w:eastAsia="宋体" w:cs="Times New Roman"/>
          <w:color w:val="auto"/>
          <w:kern w:val="2"/>
          <w:sz w:val="28"/>
          <w:szCs w:val="24"/>
          <w:lang w:val="en-US" w:eastAsia="zh-CN" w:bidi="ar-SA"/>
        </w:rPr>
        <w:t>3.</w:t>
      </w:r>
      <w:r>
        <w:rPr>
          <w:rFonts w:hint="eastAsia" w:cs="Times New Roman"/>
          <w:color w:val="auto"/>
          <w:kern w:val="2"/>
          <w:sz w:val="28"/>
          <w:szCs w:val="24"/>
          <w:lang w:val="en-US" w:eastAsia="zh-CN" w:bidi="ar-SA"/>
        </w:rPr>
        <w:t xml:space="preserve"> </w:t>
      </w:r>
      <w:r>
        <w:rPr>
          <w:rFonts w:hint="eastAsia" w:eastAsia="宋体"/>
          <w:color w:val="auto"/>
          <w:lang w:eastAsia="zh-CN"/>
        </w:rPr>
        <w:t>管理中的失误造成排水系统堵塞。</w:t>
      </w:r>
    </w:p>
    <w:p w14:paraId="1359BCBC">
      <w:pPr>
        <w:rPr>
          <w:rFonts w:hint="eastAsia" w:eastAsia="宋体"/>
          <w:color w:val="auto"/>
          <w:lang w:eastAsia="zh-CN"/>
        </w:rPr>
      </w:pPr>
      <w:r>
        <w:rPr>
          <w:rFonts w:hint="eastAsia" w:eastAsia="宋体"/>
          <w:color w:val="auto"/>
          <w:lang w:eastAsia="zh-CN"/>
        </w:rPr>
        <w:t>经现场检查，</w:t>
      </w:r>
      <w:r>
        <w:rPr>
          <w:rFonts w:hint="eastAsia" w:ascii="Times New Roman" w:eastAsia="宋体"/>
          <w:color w:val="auto"/>
          <w:lang w:val="en-US" w:eastAsia="zh-CN"/>
        </w:rPr>
        <w:t>未发现</w:t>
      </w:r>
      <w:r>
        <w:rPr>
          <w:rFonts w:hint="eastAsia"/>
          <w:color w:val="auto"/>
          <w:lang w:val="en-US" w:eastAsia="zh-CN"/>
        </w:rPr>
        <w:t>三</w:t>
      </w:r>
      <w:r>
        <w:rPr>
          <w:rFonts w:hint="eastAsia" w:hAnsi="宋体"/>
          <w:sz w:val="28"/>
          <w:szCs w:val="28"/>
        </w:rPr>
        <w:t>号（氰化渣）尾矿库</w:t>
      </w:r>
      <w:r>
        <w:rPr>
          <w:rFonts w:hint="eastAsia" w:ascii="Times New Roman" w:eastAsia="宋体"/>
          <w:color w:val="auto"/>
          <w:lang w:val="en-US" w:eastAsia="zh-CN"/>
        </w:rPr>
        <w:t>有洪水漫顶现象</w:t>
      </w:r>
      <w:r>
        <w:rPr>
          <w:rFonts w:hint="eastAsia" w:eastAsia="宋体"/>
          <w:color w:val="auto"/>
          <w:lang w:eastAsia="zh-CN"/>
        </w:rPr>
        <w:t>。</w:t>
      </w:r>
    </w:p>
    <w:p w14:paraId="14E08E07">
      <w:pPr>
        <w:pStyle w:val="4"/>
        <w:bidi w:val="0"/>
        <w:rPr>
          <w:rFonts w:hint="eastAsia"/>
          <w:color w:val="auto"/>
          <w:lang w:eastAsia="zh-CN"/>
        </w:rPr>
      </w:pPr>
      <w:bookmarkStart w:id="311" w:name="_Toc14757"/>
      <w:bookmarkStart w:id="312" w:name="_Toc22957"/>
      <w:bookmarkStart w:id="313" w:name="_Toc22296"/>
      <w:bookmarkStart w:id="314" w:name="_Toc23180"/>
      <w:bookmarkStart w:id="315" w:name="_Toc4699"/>
      <w:bookmarkStart w:id="316" w:name="_Toc4158"/>
      <w:bookmarkStart w:id="317" w:name="_Toc25695"/>
      <w:bookmarkStart w:id="318" w:name="_Toc5688"/>
      <w:r>
        <w:rPr>
          <w:rFonts w:hint="eastAsia"/>
          <w:color w:val="auto"/>
          <w:lang w:eastAsia="zh-CN"/>
        </w:rPr>
        <w:t>3.2.3</w:t>
      </w:r>
      <w:r>
        <w:rPr>
          <w:rFonts w:hint="eastAsia"/>
          <w:color w:val="auto"/>
          <w:lang w:val="en-US" w:eastAsia="zh-CN"/>
        </w:rPr>
        <w:t xml:space="preserve"> </w:t>
      </w:r>
      <w:r>
        <w:rPr>
          <w:rFonts w:hint="eastAsia"/>
          <w:color w:val="auto"/>
          <w:lang w:eastAsia="zh-CN"/>
        </w:rPr>
        <w:t>渗漏</w:t>
      </w:r>
      <w:bookmarkEnd w:id="311"/>
      <w:bookmarkEnd w:id="312"/>
      <w:bookmarkEnd w:id="313"/>
      <w:bookmarkEnd w:id="314"/>
      <w:bookmarkEnd w:id="315"/>
      <w:bookmarkEnd w:id="316"/>
      <w:bookmarkEnd w:id="317"/>
      <w:bookmarkEnd w:id="318"/>
    </w:p>
    <w:p w14:paraId="2E74C76B">
      <w:pPr>
        <w:bidi w:val="0"/>
        <w:rPr>
          <w:rFonts w:hint="eastAsia"/>
          <w:color w:val="auto"/>
          <w:lang w:eastAsia="zh-CN"/>
        </w:rPr>
      </w:pPr>
      <w:r>
        <w:rPr>
          <w:rFonts w:hint="eastAsia" w:eastAsia="宋体"/>
          <w:color w:val="auto"/>
          <w:lang w:eastAsia="zh-CN"/>
        </w:rPr>
        <w:t>非正常渗漏也是尾矿库常见的危险、有害因素，异常渗漏常导致溢流出口处坝体流土、冲刷及管涌等多种形式的破坏，严重的会导致垮坝事故。非正常渗漏按渗漏的部位可分为：坝体渗漏、坝基渗漏。</w:t>
      </w:r>
    </w:p>
    <w:p w14:paraId="7C9EA514">
      <w:pPr>
        <w:numPr>
          <w:ilvl w:val="0"/>
          <w:numId w:val="3"/>
        </w:numPr>
        <w:bidi w:val="0"/>
        <w:ind w:firstLine="560" w:firstLineChars="200"/>
        <w:rPr>
          <w:rFonts w:hint="eastAsia"/>
          <w:color w:val="auto"/>
          <w:lang w:eastAsia="zh-CN"/>
        </w:rPr>
      </w:pPr>
      <w:r>
        <w:rPr>
          <w:rFonts w:hint="eastAsia" w:eastAsia="宋体"/>
          <w:color w:val="auto"/>
          <w:lang w:eastAsia="zh-CN"/>
        </w:rPr>
        <w:t>坝体渗漏的主要原因：</w:t>
      </w:r>
    </w:p>
    <w:p w14:paraId="35DEB0F7">
      <w:pPr>
        <w:bidi w:val="0"/>
        <w:rPr>
          <w:rFonts w:hint="eastAsia"/>
          <w:color w:val="auto"/>
          <w:lang w:eastAsia="zh-CN"/>
        </w:rPr>
      </w:pPr>
      <w:r>
        <w:rPr>
          <w:rFonts w:hint="eastAsia" w:eastAsia="宋体"/>
          <w:color w:val="auto"/>
          <w:lang w:eastAsia="zh-CN"/>
        </w:rPr>
        <w:t>（1）尾矿坝无排渗设施；</w:t>
      </w:r>
    </w:p>
    <w:p w14:paraId="2445AED0">
      <w:pPr>
        <w:bidi w:val="0"/>
        <w:rPr>
          <w:rFonts w:hint="eastAsia"/>
          <w:color w:val="auto"/>
          <w:lang w:eastAsia="zh-CN"/>
        </w:rPr>
      </w:pPr>
      <w:r>
        <w:rPr>
          <w:rFonts w:hint="eastAsia" w:eastAsia="宋体"/>
          <w:color w:val="auto"/>
          <w:lang w:eastAsia="zh-CN"/>
        </w:rPr>
        <w:t>（</w:t>
      </w:r>
      <w:r>
        <w:rPr>
          <w:rFonts w:hint="eastAsia" w:ascii="Times New Roman" w:eastAsia="宋体"/>
          <w:color w:val="auto"/>
          <w:lang w:val="en-US" w:eastAsia="zh-CN"/>
        </w:rPr>
        <w:t>2</w:t>
      </w:r>
      <w:r>
        <w:rPr>
          <w:rFonts w:hint="eastAsia" w:eastAsia="宋体"/>
          <w:color w:val="auto"/>
          <w:lang w:eastAsia="zh-CN"/>
        </w:rPr>
        <w:t>）尾矿澄清距离过短；</w:t>
      </w:r>
    </w:p>
    <w:p w14:paraId="40E31C99">
      <w:pPr>
        <w:bidi w:val="0"/>
        <w:rPr>
          <w:rFonts w:hint="eastAsia"/>
          <w:color w:val="auto"/>
          <w:lang w:eastAsia="zh-CN"/>
        </w:rPr>
      </w:pPr>
      <w:r>
        <w:rPr>
          <w:rFonts w:hint="eastAsia" w:eastAsia="宋体"/>
          <w:color w:val="auto"/>
          <w:lang w:eastAsia="zh-CN"/>
        </w:rPr>
        <w:t>（</w:t>
      </w:r>
      <w:r>
        <w:rPr>
          <w:rFonts w:hint="eastAsia" w:ascii="Times New Roman" w:eastAsia="宋体"/>
          <w:color w:val="auto"/>
          <w:lang w:val="en-US" w:eastAsia="zh-CN"/>
        </w:rPr>
        <w:t>3</w:t>
      </w:r>
      <w:r>
        <w:rPr>
          <w:rFonts w:hint="eastAsia" w:eastAsia="宋体"/>
          <w:color w:val="auto"/>
          <w:lang w:eastAsia="zh-CN"/>
        </w:rPr>
        <w:t>）尾矿坝下游坝面坡度过陡。</w:t>
      </w:r>
    </w:p>
    <w:p w14:paraId="4827C5A4">
      <w:pPr>
        <w:bidi w:val="0"/>
        <w:rPr>
          <w:rFonts w:hint="eastAsia"/>
          <w:color w:val="auto"/>
          <w:lang w:eastAsia="zh-CN"/>
        </w:rPr>
      </w:pPr>
      <w:r>
        <w:rPr>
          <w:rFonts w:hint="eastAsia" w:ascii="Times New Roman" w:eastAsia="宋体"/>
          <w:color w:val="auto"/>
          <w:lang w:val="en-US" w:eastAsia="zh-CN"/>
        </w:rPr>
        <w:t xml:space="preserve">2. </w:t>
      </w:r>
      <w:r>
        <w:rPr>
          <w:rFonts w:hint="eastAsia" w:eastAsia="宋体"/>
          <w:color w:val="auto"/>
          <w:lang w:eastAsia="zh-CN"/>
        </w:rPr>
        <w:t>基础渗漏的主要原因：</w:t>
      </w:r>
    </w:p>
    <w:p w14:paraId="085F1D84">
      <w:pPr>
        <w:bidi w:val="0"/>
        <w:rPr>
          <w:rFonts w:hint="eastAsia"/>
          <w:color w:val="auto"/>
          <w:lang w:eastAsia="zh-CN"/>
        </w:rPr>
      </w:pPr>
      <w:r>
        <w:rPr>
          <w:rFonts w:hint="eastAsia" w:eastAsia="宋体"/>
          <w:color w:val="auto"/>
          <w:lang w:eastAsia="zh-CN"/>
        </w:rPr>
        <w:t>（1）坝基的工程地质条件差，且施工时未进行必要的处理；</w:t>
      </w:r>
    </w:p>
    <w:p w14:paraId="2955FD39">
      <w:pPr>
        <w:bidi w:val="0"/>
        <w:rPr>
          <w:rFonts w:hint="eastAsia"/>
          <w:color w:val="auto"/>
          <w:lang w:eastAsia="zh-CN"/>
        </w:rPr>
      </w:pPr>
      <w:r>
        <w:rPr>
          <w:rFonts w:hint="eastAsia" w:eastAsia="宋体"/>
          <w:color w:val="auto"/>
          <w:lang w:eastAsia="zh-CN"/>
        </w:rPr>
        <w:t>（</w:t>
      </w:r>
      <w:r>
        <w:rPr>
          <w:rFonts w:hint="eastAsia" w:ascii="Times New Roman" w:eastAsia="宋体"/>
          <w:color w:val="auto"/>
          <w:lang w:val="en-US" w:eastAsia="zh-CN"/>
        </w:rPr>
        <w:t>2</w:t>
      </w:r>
      <w:r>
        <w:rPr>
          <w:rFonts w:hint="eastAsia" w:eastAsia="宋体"/>
          <w:color w:val="auto"/>
          <w:lang w:eastAsia="zh-CN"/>
        </w:rPr>
        <w:t>）筑坝材料不当；</w:t>
      </w:r>
    </w:p>
    <w:p w14:paraId="5216B32D">
      <w:pPr>
        <w:bidi w:val="0"/>
        <w:rPr>
          <w:rFonts w:hint="eastAsia"/>
          <w:color w:val="auto"/>
          <w:lang w:eastAsia="zh-CN"/>
        </w:rPr>
      </w:pPr>
      <w:r>
        <w:rPr>
          <w:rFonts w:hint="eastAsia" w:eastAsia="宋体"/>
          <w:color w:val="auto"/>
          <w:lang w:eastAsia="zh-CN"/>
        </w:rPr>
        <w:t>（</w:t>
      </w:r>
      <w:r>
        <w:rPr>
          <w:rFonts w:hint="eastAsia" w:ascii="Times New Roman" w:eastAsia="宋体"/>
          <w:color w:val="auto"/>
          <w:lang w:val="en-US" w:eastAsia="zh-CN"/>
        </w:rPr>
        <w:t>3</w:t>
      </w:r>
      <w:r>
        <w:rPr>
          <w:rFonts w:hint="eastAsia" w:eastAsia="宋体"/>
          <w:color w:val="auto"/>
          <w:lang w:eastAsia="zh-CN"/>
        </w:rPr>
        <w:t>）无排渗设施。</w:t>
      </w:r>
    </w:p>
    <w:p w14:paraId="40CF9C64">
      <w:pPr>
        <w:bidi w:val="0"/>
        <w:rPr>
          <w:rFonts w:hint="eastAsia"/>
          <w:color w:val="auto"/>
          <w:lang w:eastAsia="zh-CN"/>
        </w:rPr>
      </w:pPr>
      <w:r>
        <w:rPr>
          <w:rFonts w:hint="eastAsia" w:eastAsia="宋体"/>
          <w:color w:val="auto"/>
          <w:lang w:eastAsia="zh-CN"/>
        </w:rPr>
        <w:t>经现场检查，</w:t>
      </w:r>
      <w:r>
        <w:rPr>
          <w:rFonts w:hint="eastAsia"/>
          <w:color w:val="auto"/>
          <w:lang w:val="en-US" w:eastAsia="zh-CN"/>
        </w:rPr>
        <w:t>三</w:t>
      </w:r>
      <w:r>
        <w:rPr>
          <w:rFonts w:hint="eastAsia" w:hAnsi="宋体"/>
          <w:sz w:val="28"/>
          <w:szCs w:val="28"/>
        </w:rPr>
        <w:t>号（氰化渣）尾矿库</w:t>
      </w:r>
      <w:r>
        <w:rPr>
          <w:rFonts w:hint="eastAsia" w:eastAsia="宋体"/>
          <w:color w:val="auto"/>
          <w:lang w:eastAsia="zh-CN"/>
        </w:rPr>
        <w:t>尾矿坝无渗漏现象。</w:t>
      </w:r>
    </w:p>
    <w:p w14:paraId="0A2FD7BF">
      <w:pPr>
        <w:pStyle w:val="4"/>
        <w:bidi w:val="0"/>
        <w:rPr>
          <w:rFonts w:hint="eastAsia"/>
          <w:color w:val="auto"/>
          <w:lang w:eastAsia="zh-CN"/>
        </w:rPr>
      </w:pPr>
      <w:bookmarkStart w:id="319" w:name="_Toc3485"/>
      <w:bookmarkStart w:id="320" w:name="_Toc13021"/>
      <w:bookmarkStart w:id="321" w:name="_Toc10654"/>
      <w:bookmarkStart w:id="322" w:name="_Toc14584"/>
      <w:bookmarkStart w:id="323" w:name="_Toc4825"/>
      <w:bookmarkStart w:id="324" w:name="_Toc25317"/>
      <w:bookmarkStart w:id="325" w:name="_Toc32626"/>
      <w:bookmarkStart w:id="326" w:name="_Toc10894"/>
      <w:r>
        <w:rPr>
          <w:rFonts w:hint="eastAsia"/>
          <w:color w:val="auto"/>
          <w:lang w:eastAsia="zh-CN"/>
        </w:rPr>
        <w:t>3.2.4</w:t>
      </w:r>
      <w:r>
        <w:rPr>
          <w:rFonts w:hint="eastAsia"/>
          <w:color w:val="auto"/>
          <w:lang w:val="en-US" w:eastAsia="zh-CN"/>
        </w:rPr>
        <w:t xml:space="preserve"> </w:t>
      </w:r>
      <w:r>
        <w:rPr>
          <w:rFonts w:hint="eastAsia"/>
          <w:color w:val="auto"/>
          <w:lang w:eastAsia="zh-CN"/>
        </w:rPr>
        <w:t>排水、泄洪构筑物破坏</w:t>
      </w:r>
      <w:bookmarkEnd w:id="319"/>
      <w:bookmarkEnd w:id="320"/>
      <w:bookmarkEnd w:id="321"/>
      <w:bookmarkEnd w:id="322"/>
      <w:bookmarkEnd w:id="323"/>
      <w:bookmarkEnd w:id="324"/>
      <w:bookmarkEnd w:id="325"/>
      <w:bookmarkEnd w:id="326"/>
    </w:p>
    <w:p w14:paraId="3CC26989">
      <w:pPr>
        <w:rPr>
          <w:rFonts w:hint="eastAsia"/>
          <w:color w:val="auto"/>
          <w:lang w:eastAsia="zh-CN"/>
        </w:rPr>
      </w:pPr>
      <w:r>
        <w:rPr>
          <w:rFonts w:hint="eastAsia" w:ascii="Times New Roman" w:eastAsia="宋体"/>
          <w:color w:val="auto"/>
          <w:lang w:val="en-US" w:eastAsia="zh-CN"/>
        </w:rPr>
        <w:t xml:space="preserve">1. </w:t>
      </w:r>
      <w:r>
        <w:rPr>
          <w:rFonts w:hint="eastAsia" w:eastAsia="宋体"/>
          <w:color w:val="auto"/>
          <w:lang w:eastAsia="zh-CN"/>
        </w:rPr>
        <w:t>排洪构筑物堵塞</w:t>
      </w:r>
    </w:p>
    <w:p w14:paraId="42B9146D">
      <w:pPr>
        <w:rPr>
          <w:rFonts w:hint="eastAsia"/>
          <w:color w:val="auto"/>
          <w:lang w:eastAsia="zh-CN"/>
        </w:rPr>
      </w:pPr>
      <w:r>
        <w:rPr>
          <w:rFonts w:hint="eastAsia" w:eastAsia="宋体"/>
          <w:color w:val="auto"/>
          <w:lang w:eastAsia="zh-CN"/>
        </w:rPr>
        <w:t>排洪构筑物堵塞导致排洪能力急剧下降，库水位上升，安全超高不够，直接危及坝体安全。</w:t>
      </w:r>
    </w:p>
    <w:p w14:paraId="59E29B46">
      <w:pPr>
        <w:rPr>
          <w:rFonts w:hint="eastAsia"/>
          <w:color w:val="auto"/>
          <w:lang w:eastAsia="zh-CN"/>
        </w:rPr>
      </w:pPr>
      <w:r>
        <w:rPr>
          <w:rFonts w:hint="eastAsia" w:eastAsia="宋体"/>
          <w:color w:val="auto"/>
          <w:lang w:eastAsia="zh-CN"/>
        </w:rPr>
        <w:t>排洪构筑物堵塞主要原因有：</w:t>
      </w:r>
    </w:p>
    <w:p w14:paraId="498646EC">
      <w:pPr>
        <w:rPr>
          <w:rFonts w:hint="eastAsia"/>
          <w:color w:val="auto"/>
          <w:lang w:eastAsia="zh-CN"/>
        </w:rPr>
      </w:pPr>
      <w:r>
        <w:rPr>
          <w:rFonts w:hint="eastAsia" w:eastAsia="宋体"/>
          <w:color w:val="auto"/>
          <w:lang w:eastAsia="zh-CN"/>
        </w:rPr>
        <w:t>（</w:t>
      </w:r>
      <w:r>
        <w:rPr>
          <w:rFonts w:hint="eastAsia" w:ascii="Times New Roman" w:eastAsia="宋体"/>
          <w:color w:val="auto"/>
          <w:lang w:val="en-US" w:eastAsia="zh-CN"/>
        </w:rPr>
        <w:t>1</w:t>
      </w:r>
      <w:r>
        <w:rPr>
          <w:rFonts w:hint="eastAsia" w:eastAsia="宋体"/>
          <w:color w:val="auto"/>
          <w:lang w:eastAsia="zh-CN"/>
        </w:rPr>
        <w:t>）进水口杂物淤积；</w:t>
      </w:r>
    </w:p>
    <w:p w14:paraId="15B8D5B6">
      <w:pPr>
        <w:rPr>
          <w:rFonts w:hint="eastAsia"/>
          <w:color w:val="auto"/>
          <w:lang w:eastAsia="zh-CN"/>
        </w:rPr>
      </w:pPr>
      <w:r>
        <w:rPr>
          <w:rFonts w:hint="eastAsia" w:eastAsia="宋体"/>
          <w:color w:val="auto"/>
          <w:lang w:eastAsia="zh-CN"/>
        </w:rPr>
        <w:t>（2）构筑物垮塌；</w:t>
      </w:r>
    </w:p>
    <w:p w14:paraId="4262D250">
      <w:pPr>
        <w:rPr>
          <w:rFonts w:hint="eastAsia"/>
          <w:color w:val="auto"/>
          <w:lang w:eastAsia="zh-CN"/>
        </w:rPr>
      </w:pPr>
      <w:r>
        <w:rPr>
          <w:rFonts w:hint="eastAsia" w:eastAsia="宋体"/>
          <w:color w:val="auto"/>
          <w:lang w:eastAsia="zh-CN"/>
        </w:rPr>
        <w:t>（</w:t>
      </w:r>
      <w:r>
        <w:rPr>
          <w:rFonts w:hint="eastAsia" w:ascii="Times New Roman" w:eastAsia="宋体"/>
          <w:color w:val="auto"/>
          <w:lang w:val="en-US" w:eastAsia="zh-CN"/>
        </w:rPr>
        <w:t>3</w:t>
      </w:r>
      <w:r>
        <w:rPr>
          <w:rFonts w:hint="eastAsia" w:eastAsia="宋体"/>
          <w:color w:val="auto"/>
          <w:lang w:eastAsia="zh-CN"/>
        </w:rPr>
        <w:t>）长期对排洪构筑物不进行检查、维修，致使堵塞、露筋、塌陷等隐患未能及时发现。</w:t>
      </w:r>
    </w:p>
    <w:p w14:paraId="57C93A82">
      <w:pPr>
        <w:rPr>
          <w:rFonts w:hint="eastAsia"/>
          <w:color w:val="auto"/>
          <w:lang w:eastAsia="zh-CN"/>
        </w:rPr>
      </w:pPr>
      <w:r>
        <w:rPr>
          <w:rFonts w:hint="eastAsia" w:ascii="Times New Roman" w:eastAsia="宋体"/>
          <w:color w:val="auto"/>
          <w:lang w:val="en-US" w:eastAsia="zh-CN"/>
        </w:rPr>
        <w:t xml:space="preserve">2. </w:t>
      </w:r>
      <w:r>
        <w:rPr>
          <w:rFonts w:hint="eastAsia" w:eastAsia="宋体"/>
          <w:color w:val="auto"/>
          <w:lang w:eastAsia="zh-CN"/>
        </w:rPr>
        <w:t>排洪构筑物错动、断裂、气蚀、垮塌</w:t>
      </w:r>
    </w:p>
    <w:p w14:paraId="386E1EE0">
      <w:pPr>
        <w:rPr>
          <w:rFonts w:hint="eastAsia"/>
          <w:color w:val="auto"/>
          <w:lang w:eastAsia="zh-CN"/>
        </w:rPr>
      </w:pPr>
      <w:r>
        <w:rPr>
          <w:rFonts w:hint="eastAsia" w:eastAsia="宋体"/>
          <w:color w:val="auto"/>
          <w:lang w:eastAsia="zh-CN"/>
        </w:rPr>
        <w:t>排洪构筑物错动、断裂常常造成大量泄漏，垮塌造成堵塞，排洪能力急剧下降，直接危及坝体安全。</w:t>
      </w:r>
    </w:p>
    <w:p w14:paraId="10FEEFFD">
      <w:pPr>
        <w:rPr>
          <w:rFonts w:hint="eastAsia"/>
          <w:color w:val="auto"/>
          <w:lang w:eastAsia="zh-CN"/>
        </w:rPr>
      </w:pPr>
      <w:r>
        <w:rPr>
          <w:rFonts w:hint="eastAsia" w:eastAsia="宋体"/>
          <w:color w:val="auto"/>
          <w:lang w:eastAsia="zh-CN"/>
        </w:rPr>
        <w:t>排洪构筑物断裂、垮塌常由下列原因引起：</w:t>
      </w:r>
    </w:p>
    <w:p w14:paraId="149D6444">
      <w:pPr>
        <w:rPr>
          <w:rFonts w:hint="eastAsia"/>
          <w:color w:val="auto"/>
          <w:lang w:eastAsia="zh-CN"/>
        </w:rPr>
      </w:pPr>
      <w:r>
        <w:rPr>
          <w:rFonts w:hint="eastAsia" w:eastAsia="宋体"/>
          <w:color w:val="auto"/>
          <w:lang w:eastAsia="zh-CN"/>
        </w:rPr>
        <w:t>（</w:t>
      </w:r>
      <w:r>
        <w:rPr>
          <w:rFonts w:hint="eastAsia" w:ascii="Times New Roman" w:eastAsia="宋体"/>
          <w:color w:val="auto"/>
          <w:lang w:val="en-US" w:eastAsia="zh-CN"/>
        </w:rPr>
        <w:t>1</w:t>
      </w:r>
      <w:r>
        <w:rPr>
          <w:rFonts w:hint="eastAsia" w:eastAsia="宋体"/>
          <w:color w:val="auto"/>
          <w:lang w:eastAsia="zh-CN"/>
        </w:rPr>
        <w:t>）未按设计要求施工；</w:t>
      </w:r>
    </w:p>
    <w:p w14:paraId="4858B42E">
      <w:pPr>
        <w:rPr>
          <w:rFonts w:hint="eastAsia"/>
          <w:color w:val="auto"/>
          <w:lang w:eastAsia="zh-CN"/>
        </w:rPr>
      </w:pPr>
      <w:r>
        <w:rPr>
          <w:rFonts w:hint="eastAsia" w:eastAsia="宋体"/>
          <w:color w:val="auto"/>
          <w:lang w:eastAsia="zh-CN"/>
        </w:rPr>
        <w:t>（2）排洪管线等处的地基不均匀沉陷；出现不均匀或集中荷载；水流流态改变等；</w:t>
      </w:r>
    </w:p>
    <w:p w14:paraId="7606DEBB">
      <w:pPr>
        <w:rPr>
          <w:rFonts w:hint="eastAsia"/>
          <w:color w:val="auto"/>
          <w:lang w:eastAsia="zh-CN"/>
        </w:rPr>
      </w:pPr>
      <w:r>
        <w:rPr>
          <w:rFonts w:hint="eastAsia" w:eastAsia="宋体"/>
          <w:color w:val="auto"/>
          <w:lang w:eastAsia="zh-CN"/>
        </w:rPr>
        <w:t>（</w:t>
      </w:r>
      <w:r>
        <w:rPr>
          <w:rFonts w:hint="eastAsia" w:ascii="Times New Roman" w:eastAsia="宋体"/>
          <w:color w:val="auto"/>
          <w:lang w:val="en-US" w:eastAsia="zh-CN"/>
        </w:rPr>
        <w:t>3</w:t>
      </w:r>
      <w:r>
        <w:rPr>
          <w:rFonts w:hint="eastAsia" w:eastAsia="宋体"/>
          <w:color w:val="auto"/>
          <w:lang w:eastAsia="zh-CN"/>
        </w:rPr>
        <w:t>）排洪构筑物有蜂窝、麻面或强度不达标，当负荷逐渐增大时，会造成掉块、漏筋、断裂、甚至倒塌等病害。</w:t>
      </w:r>
    </w:p>
    <w:p w14:paraId="6BF73899">
      <w:pPr>
        <w:rPr>
          <w:rFonts w:hint="eastAsia"/>
          <w:color w:val="auto"/>
          <w:lang w:eastAsia="zh-CN"/>
        </w:rPr>
      </w:pPr>
      <w:r>
        <w:rPr>
          <w:rFonts w:hint="eastAsia" w:ascii="Times New Roman" w:eastAsia="宋体"/>
          <w:color w:val="auto"/>
          <w:lang w:val="en-US" w:eastAsia="zh-CN"/>
        </w:rPr>
        <w:t xml:space="preserve">3. </w:t>
      </w:r>
      <w:r>
        <w:rPr>
          <w:rFonts w:hint="eastAsia" w:eastAsia="宋体"/>
          <w:color w:val="auto"/>
          <w:lang w:eastAsia="zh-CN"/>
        </w:rPr>
        <w:t>排洪构筑物排洪能力不足</w:t>
      </w:r>
    </w:p>
    <w:p w14:paraId="30FC0E39">
      <w:pPr>
        <w:rPr>
          <w:rFonts w:hint="eastAsia"/>
          <w:color w:val="auto"/>
          <w:lang w:eastAsia="zh-CN"/>
        </w:rPr>
      </w:pPr>
      <w:r>
        <w:rPr>
          <w:rFonts w:hint="eastAsia" w:eastAsia="宋体"/>
          <w:color w:val="auto"/>
          <w:lang w:eastAsia="zh-CN"/>
        </w:rPr>
        <w:t>排洪构筑物排洪能力不足就不能及时排泄设计频率暴雨的洪水，库水位上升，危及坝体安全。</w:t>
      </w:r>
    </w:p>
    <w:p w14:paraId="4C48A32F">
      <w:pPr>
        <w:rPr>
          <w:rFonts w:hint="eastAsia"/>
          <w:color w:val="auto"/>
          <w:lang w:eastAsia="zh-CN"/>
        </w:rPr>
      </w:pPr>
      <w:r>
        <w:rPr>
          <w:rFonts w:hint="eastAsia" w:eastAsia="宋体"/>
          <w:color w:val="auto"/>
          <w:lang w:eastAsia="zh-CN"/>
        </w:rPr>
        <w:t>导致排洪构筑物排洪能力不足的主要原因有：</w:t>
      </w:r>
    </w:p>
    <w:p w14:paraId="305F62E9">
      <w:pPr>
        <w:rPr>
          <w:rFonts w:hint="eastAsia"/>
          <w:color w:val="auto"/>
          <w:lang w:eastAsia="zh-CN"/>
        </w:rPr>
      </w:pPr>
      <w:r>
        <w:rPr>
          <w:rFonts w:hint="eastAsia" w:eastAsia="宋体"/>
          <w:color w:val="auto"/>
          <w:lang w:eastAsia="zh-CN"/>
        </w:rPr>
        <w:t>（</w:t>
      </w:r>
      <w:r>
        <w:rPr>
          <w:rFonts w:hint="eastAsia" w:ascii="Times New Roman" w:eastAsia="宋体"/>
          <w:color w:val="auto"/>
          <w:lang w:val="en-US" w:eastAsia="zh-CN"/>
        </w:rPr>
        <w:t>1</w:t>
      </w:r>
      <w:r>
        <w:rPr>
          <w:rFonts w:hint="eastAsia" w:eastAsia="宋体"/>
          <w:color w:val="auto"/>
          <w:lang w:eastAsia="zh-CN"/>
        </w:rPr>
        <w:t>）原设计洪水标准低于现行标准；</w:t>
      </w:r>
    </w:p>
    <w:p w14:paraId="0DDD6720">
      <w:pPr>
        <w:rPr>
          <w:rFonts w:hint="eastAsia"/>
          <w:color w:val="auto"/>
          <w:lang w:eastAsia="zh-CN"/>
        </w:rPr>
      </w:pPr>
      <w:r>
        <w:rPr>
          <w:rFonts w:hint="eastAsia" w:eastAsia="宋体"/>
          <w:color w:val="auto"/>
          <w:lang w:eastAsia="zh-CN"/>
        </w:rPr>
        <w:t>（2）为节约投资，人为缩小排洪通道断面尺寸；</w:t>
      </w:r>
    </w:p>
    <w:p w14:paraId="3D4B8B4D">
      <w:pPr>
        <w:rPr>
          <w:rFonts w:hint="eastAsia"/>
          <w:color w:val="auto"/>
          <w:lang w:eastAsia="zh-CN"/>
        </w:rPr>
      </w:pPr>
      <w:r>
        <w:rPr>
          <w:rFonts w:hint="eastAsia" w:eastAsia="宋体"/>
          <w:color w:val="auto"/>
          <w:lang w:eastAsia="zh-CN"/>
        </w:rPr>
        <w:t>（</w:t>
      </w:r>
      <w:r>
        <w:rPr>
          <w:rFonts w:hint="eastAsia" w:ascii="Times New Roman" w:eastAsia="宋体"/>
          <w:color w:val="auto"/>
          <w:lang w:val="en-US" w:eastAsia="zh-CN"/>
        </w:rPr>
        <w:t>3</w:t>
      </w:r>
      <w:r>
        <w:rPr>
          <w:rFonts w:hint="eastAsia" w:eastAsia="宋体"/>
          <w:color w:val="auto"/>
          <w:lang w:eastAsia="zh-CN"/>
        </w:rPr>
        <w:t>）排洪通道存在限制性“瓶颈”。</w:t>
      </w:r>
    </w:p>
    <w:p w14:paraId="7B549F09">
      <w:pPr>
        <w:rPr>
          <w:rFonts w:hint="eastAsia" w:eastAsia="宋体"/>
          <w:color w:val="auto"/>
          <w:lang w:eastAsia="zh-CN"/>
        </w:rPr>
      </w:pPr>
      <w:r>
        <w:rPr>
          <w:rFonts w:hint="eastAsia" w:eastAsia="宋体"/>
          <w:color w:val="auto"/>
          <w:lang w:eastAsia="zh-CN"/>
        </w:rPr>
        <w:t>经现场检查，</w:t>
      </w:r>
      <w:r>
        <w:rPr>
          <w:rFonts w:hint="eastAsia"/>
          <w:color w:val="auto"/>
          <w:lang w:val="en-US" w:eastAsia="zh-CN"/>
        </w:rPr>
        <w:t>三</w:t>
      </w:r>
      <w:r>
        <w:rPr>
          <w:rFonts w:hint="eastAsia" w:hAnsi="宋体"/>
          <w:sz w:val="28"/>
          <w:szCs w:val="28"/>
        </w:rPr>
        <w:t>号（氰化渣）尾矿库</w:t>
      </w:r>
      <w:r>
        <w:rPr>
          <w:rFonts w:hint="eastAsia" w:eastAsia="宋体"/>
          <w:color w:val="auto"/>
          <w:lang w:eastAsia="zh-CN"/>
        </w:rPr>
        <w:t>排洪构筑物无破坏现象。</w:t>
      </w:r>
    </w:p>
    <w:p w14:paraId="7A047A7E">
      <w:pPr>
        <w:pStyle w:val="4"/>
        <w:bidi w:val="0"/>
        <w:rPr>
          <w:rFonts w:hint="eastAsia"/>
          <w:color w:val="auto"/>
          <w:lang w:eastAsia="zh-CN"/>
        </w:rPr>
      </w:pPr>
      <w:bookmarkStart w:id="327" w:name="_Toc2962"/>
      <w:bookmarkStart w:id="328" w:name="_Toc21019"/>
      <w:bookmarkStart w:id="329" w:name="_Toc13841"/>
      <w:bookmarkStart w:id="330" w:name="_Toc31822"/>
      <w:bookmarkStart w:id="331" w:name="_Toc1016"/>
      <w:bookmarkStart w:id="332" w:name="_Toc24258"/>
      <w:bookmarkStart w:id="333" w:name="_Toc13987"/>
      <w:bookmarkStart w:id="334" w:name="_Toc22489"/>
      <w:r>
        <w:rPr>
          <w:rFonts w:hint="eastAsia"/>
          <w:color w:val="auto"/>
          <w:lang w:eastAsia="zh-CN"/>
        </w:rPr>
        <w:t>3.2.5</w:t>
      </w:r>
      <w:r>
        <w:rPr>
          <w:rFonts w:hint="eastAsia"/>
          <w:color w:val="auto"/>
          <w:lang w:val="en-US" w:eastAsia="zh-CN"/>
        </w:rPr>
        <w:t xml:space="preserve"> </w:t>
      </w:r>
      <w:r>
        <w:rPr>
          <w:rFonts w:hint="eastAsia"/>
          <w:color w:val="auto"/>
          <w:lang w:eastAsia="zh-CN"/>
        </w:rPr>
        <w:t>调洪库容不足</w:t>
      </w:r>
      <w:bookmarkEnd w:id="327"/>
      <w:bookmarkEnd w:id="328"/>
      <w:bookmarkEnd w:id="329"/>
      <w:bookmarkEnd w:id="330"/>
      <w:bookmarkEnd w:id="331"/>
      <w:bookmarkEnd w:id="332"/>
      <w:bookmarkEnd w:id="333"/>
      <w:bookmarkEnd w:id="334"/>
    </w:p>
    <w:p w14:paraId="214459B5">
      <w:pPr>
        <w:bidi w:val="0"/>
        <w:rPr>
          <w:rFonts w:hint="eastAsia"/>
          <w:color w:val="auto"/>
          <w:lang w:eastAsia="zh-CN"/>
        </w:rPr>
      </w:pPr>
      <w:r>
        <w:rPr>
          <w:rFonts w:hint="eastAsia" w:eastAsia="宋体"/>
          <w:color w:val="auto"/>
          <w:lang w:eastAsia="zh-CN"/>
        </w:rPr>
        <w:t>调洪库容不足将降低尾矿库的防洪能力，遇大洪水时将造成溃坝事故。导致调洪库容不足的原因有：汛期保持高水位运行，造成调洪库容不足。</w:t>
      </w:r>
    </w:p>
    <w:p w14:paraId="3F9EE4C3">
      <w:pPr>
        <w:bidi w:val="0"/>
        <w:rPr>
          <w:rFonts w:hint="eastAsia"/>
          <w:color w:val="auto"/>
          <w:lang w:eastAsia="zh-CN"/>
        </w:rPr>
      </w:pPr>
      <w:r>
        <w:rPr>
          <w:rFonts w:hint="eastAsia" w:eastAsia="宋体"/>
          <w:color w:val="auto"/>
          <w:lang w:eastAsia="zh-CN"/>
        </w:rPr>
        <w:t>经现场检查，未发现</w:t>
      </w:r>
      <w:r>
        <w:rPr>
          <w:rFonts w:hint="eastAsia"/>
          <w:color w:val="auto"/>
          <w:lang w:val="en-US" w:eastAsia="zh-CN"/>
        </w:rPr>
        <w:t>三</w:t>
      </w:r>
      <w:r>
        <w:rPr>
          <w:rFonts w:hint="eastAsia" w:hAnsi="宋体"/>
          <w:sz w:val="28"/>
          <w:szCs w:val="28"/>
        </w:rPr>
        <w:t>号（氰化渣）尾矿库</w:t>
      </w:r>
      <w:r>
        <w:rPr>
          <w:rFonts w:hint="eastAsia" w:eastAsia="宋体"/>
          <w:color w:val="auto"/>
          <w:lang w:eastAsia="zh-CN"/>
        </w:rPr>
        <w:t>有调洪库容不足现象。</w:t>
      </w:r>
    </w:p>
    <w:p w14:paraId="2B0EFD8C">
      <w:pPr>
        <w:pStyle w:val="4"/>
        <w:bidi w:val="0"/>
        <w:rPr>
          <w:rFonts w:hint="eastAsia"/>
          <w:color w:val="auto"/>
          <w:lang w:eastAsia="zh-CN"/>
        </w:rPr>
      </w:pPr>
      <w:bookmarkStart w:id="335" w:name="_Toc24697"/>
      <w:bookmarkStart w:id="336" w:name="_Toc14865"/>
      <w:bookmarkStart w:id="337" w:name="_Toc6933"/>
      <w:bookmarkStart w:id="338" w:name="_Toc8439"/>
      <w:bookmarkStart w:id="339" w:name="_Toc19731"/>
      <w:bookmarkStart w:id="340" w:name="_Toc20582"/>
      <w:bookmarkStart w:id="341" w:name="_Toc1861"/>
      <w:bookmarkStart w:id="342" w:name="_Toc7102"/>
      <w:r>
        <w:rPr>
          <w:rFonts w:hint="eastAsia"/>
          <w:color w:val="auto"/>
          <w:lang w:eastAsia="zh-CN"/>
        </w:rPr>
        <w:t>3.2.6</w:t>
      </w:r>
      <w:r>
        <w:rPr>
          <w:rFonts w:hint="eastAsia"/>
          <w:color w:val="auto"/>
          <w:lang w:val="en-US" w:eastAsia="zh-CN"/>
        </w:rPr>
        <w:t xml:space="preserve"> </w:t>
      </w:r>
      <w:r>
        <w:rPr>
          <w:rFonts w:hint="eastAsia"/>
          <w:color w:val="auto"/>
          <w:lang w:eastAsia="zh-CN"/>
        </w:rPr>
        <w:t>裂缝</w:t>
      </w:r>
      <w:bookmarkEnd w:id="335"/>
      <w:bookmarkEnd w:id="336"/>
      <w:bookmarkEnd w:id="337"/>
      <w:bookmarkEnd w:id="338"/>
      <w:bookmarkEnd w:id="339"/>
      <w:bookmarkEnd w:id="340"/>
      <w:bookmarkEnd w:id="341"/>
      <w:bookmarkEnd w:id="342"/>
    </w:p>
    <w:p w14:paraId="7BF37B7E">
      <w:pPr>
        <w:rPr>
          <w:rFonts w:hint="eastAsia"/>
          <w:color w:val="auto"/>
          <w:lang w:eastAsia="zh-CN"/>
        </w:rPr>
      </w:pPr>
      <w:r>
        <w:rPr>
          <w:rFonts w:hint="eastAsia" w:eastAsia="宋体"/>
          <w:color w:val="auto"/>
          <w:lang w:eastAsia="zh-CN"/>
        </w:rPr>
        <w:t>裂缝是尾矿坝较为常见的有害因素，某些细小的横向裂缝有可能发展成为坝体的集中渗漏通道，有的纵向裂缝或水平裂缝也可能是坝体出现滑塌的预兆。</w:t>
      </w:r>
    </w:p>
    <w:p w14:paraId="4B97007E">
      <w:pPr>
        <w:rPr>
          <w:rFonts w:hint="eastAsia"/>
          <w:color w:val="auto"/>
          <w:lang w:eastAsia="zh-CN"/>
        </w:rPr>
      </w:pPr>
      <w:r>
        <w:rPr>
          <w:rFonts w:hint="eastAsia" w:eastAsia="宋体"/>
          <w:color w:val="auto"/>
          <w:lang w:eastAsia="zh-CN"/>
        </w:rPr>
        <w:t>裂缝的主要成因有：</w:t>
      </w:r>
    </w:p>
    <w:p w14:paraId="565BE8B8">
      <w:pPr>
        <w:numPr>
          <w:ilvl w:val="0"/>
          <w:numId w:val="4"/>
        </w:numPr>
        <w:ind w:firstLine="560" w:firstLineChars="200"/>
        <w:rPr>
          <w:rFonts w:hint="eastAsia"/>
          <w:color w:val="auto"/>
          <w:lang w:eastAsia="zh-CN"/>
        </w:rPr>
      </w:pPr>
      <w:r>
        <w:rPr>
          <w:rFonts w:hint="eastAsia" w:eastAsia="宋体"/>
          <w:color w:val="auto"/>
          <w:lang w:eastAsia="zh-CN"/>
        </w:rPr>
        <w:t>坝基承载能力不均衡；</w:t>
      </w:r>
    </w:p>
    <w:p w14:paraId="557C6F7B">
      <w:pPr>
        <w:numPr>
          <w:ilvl w:val="0"/>
          <w:numId w:val="4"/>
        </w:numPr>
        <w:ind w:left="0" w:leftChars="0" w:firstLine="560" w:firstLineChars="200"/>
        <w:rPr>
          <w:rFonts w:hint="eastAsia"/>
          <w:color w:val="auto"/>
          <w:lang w:eastAsia="zh-CN"/>
        </w:rPr>
      </w:pPr>
      <w:r>
        <w:rPr>
          <w:rFonts w:hint="eastAsia" w:eastAsia="宋体"/>
          <w:color w:val="auto"/>
          <w:lang w:eastAsia="zh-CN"/>
        </w:rPr>
        <w:t>坝体施工质量差；</w:t>
      </w:r>
    </w:p>
    <w:p w14:paraId="221E49F1">
      <w:pPr>
        <w:numPr>
          <w:ilvl w:val="0"/>
          <w:numId w:val="4"/>
        </w:numPr>
        <w:ind w:left="0" w:leftChars="0" w:firstLine="560" w:firstLineChars="200"/>
        <w:rPr>
          <w:rFonts w:hint="eastAsia"/>
          <w:color w:val="auto"/>
          <w:lang w:eastAsia="zh-CN"/>
        </w:rPr>
      </w:pPr>
      <w:r>
        <w:rPr>
          <w:rFonts w:hint="eastAsia" w:eastAsia="宋体"/>
          <w:color w:val="auto"/>
          <w:lang w:eastAsia="zh-CN"/>
        </w:rPr>
        <w:t>坝身结构及断面尺寸设计不当。</w:t>
      </w:r>
    </w:p>
    <w:p w14:paraId="60329B18">
      <w:pPr>
        <w:numPr>
          <w:ilvl w:val="0"/>
          <w:numId w:val="0"/>
        </w:numPr>
        <w:ind w:leftChars="200"/>
        <w:rPr>
          <w:rFonts w:hint="eastAsia"/>
          <w:color w:val="auto"/>
          <w:lang w:eastAsia="zh-CN"/>
        </w:rPr>
      </w:pPr>
      <w:r>
        <w:rPr>
          <w:rFonts w:hint="eastAsia" w:eastAsia="宋体"/>
          <w:color w:val="auto"/>
          <w:lang w:eastAsia="zh-CN"/>
        </w:rPr>
        <w:t>经现场检查，</w:t>
      </w:r>
      <w:r>
        <w:rPr>
          <w:rFonts w:hint="eastAsia"/>
          <w:color w:val="auto"/>
          <w:lang w:val="en-US" w:eastAsia="zh-CN"/>
        </w:rPr>
        <w:t>三</w:t>
      </w:r>
      <w:r>
        <w:rPr>
          <w:rFonts w:hint="eastAsia" w:hAnsi="宋体"/>
          <w:sz w:val="28"/>
          <w:szCs w:val="28"/>
        </w:rPr>
        <w:t>号（氰化渣）尾矿库</w:t>
      </w:r>
      <w:r>
        <w:rPr>
          <w:rFonts w:hint="eastAsia" w:eastAsia="宋体"/>
          <w:color w:val="auto"/>
          <w:lang w:eastAsia="zh-CN"/>
        </w:rPr>
        <w:t>尾矿坝无裂缝现象。</w:t>
      </w:r>
    </w:p>
    <w:p w14:paraId="678387AA">
      <w:pPr>
        <w:pStyle w:val="4"/>
        <w:bidi w:val="0"/>
        <w:rPr>
          <w:rFonts w:hint="eastAsia"/>
          <w:color w:val="auto"/>
          <w:lang w:eastAsia="zh-CN"/>
        </w:rPr>
      </w:pPr>
      <w:bookmarkStart w:id="343" w:name="_Toc7015"/>
      <w:bookmarkStart w:id="344" w:name="_Toc16022"/>
      <w:bookmarkStart w:id="345" w:name="_Toc27308"/>
      <w:bookmarkStart w:id="346" w:name="_Toc17523"/>
      <w:bookmarkStart w:id="347" w:name="_Toc22878"/>
      <w:bookmarkStart w:id="348" w:name="_Toc24233"/>
      <w:bookmarkStart w:id="349" w:name="_Toc21162"/>
      <w:bookmarkStart w:id="350" w:name="_Toc8523"/>
      <w:r>
        <w:rPr>
          <w:rFonts w:hint="eastAsia"/>
          <w:color w:val="auto"/>
          <w:lang w:eastAsia="zh-CN"/>
        </w:rPr>
        <w:t>3.2.7</w:t>
      </w:r>
      <w:r>
        <w:rPr>
          <w:rFonts w:hint="eastAsia"/>
          <w:color w:val="auto"/>
          <w:lang w:val="en-US" w:eastAsia="zh-CN"/>
        </w:rPr>
        <w:t xml:space="preserve"> </w:t>
      </w:r>
      <w:r>
        <w:rPr>
          <w:rFonts w:hint="eastAsia"/>
          <w:color w:val="auto"/>
          <w:lang w:eastAsia="zh-CN"/>
        </w:rPr>
        <w:t>淹溺</w:t>
      </w:r>
      <w:bookmarkEnd w:id="343"/>
      <w:bookmarkEnd w:id="344"/>
      <w:bookmarkEnd w:id="345"/>
      <w:bookmarkEnd w:id="346"/>
      <w:bookmarkEnd w:id="347"/>
      <w:bookmarkEnd w:id="348"/>
      <w:bookmarkEnd w:id="349"/>
      <w:bookmarkEnd w:id="350"/>
    </w:p>
    <w:p w14:paraId="37A022E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hAnsi="宋体"/>
          <w:sz w:val="28"/>
          <w:szCs w:val="28"/>
        </w:rPr>
      </w:pPr>
      <w:r>
        <w:rPr>
          <w:rFonts w:hAnsi="宋体"/>
          <w:sz w:val="28"/>
          <w:szCs w:val="28"/>
        </w:rPr>
        <w:t>操作人员在作业时，不慎坠入</w:t>
      </w:r>
      <w:r>
        <w:rPr>
          <w:rFonts w:hint="eastAsia" w:hAnsi="宋体"/>
          <w:sz w:val="28"/>
          <w:szCs w:val="28"/>
        </w:rPr>
        <w:t>污</w:t>
      </w:r>
      <w:r>
        <w:rPr>
          <w:rFonts w:hAnsi="宋体"/>
          <w:sz w:val="28"/>
          <w:szCs w:val="28"/>
        </w:rPr>
        <w:t>水池</w:t>
      </w:r>
      <w:r>
        <w:rPr>
          <w:rFonts w:hint="eastAsia" w:hAnsi="宋体"/>
          <w:sz w:val="28"/>
          <w:szCs w:val="28"/>
        </w:rPr>
        <w:t>、雨水池或库内积水区</w:t>
      </w:r>
      <w:r>
        <w:rPr>
          <w:rFonts w:hAnsi="宋体"/>
          <w:sz w:val="28"/>
          <w:szCs w:val="28"/>
        </w:rPr>
        <w:t>中，将造成人员淹溺。</w:t>
      </w:r>
    </w:p>
    <w:p w14:paraId="75A126D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eastAsia="zh-CN"/>
        </w:rPr>
      </w:pPr>
      <w:r>
        <w:rPr>
          <w:rFonts w:hint="eastAsia"/>
          <w:color w:val="auto"/>
          <w:lang w:eastAsia="zh-CN"/>
        </w:rPr>
        <w:t>经现场检查，</w:t>
      </w:r>
      <w:r>
        <w:rPr>
          <w:rFonts w:hint="eastAsia"/>
          <w:color w:val="auto"/>
          <w:lang w:val="en-US" w:eastAsia="zh-CN"/>
        </w:rPr>
        <w:t>三</w:t>
      </w:r>
      <w:r>
        <w:rPr>
          <w:rFonts w:hint="eastAsia" w:hAnsi="宋体"/>
          <w:sz w:val="28"/>
          <w:szCs w:val="28"/>
        </w:rPr>
        <w:t>号（氰化渣）尾矿库</w:t>
      </w:r>
      <w:r>
        <w:rPr>
          <w:rFonts w:hint="eastAsia"/>
          <w:color w:val="auto"/>
          <w:lang w:eastAsia="zh-CN"/>
        </w:rPr>
        <w:t>污水池、雨水池、积水区树立了安全警示牌，造成淹溺的可能性相当小。</w:t>
      </w:r>
    </w:p>
    <w:p w14:paraId="4D5BB716">
      <w:pPr>
        <w:pStyle w:val="4"/>
        <w:bidi w:val="0"/>
        <w:rPr>
          <w:rFonts w:hint="eastAsia"/>
          <w:color w:val="auto"/>
          <w:lang w:eastAsia="zh-CN"/>
        </w:rPr>
      </w:pPr>
      <w:bookmarkStart w:id="351" w:name="_Toc30427"/>
      <w:bookmarkStart w:id="352" w:name="_Toc10329"/>
      <w:bookmarkStart w:id="353" w:name="_Toc2713"/>
      <w:bookmarkStart w:id="354" w:name="_Toc8808"/>
      <w:bookmarkStart w:id="355" w:name="_Toc20007"/>
      <w:bookmarkStart w:id="356" w:name="_Toc29136"/>
      <w:bookmarkStart w:id="357" w:name="_Toc16476"/>
      <w:bookmarkStart w:id="358" w:name="_Toc30493"/>
      <w:r>
        <w:rPr>
          <w:rFonts w:hint="eastAsia"/>
          <w:color w:val="auto"/>
          <w:lang w:eastAsia="zh-CN"/>
        </w:rPr>
        <w:t>3.2.8</w:t>
      </w:r>
      <w:r>
        <w:rPr>
          <w:rFonts w:hint="eastAsia"/>
          <w:color w:val="auto"/>
          <w:lang w:val="en-US" w:eastAsia="zh-CN"/>
        </w:rPr>
        <w:t xml:space="preserve"> </w:t>
      </w:r>
      <w:r>
        <w:rPr>
          <w:rFonts w:hint="eastAsia"/>
          <w:color w:val="auto"/>
          <w:lang w:eastAsia="zh-CN"/>
        </w:rPr>
        <w:t>高处坠落</w:t>
      </w:r>
      <w:bookmarkEnd w:id="351"/>
      <w:bookmarkEnd w:id="352"/>
      <w:bookmarkEnd w:id="353"/>
      <w:bookmarkEnd w:id="354"/>
      <w:bookmarkEnd w:id="355"/>
      <w:bookmarkEnd w:id="356"/>
      <w:bookmarkEnd w:id="357"/>
      <w:bookmarkEnd w:id="358"/>
    </w:p>
    <w:p w14:paraId="6EB89685">
      <w:pPr>
        <w:rPr>
          <w:rFonts w:hint="eastAsia"/>
          <w:color w:val="auto"/>
          <w:lang w:eastAsia="zh-CN"/>
        </w:rPr>
      </w:pPr>
      <w:r>
        <w:rPr>
          <w:rFonts w:hint="eastAsia" w:eastAsia="宋体"/>
          <w:color w:val="auto"/>
          <w:lang w:eastAsia="zh-CN"/>
        </w:rPr>
        <w:t>高处坠落是指在2m以上的高处进行作业过程中发生坠落造成的伤亡事故。本项目主要是指在库区陡峭地段（如出</w:t>
      </w:r>
      <w:r>
        <w:rPr>
          <w:rFonts w:hint="eastAsia"/>
          <w:color w:val="auto"/>
          <w:lang w:val="en-US" w:eastAsia="zh-CN"/>
        </w:rPr>
        <w:t>排水斜槽</w:t>
      </w:r>
      <w:r>
        <w:rPr>
          <w:rFonts w:hint="eastAsia" w:eastAsia="宋体"/>
          <w:color w:val="auto"/>
          <w:lang w:eastAsia="zh-CN"/>
        </w:rPr>
        <w:t>的检查）巡查时，思想麻痹、身体、精神状态不良等意外发生高处坠落事故。</w:t>
      </w:r>
    </w:p>
    <w:p w14:paraId="46C8DCF5">
      <w:pPr>
        <w:pStyle w:val="4"/>
        <w:bidi w:val="0"/>
        <w:rPr>
          <w:rFonts w:hint="eastAsia"/>
          <w:color w:val="auto"/>
          <w:lang w:eastAsia="zh-CN"/>
        </w:rPr>
      </w:pPr>
      <w:bookmarkStart w:id="359" w:name="_Toc15721"/>
      <w:bookmarkStart w:id="360" w:name="_Toc11288"/>
      <w:bookmarkStart w:id="361" w:name="_Toc10291"/>
      <w:bookmarkStart w:id="362" w:name="_Toc16086"/>
      <w:bookmarkStart w:id="363" w:name="_Toc22054"/>
      <w:bookmarkStart w:id="364" w:name="_Toc6233"/>
      <w:bookmarkStart w:id="365" w:name="_Toc3554"/>
      <w:r>
        <w:rPr>
          <w:rFonts w:hint="eastAsia"/>
          <w:color w:val="auto"/>
          <w:lang w:eastAsia="zh-CN"/>
        </w:rPr>
        <w:t>3.2.9</w:t>
      </w:r>
      <w:r>
        <w:rPr>
          <w:rFonts w:hint="eastAsia"/>
          <w:color w:val="auto"/>
          <w:lang w:val="en-US" w:eastAsia="zh-CN"/>
        </w:rPr>
        <w:t xml:space="preserve"> </w:t>
      </w:r>
      <w:r>
        <w:rPr>
          <w:rFonts w:hint="eastAsia"/>
          <w:color w:val="auto"/>
          <w:lang w:eastAsia="zh-CN"/>
        </w:rPr>
        <w:t>库区山体滑坡、塌方和泥石流</w:t>
      </w:r>
      <w:bookmarkEnd w:id="359"/>
      <w:bookmarkEnd w:id="360"/>
      <w:bookmarkEnd w:id="361"/>
      <w:bookmarkEnd w:id="362"/>
      <w:bookmarkEnd w:id="363"/>
      <w:bookmarkEnd w:id="364"/>
      <w:bookmarkEnd w:id="365"/>
    </w:p>
    <w:p w14:paraId="332C5E38">
      <w:pPr>
        <w:rPr>
          <w:rFonts w:hint="eastAsia"/>
          <w:color w:val="auto"/>
          <w:lang w:eastAsia="zh-CN"/>
        </w:rPr>
      </w:pPr>
      <w:r>
        <w:rPr>
          <w:rFonts w:hint="eastAsia"/>
          <w:color w:val="auto"/>
          <w:lang w:eastAsia="zh-CN"/>
        </w:rPr>
        <w:t>尾矿库库区山体滑坡、塌方和泥石流会阻塞库内排洪系统造成洪水漫顶，对尾矿库的安全产生不利影响。</w:t>
      </w:r>
    </w:p>
    <w:p w14:paraId="049DA27C">
      <w:pPr>
        <w:rPr>
          <w:rFonts w:hint="eastAsia"/>
          <w:color w:val="auto"/>
          <w:lang w:eastAsia="zh-CN"/>
        </w:rPr>
      </w:pPr>
      <w:r>
        <w:rPr>
          <w:rFonts w:hint="eastAsia"/>
          <w:color w:val="auto"/>
          <w:lang w:eastAsia="zh-CN"/>
        </w:rPr>
        <w:t>经现场检查，</w:t>
      </w:r>
      <w:r>
        <w:rPr>
          <w:rFonts w:hint="eastAsia"/>
          <w:color w:val="auto"/>
          <w:lang w:val="en-US" w:eastAsia="zh-CN"/>
        </w:rPr>
        <w:t>三</w:t>
      </w:r>
      <w:r>
        <w:rPr>
          <w:rFonts w:hint="eastAsia" w:hAnsi="宋体"/>
          <w:sz w:val="28"/>
          <w:szCs w:val="28"/>
        </w:rPr>
        <w:t>号（氰化渣）尾矿库</w:t>
      </w:r>
      <w:r>
        <w:rPr>
          <w:rFonts w:hint="eastAsia"/>
          <w:color w:val="auto"/>
          <w:lang w:eastAsia="zh-CN"/>
        </w:rPr>
        <w:t>库区不存在滑坡、泥石流等不良地质作用，周边山体植被茂密，无库区山体滑坡、塌方和泥石流危害。</w:t>
      </w:r>
    </w:p>
    <w:p w14:paraId="41A704A4">
      <w:pPr>
        <w:pStyle w:val="4"/>
        <w:bidi w:val="0"/>
        <w:rPr>
          <w:rFonts w:hint="eastAsia"/>
          <w:color w:val="auto"/>
          <w:lang w:eastAsia="zh-CN"/>
        </w:rPr>
      </w:pPr>
      <w:bookmarkStart w:id="366" w:name="_Toc29353"/>
      <w:bookmarkStart w:id="367" w:name="_Toc227"/>
      <w:bookmarkStart w:id="368" w:name="_Toc1399"/>
      <w:bookmarkStart w:id="369" w:name="_Toc5951"/>
      <w:bookmarkStart w:id="370" w:name="_Toc26047"/>
      <w:bookmarkStart w:id="371" w:name="_Toc394"/>
      <w:bookmarkStart w:id="372" w:name="_Toc9632"/>
      <w:r>
        <w:rPr>
          <w:rFonts w:hint="eastAsia"/>
          <w:color w:val="auto"/>
          <w:lang w:eastAsia="zh-CN"/>
        </w:rPr>
        <w:t>3.2.10</w:t>
      </w:r>
      <w:r>
        <w:rPr>
          <w:rFonts w:hint="eastAsia"/>
          <w:color w:val="auto"/>
          <w:lang w:val="en-US" w:eastAsia="zh-CN"/>
        </w:rPr>
        <w:t xml:space="preserve"> </w:t>
      </w:r>
      <w:r>
        <w:rPr>
          <w:rFonts w:hint="eastAsia"/>
          <w:color w:val="auto"/>
          <w:lang w:eastAsia="zh-CN"/>
        </w:rPr>
        <w:t>不良环境因素</w:t>
      </w:r>
      <w:bookmarkEnd w:id="366"/>
      <w:bookmarkEnd w:id="367"/>
      <w:bookmarkEnd w:id="368"/>
      <w:bookmarkEnd w:id="369"/>
      <w:bookmarkEnd w:id="370"/>
      <w:bookmarkEnd w:id="371"/>
      <w:bookmarkEnd w:id="372"/>
    </w:p>
    <w:p w14:paraId="1E8DBA49">
      <w:pPr>
        <w:rPr>
          <w:rFonts w:hint="eastAsia" w:eastAsia="宋体"/>
          <w:color w:val="auto"/>
          <w:lang w:eastAsia="zh-CN"/>
        </w:rPr>
      </w:pPr>
      <w:r>
        <w:rPr>
          <w:rFonts w:hint="eastAsia" w:eastAsia="宋体"/>
          <w:color w:val="auto"/>
          <w:lang w:eastAsia="zh-CN"/>
        </w:rPr>
        <w:t>主要指恶劣自然条件下的不安全因素，如超设计频率暴雨洪水、库区地震、库区山体滑坡等因素。</w:t>
      </w:r>
    </w:p>
    <w:p w14:paraId="1D1E24D9">
      <w:pPr>
        <w:pStyle w:val="4"/>
        <w:bidi w:val="0"/>
        <w:rPr>
          <w:rFonts w:hint="eastAsia"/>
          <w:color w:val="auto"/>
          <w:lang w:eastAsia="zh-CN"/>
        </w:rPr>
      </w:pPr>
      <w:bookmarkStart w:id="373" w:name="_Toc7516"/>
      <w:bookmarkStart w:id="374" w:name="_Toc5960"/>
      <w:bookmarkStart w:id="375" w:name="_Toc5079"/>
      <w:bookmarkStart w:id="376" w:name="_Toc13227"/>
      <w:bookmarkStart w:id="377" w:name="_Toc25431"/>
      <w:r>
        <w:rPr>
          <w:rFonts w:hint="eastAsia"/>
          <w:color w:val="auto"/>
          <w:lang w:eastAsia="zh-CN"/>
        </w:rPr>
        <w:t>3.2.11</w:t>
      </w:r>
      <w:r>
        <w:rPr>
          <w:rFonts w:hint="eastAsia"/>
          <w:color w:val="auto"/>
          <w:lang w:val="en-US" w:eastAsia="zh-CN"/>
        </w:rPr>
        <w:t xml:space="preserve"> </w:t>
      </w:r>
      <w:r>
        <w:rPr>
          <w:rFonts w:hint="eastAsia"/>
          <w:color w:val="auto"/>
          <w:lang w:eastAsia="zh-CN"/>
        </w:rPr>
        <w:t>其他因素造成的病害</w:t>
      </w:r>
      <w:bookmarkEnd w:id="373"/>
      <w:bookmarkEnd w:id="374"/>
      <w:bookmarkEnd w:id="375"/>
      <w:bookmarkEnd w:id="376"/>
      <w:bookmarkEnd w:id="377"/>
    </w:p>
    <w:p w14:paraId="2656885B">
      <w:pPr>
        <w:rPr>
          <w:rFonts w:hint="eastAsia" w:eastAsia="宋体"/>
          <w:color w:val="auto"/>
          <w:lang w:eastAsia="zh-CN"/>
        </w:rPr>
      </w:pPr>
      <w:r>
        <w:rPr>
          <w:rFonts w:hint="eastAsia" w:eastAsia="宋体"/>
          <w:color w:val="auto"/>
          <w:lang w:eastAsia="zh-CN"/>
        </w:rPr>
        <w:t>一、车辆伤害</w:t>
      </w:r>
    </w:p>
    <w:p w14:paraId="71BD4C8C">
      <w:pPr>
        <w:rPr>
          <w:rFonts w:hint="eastAsia" w:eastAsia="宋体"/>
          <w:color w:val="auto"/>
          <w:lang w:eastAsia="zh-CN"/>
        </w:rPr>
      </w:pPr>
      <w:r>
        <w:rPr>
          <w:rFonts w:hint="eastAsia" w:eastAsia="宋体"/>
          <w:color w:val="auto"/>
          <w:lang w:eastAsia="zh-CN"/>
        </w:rPr>
        <w:t>检查人员检查</w:t>
      </w:r>
      <w:r>
        <w:rPr>
          <w:rFonts w:hint="eastAsia"/>
          <w:color w:val="auto"/>
          <w:lang w:val="en-US" w:eastAsia="zh-CN"/>
        </w:rPr>
        <w:t>三</w:t>
      </w:r>
      <w:r>
        <w:rPr>
          <w:rFonts w:hint="eastAsia" w:hAnsi="宋体"/>
          <w:sz w:val="28"/>
          <w:szCs w:val="28"/>
        </w:rPr>
        <w:t>号（氰化渣）尾矿库</w:t>
      </w:r>
      <w:r>
        <w:rPr>
          <w:rFonts w:hint="eastAsia" w:eastAsia="宋体"/>
          <w:color w:val="auto"/>
          <w:lang w:eastAsia="zh-CN"/>
        </w:rPr>
        <w:t>时，有时乘坐汽车出入，虽然只是在库区</w:t>
      </w:r>
      <w:r>
        <w:rPr>
          <w:rFonts w:hint="eastAsia"/>
          <w:color w:val="auto"/>
          <w:lang w:val="en-US" w:eastAsia="zh-CN"/>
        </w:rPr>
        <w:t>外</w:t>
      </w:r>
      <w:r>
        <w:rPr>
          <w:rFonts w:hint="eastAsia" w:eastAsia="宋体"/>
          <w:color w:val="auto"/>
          <w:lang w:eastAsia="zh-CN"/>
        </w:rPr>
        <w:t>进行行驶，但如果对安全驾驶和行车安全的重要性认识不足，</w:t>
      </w:r>
      <w:r>
        <w:rPr>
          <w:rFonts w:hint="eastAsia"/>
          <w:color w:val="auto"/>
          <w:lang w:val="en-US" w:eastAsia="zh-CN"/>
        </w:rPr>
        <w:t>同时库内运输车辆运输尾矿、推土机摊铺尾矿时</w:t>
      </w:r>
      <w:r>
        <w:rPr>
          <w:rFonts w:hint="eastAsia" w:eastAsia="宋体"/>
          <w:color w:val="auto"/>
          <w:lang w:eastAsia="zh-CN"/>
        </w:rPr>
        <w:t>思想麻痹、违章驾驶、管理不善和车辆带病运行等</w:t>
      </w:r>
      <w:r>
        <w:rPr>
          <w:rFonts w:hint="eastAsia"/>
          <w:color w:val="auto"/>
          <w:lang w:eastAsia="zh-CN"/>
        </w:rPr>
        <w:t>，</w:t>
      </w:r>
      <w:r>
        <w:rPr>
          <w:rFonts w:hint="eastAsia"/>
          <w:color w:val="auto"/>
          <w:lang w:val="en-US" w:eastAsia="zh-CN"/>
        </w:rPr>
        <w:t>都</w:t>
      </w:r>
      <w:r>
        <w:rPr>
          <w:rFonts w:hint="eastAsia" w:eastAsia="宋体"/>
          <w:color w:val="auto"/>
          <w:lang w:eastAsia="zh-CN"/>
        </w:rPr>
        <w:t>会造成车辆伤害事故。</w:t>
      </w:r>
    </w:p>
    <w:p w14:paraId="622D8D51">
      <w:pPr>
        <w:rPr>
          <w:rFonts w:hint="eastAsia" w:eastAsia="宋体"/>
          <w:color w:val="auto"/>
          <w:lang w:eastAsia="zh-CN"/>
        </w:rPr>
      </w:pPr>
      <w:r>
        <w:rPr>
          <w:rFonts w:hint="eastAsia" w:eastAsia="宋体"/>
          <w:color w:val="auto"/>
          <w:lang w:eastAsia="zh-CN"/>
        </w:rPr>
        <w:t>车辆伤害主要有：有碰撞、刮擦、翻车、坠车、失火和搬运、装卸中坠落及物体打击等。</w:t>
      </w:r>
    </w:p>
    <w:p w14:paraId="0AC4EF8F">
      <w:pPr>
        <w:rPr>
          <w:rFonts w:hint="eastAsia" w:eastAsia="宋体"/>
          <w:color w:val="auto"/>
          <w:lang w:eastAsia="zh-CN"/>
        </w:rPr>
      </w:pPr>
      <w:r>
        <w:rPr>
          <w:rFonts w:hint="eastAsia" w:eastAsia="宋体"/>
          <w:color w:val="auto"/>
          <w:lang w:eastAsia="zh-CN"/>
        </w:rPr>
        <w:t>车辆伤害事故的主要原因：</w:t>
      </w:r>
    </w:p>
    <w:p w14:paraId="426D8311">
      <w:pPr>
        <w:rPr>
          <w:rFonts w:hint="eastAsia" w:eastAsia="宋体"/>
          <w:color w:val="auto"/>
          <w:lang w:eastAsia="zh-CN"/>
        </w:rPr>
      </w:pPr>
      <w:r>
        <w:rPr>
          <w:rFonts w:hint="eastAsia" w:eastAsia="宋体"/>
          <w:color w:val="auto"/>
          <w:lang w:eastAsia="zh-CN"/>
        </w:rPr>
        <w:t>1. 违章驾车、疏忽大意，如超速、超载等；</w:t>
      </w:r>
    </w:p>
    <w:p w14:paraId="38EADEDB">
      <w:pPr>
        <w:rPr>
          <w:rFonts w:hint="eastAsia" w:eastAsia="宋体"/>
          <w:color w:val="auto"/>
          <w:lang w:eastAsia="zh-CN"/>
        </w:rPr>
      </w:pPr>
      <w:r>
        <w:rPr>
          <w:rFonts w:hint="eastAsia" w:eastAsia="宋体"/>
          <w:color w:val="auto"/>
          <w:lang w:eastAsia="zh-CN"/>
        </w:rPr>
        <w:t>2. 驾驶员疲劳作业、酒后驾驶或开“英雄车”、“斗气车”；</w:t>
      </w:r>
    </w:p>
    <w:p w14:paraId="7BA884E3">
      <w:pPr>
        <w:rPr>
          <w:rFonts w:hint="eastAsia" w:eastAsia="宋体"/>
          <w:color w:val="auto"/>
          <w:lang w:eastAsia="zh-CN"/>
        </w:rPr>
      </w:pPr>
      <w:r>
        <w:rPr>
          <w:rFonts w:hint="eastAsia" w:eastAsia="宋体"/>
          <w:color w:val="auto"/>
          <w:lang w:eastAsia="zh-CN"/>
        </w:rPr>
        <w:t>3. 车况欠佳（照明、刹车、喇叭、离合等不良）、运输车辆带“病”行驶、会车安全距离不足；</w:t>
      </w:r>
    </w:p>
    <w:p w14:paraId="23671E49">
      <w:pPr>
        <w:rPr>
          <w:rFonts w:hint="eastAsia" w:eastAsia="宋体"/>
          <w:color w:val="auto"/>
          <w:lang w:eastAsia="zh-CN"/>
        </w:rPr>
      </w:pPr>
      <w:r>
        <w:rPr>
          <w:rFonts w:hint="eastAsia" w:eastAsia="宋体"/>
          <w:color w:val="auto"/>
          <w:lang w:eastAsia="zh-CN"/>
        </w:rPr>
        <w:t>4. 道路条件差（路面不平整、陡坡、弯急、安全标识不清或无安全标识、车道与人行道不分）；</w:t>
      </w:r>
    </w:p>
    <w:p w14:paraId="142F20EB">
      <w:pPr>
        <w:rPr>
          <w:rFonts w:hint="eastAsia" w:eastAsia="宋体"/>
          <w:color w:val="auto"/>
          <w:lang w:eastAsia="zh-CN"/>
        </w:rPr>
      </w:pPr>
      <w:r>
        <w:rPr>
          <w:rFonts w:hint="eastAsia" w:eastAsia="宋体"/>
          <w:color w:val="auto"/>
          <w:lang w:eastAsia="zh-CN"/>
        </w:rPr>
        <w:t>5. 环境恶劣，如大风、暴雨、冰雪、冰冻、黄昏等天气；</w:t>
      </w:r>
    </w:p>
    <w:p w14:paraId="67AC2E35">
      <w:pPr>
        <w:rPr>
          <w:rFonts w:hint="eastAsia" w:eastAsia="宋体"/>
          <w:color w:val="auto"/>
          <w:lang w:eastAsia="zh-CN"/>
        </w:rPr>
      </w:pPr>
      <w:r>
        <w:rPr>
          <w:rFonts w:hint="eastAsia" w:eastAsia="宋体"/>
          <w:color w:val="auto"/>
          <w:lang w:eastAsia="zh-CN"/>
        </w:rPr>
        <w:t>6. 运输管理制度不健全；</w:t>
      </w:r>
    </w:p>
    <w:p w14:paraId="2B1C604A">
      <w:pPr>
        <w:rPr>
          <w:rFonts w:hint="eastAsia" w:eastAsia="宋体"/>
          <w:color w:val="auto"/>
          <w:lang w:eastAsia="zh-CN"/>
        </w:rPr>
      </w:pPr>
      <w:r>
        <w:rPr>
          <w:rFonts w:hint="eastAsia" w:eastAsia="宋体"/>
          <w:color w:val="auto"/>
          <w:lang w:eastAsia="zh-CN"/>
        </w:rPr>
        <w:t>7. 行人不走人行道，安全意识淡薄或精力不集中，躲避不及时或与车辆抢道等。</w:t>
      </w:r>
    </w:p>
    <w:p w14:paraId="2B02966E">
      <w:pPr>
        <w:rPr>
          <w:rFonts w:hint="eastAsia" w:eastAsia="宋体"/>
          <w:color w:val="auto"/>
          <w:lang w:eastAsia="zh-CN"/>
        </w:rPr>
      </w:pPr>
      <w:r>
        <w:rPr>
          <w:rFonts w:hint="eastAsia" w:eastAsia="宋体"/>
          <w:color w:val="auto"/>
          <w:lang w:eastAsia="zh-CN"/>
        </w:rPr>
        <w:t>车辆伤害存在的场所：出入库道路。</w:t>
      </w:r>
    </w:p>
    <w:p w14:paraId="5331F064">
      <w:pPr>
        <w:rPr>
          <w:rFonts w:hint="eastAsia" w:eastAsia="宋体"/>
          <w:color w:val="auto"/>
          <w:lang w:eastAsia="zh-CN"/>
        </w:rPr>
      </w:pPr>
      <w:r>
        <w:rPr>
          <w:rFonts w:hint="eastAsia" w:eastAsia="宋体"/>
          <w:color w:val="auto"/>
          <w:lang w:eastAsia="zh-CN"/>
        </w:rPr>
        <w:t>二、触电（雷电）</w:t>
      </w:r>
    </w:p>
    <w:p w14:paraId="4B99BAA4">
      <w:pPr>
        <w:rPr>
          <w:rFonts w:hint="eastAsia" w:eastAsia="宋体"/>
          <w:color w:val="auto"/>
          <w:lang w:eastAsia="zh-CN"/>
        </w:rPr>
      </w:pPr>
      <w:r>
        <w:rPr>
          <w:rFonts w:hint="eastAsia"/>
          <w:color w:val="auto"/>
          <w:lang w:val="en-US" w:eastAsia="zh-CN"/>
        </w:rPr>
        <w:t>三</w:t>
      </w:r>
      <w:r>
        <w:rPr>
          <w:rFonts w:hint="eastAsia" w:hAnsi="宋体"/>
          <w:sz w:val="28"/>
          <w:szCs w:val="28"/>
        </w:rPr>
        <w:t>号（氰化渣）尾矿库</w:t>
      </w:r>
      <w:r>
        <w:rPr>
          <w:rFonts w:hint="eastAsia" w:eastAsia="宋体"/>
          <w:color w:val="auto"/>
          <w:lang w:eastAsia="zh-CN"/>
        </w:rPr>
        <w:t>架设有照明供电线路以及开关柜，存在着触电危害，而且库区地处山区，易遭受雷电危害。</w:t>
      </w:r>
    </w:p>
    <w:p w14:paraId="3D27A046">
      <w:pPr>
        <w:rPr>
          <w:rFonts w:hint="eastAsia" w:eastAsia="宋体"/>
          <w:color w:val="auto"/>
          <w:lang w:eastAsia="zh-CN"/>
        </w:rPr>
      </w:pPr>
      <w:r>
        <w:rPr>
          <w:rFonts w:hint="eastAsia" w:eastAsia="宋体"/>
          <w:color w:val="auto"/>
          <w:lang w:eastAsia="zh-CN"/>
        </w:rPr>
        <w:t>触电危害的主要原因：</w:t>
      </w:r>
    </w:p>
    <w:p w14:paraId="0921BB0F">
      <w:pPr>
        <w:rPr>
          <w:rFonts w:hint="eastAsia" w:eastAsia="宋体"/>
          <w:color w:val="auto"/>
          <w:lang w:eastAsia="zh-CN"/>
        </w:rPr>
      </w:pPr>
      <w:r>
        <w:rPr>
          <w:rFonts w:hint="eastAsia" w:eastAsia="宋体"/>
          <w:color w:val="auto"/>
          <w:lang w:eastAsia="zh-CN"/>
        </w:rPr>
        <w:t>1. 电器设备、线路在设计、安装上存在缺陷，或在运行中缺乏必要的检修维护，造成漏电、短路、接头松脱、绝缘失效等；</w:t>
      </w:r>
    </w:p>
    <w:p w14:paraId="72FBA4BE">
      <w:pPr>
        <w:rPr>
          <w:rFonts w:hint="eastAsia" w:eastAsia="宋体"/>
          <w:color w:val="auto"/>
          <w:lang w:eastAsia="zh-CN"/>
        </w:rPr>
      </w:pPr>
      <w:r>
        <w:rPr>
          <w:rFonts w:hint="eastAsia" w:eastAsia="宋体"/>
          <w:color w:val="auto"/>
          <w:lang w:eastAsia="zh-CN"/>
        </w:rPr>
        <w:t>2. 没有必要的安全技术措施（如漏电保护等）或安全技术措施失效；</w:t>
      </w:r>
    </w:p>
    <w:p w14:paraId="21B0C63E">
      <w:pPr>
        <w:rPr>
          <w:rFonts w:hint="eastAsia" w:eastAsia="宋体"/>
          <w:color w:val="auto"/>
          <w:lang w:eastAsia="zh-CN"/>
        </w:rPr>
      </w:pPr>
      <w:r>
        <w:rPr>
          <w:rFonts w:hint="eastAsia" w:eastAsia="宋体"/>
          <w:color w:val="auto"/>
          <w:lang w:eastAsia="zh-CN"/>
        </w:rPr>
        <w:t>3. 雷雨时期，需要巡库，可能发生雷击伤害事故；</w:t>
      </w:r>
    </w:p>
    <w:p w14:paraId="78251F97">
      <w:pPr>
        <w:rPr>
          <w:rFonts w:hint="eastAsia" w:eastAsia="宋体"/>
          <w:color w:val="auto"/>
          <w:lang w:eastAsia="zh-CN"/>
        </w:rPr>
      </w:pPr>
      <w:r>
        <w:rPr>
          <w:rFonts w:hint="eastAsia" w:eastAsia="宋体"/>
          <w:color w:val="auto"/>
          <w:lang w:eastAsia="zh-CN"/>
        </w:rPr>
        <w:t>4. 运行管理不当，管理制度不完善，组织措施不健全；</w:t>
      </w:r>
    </w:p>
    <w:p w14:paraId="3BA31DB5">
      <w:pPr>
        <w:rPr>
          <w:rFonts w:hint="eastAsia" w:eastAsia="宋体"/>
          <w:color w:val="auto"/>
          <w:lang w:eastAsia="zh-CN"/>
        </w:rPr>
      </w:pPr>
      <w:r>
        <w:rPr>
          <w:rFonts w:hint="eastAsia" w:eastAsia="宋体"/>
          <w:color w:val="auto"/>
          <w:lang w:eastAsia="zh-CN"/>
        </w:rPr>
        <w:t>5. 操作失误，或违章作业等。</w:t>
      </w:r>
    </w:p>
    <w:p w14:paraId="4723D6BD">
      <w:pPr>
        <w:rPr>
          <w:rFonts w:hint="eastAsia" w:eastAsia="宋体"/>
          <w:color w:val="auto"/>
          <w:lang w:eastAsia="zh-CN"/>
        </w:rPr>
      </w:pPr>
      <w:r>
        <w:rPr>
          <w:rFonts w:hint="eastAsia" w:eastAsia="宋体"/>
          <w:color w:val="auto"/>
          <w:lang w:eastAsia="zh-CN"/>
        </w:rPr>
        <w:t>危害后果：</w:t>
      </w:r>
    </w:p>
    <w:p w14:paraId="698B5679">
      <w:pPr>
        <w:rPr>
          <w:rFonts w:hint="eastAsia" w:eastAsia="宋体"/>
          <w:color w:val="auto"/>
          <w:lang w:eastAsia="zh-CN"/>
        </w:rPr>
      </w:pPr>
      <w:r>
        <w:rPr>
          <w:rFonts w:hint="eastAsia" w:eastAsia="宋体"/>
          <w:color w:val="auto"/>
          <w:lang w:eastAsia="zh-CN"/>
        </w:rPr>
        <w:t>触电伤害是由电流的能量造成的，当电流流过人体时，人体受到局部电能作用，使人体内细胞的正常工作受到不同程度的破坏。会引起压迫感、打击感、痉挛、疼痛、呼吸困难、血压异常、昏迷、烧伤、严重的会引起窒息、心室颤动导致死亡。</w:t>
      </w:r>
    </w:p>
    <w:p w14:paraId="5BBFCF1E">
      <w:pPr>
        <w:rPr>
          <w:rFonts w:hint="eastAsia" w:eastAsia="宋体"/>
          <w:color w:val="auto"/>
          <w:lang w:eastAsia="zh-CN"/>
        </w:rPr>
      </w:pPr>
      <w:r>
        <w:rPr>
          <w:rFonts w:hint="eastAsia" w:eastAsia="宋体"/>
          <w:color w:val="auto"/>
          <w:lang w:eastAsia="zh-CN"/>
        </w:rPr>
        <w:t>三、动植物危害</w:t>
      </w:r>
    </w:p>
    <w:p w14:paraId="1817D264">
      <w:pPr>
        <w:rPr>
          <w:rFonts w:hint="eastAsia" w:eastAsia="宋体"/>
          <w:color w:val="auto"/>
          <w:lang w:eastAsia="zh-CN"/>
        </w:rPr>
      </w:pPr>
      <w:r>
        <w:rPr>
          <w:rFonts w:hint="eastAsia"/>
          <w:color w:val="auto"/>
          <w:lang w:val="en-US" w:eastAsia="zh-CN"/>
        </w:rPr>
        <w:t>三</w:t>
      </w:r>
      <w:r>
        <w:rPr>
          <w:rFonts w:hint="eastAsia" w:hAnsi="宋体"/>
          <w:sz w:val="28"/>
          <w:szCs w:val="28"/>
        </w:rPr>
        <w:t>号（氰化渣）尾矿库</w:t>
      </w:r>
      <w:r>
        <w:rPr>
          <w:rFonts w:hint="eastAsia" w:eastAsia="宋体"/>
          <w:color w:val="auto"/>
          <w:lang w:eastAsia="zh-CN"/>
        </w:rPr>
        <w:t>地处山区，可能有蛇、虫、土蜂以及荆棘等，人员巡库过程中，容易诱发蛇、虫、土蜂及荆棘意外咬、刺伤。</w:t>
      </w:r>
    </w:p>
    <w:p w14:paraId="43A6FB45">
      <w:pPr>
        <w:pStyle w:val="3"/>
        <w:bidi w:val="0"/>
        <w:rPr>
          <w:rFonts w:hint="eastAsia"/>
          <w:color w:val="auto"/>
          <w:lang w:eastAsia="zh-CN"/>
        </w:rPr>
      </w:pPr>
      <w:bookmarkStart w:id="378" w:name="_Toc13267"/>
      <w:bookmarkStart w:id="379" w:name="_Toc6155"/>
      <w:bookmarkStart w:id="380" w:name="_Toc4157"/>
      <w:bookmarkStart w:id="381" w:name="_Toc15424"/>
      <w:bookmarkStart w:id="382" w:name="_Toc16275"/>
      <w:bookmarkStart w:id="383" w:name="_Toc5697"/>
      <w:bookmarkStart w:id="384" w:name="_Toc5036"/>
      <w:r>
        <w:rPr>
          <w:rFonts w:hint="eastAsia"/>
          <w:color w:val="auto"/>
          <w:lang w:eastAsia="zh-CN"/>
        </w:rPr>
        <w:t>3.3</w:t>
      </w:r>
      <w:r>
        <w:rPr>
          <w:rFonts w:hint="eastAsia"/>
          <w:color w:val="auto"/>
          <w:lang w:val="en-US" w:eastAsia="zh-CN"/>
        </w:rPr>
        <w:t xml:space="preserve"> </w:t>
      </w:r>
      <w:r>
        <w:rPr>
          <w:rFonts w:hint="eastAsia"/>
          <w:color w:val="auto"/>
          <w:lang w:eastAsia="zh-CN"/>
        </w:rPr>
        <w:t>重大危险源辨识与重大生产安全事故隐患识别</w:t>
      </w:r>
      <w:bookmarkEnd w:id="378"/>
      <w:bookmarkEnd w:id="379"/>
      <w:bookmarkEnd w:id="380"/>
      <w:bookmarkEnd w:id="381"/>
      <w:bookmarkEnd w:id="382"/>
      <w:bookmarkEnd w:id="383"/>
      <w:bookmarkEnd w:id="384"/>
    </w:p>
    <w:p w14:paraId="1DE4362B">
      <w:pPr>
        <w:rPr>
          <w:rFonts w:hint="eastAsia"/>
          <w:color w:val="auto"/>
          <w:lang w:eastAsia="zh-CN"/>
        </w:rPr>
      </w:pPr>
      <w:r>
        <w:rPr>
          <w:rFonts w:hint="eastAsia" w:eastAsia="宋体"/>
          <w:color w:val="auto"/>
          <w:lang w:eastAsia="zh-CN"/>
        </w:rPr>
        <w:t>1. 重大危险源辨识</w:t>
      </w:r>
    </w:p>
    <w:p w14:paraId="148DD991">
      <w:pPr>
        <w:rPr>
          <w:rFonts w:hint="eastAsia"/>
          <w:color w:val="auto"/>
          <w:lang w:eastAsia="zh-CN"/>
        </w:rPr>
      </w:pPr>
      <w:r>
        <w:rPr>
          <w:rFonts w:hint="eastAsia" w:eastAsia="宋体"/>
          <w:color w:val="auto"/>
          <w:lang w:eastAsia="zh-CN"/>
        </w:rPr>
        <w:t>依据《国家安全监管总局关于宣布失效一批安全生产文件的通知》，《关于开展重大危险源监督管理工作的指导意见》现已失效作废，原国家安全监管总局和国家应急管理部未出台新的关于尾矿库重大危险源辨识的配套文件；依据《中华人民共和国安全生产法》，“重大危险源，是指长期地或者临时地生产、搬运、使用或者储存危险物品，且危险物品的数量等于或者超过临界量的单元（包括场所和设施）”，可知重大危险源主要针对的是危险物品，但</w:t>
      </w:r>
      <w:r>
        <w:rPr>
          <w:rFonts w:hint="eastAsia"/>
        </w:rPr>
        <w:t>江西三和金业有限公司</w:t>
      </w:r>
      <w:r>
        <w:rPr>
          <w:rFonts w:hint="eastAsia" w:eastAsia="宋体"/>
          <w:color w:val="auto"/>
          <w:lang w:eastAsia="zh-CN"/>
        </w:rPr>
        <w:t>排放的尾矿属于Ⅰ类一般工业固体废物，不在危险物品之列，尾矿库目前暂不属于重大危险源范畴。故</w:t>
      </w:r>
      <w:r>
        <w:rPr>
          <w:rFonts w:hint="eastAsia"/>
          <w:color w:val="auto"/>
          <w:lang w:val="en-US" w:eastAsia="zh-CN"/>
        </w:rPr>
        <w:t>三</w:t>
      </w:r>
      <w:r>
        <w:rPr>
          <w:rFonts w:hint="eastAsia" w:hAnsi="宋体"/>
          <w:sz w:val="28"/>
          <w:szCs w:val="28"/>
        </w:rPr>
        <w:t>号（氰化渣）尾矿库</w:t>
      </w:r>
      <w:r>
        <w:rPr>
          <w:rFonts w:hint="eastAsia" w:eastAsia="宋体"/>
          <w:color w:val="auto"/>
          <w:lang w:eastAsia="zh-CN"/>
        </w:rPr>
        <w:t>目前暂不属于重大危险源范畴。但尾矿库是矿山企业重要的危险源，是一个具有高势能的人造泥石流的危险源，一旦失事，将给下游造成严重损失。企业仍应登记建档、定期检测、评估、监控，并制定应急预案，告知从业人员和相关人员在紧急情况下应当采取的应急措施，并报应急部门备案。</w:t>
      </w:r>
    </w:p>
    <w:p w14:paraId="21E88654">
      <w:pPr>
        <w:numPr>
          <w:ilvl w:val="0"/>
          <w:numId w:val="0"/>
        </w:numPr>
        <w:ind w:left="0" w:leftChars="0" w:firstLine="560" w:firstLineChars="200"/>
        <w:rPr>
          <w:rFonts w:hint="eastAsia"/>
          <w:color w:val="auto"/>
          <w:lang w:eastAsia="zh-CN"/>
        </w:rPr>
      </w:pPr>
      <w:r>
        <w:rPr>
          <w:rFonts w:hint="eastAsia" w:ascii="Times New Roman" w:hAnsi="Times New Roman" w:eastAsia="宋体" w:cs="Times New Roman"/>
          <w:color w:val="auto"/>
          <w:kern w:val="2"/>
          <w:sz w:val="28"/>
          <w:szCs w:val="24"/>
          <w:lang w:val="en-US" w:eastAsia="zh-CN" w:bidi="ar-SA"/>
        </w:rPr>
        <w:t>2.</w:t>
      </w:r>
      <w:r>
        <w:rPr>
          <w:rFonts w:hint="eastAsia" w:cs="Times New Roman"/>
          <w:color w:val="auto"/>
          <w:kern w:val="2"/>
          <w:sz w:val="28"/>
          <w:szCs w:val="24"/>
          <w:lang w:val="en-US" w:eastAsia="zh-CN" w:bidi="ar-SA"/>
        </w:rPr>
        <w:t xml:space="preserve"> </w:t>
      </w:r>
      <w:r>
        <w:rPr>
          <w:rFonts w:hint="eastAsia" w:eastAsia="宋体"/>
          <w:color w:val="auto"/>
          <w:lang w:eastAsia="zh-CN"/>
        </w:rPr>
        <w:t>重大生产安全事故隐患识别</w:t>
      </w:r>
    </w:p>
    <w:p w14:paraId="517CA6AF">
      <w:pPr>
        <w:rPr>
          <w:rFonts w:hint="eastAsia" w:eastAsia="宋体"/>
          <w:color w:val="auto"/>
          <w:lang w:eastAsia="zh-CN"/>
        </w:rPr>
      </w:pPr>
      <w:r>
        <w:rPr>
          <w:rFonts w:hint="eastAsia" w:eastAsia="宋体"/>
          <w:color w:val="auto"/>
          <w:lang w:eastAsia="zh-CN"/>
        </w:rPr>
        <w:t>依据《国家矿山安全监察局关于印发</w:t>
      </w:r>
      <w:r>
        <w:rPr>
          <w:rFonts w:hint="eastAsia" w:ascii="宋体" w:hAnsi="宋体" w:eastAsia="宋体" w:cs="宋体"/>
          <w:color w:val="auto"/>
          <w:lang w:val="en-US" w:eastAsia="zh-CN"/>
        </w:rPr>
        <w:t>&lt;</w:t>
      </w:r>
      <w:r>
        <w:rPr>
          <w:rFonts w:hint="eastAsia" w:eastAsia="宋体"/>
          <w:color w:val="auto"/>
          <w:lang w:eastAsia="zh-CN"/>
        </w:rPr>
        <w:t>金属非金属矿山重大事故隐患判定标准</w:t>
      </w:r>
      <w:r>
        <w:rPr>
          <w:rFonts w:hint="eastAsia" w:ascii="宋体" w:hAnsi="宋体" w:eastAsia="宋体" w:cs="宋体"/>
          <w:color w:val="auto"/>
          <w:lang w:val="en-US" w:eastAsia="zh-CN"/>
        </w:rPr>
        <w:t>&gt;</w:t>
      </w:r>
      <w:r>
        <w:rPr>
          <w:rFonts w:hint="eastAsia" w:eastAsia="宋体"/>
          <w:color w:val="auto"/>
          <w:lang w:eastAsia="zh-CN"/>
        </w:rPr>
        <w:t>的通知》（矿安〔2022〕88号</w:t>
      </w:r>
      <w:r>
        <w:rPr>
          <w:rFonts w:hint="eastAsia"/>
          <w:color w:val="auto"/>
          <w:lang w:eastAsia="zh-CN"/>
        </w:rPr>
        <w:t>）</w:t>
      </w:r>
      <w:r>
        <w:rPr>
          <w:rFonts w:hint="eastAsia"/>
          <w:color w:val="auto"/>
          <w:lang w:val="en-US" w:eastAsia="zh-CN"/>
        </w:rPr>
        <w:t>和</w:t>
      </w:r>
      <w:r>
        <w:rPr>
          <w:rFonts w:hint="eastAsia" w:eastAsia="宋体"/>
          <w:color w:val="auto"/>
          <w:lang w:eastAsia="zh-CN"/>
        </w:rPr>
        <w:t>《国家矿山安全监察局关于印发</w:t>
      </w:r>
      <w:r>
        <w:rPr>
          <w:rFonts w:hint="eastAsia" w:ascii="宋体" w:hAnsi="宋体" w:eastAsia="宋体" w:cs="宋体"/>
          <w:color w:val="auto"/>
          <w:lang w:val="en-US" w:eastAsia="zh-CN"/>
        </w:rPr>
        <w:t>&lt;</w:t>
      </w:r>
      <w:r>
        <w:rPr>
          <w:rFonts w:hint="eastAsia" w:eastAsia="宋体"/>
          <w:color w:val="auto"/>
          <w:lang w:eastAsia="zh-CN"/>
        </w:rPr>
        <w:t>金属非金属矿山重大事故隐患判定标准补充情形</w:t>
      </w:r>
      <w:r>
        <w:rPr>
          <w:rFonts w:hint="eastAsia" w:ascii="宋体" w:hAnsi="宋体" w:eastAsia="宋体" w:cs="宋体"/>
          <w:color w:val="auto"/>
          <w:lang w:val="en-US" w:eastAsia="zh-CN"/>
        </w:rPr>
        <w:t>&gt;</w:t>
      </w:r>
      <w:r>
        <w:rPr>
          <w:rFonts w:hint="eastAsia" w:eastAsia="宋体"/>
          <w:color w:val="auto"/>
          <w:lang w:eastAsia="zh-CN"/>
        </w:rPr>
        <w:t>的通知》（矿安〔2024〕41号</w:t>
      </w:r>
      <w:r>
        <w:rPr>
          <w:rFonts w:hint="eastAsia"/>
          <w:color w:val="auto"/>
          <w:lang w:eastAsia="zh-CN"/>
        </w:rPr>
        <w:t>）</w:t>
      </w:r>
      <w:r>
        <w:rPr>
          <w:rFonts w:hint="eastAsia" w:eastAsia="宋体"/>
          <w:color w:val="auto"/>
          <w:lang w:eastAsia="zh-CN"/>
        </w:rPr>
        <w:t>，对</w:t>
      </w:r>
      <w:r>
        <w:rPr>
          <w:rFonts w:hint="eastAsia"/>
          <w:color w:val="auto"/>
          <w:lang w:val="en-US" w:eastAsia="zh-CN"/>
        </w:rPr>
        <w:t>三</w:t>
      </w:r>
      <w:r>
        <w:rPr>
          <w:rFonts w:hint="eastAsia" w:hAnsi="宋体"/>
          <w:sz w:val="28"/>
          <w:szCs w:val="28"/>
        </w:rPr>
        <w:t>号（氰化渣）尾矿库</w:t>
      </w:r>
      <w:r>
        <w:rPr>
          <w:rFonts w:hint="eastAsia" w:eastAsia="宋体"/>
          <w:color w:val="auto"/>
          <w:lang w:eastAsia="zh-CN"/>
        </w:rPr>
        <w:t>进行重大生产安全事故隐患识别，识别结果如下表：</w:t>
      </w:r>
    </w:p>
    <w:p w14:paraId="280B6531">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lang w:eastAsia="zh-CN"/>
        </w:rPr>
      </w:pPr>
      <w:r>
        <w:rPr>
          <w:rFonts w:hint="eastAsia" w:eastAsia="宋体"/>
          <w:color w:val="auto"/>
          <w:lang w:eastAsia="zh-CN"/>
        </w:rPr>
        <w:t>表3</w:t>
      </w:r>
      <w:r>
        <w:rPr>
          <w:rFonts w:hint="eastAsia"/>
          <w:color w:val="auto"/>
          <w:lang w:val="en-US" w:eastAsia="zh-CN"/>
        </w:rPr>
        <w:t>.3</w:t>
      </w:r>
      <w:r>
        <w:rPr>
          <w:rFonts w:hint="eastAsia" w:eastAsia="宋体"/>
          <w:color w:val="auto"/>
          <w:lang w:eastAsia="zh-CN"/>
        </w:rPr>
        <w:t>-</w:t>
      </w:r>
      <w:r>
        <w:rPr>
          <w:rFonts w:hint="eastAsia"/>
          <w:color w:val="auto"/>
          <w:lang w:val="en-US" w:eastAsia="zh-CN"/>
        </w:rPr>
        <w:t>1</w:t>
      </w:r>
      <w:r>
        <w:rPr>
          <w:rFonts w:hint="eastAsia" w:eastAsia="宋体"/>
          <w:color w:val="auto"/>
          <w:lang w:eastAsia="zh-CN"/>
        </w:rPr>
        <w:t xml:space="preserve"> </w:t>
      </w:r>
      <w:r>
        <w:rPr>
          <w:rFonts w:hint="eastAsia"/>
          <w:color w:val="auto"/>
          <w:lang w:val="en-US" w:eastAsia="zh-CN"/>
        </w:rPr>
        <w:t xml:space="preserve">  三</w:t>
      </w:r>
      <w:r>
        <w:rPr>
          <w:rFonts w:hint="eastAsia" w:hAnsi="宋体"/>
          <w:sz w:val="28"/>
          <w:szCs w:val="28"/>
        </w:rPr>
        <w:t>号（氰化渣）尾矿库</w:t>
      </w:r>
      <w:r>
        <w:rPr>
          <w:rFonts w:hint="eastAsia" w:eastAsia="宋体"/>
          <w:color w:val="auto"/>
          <w:lang w:eastAsia="zh-CN"/>
        </w:rPr>
        <w:t>重大事故隐患识别情况表</w:t>
      </w:r>
    </w:p>
    <w:tbl>
      <w:tblPr>
        <w:tblStyle w:val="20"/>
        <w:tblW w:w="92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4837"/>
        <w:gridCol w:w="247"/>
        <w:gridCol w:w="220"/>
        <w:gridCol w:w="1823"/>
        <w:gridCol w:w="1373"/>
      </w:tblGrid>
      <w:tr w14:paraId="318E2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705" w:type="dxa"/>
            <w:noWrap w:val="0"/>
            <w:vAlign w:val="center"/>
          </w:tcPr>
          <w:p w14:paraId="32778ED4">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序号</w:t>
            </w:r>
          </w:p>
        </w:tc>
        <w:tc>
          <w:tcPr>
            <w:tcW w:w="5084" w:type="dxa"/>
            <w:gridSpan w:val="2"/>
            <w:noWrap w:val="0"/>
            <w:vAlign w:val="center"/>
          </w:tcPr>
          <w:p w14:paraId="2797A45E">
            <w:pPr>
              <w:keepNext w:val="0"/>
              <w:keepLines w:val="0"/>
              <w:pageBreakBefore w:val="0"/>
              <w:tabs>
                <w:tab w:val="left" w:pos="6810"/>
              </w:tabs>
              <w:kinsoku/>
              <w:wordWrap/>
              <w:overflowPunct/>
              <w:topLinePunct w:val="0"/>
              <w:autoSpaceDE w:val="0"/>
              <w:autoSpaceDN w:val="0"/>
              <w:bidi w:val="0"/>
              <w:adjustRightInd w:val="0"/>
              <w:snapToGrid/>
              <w:spacing w:line="32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重大事故隐患</w:t>
            </w:r>
          </w:p>
        </w:tc>
        <w:tc>
          <w:tcPr>
            <w:tcW w:w="2043" w:type="dxa"/>
            <w:gridSpan w:val="2"/>
            <w:noWrap w:val="0"/>
            <w:vAlign w:val="center"/>
          </w:tcPr>
          <w:p w14:paraId="561056BE">
            <w:pPr>
              <w:keepNext w:val="0"/>
              <w:keepLines w:val="0"/>
              <w:pageBreakBefore w:val="0"/>
              <w:tabs>
                <w:tab w:val="left" w:pos="6810"/>
              </w:tabs>
              <w:kinsoku/>
              <w:wordWrap/>
              <w:overflowPunct/>
              <w:topLinePunct w:val="0"/>
              <w:autoSpaceDE w:val="0"/>
              <w:autoSpaceDN w:val="0"/>
              <w:bidi w:val="0"/>
              <w:adjustRightInd w:val="0"/>
              <w:snapToGrid/>
              <w:spacing w:line="32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现场实际情况</w:t>
            </w:r>
          </w:p>
        </w:tc>
        <w:tc>
          <w:tcPr>
            <w:tcW w:w="1373" w:type="dxa"/>
            <w:noWrap w:val="0"/>
            <w:vAlign w:val="center"/>
          </w:tcPr>
          <w:p w14:paraId="55E0CDCB">
            <w:pPr>
              <w:keepNext w:val="0"/>
              <w:keepLines w:val="0"/>
              <w:pageBreakBefore w:val="0"/>
              <w:tabs>
                <w:tab w:val="left" w:pos="6810"/>
              </w:tabs>
              <w:kinsoku/>
              <w:wordWrap/>
              <w:overflowPunct/>
              <w:topLinePunct w:val="0"/>
              <w:autoSpaceDE w:val="0"/>
              <w:autoSpaceDN w:val="0"/>
              <w:bidi w:val="0"/>
              <w:adjustRightInd w:val="0"/>
              <w:snapToGrid/>
              <w:spacing w:line="32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识别结果</w:t>
            </w:r>
          </w:p>
        </w:tc>
      </w:tr>
      <w:tr w14:paraId="74A2C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705" w:type="dxa"/>
            <w:noWrap w:val="0"/>
            <w:vAlign w:val="center"/>
          </w:tcPr>
          <w:p w14:paraId="6C876A3C">
            <w:pPr>
              <w:keepNext w:val="0"/>
              <w:keepLines w:val="0"/>
              <w:pageBreakBefore w:val="0"/>
              <w:tabs>
                <w:tab w:val="left" w:pos="6810"/>
              </w:tabs>
              <w:kinsoku/>
              <w:wordWrap/>
              <w:overflowPunct/>
              <w:topLinePunct w:val="0"/>
              <w:autoSpaceDE w:val="0"/>
              <w:autoSpaceDN w:val="0"/>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w:t>
            </w:r>
          </w:p>
        </w:tc>
        <w:tc>
          <w:tcPr>
            <w:tcW w:w="5084" w:type="dxa"/>
            <w:gridSpan w:val="2"/>
            <w:noWrap w:val="0"/>
            <w:vAlign w:val="center"/>
          </w:tcPr>
          <w:p w14:paraId="5324820E">
            <w:pPr>
              <w:keepNext w:val="0"/>
              <w:keepLines w:val="0"/>
              <w:pageBreakBefore w:val="0"/>
              <w:widowControl/>
              <w:shd w:val="clear" w:color="auto" w:fill="FFFFFF"/>
              <w:kinsoku/>
              <w:wordWrap/>
              <w:overflowPunct/>
              <w:topLinePunct w:val="0"/>
              <w:bidi w:val="0"/>
              <w:snapToGrid/>
              <w:spacing w:line="36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库区或者尾矿坝上存在未按设计进行开采、挖掘、爆破等危及尾矿库安全的活动。</w:t>
            </w:r>
          </w:p>
        </w:tc>
        <w:tc>
          <w:tcPr>
            <w:tcW w:w="2043" w:type="dxa"/>
            <w:gridSpan w:val="2"/>
            <w:noWrap w:val="0"/>
            <w:vAlign w:val="center"/>
          </w:tcPr>
          <w:p w14:paraId="098DE970">
            <w:pPr>
              <w:keepNext w:val="0"/>
              <w:keepLines w:val="0"/>
              <w:pageBreakBefore w:val="0"/>
              <w:tabs>
                <w:tab w:val="left" w:pos="6810"/>
              </w:tabs>
              <w:kinsoku/>
              <w:wordWrap/>
              <w:overflowPunct/>
              <w:topLinePunct w:val="0"/>
              <w:autoSpaceDE w:val="0"/>
              <w:autoSpaceDN w:val="0"/>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无此现象</w:t>
            </w:r>
            <w:r>
              <w:rPr>
                <w:rFonts w:hint="default" w:ascii="Times New Roman" w:hAnsi="Times New Roman" w:eastAsia="宋体" w:cs="Times New Roman"/>
                <w:bCs/>
                <w:color w:val="auto"/>
                <w:sz w:val="21"/>
                <w:szCs w:val="21"/>
                <w:lang w:eastAsia="zh-CN"/>
              </w:rPr>
              <w:t>。</w:t>
            </w:r>
          </w:p>
        </w:tc>
        <w:tc>
          <w:tcPr>
            <w:tcW w:w="1373" w:type="dxa"/>
            <w:noWrap w:val="0"/>
            <w:vAlign w:val="center"/>
          </w:tcPr>
          <w:p w14:paraId="2746D248">
            <w:pPr>
              <w:keepNext w:val="0"/>
              <w:keepLines w:val="0"/>
              <w:pageBreakBefore w:val="0"/>
              <w:tabs>
                <w:tab w:val="left" w:pos="6810"/>
              </w:tabs>
              <w:kinsoku/>
              <w:wordWrap/>
              <w:overflowPunct/>
              <w:topLinePunct w:val="0"/>
              <w:autoSpaceDE w:val="0"/>
              <w:autoSpaceDN w:val="0"/>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无重大隐患</w:t>
            </w:r>
          </w:p>
        </w:tc>
      </w:tr>
      <w:tr w14:paraId="7CA45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atLeast"/>
          <w:jc w:val="center"/>
        </w:trPr>
        <w:tc>
          <w:tcPr>
            <w:tcW w:w="705" w:type="dxa"/>
            <w:noWrap w:val="0"/>
            <w:vAlign w:val="center"/>
          </w:tcPr>
          <w:p w14:paraId="2308E340">
            <w:pPr>
              <w:keepNext w:val="0"/>
              <w:keepLines w:val="0"/>
              <w:pageBreakBefore w:val="0"/>
              <w:tabs>
                <w:tab w:val="left" w:pos="6810"/>
              </w:tabs>
              <w:kinsoku/>
              <w:wordWrap/>
              <w:overflowPunct/>
              <w:topLinePunct w:val="0"/>
              <w:autoSpaceDE w:val="0"/>
              <w:autoSpaceDN w:val="0"/>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w:t>
            </w:r>
          </w:p>
        </w:tc>
        <w:tc>
          <w:tcPr>
            <w:tcW w:w="5084" w:type="dxa"/>
            <w:gridSpan w:val="2"/>
            <w:noWrap w:val="0"/>
            <w:vAlign w:val="center"/>
          </w:tcPr>
          <w:p w14:paraId="76224D0C">
            <w:pPr>
              <w:keepNext w:val="0"/>
              <w:keepLines w:val="0"/>
              <w:pageBreakBefore w:val="0"/>
              <w:widowControl/>
              <w:shd w:val="clear" w:color="auto" w:fill="FFFFFF"/>
              <w:kinsoku/>
              <w:wordWrap/>
              <w:overflowPunct/>
              <w:topLinePunct w:val="0"/>
              <w:bidi w:val="0"/>
              <w:snapToGrid/>
              <w:spacing w:line="36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坝体存在下列情形之一的：</w:t>
            </w:r>
          </w:p>
          <w:p w14:paraId="1C2F02B3">
            <w:pPr>
              <w:keepNext w:val="0"/>
              <w:keepLines w:val="0"/>
              <w:pageBreakBefore w:val="0"/>
              <w:widowControl/>
              <w:shd w:val="clear" w:color="auto" w:fill="FFFFFF"/>
              <w:kinsoku/>
              <w:wordWrap/>
              <w:overflowPunct/>
              <w:topLinePunct w:val="0"/>
              <w:bidi w:val="0"/>
              <w:snapToGrid/>
              <w:spacing w:line="36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1.坝体出现严重的管涌、流土变形等现象；</w:t>
            </w:r>
          </w:p>
          <w:p w14:paraId="4BF776F9">
            <w:pPr>
              <w:keepNext w:val="0"/>
              <w:keepLines w:val="0"/>
              <w:pageBreakBefore w:val="0"/>
              <w:widowControl/>
              <w:shd w:val="clear" w:color="auto" w:fill="FFFFFF"/>
              <w:kinsoku/>
              <w:wordWrap/>
              <w:overflowPunct/>
              <w:topLinePunct w:val="0"/>
              <w:bidi w:val="0"/>
              <w:snapToGrid/>
              <w:spacing w:line="36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2.坝体出现贯穿性裂缝、坍塌、滑动迹象；</w:t>
            </w:r>
          </w:p>
          <w:p w14:paraId="62ECAF09">
            <w:pPr>
              <w:keepNext w:val="0"/>
              <w:keepLines w:val="0"/>
              <w:pageBreakBefore w:val="0"/>
              <w:widowControl/>
              <w:shd w:val="clear" w:color="auto" w:fill="FFFFFF"/>
              <w:kinsoku/>
              <w:wordWrap/>
              <w:overflowPunct/>
              <w:topLinePunct w:val="0"/>
              <w:bidi w:val="0"/>
              <w:snapToGrid/>
              <w:spacing w:line="36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3.坝体出现大面积纵向裂缝，且出现较大范围渗透水高位出逸或者大面积沼泽化。</w:t>
            </w:r>
          </w:p>
        </w:tc>
        <w:tc>
          <w:tcPr>
            <w:tcW w:w="2043" w:type="dxa"/>
            <w:gridSpan w:val="2"/>
            <w:noWrap w:val="0"/>
            <w:vAlign w:val="center"/>
          </w:tcPr>
          <w:p w14:paraId="0828EAE6">
            <w:pPr>
              <w:keepNext w:val="0"/>
              <w:keepLines w:val="0"/>
              <w:pageBreakBefore w:val="0"/>
              <w:tabs>
                <w:tab w:val="left" w:pos="6810"/>
              </w:tabs>
              <w:kinsoku/>
              <w:wordWrap/>
              <w:overflowPunct/>
              <w:topLinePunct w:val="0"/>
              <w:autoSpaceDE w:val="0"/>
              <w:autoSpaceDN w:val="0"/>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无此现象</w:t>
            </w:r>
            <w:r>
              <w:rPr>
                <w:rFonts w:hint="default" w:ascii="Times New Roman" w:hAnsi="Times New Roman" w:eastAsia="宋体" w:cs="Times New Roman"/>
                <w:bCs/>
                <w:color w:val="auto"/>
                <w:sz w:val="21"/>
                <w:szCs w:val="21"/>
                <w:lang w:eastAsia="zh-CN"/>
              </w:rPr>
              <w:t>。</w:t>
            </w:r>
          </w:p>
        </w:tc>
        <w:tc>
          <w:tcPr>
            <w:tcW w:w="1373" w:type="dxa"/>
            <w:noWrap w:val="0"/>
            <w:vAlign w:val="center"/>
          </w:tcPr>
          <w:p w14:paraId="6E22726C">
            <w:pPr>
              <w:keepNext w:val="0"/>
              <w:keepLines w:val="0"/>
              <w:pageBreakBefore w:val="0"/>
              <w:tabs>
                <w:tab w:val="left" w:pos="6810"/>
              </w:tabs>
              <w:kinsoku/>
              <w:wordWrap/>
              <w:overflowPunct/>
              <w:topLinePunct w:val="0"/>
              <w:autoSpaceDE w:val="0"/>
              <w:autoSpaceDN w:val="0"/>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无重大隐患</w:t>
            </w:r>
          </w:p>
        </w:tc>
      </w:tr>
      <w:tr w14:paraId="41BDA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5" w:type="dxa"/>
            <w:noWrap w:val="0"/>
            <w:vAlign w:val="center"/>
          </w:tcPr>
          <w:p w14:paraId="05936D05">
            <w:pPr>
              <w:keepNext w:val="0"/>
              <w:keepLines w:val="0"/>
              <w:pageBreakBefore w:val="0"/>
              <w:tabs>
                <w:tab w:val="left" w:pos="6810"/>
              </w:tabs>
              <w:kinsoku/>
              <w:wordWrap/>
              <w:overflowPunct/>
              <w:topLinePunct w:val="0"/>
              <w:autoSpaceDE w:val="0"/>
              <w:autoSpaceDN w:val="0"/>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3</w:t>
            </w:r>
          </w:p>
        </w:tc>
        <w:tc>
          <w:tcPr>
            <w:tcW w:w="5084" w:type="dxa"/>
            <w:gridSpan w:val="2"/>
            <w:noWrap w:val="0"/>
            <w:vAlign w:val="center"/>
          </w:tcPr>
          <w:p w14:paraId="71CDDA40">
            <w:pPr>
              <w:keepNext w:val="0"/>
              <w:keepLines w:val="0"/>
              <w:pageBreakBefore w:val="0"/>
              <w:widowControl/>
              <w:shd w:val="clear" w:color="auto" w:fill="FFFFFF"/>
              <w:kinsoku/>
              <w:wordWrap/>
              <w:overflowPunct/>
              <w:topLinePunct w:val="0"/>
              <w:bidi w:val="0"/>
              <w:snapToGrid/>
              <w:spacing w:line="36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坝体的平均外坡比或者堆积子坝的外坡比陡于设计坡比。</w:t>
            </w:r>
          </w:p>
        </w:tc>
        <w:tc>
          <w:tcPr>
            <w:tcW w:w="2043" w:type="dxa"/>
            <w:gridSpan w:val="2"/>
            <w:noWrap w:val="0"/>
            <w:vAlign w:val="center"/>
          </w:tcPr>
          <w:p w14:paraId="1257C2E7">
            <w:pPr>
              <w:keepNext w:val="0"/>
              <w:keepLines w:val="0"/>
              <w:pageBreakBefore w:val="0"/>
              <w:tabs>
                <w:tab w:val="left" w:pos="6810"/>
              </w:tabs>
              <w:kinsoku/>
              <w:wordWrap/>
              <w:overflowPunct/>
              <w:topLinePunct w:val="0"/>
              <w:autoSpaceDE w:val="0"/>
              <w:autoSpaceDN w:val="0"/>
              <w:bidi w:val="0"/>
              <w:adjustRightInd w:val="0"/>
              <w:snapToGrid/>
              <w:spacing w:line="360" w:lineRule="exact"/>
              <w:ind w:firstLine="0" w:firstLineChars="0"/>
              <w:jc w:val="left"/>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尾矿</w:t>
            </w:r>
            <w:r>
              <w:rPr>
                <w:rFonts w:hint="default" w:ascii="Times New Roman" w:hAnsi="Times New Roman" w:eastAsia="宋体" w:cs="Times New Roman"/>
                <w:bCs/>
                <w:color w:val="auto"/>
                <w:sz w:val="21"/>
                <w:szCs w:val="21"/>
              </w:rPr>
              <w:t>坝的外坡比</w:t>
            </w:r>
          </w:p>
          <w:p w14:paraId="2E8859C9">
            <w:pPr>
              <w:keepNext w:val="0"/>
              <w:keepLines w:val="0"/>
              <w:pageBreakBefore w:val="0"/>
              <w:tabs>
                <w:tab w:val="left" w:pos="6810"/>
              </w:tabs>
              <w:kinsoku/>
              <w:wordWrap/>
              <w:overflowPunct/>
              <w:topLinePunct w:val="0"/>
              <w:autoSpaceDE w:val="0"/>
              <w:autoSpaceDN w:val="0"/>
              <w:bidi w:val="0"/>
              <w:adjustRightInd w:val="0"/>
              <w:snapToGrid/>
              <w:spacing w:line="360" w:lineRule="exact"/>
              <w:ind w:firstLine="0" w:firstLineChars="0"/>
              <w:jc w:val="left"/>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符合设计值</w:t>
            </w:r>
            <w:r>
              <w:rPr>
                <w:rFonts w:hint="default" w:ascii="Times New Roman" w:hAnsi="Times New Roman" w:eastAsia="宋体" w:cs="Times New Roman"/>
                <w:bCs/>
                <w:color w:val="auto"/>
                <w:sz w:val="21"/>
                <w:szCs w:val="21"/>
                <w:lang w:eastAsia="zh-CN"/>
              </w:rPr>
              <w:t>。</w:t>
            </w:r>
          </w:p>
        </w:tc>
        <w:tc>
          <w:tcPr>
            <w:tcW w:w="1373" w:type="dxa"/>
            <w:noWrap w:val="0"/>
            <w:vAlign w:val="center"/>
          </w:tcPr>
          <w:p w14:paraId="1E6F81FD">
            <w:pPr>
              <w:keepNext w:val="0"/>
              <w:keepLines w:val="0"/>
              <w:pageBreakBefore w:val="0"/>
              <w:tabs>
                <w:tab w:val="left" w:pos="6810"/>
              </w:tabs>
              <w:kinsoku/>
              <w:wordWrap/>
              <w:overflowPunct/>
              <w:topLinePunct w:val="0"/>
              <w:autoSpaceDE w:val="0"/>
              <w:autoSpaceDN w:val="0"/>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无重大隐患</w:t>
            </w:r>
          </w:p>
        </w:tc>
      </w:tr>
      <w:tr w14:paraId="3ABA8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05" w:type="dxa"/>
            <w:noWrap w:val="0"/>
            <w:vAlign w:val="center"/>
          </w:tcPr>
          <w:p w14:paraId="638CC7F3">
            <w:pPr>
              <w:keepNext w:val="0"/>
              <w:keepLines w:val="0"/>
              <w:pageBreakBefore w:val="0"/>
              <w:tabs>
                <w:tab w:val="left" w:pos="6810"/>
              </w:tabs>
              <w:kinsoku/>
              <w:wordWrap/>
              <w:overflowPunct/>
              <w:topLinePunct w:val="0"/>
              <w:autoSpaceDE w:val="0"/>
              <w:autoSpaceDN w:val="0"/>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4</w:t>
            </w:r>
          </w:p>
        </w:tc>
        <w:tc>
          <w:tcPr>
            <w:tcW w:w="5084" w:type="dxa"/>
            <w:gridSpan w:val="2"/>
            <w:noWrap w:val="0"/>
            <w:vAlign w:val="center"/>
          </w:tcPr>
          <w:p w14:paraId="1903CAE9">
            <w:pPr>
              <w:keepNext w:val="0"/>
              <w:keepLines w:val="0"/>
              <w:pageBreakBefore w:val="0"/>
              <w:widowControl/>
              <w:shd w:val="clear" w:color="auto" w:fill="FFFFFF"/>
              <w:kinsoku/>
              <w:wordWrap/>
              <w:overflowPunct/>
              <w:topLinePunct w:val="0"/>
              <w:bidi w:val="0"/>
              <w:snapToGrid/>
              <w:spacing w:line="36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坝体高度超过设计总坝高，或者尾矿库超过设计库容贮存尾矿。</w:t>
            </w:r>
          </w:p>
        </w:tc>
        <w:tc>
          <w:tcPr>
            <w:tcW w:w="2043" w:type="dxa"/>
            <w:gridSpan w:val="2"/>
            <w:noWrap w:val="0"/>
            <w:vAlign w:val="center"/>
          </w:tcPr>
          <w:p w14:paraId="58918FCA">
            <w:pPr>
              <w:keepNext w:val="0"/>
              <w:keepLines w:val="0"/>
              <w:pageBreakBefore w:val="0"/>
              <w:widowControl/>
              <w:shd w:val="clear" w:color="auto" w:fill="FFFFFF"/>
              <w:tabs>
                <w:tab w:val="left" w:pos="6810"/>
              </w:tabs>
              <w:kinsoku/>
              <w:wordWrap/>
              <w:overflowPunct/>
              <w:topLinePunct w:val="0"/>
              <w:autoSpaceDE w:val="0"/>
              <w:autoSpaceDN w:val="0"/>
              <w:bidi w:val="0"/>
              <w:adjustRightInd w:val="0"/>
              <w:snapToGrid/>
              <w:spacing w:line="360" w:lineRule="exact"/>
              <w:ind w:firstLine="0" w:firstLineChars="0"/>
              <w:jc w:val="left"/>
              <w:textAlignment w:val="auto"/>
              <w:rPr>
                <w:rFonts w:hint="default" w:ascii="Times New Roman" w:hAnsi="Times New Roman" w:eastAsia="宋体" w:cs="Times New Roman"/>
                <w:color w:val="auto"/>
                <w:kern w:val="0"/>
                <w:sz w:val="21"/>
                <w:szCs w:val="21"/>
                <w:lang w:eastAsia="zh-CN"/>
              </w:rPr>
            </w:pPr>
            <w:r>
              <w:rPr>
                <w:rFonts w:hint="eastAsia" w:cs="Times New Roman"/>
                <w:color w:val="auto"/>
                <w:kern w:val="0"/>
                <w:sz w:val="21"/>
                <w:szCs w:val="21"/>
                <w:lang w:val="en-US" w:eastAsia="zh-CN"/>
              </w:rPr>
              <w:t>未超过</w:t>
            </w:r>
            <w:r>
              <w:rPr>
                <w:rFonts w:hint="default" w:ascii="Times New Roman" w:hAnsi="Times New Roman" w:eastAsia="宋体" w:cs="Times New Roman"/>
                <w:color w:val="auto"/>
                <w:kern w:val="0"/>
                <w:sz w:val="21"/>
                <w:szCs w:val="21"/>
              </w:rPr>
              <w:t>设计总坝高</w:t>
            </w:r>
            <w:r>
              <w:rPr>
                <w:rFonts w:hint="eastAsia" w:cs="Times New Roman"/>
                <w:color w:val="auto"/>
                <w:kern w:val="0"/>
                <w:sz w:val="21"/>
                <w:szCs w:val="21"/>
                <w:lang w:eastAsia="zh-CN"/>
              </w:rPr>
              <w:t>；</w:t>
            </w:r>
            <w:r>
              <w:rPr>
                <w:rFonts w:hint="eastAsia" w:cs="Times New Roman"/>
                <w:color w:val="auto"/>
                <w:kern w:val="0"/>
                <w:sz w:val="21"/>
                <w:szCs w:val="21"/>
                <w:lang w:val="en-US" w:eastAsia="zh-CN"/>
              </w:rPr>
              <w:t>未超过设计库容</w:t>
            </w:r>
            <w:r>
              <w:rPr>
                <w:rFonts w:hint="default" w:ascii="Times New Roman" w:hAnsi="Times New Roman" w:eastAsia="宋体" w:cs="Times New Roman"/>
                <w:color w:val="auto"/>
                <w:kern w:val="0"/>
                <w:sz w:val="21"/>
                <w:szCs w:val="21"/>
                <w:lang w:eastAsia="zh-CN"/>
              </w:rPr>
              <w:t>。</w:t>
            </w:r>
          </w:p>
        </w:tc>
        <w:tc>
          <w:tcPr>
            <w:tcW w:w="1373" w:type="dxa"/>
            <w:noWrap w:val="0"/>
            <w:vAlign w:val="center"/>
          </w:tcPr>
          <w:p w14:paraId="64F25745">
            <w:pPr>
              <w:keepNext w:val="0"/>
              <w:keepLines w:val="0"/>
              <w:pageBreakBefore w:val="0"/>
              <w:tabs>
                <w:tab w:val="left" w:pos="6810"/>
              </w:tabs>
              <w:kinsoku/>
              <w:wordWrap/>
              <w:overflowPunct/>
              <w:topLinePunct w:val="0"/>
              <w:autoSpaceDE w:val="0"/>
              <w:autoSpaceDN w:val="0"/>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无重大隐患</w:t>
            </w:r>
          </w:p>
        </w:tc>
      </w:tr>
      <w:tr w14:paraId="5ECB8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05" w:type="dxa"/>
            <w:noWrap w:val="0"/>
            <w:vAlign w:val="center"/>
          </w:tcPr>
          <w:p w14:paraId="705C0D0B">
            <w:pPr>
              <w:keepNext w:val="0"/>
              <w:keepLines w:val="0"/>
              <w:pageBreakBefore w:val="0"/>
              <w:tabs>
                <w:tab w:val="left" w:pos="6810"/>
              </w:tabs>
              <w:kinsoku/>
              <w:wordWrap/>
              <w:overflowPunct/>
              <w:topLinePunct w:val="0"/>
              <w:autoSpaceDE w:val="0"/>
              <w:autoSpaceDN w:val="0"/>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5</w:t>
            </w:r>
          </w:p>
        </w:tc>
        <w:tc>
          <w:tcPr>
            <w:tcW w:w="5084" w:type="dxa"/>
            <w:gridSpan w:val="2"/>
            <w:noWrap w:val="0"/>
            <w:vAlign w:val="center"/>
          </w:tcPr>
          <w:p w14:paraId="6EC8B20F">
            <w:pPr>
              <w:keepNext w:val="0"/>
              <w:keepLines w:val="0"/>
              <w:pageBreakBefore w:val="0"/>
              <w:widowControl/>
              <w:shd w:val="clear" w:color="auto" w:fill="FFFFFF"/>
              <w:kinsoku/>
              <w:wordWrap/>
              <w:overflowPunct/>
              <w:topLinePunct w:val="0"/>
              <w:bidi w:val="0"/>
              <w:snapToGrid/>
              <w:spacing w:line="36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尾矿堆积坝上升速率大于设计堆积上升速率。</w:t>
            </w:r>
          </w:p>
        </w:tc>
        <w:tc>
          <w:tcPr>
            <w:tcW w:w="2043" w:type="dxa"/>
            <w:gridSpan w:val="2"/>
            <w:noWrap w:val="0"/>
            <w:vAlign w:val="center"/>
          </w:tcPr>
          <w:p w14:paraId="4B71CA7D">
            <w:pPr>
              <w:keepNext w:val="0"/>
              <w:keepLines w:val="0"/>
              <w:pageBreakBefore w:val="0"/>
              <w:tabs>
                <w:tab w:val="left" w:pos="6810"/>
              </w:tabs>
              <w:kinsoku/>
              <w:wordWrap/>
              <w:overflowPunct/>
              <w:topLinePunct w:val="0"/>
              <w:autoSpaceDE w:val="0"/>
              <w:autoSpaceDN w:val="0"/>
              <w:bidi w:val="0"/>
              <w:adjustRightInd w:val="0"/>
              <w:snapToGrid/>
              <w:spacing w:line="360" w:lineRule="exact"/>
              <w:ind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Cs/>
                <w:color w:val="auto"/>
                <w:sz w:val="21"/>
                <w:szCs w:val="21"/>
              </w:rPr>
              <w:t>无此现象</w:t>
            </w:r>
            <w:r>
              <w:rPr>
                <w:rFonts w:hint="default" w:ascii="Times New Roman" w:hAnsi="Times New Roman" w:eastAsia="宋体" w:cs="Times New Roman"/>
                <w:bCs/>
                <w:color w:val="auto"/>
                <w:sz w:val="21"/>
                <w:szCs w:val="21"/>
                <w:lang w:eastAsia="zh-CN"/>
              </w:rPr>
              <w:t>。</w:t>
            </w:r>
          </w:p>
        </w:tc>
        <w:tc>
          <w:tcPr>
            <w:tcW w:w="1373" w:type="dxa"/>
            <w:noWrap w:val="0"/>
            <w:vAlign w:val="center"/>
          </w:tcPr>
          <w:p w14:paraId="2546A90F">
            <w:pPr>
              <w:keepNext w:val="0"/>
              <w:keepLines w:val="0"/>
              <w:pageBreakBefore w:val="0"/>
              <w:tabs>
                <w:tab w:val="left" w:pos="6810"/>
              </w:tabs>
              <w:kinsoku/>
              <w:wordWrap/>
              <w:overflowPunct/>
              <w:topLinePunct w:val="0"/>
              <w:autoSpaceDE w:val="0"/>
              <w:autoSpaceDN w:val="0"/>
              <w:bidi w:val="0"/>
              <w:adjustRightInd w:val="0"/>
              <w:snapToGrid/>
              <w:spacing w:line="360" w:lineRule="exact"/>
              <w:ind w:firstLine="0" w:firstLineChars="0"/>
              <w:jc w:val="center"/>
              <w:textAlignment w:val="auto"/>
              <w:rPr>
                <w:rFonts w:hint="eastAsia"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无重大隐患</w:t>
            </w:r>
          </w:p>
        </w:tc>
      </w:tr>
      <w:tr w14:paraId="3BDA8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jc w:val="center"/>
        </w:trPr>
        <w:tc>
          <w:tcPr>
            <w:tcW w:w="705" w:type="dxa"/>
            <w:noWrap w:val="0"/>
            <w:vAlign w:val="center"/>
          </w:tcPr>
          <w:p w14:paraId="2F0CBEDD">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6</w:t>
            </w:r>
          </w:p>
        </w:tc>
        <w:tc>
          <w:tcPr>
            <w:tcW w:w="5084" w:type="dxa"/>
            <w:gridSpan w:val="2"/>
            <w:noWrap w:val="0"/>
            <w:vAlign w:val="center"/>
          </w:tcPr>
          <w:p w14:paraId="06328362">
            <w:pPr>
              <w:keepNext w:val="0"/>
              <w:keepLines w:val="0"/>
              <w:pageBreakBefore w:val="0"/>
              <w:widowControl/>
              <w:shd w:val="clear" w:color="auto" w:fill="FFFFFF"/>
              <w:kinsoku/>
              <w:wordWrap/>
              <w:overflowPunct/>
              <w:topLinePunct w:val="0"/>
              <w:bidi w:val="0"/>
              <w:snapToGrid/>
              <w:spacing w:line="32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采用尾矿堆坝的尾矿库，未按《尾矿库安全规程》（GB39496-2020）第6.1.9条规定对尾矿坝做全面的安全性复核。</w:t>
            </w:r>
          </w:p>
        </w:tc>
        <w:tc>
          <w:tcPr>
            <w:tcW w:w="2043" w:type="dxa"/>
            <w:gridSpan w:val="2"/>
            <w:noWrap w:val="0"/>
            <w:vAlign w:val="center"/>
          </w:tcPr>
          <w:p w14:paraId="4F4FCA68">
            <w:pPr>
              <w:keepNext w:val="0"/>
              <w:keepLines w:val="0"/>
              <w:pageBreakBefore w:val="0"/>
              <w:tabs>
                <w:tab w:val="left" w:pos="6810"/>
              </w:tabs>
              <w:kinsoku/>
              <w:wordWrap/>
              <w:overflowPunct/>
              <w:topLinePunct w:val="0"/>
              <w:autoSpaceDE w:val="0"/>
              <w:autoSpaceDN w:val="0"/>
              <w:bidi w:val="0"/>
              <w:adjustRightInd w:val="0"/>
              <w:snapToGrid/>
              <w:spacing w:line="320" w:lineRule="exact"/>
              <w:ind w:firstLine="0" w:firstLineChars="0"/>
              <w:jc w:val="center"/>
              <w:textAlignment w:val="auto"/>
              <w:rPr>
                <w:rFonts w:hint="default" w:ascii="Times New Roman" w:hAnsi="Times New Roman" w:eastAsia="宋体" w:cs="Times New Roman"/>
                <w:color w:val="auto"/>
                <w:kern w:val="0"/>
                <w:sz w:val="21"/>
                <w:szCs w:val="21"/>
              </w:rPr>
            </w:pPr>
            <w:r>
              <w:rPr>
                <w:rFonts w:hint="eastAsia" w:ascii="宋体" w:hAnsi="宋体" w:eastAsia="宋体" w:cs="宋体"/>
                <w:color w:val="auto"/>
                <w:sz w:val="21"/>
                <w:szCs w:val="21"/>
                <w:lang w:val="en-US" w:eastAsia="zh-CN"/>
              </w:rPr>
              <w:t>未采用尾矿</w:t>
            </w:r>
            <w:r>
              <w:rPr>
                <w:rFonts w:hint="default" w:ascii="Times New Roman" w:hAnsi="Times New Roman" w:eastAsia="宋体" w:cs="Times New Roman"/>
                <w:color w:val="auto"/>
                <w:kern w:val="0"/>
                <w:sz w:val="21"/>
                <w:szCs w:val="21"/>
              </w:rPr>
              <w:t>堆坝</w:t>
            </w:r>
            <w:r>
              <w:rPr>
                <w:rFonts w:hint="eastAsia" w:ascii="宋体" w:hAnsi="宋体" w:eastAsia="宋体" w:cs="宋体"/>
                <w:color w:val="auto"/>
                <w:sz w:val="21"/>
                <w:szCs w:val="21"/>
                <w:lang w:val="en-US" w:eastAsia="zh-CN"/>
              </w:rPr>
              <w:t>。</w:t>
            </w:r>
          </w:p>
        </w:tc>
        <w:tc>
          <w:tcPr>
            <w:tcW w:w="1373" w:type="dxa"/>
            <w:noWrap w:val="0"/>
            <w:vAlign w:val="center"/>
          </w:tcPr>
          <w:p w14:paraId="03050DF7">
            <w:pPr>
              <w:keepNext w:val="0"/>
              <w:keepLines w:val="0"/>
              <w:pageBreakBefore w:val="0"/>
              <w:tabs>
                <w:tab w:val="left" w:pos="6810"/>
              </w:tabs>
              <w:kinsoku/>
              <w:wordWrap/>
              <w:overflowPunct/>
              <w:topLinePunct w:val="0"/>
              <w:autoSpaceDE w:val="0"/>
              <w:autoSpaceDN w:val="0"/>
              <w:bidi w:val="0"/>
              <w:adjustRightInd w:val="0"/>
              <w:snapToGrid/>
              <w:spacing w:line="32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无重大隐患</w:t>
            </w:r>
          </w:p>
        </w:tc>
      </w:tr>
      <w:tr w14:paraId="767DD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705" w:type="dxa"/>
            <w:noWrap w:val="0"/>
            <w:vAlign w:val="center"/>
          </w:tcPr>
          <w:p w14:paraId="3BE987F7">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7</w:t>
            </w:r>
          </w:p>
        </w:tc>
        <w:tc>
          <w:tcPr>
            <w:tcW w:w="5084" w:type="dxa"/>
            <w:gridSpan w:val="2"/>
            <w:noWrap w:val="0"/>
            <w:vAlign w:val="center"/>
          </w:tcPr>
          <w:p w14:paraId="59074C2E">
            <w:pPr>
              <w:keepNext w:val="0"/>
              <w:keepLines w:val="0"/>
              <w:pageBreakBefore w:val="0"/>
              <w:widowControl/>
              <w:shd w:val="clear" w:color="auto" w:fill="FFFFFF"/>
              <w:kinsoku/>
              <w:wordWrap/>
              <w:overflowPunct/>
              <w:topLinePunct w:val="0"/>
              <w:bidi w:val="0"/>
              <w:snapToGrid/>
              <w:spacing w:line="32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浸润线埋深小于控制浸润线埋深。</w:t>
            </w:r>
          </w:p>
        </w:tc>
        <w:tc>
          <w:tcPr>
            <w:tcW w:w="2043" w:type="dxa"/>
            <w:gridSpan w:val="2"/>
            <w:noWrap w:val="0"/>
            <w:vAlign w:val="center"/>
          </w:tcPr>
          <w:p w14:paraId="1546D424">
            <w:pPr>
              <w:keepNext w:val="0"/>
              <w:keepLines w:val="0"/>
              <w:pageBreakBefore w:val="0"/>
              <w:tabs>
                <w:tab w:val="left" w:pos="6810"/>
              </w:tabs>
              <w:kinsoku/>
              <w:wordWrap/>
              <w:overflowPunct/>
              <w:topLinePunct w:val="0"/>
              <w:autoSpaceDE w:val="0"/>
              <w:autoSpaceDN w:val="0"/>
              <w:bidi w:val="0"/>
              <w:adjustRightInd w:val="0"/>
              <w:snapToGrid/>
              <w:spacing w:line="320" w:lineRule="exact"/>
              <w:ind w:firstLine="0" w:firstLineChars="0"/>
              <w:jc w:val="left"/>
              <w:textAlignment w:val="auto"/>
              <w:rPr>
                <w:rFonts w:hint="default" w:ascii="Times New Roman" w:hAnsi="Times New Roman" w:eastAsia="宋体" w:cs="Times New Roman"/>
                <w:color w:val="auto"/>
                <w:kern w:val="0"/>
                <w:sz w:val="21"/>
                <w:szCs w:val="21"/>
                <w:lang w:eastAsia="zh-CN"/>
              </w:rPr>
            </w:pPr>
            <w:r>
              <w:rPr>
                <w:rFonts w:hint="eastAsia" w:ascii="宋体" w:hAnsi="宋体" w:eastAsia="宋体" w:cs="宋体"/>
                <w:color w:val="auto"/>
                <w:sz w:val="21"/>
                <w:szCs w:val="21"/>
                <w:lang w:eastAsia="zh-CN"/>
              </w:rPr>
              <w:t>浸润性埋深符合设计要求</w:t>
            </w:r>
            <w:r>
              <w:rPr>
                <w:rFonts w:hint="eastAsia" w:ascii="宋体" w:hAnsi="宋体" w:cs="宋体"/>
                <w:color w:val="auto"/>
                <w:sz w:val="21"/>
                <w:szCs w:val="21"/>
                <w:lang w:eastAsia="zh-CN"/>
              </w:rPr>
              <w:t>。</w:t>
            </w:r>
          </w:p>
        </w:tc>
        <w:tc>
          <w:tcPr>
            <w:tcW w:w="1373" w:type="dxa"/>
            <w:noWrap w:val="0"/>
            <w:vAlign w:val="center"/>
          </w:tcPr>
          <w:p w14:paraId="10AC844E">
            <w:pPr>
              <w:keepNext w:val="0"/>
              <w:keepLines w:val="0"/>
              <w:pageBreakBefore w:val="0"/>
              <w:tabs>
                <w:tab w:val="left" w:pos="6810"/>
              </w:tabs>
              <w:kinsoku/>
              <w:wordWrap/>
              <w:overflowPunct/>
              <w:topLinePunct w:val="0"/>
              <w:autoSpaceDE w:val="0"/>
              <w:autoSpaceDN w:val="0"/>
              <w:bidi w:val="0"/>
              <w:adjustRightInd w:val="0"/>
              <w:snapToGrid/>
              <w:spacing w:line="32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无重大隐患</w:t>
            </w:r>
          </w:p>
        </w:tc>
      </w:tr>
      <w:tr w14:paraId="128FB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5" w:type="dxa"/>
            <w:noWrap w:val="0"/>
            <w:vAlign w:val="center"/>
          </w:tcPr>
          <w:p w14:paraId="64ADF5D9">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8</w:t>
            </w:r>
          </w:p>
        </w:tc>
        <w:tc>
          <w:tcPr>
            <w:tcW w:w="5084" w:type="dxa"/>
            <w:gridSpan w:val="2"/>
            <w:noWrap w:val="0"/>
            <w:vAlign w:val="center"/>
          </w:tcPr>
          <w:p w14:paraId="05E64089">
            <w:pPr>
              <w:keepNext w:val="0"/>
              <w:keepLines w:val="0"/>
              <w:pageBreakBefore w:val="0"/>
              <w:widowControl/>
              <w:shd w:val="clear" w:color="auto" w:fill="FFFFFF"/>
              <w:kinsoku/>
              <w:wordWrap/>
              <w:overflowPunct/>
              <w:topLinePunct w:val="0"/>
              <w:bidi w:val="0"/>
              <w:snapToGrid/>
              <w:spacing w:line="32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汛前未按国家有关规定对尾矿库进行调洪演算，或者湿式尾矿库防洪高度和干滩长度小于设计值，或者干式尾矿库防洪高度和防洪宽度小于设计值。</w:t>
            </w:r>
          </w:p>
        </w:tc>
        <w:tc>
          <w:tcPr>
            <w:tcW w:w="2043" w:type="dxa"/>
            <w:gridSpan w:val="2"/>
            <w:noWrap w:val="0"/>
            <w:vAlign w:val="center"/>
          </w:tcPr>
          <w:p w14:paraId="72914519">
            <w:pPr>
              <w:keepNext w:val="0"/>
              <w:keepLines w:val="0"/>
              <w:pageBreakBefore w:val="0"/>
              <w:widowControl/>
              <w:shd w:val="clear" w:color="auto" w:fill="FFFFFF"/>
              <w:tabs>
                <w:tab w:val="left" w:pos="6810"/>
              </w:tabs>
              <w:kinsoku/>
              <w:wordWrap/>
              <w:overflowPunct/>
              <w:topLinePunct w:val="0"/>
              <w:autoSpaceDE w:val="0"/>
              <w:autoSpaceDN w:val="0"/>
              <w:bidi w:val="0"/>
              <w:adjustRightInd w:val="0"/>
              <w:snapToGrid/>
              <w:spacing w:line="320" w:lineRule="exact"/>
              <w:ind w:firstLine="0" w:firstLineChars="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开展了</w:t>
            </w:r>
            <w:r>
              <w:rPr>
                <w:rFonts w:hint="eastAsia" w:cs="Times New Roman"/>
                <w:color w:val="auto"/>
                <w:kern w:val="0"/>
                <w:sz w:val="21"/>
                <w:szCs w:val="21"/>
                <w:lang w:val="en-US" w:eastAsia="zh-CN"/>
              </w:rPr>
              <w:t>2025年</w:t>
            </w:r>
            <w:r>
              <w:rPr>
                <w:rFonts w:hint="default" w:ascii="Times New Roman" w:hAnsi="Times New Roman" w:eastAsia="宋体" w:cs="Times New Roman"/>
                <w:color w:val="auto"/>
                <w:kern w:val="0"/>
                <w:sz w:val="21"/>
                <w:szCs w:val="21"/>
                <w:lang w:val="en-US" w:eastAsia="zh-CN"/>
              </w:rPr>
              <w:t>调洪演算。</w:t>
            </w:r>
          </w:p>
        </w:tc>
        <w:tc>
          <w:tcPr>
            <w:tcW w:w="1373" w:type="dxa"/>
            <w:noWrap w:val="0"/>
            <w:vAlign w:val="center"/>
          </w:tcPr>
          <w:p w14:paraId="413BE29D">
            <w:pPr>
              <w:keepNext w:val="0"/>
              <w:keepLines w:val="0"/>
              <w:pageBreakBefore w:val="0"/>
              <w:tabs>
                <w:tab w:val="left" w:pos="6810"/>
              </w:tabs>
              <w:kinsoku/>
              <w:wordWrap/>
              <w:overflowPunct/>
              <w:topLinePunct w:val="0"/>
              <w:autoSpaceDE w:val="0"/>
              <w:autoSpaceDN w:val="0"/>
              <w:bidi w:val="0"/>
              <w:adjustRightInd w:val="0"/>
              <w:snapToGrid/>
              <w:spacing w:line="32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无重大隐患</w:t>
            </w:r>
          </w:p>
        </w:tc>
      </w:tr>
      <w:tr w14:paraId="74C07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5" w:hRule="atLeast"/>
          <w:jc w:val="center"/>
        </w:trPr>
        <w:tc>
          <w:tcPr>
            <w:tcW w:w="705" w:type="dxa"/>
            <w:noWrap w:val="0"/>
            <w:vAlign w:val="center"/>
          </w:tcPr>
          <w:p w14:paraId="04408DC9">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9</w:t>
            </w:r>
          </w:p>
        </w:tc>
        <w:tc>
          <w:tcPr>
            <w:tcW w:w="5084" w:type="dxa"/>
            <w:gridSpan w:val="2"/>
            <w:noWrap w:val="0"/>
            <w:vAlign w:val="center"/>
          </w:tcPr>
          <w:p w14:paraId="0EF99575">
            <w:pPr>
              <w:keepNext w:val="0"/>
              <w:keepLines w:val="0"/>
              <w:pageBreakBefore w:val="0"/>
              <w:widowControl/>
              <w:shd w:val="clear" w:color="auto" w:fill="FFFFFF"/>
              <w:kinsoku/>
              <w:wordWrap/>
              <w:overflowPunct/>
              <w:topLinePunct w:val="0"/>
              <w:bidi w:val="0"/>
              <w:snapToGrid/>
              <w:spacing w:line="32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排洪系统存在下列情形之一的：</w:t>
            </w:r>
          </w:p>
          <w:p w14:paraId="2416D50F">
            <w:pPr>
              <w:keepNext w:val="0"/>
              <w:keepLines w:val="0"/>
              <w:pageBreakBefore w:val="0"/>
              <w:widowControl/>
              <w:shd w:val="clear" w:color="auto" w:fill="FFFFFF"/>
              <w:kinsoku/>
              <w:wordWrap/>
              <w:overflowPunct/>
              <w:topLinePunct w:val="0"/>
              <w:bidi w:val="0"/>
              <w:snapToGrid/>
              <w:spacing w:line="32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1.排水井、排水斜槽、排水管、排水隧洞、拱板、盖板等排洪建构筑物混凝土厚度、强度或者型式不满足设计要求；</w:t>
            </w:r>
          </w:p>
          <w:p w14:paraId="2D09EBD5">
            <w:pPr>
              <w:keepNext w:val="0"/>
              <w:keepLines w:val="0"/>
              <w:pageBreakBefore w:val="0"/>
              <w:widowControl/>
              <w:shd w:val="clear" w:color="auto" w:fill="FFFFFF"/>
              <w:kinsoku/>
              <w:wordWrap/>
              <w:overflowPunct/>
              <w:topLinePunct w:val="0"/>
              <w:bidi w:val="0"/>
              <w:snapToGrid/>
              <w:spacing w:line="32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2.排洪设施部分堵塞或者坍塌、排水井有所倾斜，排水能力有所降低，达不到设计要求；</w:t>
            </w:r>
          </w:p>
          <w:p w14:paraId="2D638022">
            <w:pPr>
              <w:keepNext w:val="0"/>
              <w:keepLines w:val="0"/>
              <w:pageBreakBefore w:val="0"/>
              <w:kinsoku/>
              <w:wordWrap/>
              <w:overflowPunct/>
              <w:topLinePunct w:val="0"/>
              <w:bidi w:val="0"/>
              <w:snapToGrid/>
              <w:spacing w:line="32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3.排洪构筑物终止使用时，封堵措施不满足设计要求。</w:t>
            </w:r>
          </w:p>
        </w:tc>
        <w:tc>
          <w:tcPr>
            <w:tcW w:w="2043" w:type="dxa"/>
            <w:gridSpan w:val="2"/>
            <w:noWrap w:val="0"/>
            <w:vAlign w:val="center"/>
          </w:tcPr>
          <w:p w14:paraId="11C0CE94">
            <w:pPr>
              <w:keepNext w:val="0"/>
              <w:keepLines w:val="0"/>
              <w:pageBreakBefore w:val="0"/>
              <w:tabs>
                <w:tab w:val="left" w:pos="6810"/>
              </w:tabs>
              <w:kinsoku/>
              <w:wordWrap/>
              <w:overflowPunct/>
              <w:topLinePunct w:val="0"/>
              <w:autoSpaceDE w:val="0"/>
              <w:autoSpaceDN w:val="0"/>
              <w:bidi w:val="0"/>
              <w:adjustRightInd w:val="0"/>
              <w:snapToGrid/>
              <w:spacing w:line="320" w:lineRule="exact"/>
              <w:ind w:firstLine="0" w:firstLineChars="0"/>
              <w:jc w:val="left"/>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2024年排水系统经过第三方检测，满足设计要求。</w:t>
            </w:r>
          </w:p>
        </w:tc>
        <w:tc>
          <w:tcPr>
            <w:tcW w:w="1373" w:type="dxa"/>
            <w:noWrap w:val="0"/>
            <w:vAlign w:val="center"/>
          </w:tcPr>
          <w:p w14:paraId="414DBC6F">
            <w:pPr>
              <w:keepNext w:val="0"/>
              <w:keepLines w:val="0"/>
              <w:pageBreakBefore w:val="0"/>
              <w:tabs>
                <w:tab w:val="left" w:pos="6810"/>
              </w:tabs>
              <w:kinsoku/>
              <w:wordWrap/>
              <w:overflowPunct/>
              <w:topLinePunct w:val="0"/>
              <w:autoSpaceDE w:val="0"/>
              <w:autoSpaceDN w:val="0"/>
              <w:bidi w:val="0"/>
              <w:adjustRightInd w:val="0"/>
              <w:snapToGrid/>
              <w:spacing w:line="32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无重大隐患</w:t>
            </w:r>
          </w:p>
        </w:tc>
      </w:tr>
      <w:tr w14:paraId="17FE6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05" w:type="dxa"/>
            <w:noWrap w:val="0"/>
            <w:vAlign w:val="center"/>
          </w:tcPr>
          <w:p w14:paraId="7FD6140B">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10</w:t>
            </w:r>
          </w:p>
        </w:tc>
        <w:tc>
          <w:tcPr>
            <w:tcW w:w="5084" w:type="dxa"/>
            <w:gridSpan w:val="2"/>
            <w:noWrap w:val="0"/>
            <w:vAlign w:val="center"/>
          </w:tcPr>
          <w:p w14:paraId="11BC0969">
            <w:pPr>
              <w:keepNext w:val="0"/>
              <w:keepLines w:val="0"/>
              <w:pageBreakBefore w:val="0"/>
              <w:widowControl/>
              <w:shd w:val="clear" w:color="auto" w:fill="FFFFFF"/>
              <w:kinsoku/>
              <w:wordWrap/>
              <w:overflowPunct/>
              <w:topLinePunct w:val="0"/>
              <w:bidi w:val="0"/>
              <w:snapToGrid/>
              <w:spacing w:line="32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设计以外的尾矿、废料或者废水进库。</w:t>
            </w:r>
          </w:p>
        </w:tc>
        <w:tc>
          <w:tcPr>
            <w:tcW w:w="2043" w:type="dxa"/>
            <w:gridSpan w:val="2"/>
            <w:noWrap w:val="0"/>
            <w:vAlign w:val="center"/>
          </w:tcPr>
          <w:p w14:paraId="2527BE2C">
            <w:pPr>
              <w:keepNext w:val="0"/>
              <w:keepLines w:val="0"/>
              <w:pageBreakBefore w:val="0"/>
              <w:tabs>
                <w:tab w:val="left" w:pos="6810"/>
              </w:tabs>
              <w:kinsoku/>
              <w:wordWrap/>
              <w:overflowPunct/>
              <w:topLinePunct w:val="0"/>
              <w:autoSpaceDE w:val="0"/>
              <w:autoSpaceDN w:val="0"/>
              <w:bidi w:val="0"/>
              <w:adjustRightInd w:val="0"/>
              <w:snapToGrid/>
              <w:spacing w:line="320" w:lineRule="exact"/>
              <w:ind w:firstLine="0" w:firstLineChars="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无此现象</w:t>
            </w:r>
            <w:r>
              <w:rPr>
                <w:rFonts w:hint="default" w:ascii="Times New Roman" w:hAnsi="Times New Roman" w:eastAsia="宋体" w:cs="Times New Roman"/>
                <w:color w:val="auto"/>
                <w:kern w:val="0"/>
                <w:sz w:val="21"/>
                <w:szCs w:val="21"/>
                <w:lang w:eastAsia="zh-CN"/>
              </w:rPr>
              <w:t>。</w:t>
            </w:r>
          </w:p>
        </w:tc>
        <w:tc>
          <w:tcPr>
            <w:tcW w:w="1373" w:type="dxa"/>
            <w:noWrap w:val="0"/>
            <w:vAlign w:val="center"/>
          </w:tcPr>
          <w:p w14:paraId="7EC58B9F">
            <w:pPr>
              <w:keepNext w:val="0"/>
              <w:keepLines w:val="0"/>
              <w:pageBreakBefore w:val="0"/>
              <w:tabs>
                <w:tab w:val="left" w:pos="6810"/>
              </w:tabs>
              <w:kinsoku/>
              <w:wordWrap/>
              <w:overflowPunct/>
              <w:topLinePunct w:val="0"/>
              <w:autoSpaceDE w:val="0"/>
              <w:autoSpaceDN w:val="0"/>
              <w:bidi w:val="0"/>
              <w:adjustRightInd w:val="0"/>
              <w:snapToGrid/>
              <w:spacing w:line="32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无重大隐患</w:t>
            </w:r>
          </w:p>
        </w:tc>
      </w:tr>
      <w:tr w14:paraId="7BDED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5" w:type="dxa"/>
            <w:noWrap w:val="0"/>
            <w:vAlign w:val="center"/>
          </w:tcPr>
          <w:p w14:paraId="19036D2A">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11</w:t>
            </w:r>
          </w:p>
        </w:tc>
        <w:tc>
          <w:tcPr>
            <w:tcW w:w="5084" w:type="dxa"/>
            <w:gridSpan w:val="2"/>
            <w:noWrap w:val="0"/>
            <w:vAlign w:val="center"/>
          </w:tcPr>
          <w:p w14:paraId="24C0F015">
            <w:pPr>
              <w:keepNext w:val="0"/>
              <w:keepLines w:val="0"/>
              <w:pageBreakBefore w:val="0"/>
              <w:widowControl/>
              <w:shd w:val="clear" w:color="auto" w:fill="FFFFFF"/>
              <w:kinsoku/>
              <w:wordWrap/>
              <w:overflowPunct/>
              <w:topLinePunct w:val="0"/>
              <w:bidi w:val="0"/>
              <w:snapToGrid/>
              <w:spacing w:line="32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多种矿石性质不同的尾砂混合排放时，未按设计进行排放。</w:t>
            </w:r>
          </w:p>
        </w:tc>
        <w:tc>
          <w:tcPr>
            <w:tcW w:w="2043" w:type="dxa"/>
            <w:gridSpan w:val="2"/>
            <w:noWrap w:val="0"/>
            <w:vAlign w:val="center"/>
          </w:tcPr>
          <w:p w14:paraId="619B0D04">
            <w:pPr>
              <w:keepNext w:val="0"/>
              <w:keepLines w:val="0"/>
              <w:pageBreakBefore w:val="0"/>
              <w:tabs>
                <w:tab w:val="left" w:pos="6810"/>
              </w:tabs>
              <w:kinsoku/>
              <w:wordWrap/>
              <w:overflowPunct/>
              <w:topLinePunct w:val="0"/>
              <w:autoSpaceDE w:val="0"/>
              <w:autoSpaceDN w:val="0"/>
              <w:bidi w:val="0"/>
              <w:adjustRightInd w:val="0"/>
              <w:snapToGrid/>
              <w:spacing w:line="320" w:lineRule="exact"/>
              <w:ind w:firstLine="0" w:firstLineChars="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无此现象</w:t>
            </w:r>
            <w:r>
              <w:rPr>
                <w:rFonts w:hint="default" w:ascii="Times New Roman" w:hAnsi="Times New Roman" w:eastAsia="宋体" w:cs="Times New Roman"/>
                <w:color w:val="auto"/>
                <w:kern w:val="0"/>
                <w:sz w:val="21"/>
                <w:szCs w:val="21"/>
                <w:lang w:eastAsia="zh-CN"/>
              </w:rPr>
              <w:t>。</w:t>
            </w:r>
          </w:p>
        </w:tc>
        <w:tc>
          <w:tcPr>
            <w:tcW w:w="1373" w:type="dxa"/>
            <w:noWrap w:val="0"/>
            <w:vAlign w:val="center"/>
          </w:tcPr>
          <w:p w14:paraId="4CC88715">
            <w:pPr>
              <w:keepNext w:val="0"/>
              <w:keepLines w:val="0"/>
              <w:pageBreakBefore w:val="0"/>
              <w:tabs>
                <w:tab w:val="left" w:pos="6810"/>
              </w:tabs>
              <w:kinsoku/>
              <w:wordWrap/>
              <w:overflowPunct/>
              <w:topLinePunct w:val="0"/>
              <w:autoSpaceDE w:val="0"/>
              <w:autoSpaceDN w:val="0"/>
              <w:bidi w:val="0"/>
              <w:adjustRightInd w:val="0"/>
              <w:snapToGrid/>
              <w:spacing w:line="32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无重大隐患</w:t>
            </w:r>
          </w:p>
        </w:tc>
      </w:tr>
      <w:tr w14:paraId="43D55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05" w:type="dxa"/>
            <w:noWrap w:val="0"/>
            <w:vAlign w:val="center"/>
          </w:tcPr>
          <w:p w14:paraId="6BADC42A">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12</w:t>
            </w:r>
          </w:p>
        </w:tc>
        <w:tc>
          <w:tcPr>
            <w:tcW w:w="5084" w:type="dxa"/>
            <w:gridSpan w:val="2"/>
            <w:noWrap w:val="0"/>
            <w:vAlign w:val="center"/>
          </w:tcPr>
          <w:p w14:paraId="146B46F8">
            <w:pPr>
              <w:keepNext w:val="0"/>
              <w:keepLines w:val="0"/>
              <w:pageBreakBefore w:val="0"/>
              <w:widowControl/>
              <w:shd w:val="clear" w:color="auto" w:fill="FFFFFF"/>
              <w:kinsoku/>
              <w:wordWrap/>
              <w:overflowPunct/>
              <w:topLinePunct w:val="0"/>
              <w:bidi w:val="0"/>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冬季未按设计要求的冰下放矿方式进行放矿作业。</w:t>
            </w:r>
          </w:p>
        </w:tc>
        <w:tc>
          <w:tcPr>
            <w:tcW w:w="2043" w:type="dxa"/>
            <w:gridSpan w:val="2"/>
            <w:noWrap w:val="0"/>
            <w:vAlign w:val="center"/>
          </w:tcPr>
          <w:p w14:paraId="03DB3DCB">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无此现象</w:t>
            </w:r>
            <w:r>
              <w:rPr>
                <w:rFonts w:hint="default" w:ascii="Times New Roman" w:hAnsi="Times New Roman" w:eastAsia="宋体" w:cs="Times New Roman"/>
                <w:color w:val="auto"/>
                <w:kern w:val="0"/>
                <w:sz w:val="21"/>
                <w:szCs w:val="21"/>
                <w:lang w:eastAsia="zh-CN"/>
              </w:rPr>
              <w:t>。</w:t>
            </w:r>
          </w:p>
        </w:tc>
        <w:tc>
          <w:tcPr>
            <w:tcW w:w="1373" w:type="dxa"/>
            <w:noWrap w:val="0"/>
            <w:vAlign w:val="center"/>
          </w:tcPr>
          <w:p w14:paraId="3BFEAE23">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无重大隐患</w:t>
            </w:r>
          </w:p>
        </w:tc>
      </w:tr>
      <w:tr w14:paraId="4A8BA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05" w:type="dxa"/>
            <w:noWrap w:val="0"/>
            <w:vAlign w:val="center"/>
          </w:tcPr>
          <w:p w14:paraId="7E724BB4">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13</w:t>
            </w:r>
          </w:p>
        </w:tc>
        <w:tc>
          <w:tcPr>
            <w:tcW w:w="5084" w:type="dxa"/>
            <w:gridSpan w:val="2"/>
            <w:noWrap w:val="0"/>
            <w:vAlign w:val="center"/>
          </w:tcPr>
          <w:p w14:paraId="6F11CF42">
            <w:pPr>
              <w:keepNext w:val="0"/>
              <w:keepLines w:val="0"/>
              <w:pageBreakBefore w:val="0"/>
              <w:widowControl/>
              <w:shd w:val="clear" w:color="auto" w:fill="FFFFFF"/>
              <w:kinsoku/>
              <w:wordWrap/>
              <w:overflowPunct/>
              <w:topLinePunct w:val="0"/>
              <w:bidi w:val="0"/>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安全监测系统存在下列情形之一的：</w:t>
            </w:r>
          </w:p>
          <w:p w14:paraId="61F2EB7B">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outlineLvl w:val="9"/>
              <w:rPr>
                <w:rFonts w:hint="default" w:ascii="Times New Roman" w:hAnsi="Times New Roman" w:eastAsia="宋体" w:cs="Times New Roman"/>
                <w:color w:val="auto"/>
                <w:kern w:val="0"/>
                <w:sz w:val="21"/>
                <w:szCs w:val="21"/>
              </w:rPr>
            </w:pPr>
            <w:bookmarkStart w:id="385" w:name="_Toc9027"/>
            <w:r>
              <w:rPr>
                <w:rFonts w:hint="default" w:ascii="Times New Roman" w:hAnsi="Times New Roman" w:eastAsia="宋体" w:cs="Times New Roman"/>
                <w:color w:val="auto"/>
                <w:kern w:val="0"/>
                <w:sz w:val="21"/>
                <w:szCs w:val="21"/>
              </w:rPr>
              <w:t>1.未按设计设置安全监测系统；</w:t>
            </w:r>
            <w:bookmarkEnd w:id="385"/>
          </w:p>
          <w:p w14:paraId="571FBC2D">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2.安全监测系统运行不正常未及时修复；</w:t>
            </w:r>
          </w:p>
          <w:p w14:paraId="10E8CFFF">
            <w:pPr>
              <w:keepNext w:val="0"/>
              <w:keepLines w:val="0"/>
              <w:pageBreakBefore w:val="0"/>
              <w:widowControl/>
              <w:shd w:val="clear" w:color="auto" w:fill="FFFFFF"/>
              <w:kinsoku/>
              <w:wordWrap/>
              <w:overflowPunct/>
              <w:topLinePunct w:val="0"/>
              <w:bidi w:val="0"/>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3.关闭、破坏安全监测系统，或者篡改、隐瞒、销毁其相关数据、信息。</w:t>
            </w:r>
          </w:p>
        </w:tc>
        <w:tc>
          <w:tcPr>
            <w:tcW w:w="2043" w:type="dxa"/>
            <w:gridSpan w:val="2"/>
            <w:noWrap w:val="0"/>
            <w:vAlign w:val="center"/>
          </w:tcPr>
          <w:p w14:paraId="5D3DF764">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运行正常</w:t>
            </w:r>
            <w:r>
              <w:rPr>
                <w:rFonts w:hint="default" w:ascii="Times New Roman" w:hAnsi="Times New Roman" w:eastAsia="宋体" w:cs="Times New Roman"/>
                <w:color w:val="auto"/>
                <w:kern w:val="0"/>
                <w:sz w:val="21"/>
                <w:szCs w:val="21"/>
                <w:lang w:eastAsia="zh-CN"/>
              </w:rPr>
              <w:t>。</w:t>
            </w:r>
          </w:p>
        </w:tc>
        <w:tc>
          <w:tcPr>
            <w:tcW w:w="1373" w:type="dxa"/>
            <w:noWrap w:val="0"/>
            <w:vAlign w:val="center"/>
          </w:tcPr>
          <w:p w14:paraId="60FB786B">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无重大隐患</w:t>
            </w:r>
          </w:p>
        </w:tc>
      </w:tr>
      <w:tr w14:paraId="231A9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4" w:hRule="atLeast"/>
          <w:jc w:val="center"/>
        </w:trPr>
        <w:tc>
          <w:tcPr>
            <w:tcW w:w="705" w:type="dxa"/>
            <w:noWrap w:val="0"/>
            <w:vAlign w:val="center"/>
          </w:tcPr>
          <w:p w14:paraId="42DE78D5">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14</w:t>
            </w:r>
          </w:p>
        </w:tc>
        <w:tc>
          <w:tcPr>
            <w:tcW w:w="5084" w:type="dxa"/>
            <w:gridSpan w:val="2"/>
            <w:noWrap w:val="0"/>
            <w:vAlign w:val="center"/>
          </w:tcPr>
          <w:p w14:paraId="555B39A3">
            <w:pPr>
              <w:keepNext w:val="0"/>
              <w:keepLines w:val="0"/>
              <w:pageBreakBefore w:val="0"/>
              <w:widowControl/>
              <w:shd w:val="clear" w:color="auto" w:fill="FFFFFF"/>
              <w:kinsoku/>
              <w:wordWrap/>
              <w:overflowPunct/>
              <w:topLinePunct w:val="0"/>
              <w:bidi w:val="0"/>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干式尾矿库存在下列情形之一的：</w:t>
            </w:r>
          </w:p>
          <w:p w14:paraId="13B2DA0C">
            <w:pPr>
              <w:keepNext w:val="0"/>
              <w:keepLines w:val="0"/>
              <w:pageBreakBefore w:val="0"/>
              <w:widowControl/>
              <w:shd w:val="clear" w:color="auto" w:fill="FFFFFF"/>
              <w:kinsoku/>
              <w:wordWrap/>
              <w:overflowPunct/>
              <w:topLinePunct w:val="0"/>
              <w:bidi w:val="0"/>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1.入库尾矿的含水率大于设计值，无法进行正常碾压且未设置可靠的防范措施；</w:t>
            </w:r>
          </w:p>
          <w:p w14:paraId="178125C2">
            <w:pPr>
              <w:keepNext w:val="0"/>
              <w:keepLines w:val="0"/>
              <w:pageBreakBefore w:val="0"/>
              <w:widowControl/>
              <w:shd w:val="clear" w:color="auto" w:fill="FFFFFF"/>
              <w:kinsoku/>
              <w:wordWrap/>
              <w:overflowPunct/>
              <w:topLinePunct w:val="0"/>
              <w:bidi w:val="0"/>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2.堆存推进方向与设计不一致；</w:t>
            </w:r>
          </w:p>
          <w:p w14:paraId="7848E07D">
            <w:pPr>
              <w:keepNext w:val="0"/>
              <w:keepLines w:val="0"/>
              <w:pageBreakBefore w:val="0"/>
              <w:widowControl/>
              <w:shd w:val="clear" w:color="auto" w:fill="FFFFFF"/>
              <w:kinsoku/>
              <w:wordWrap/>
              <w:overflowPunct/>
              <w:topLinePunct w:val="0"/>
              <w:bidi w:val="0"/>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3.分层厚度或者台阶高度大于设计值；</w:t>
            </w:r>
          </w:p>
          <w:p w14:paraId="79DF160D">
            <w:pPr>
              <w:keepNext w:val="0"/>
              <w:keepLines w:val="0"/>
              <w:pageBreakBefore w:val="0"/>
              <w:shd w:val="clear" w:color="auto" w:fill="FFFFFF"/>
              <w:kinsoku/>
              <w:wordWrap/>
              <w:overflowPunct/>
              <w:topLinePunct w:val="0"/>
              <w:bidi w:val="0"/>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4.未按设计要求进行碾压。</w:t>
            </w:r>
          </w:p>
        </w:tc>
        <w:tc>
          <w:tcPr>
            <w:tcW w:w="2043" w:type="dxa"/>
            <w:gridSpan w:val="2"/>
            <w:noWrap w:val="0"/>
            <w:vAlign w:val="center"/>
          </w:tcPr>
          <w:p w14:paraId="27E7A561">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both"/>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压实度在0.922～0.928之间</w:t>
            </w:r>
            <w:r>
              <w:rPr>
                <w:rFonts w:hint="eastAsia" w:ascii="Times New Roman" w:hAnsi="Times New Roman" w:eastAsia="宋体"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库内在不影响堆积坝体稳定的区域平均压实度</w:t>
            </w:r>
            <w:r>
              <w:rPr>
                <w:rFonts w:hint="eastAsia" w:ascii="Times New Roman" w:hAnsi="Times New Roman" w:eastAsia="宋体" w:cs="Times New Roman"/>
                <w:color w:val="auto"/>
                <w:kern w:val="0"/>
                <w:sz w:val="21"/>
                <w:szCs w:val="21"/>
                <w:lang w:val="en-US" w:eastAsia="zh-CN"/>
              </w:rPr>
              <w:t>为</w:t>
            </w:r>
            <w:r>
              <w:rPr>
                <w:rFonts w:hint="default" w:ascii="Times New Roman" w:hAnsi="Times New Roman" w:eastAsia="宋体" w:cs="Times New Roman"/>
                <w:color w:val="auto"/>
                <w:kern w:val="0"/>
                <w:sz w:val="21"/>
                <w:szCs w:val="21"/>
                <w:lang w:val="en-US" w:eastAsia="zh-CN"/>
              </w:rPr>
              <w:t>0.86</w:t>
            </w:r>
            <w:r>
              <w:rPr>
                <w:rFonts w:hint="eastAsia"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尾矿含水率在</w:t>
            </w:r>
            <w:r>
              <w:rPr>
                <w:rFonts w:hint="eastAsia" w:cs="Times New Roman"/>
                <w:color w:val="auto"/>
                <w:kern w:val="0"/>
                <w:sz w:val="21"/>
                <w:szCs w:val="21"/>
                <w:lang w:val="en-US" w:eastAsia="zh-CN"/>
              </w:rPr>
              <w:t>14.9</w:t>
            </w:r>
            <w:r>
              <w:rPr>
                <w:rFonts w:hint="default" w:ascii="Times New Roman" w:hAnsi="Times New Roman" w:eastAsia="宋体" w:cs="Times New Roman"/>
                <w:color w:val="auto"/>
                <w:kern w:val="0"/>
                <w:sz w:val="21"/>
                <w:szCs w:val="21"/>
              </w:rPr>
              <w:t>%～</w:t>
            </w:r>
            <w:r>
              <w:rPr>
                <w:rFonts w:hint="eastAsia" w:cs="Times New Roman"/>
                <w:color w:val="auto"/>
                <w:kern w:val="0"/>
                <w:sz w:val="21"/>
                <w:szCs w:val="21"/>
                <w:lang w:val="en-US" w:eastAsia="zh-CN"/>
              </w:rPr>
              <w:t>16.7</w:t>
            </w:r>
            <w:r>
              <w:rPr>
                <w:rFonts w:hint="default" w:ascii="Times New Roman" w:hAnsi="Times New Roman" w:eastAsia="宋体" w:cs="Times New Roman"/>
                <w:color w:val="auto"/>
                <w:kern w:val="0"/>
                <w:sz w:val="21"/>
                <w:szCs w:val="21"/>
              </w:rPr>
              <w:t>%之间</w:t>
            </w:r>
            <w:r>
              <w:rPr>
                <w:rFonts w:hint="eastAsia" w:cs="Times New Roman"/>
                <w:color w:val="auto"/>
                <w:kern w:val="0"/>
                <w:sz w:val="21"/>
                <w:szCs w:val="21"/>
                <w:lang w:val="en-US" w:eastAsia="zh-CN"/>
              </w:rPr>
              <w:t>，按设计要求进行碾压，</w:t>
            </w:r>
            <w:r>
              <w:rPr>
                <w:rFonts w:hint="default" w:ascii="Times New Roman" w:hAnsi="Times New Roman" w:eastAsia="宋体" w:cs="Times New Roman"/>
                <w:color w:val="auto"/>
                <w:kern w:val="0"/>
                <w:sz w:val="21"/>
                <w:szCs w:val="21"/>
              </w:rPr>
              <w:t>推进方向</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分层厚度</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台阶高度</w:t>
            </w:r>
            <w:r>
              <w:rPr>
                <w:rFonts w:hint="eastAsia" w:cs="Times New Roman"/>
                <w:color w:val="auto"/>
                <w:kern w:val="0"/>
                <w:sz w:val="21"/>
                <w:szCs w:val="21"/>
                <w:lang w:val="en-US" w:eastAsia="zh-CN"/>
              </w:rPr>
              <w:t>与设计一致</w:t>
            </w:r>
            <w:r>
              <w:rPr>
                <w:rFonts w:hint="default" w:ascii="Times New Roman" w:hAnsi="Times New Roman" w:eastAsia="宋体" w:cs="Times New Roman"/>
                <w:color w:val="auto"/>
                <w:kern w:val="0"/>
                <w:sz w:val="21"/>
                <w:szCs w:val="21"/>
                <w:lang w:val="en-US" w:eastAsia="zh-CN"/>
              </w:rPr>
              <w:t>。</w:t>
            </w:r>
          </w:p>
        </w:tc>
        <w:tc>
          <w:tcPr>
            <w:tcW w:w="1373" w:type="dxa"/>
            <w:noWrap w:val="0"/>
            <w:vAlign w:val="center"/>
          </w:tcPr>
          <w:p w14:paraId="09D4680E">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无重大隐患</w:t>
            </w:r>
          </w:p>
        </w:tc>
      </w:tr>
      <w:tr w14:paraId="33262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jc w:val="center"/>
        </w:trPr>
        <w:tc>
          <w:tcPr>
            <w:tcW w:w="705" w:type="dxa"/>
            <w:noWrap w:val="0"/>
            <w:vAlign w:val="center"/>
          </w:tcPr>
          <w:p w14:paraId="075EEBCA">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15</w:t>
            </w:r>
          </w:p>
        </w:tc>
        <w:tc>
          <w:tcPr>
            <w:tcW w:w="5084" w:type="dxa"/>
            <w:gridSpan w:val="2"/>
            <w:noWrap w:val="0"/>
            <w:vAlign w:val="center"/>
          </w:tcPr>
          <w:p w14:paraId="0C21903B">
            <w:pPr>
              <w:keepNext w:val="0"/>
              <w:keepLines w:val="0"/>
              <w:pageBreakBefore w:val="0"/>
              <w:widowControl/>
              <w:shd w:val="clear" w:color="auto" w:fill="FFFFFF"/>
              <w:kinsoku/>
              <w:wordWrap/>
              <w:overflowPunct/>
              <w:topLinePunct w:val="0"/>
              <w:bidi w:val="0"/>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经验算，坝体抗滑稳定最小安全系数小于国家标准规定值的0.98倍。</w:t>
            </w:r>
          </w:p>
        </w:tc>
        <w:tc>
          <w:tcPr>
            <w:tcW w:w="2043" w:type="dxa"/>
            <w:gridSpan w:val="2"/>
            <w:noWrap w:val="0"/>
            <w:vAlign w:val="center"/>
          </w:tcPr>
          <w:p w14:paraId="01417ED3">
            <w:pPr>
              <w:keepNext w:val="0"/>
              <w:keepLines w:val="0"/>
              <w:pageBreakBefore w:val="0"/>
              <w:widowControl/>
              <w:shd w:val="clear" w:color="auto" w:fill="FFFFFF"/>
              <w:kinsoku/>
              <w:wordWrap/>
              <w:overflowPunct/>
              <w:topLinePunct w:val="0"/>
              <w:bidi w:val="0"/>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经验算，尾矿坝坝体在各类工况均处于安全稳定状态。</w:t>
            </w:r>
          </w:p>
        </w:tc>
        <w:tc>
          <w:tcPr>
            <w:tcW w:w="1373" w:type="dxa"/>
            <w:noWrap w:val="0"/>
            <w:vAlign w:val="center"/>
          </w:tcPr>
          <w:p w14:paraId="7FF958A4">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无重大隐患</w:t>
            </w:r>
          </w:p>
        </w:tc>
      </w:tr>
      <w:tr w14:paraId="24C86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705" w:type="dxa"/>
            <w:noWrap w:val="0"/>
            <w:vAlign w:val="center"/>
          </w:tcPr>
          <w:p w14:paraId="628E5B00">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16</w:t>
            </w:r>
          </w:p>
        </w:tc>
        <w:tc>
          <w:tcPr>
            <w:tcW w:w="5084" w:type="dxa"/>
            <w:gridSpan w:val="2"/>
            <w:noWrap w:val="0"/>
            <w:vAlign w:val="center"/>
          </w:tcPr>
          <w:p w14:paraId="19D31A9E">
            <w:pPr>
              <w:keepNext w:val="0"/>
              <w:keepLines w:val="0"/>
              <w:pageBreakBefore w:val="0"/>
              <w:widowControl/>
              <w:shd w:val="clear" w:color="auto" w:fill="FFFFFF"/>
              <w:kinsoku/>
              <w:wordWrap/>
              <w:overflowPunct/>
              <w:topLinePunct w:val="0"/>
              <w:bidi w:val="0"/>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三等及以上尾矿</w:t>
            </w:r>
            <w:r>
              <w:rPr>
                <w:rFonts w:hint="eastAsia" w:ascii="宋体" w:hAnsi="宋体" w:eastAsia="宋体" w:cs="宋体"/>
                <w:color w:val="auto"/>
                <w:kern w:val="0"/>
                <w:sz w:val="21"/>
                <w:szCs w:val="21"/>
              </w:rPr>
              <w:t>库及“头顶库”未</w:t>
            </w:r>
            <w:r>
              <w:rPr>
                <w:rFonts w:hint="default" w:ascii="Times New Roman" w:hAnsi="Times New Roman" w:eastAsia="宋体" w:cs="Times New Roman"/>
                <w:color w:val="auto"/>
                <w:kern w:val="0"/>
                <w:sz w:val="21"/>
                <w:szCs w:val="21"/>
              </w:rPr>
              <w:t>按设计设置通往坝顶、排洪系统附近的应急道路，或者应急道路无法满足应急抢险时通行和运送应急物资的需求。</w:t>
            </w:r>
          </w:p>
        </w:tc>
        <w:tc>
          <w:tcPr>
            <w:tcW w:w="2043" w:type="dxa"/>
            <w:gridSpan w:val="2"/>
            <w:noWrap w:val="0"/>
            <w:vAlign w:val="center"/>
          </w:tcPr>
          <w:p w14:paraId="67F46748">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val="en-US" w:eastAsia="zh-CN"/>
              </w:rPr>
              <w:t>无此项</w:t>
            </w:r>
            <w:r>
              <w:rPr>
                <w:rFonts w:hint="default" w:ascii="Times New Roman" w:hAnsi="Times New Roman" w:eastAsia="宋体" w:cs="Times New Roman"/>
                <w:color w:val="auto"/>
                <w:kern w:val="0"/>
                <w:sz w:val="21"/>
                <w:szCs w:val="21"/>
                <w:lang w:val="en-US" w:eastAsia="zh-CN"/>
              </w:rPr>
              <w:t>。</w:t>
            </w:r>
          </w:p>
        </w:tc>
        <w:tc>
          <w:tcPr>
            <w:tcW w:w="1373" w:type="dxa"/>
            <w:noWrap w:val="0"/>
            <w:vAlign w:val="center"/>
          </w:tcPr>
          <w:p w14:paraId="0C8BDEEE">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无重大隐患</w:t>
            </w:r>
          </w:p>
        </w:tc>
      </w:tr>
      <w:tr w14:paraId="53A0A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jc w:val="center"/>
        </w:trPr>
        <w:tc>
          <w:tcPr>
            <w:tcW w:w="705" w:type="dxa"/>
            <w:noWrap w:val="0"/>
            <w:vAlign w:val="center"/>
          </w:tcPr>
          <w:p w14:paraId="51D4CA74">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17</w:t>
            </w:r>
          </w:p>
        </w:tc>
        <w:tc>
          <w:tcPr>
            <w:tcW w:w="5084" w:type="dxa"/>
            <w:gridSpan w:val="2"/>
            <w:noWrap w:val="0"/>
            <w:vAlign w:val="center"/>
          </w:tcPr>
          <w:p w14:paraId="6C7772F2">
            <w:pPr>
              <w:keepNext w:val="0"/>
              <w:keepLines w:val="0"/>
              <w:pageBreakBefore w:val="0"/>
              <w:widowControl/>
              <w:shd w:val="clear" w:color="auto" w:fill="FFFFFF"/>
              <w:kinsoku/>
              <w:wordWrap/>
              <w:overflowPunct/>
              <w:topLinePunct w:val="0"/>
              <w:bidi w:val="0"/>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尾矿库回采存在下列情形之一的：</w:t>
            </w:r>
          </w:p>
          <w:p w14:paraId="737EABB7">
            <w:pPr>
              <w:keepNext w:val="0"/>
              <w:keepLines w:val="0"/>
              <w:pageBreakBefore w:val="0"/>
              <w:widowControl/>
              <w:shd w:val="clear" w:color="auto" w:fill="FFFFFF"/>
              <w:kinsoku/>
              <w:wordWrap/>
              <w:overflowPunct/>
              <w:topLinePunct w:val="0"/>
              <w:bidi w:val="0"/>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1.未经批准擅自回采；</w:t>
            </w:r>
          </w:p>
          <w:p w14:paraId="213D8AE2">
            <w:pPr>
              <w:keepNext w:val="0"/>
              <w:keepLines w:val="0"/>
              <w:pageBreakBefore w:val="0"/>
              <w:widowControl/>
              <w:shd w:val="clear" w:color="auto" w:fill="FFFFFF"/>
              <w:kinsoku/>
              <w:wordWrap/>
              <w:overflowPunct/>
              <w:topLinePunct w:val="0"/>
              <w:bidi w:val="0"/>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2.回采方式、顺序、单层开采高度、台阶坡面角不符合设计要求；</w:t>
            </w:r>
          </w:p>
          <w:p w14:paraId="3096071C">
            <w:pPr>
              <w:keepNext w:val="0"/>
              <w:keepLines w:val="0"/>
              <w:pageBreakBefore w:val="0"/>
              <w:shd w:val="clear" w:color="auto" w:fill="FFFFFF"/>
              <w:kinsoku/>
              <w:wordWrap/>
              <w:overflowPunct/>
              <w:topLinePunct w:val="0"/>
              <w:bidi w:val="0"/>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3.同时进行回采和排放。</w:t>
            </w:r>
          </w:p>
        </w:tc>
        <w:tc>
          <w:tcPr>
            <w:tcW w:w="2043" w:type="dxa"/>
            <w:gridSpan w:val="2"/>
            <w:noWrap w:val="0"/>
            <w:vAlign w:val="center"/>
          </w:tcPr>
          <w:p w14:paraId="7DA6D314">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eastAsia" w:cs="Times New Roman"/>
                <w:color w:val="auto"/>
                <w:kern w:val="0"/>
                <w:sz w:val="21"/>
                <w:szCs w:val="21"/>
                <w:lang w:val="en-US" w:eastAsia="zh-CN"/>
              </w:rPr>
              <w:t>无此项</w:t>
            </w:r>
            <w:r>
              <w:rPr>
                <w:rFonts w:hint="default" w:ascii="Times New Roman" w:hAnsi="Times New Roman" w:eastAsia="宋体" w:cs="Times New Roman"/>
                <w:color w:val="auto"/>
                <w:kern w:val="0"/>
                <w:sz w:val="21"/>
                <w:szCs w:val="21"/>
                <w:lang w:val="en-US" w:eastAsia="zh-CN"/>
              </w:rPr>
              <w:t>。</w:t>
            </w:r>
          </w:p>
        </w:tc>
        <w:tc>
          <w:tcPr>
            <w:tcW w:w="1373" w:type="dxa"/>
            <w:noWrap w:val="0"/>
            <w:vAlign w:val="center"/>
          </w:tcPr>
          <w:p w14:paraId="375BB8EB">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eastAsia" w:cs="Times New Roman"/>
                <w:bCs/>
                <w:color w:val="auto"/>
                <w:sz w:val="21"/>
                <w:szCs w:val="21"/>
                <w:lang w:val="en-US" w:eastAsia="zh-CN"/>
              </w:rPr>
              <w:t>不涉及</w:t>
            </w:r>
          </w:p>
        </w:tc>
      </w:tr>
      <w:tr w14:paraId="67F35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705" w:type="dxa"/>
            <w:noWrap w:val="0"/>
            <w:vAlign w:val="center"/>
          </w:tcPr>
          <w:p w14:paraId="2FF7378D">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18</w:t>
            </w:r>
          </w:p>
        </w:tc>
        <w:tc>
          <w:tcPr>
            <w:tcW w:w="5084" w:type="dxa"/>
            <w:gridSpan w:val="2"/>
            <w:noWrap w:val="0"/>
            <w:vAlign w:val="center"/>
          </w:tcPr>
          <w:p w14:paraId="66E8CAE7">
            <w:pPr>
              <w:keepNext w:val="0"/>
              <w:keepLines w:val="0"/>
              <w:pageBreakBefore w:val="0"/>
              <w:widowControl/>
              <w:shd w:val="clear" w:color="auto" w:fill="FFFFFF"/>
              <w:kinsoku/>
              <w:wordWrap/>
              <w:overflowPunct/>
              <w:topLinePunct w:val="0"/>
              <w:bidi w:val="0"/>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用以贮存独立选矿厂进行矿石选别后排出尾矿的场所，未按尾矿库实施安全管理的。</w:t>
            </w:r>
          </w:p>
        </w:tc>
        <w:tc>
          <w:tcPr>
            <w:tcW w:w="2043" w:type="dxa"/>
            <w:gridSpan w:val="2"/>
            <w:noWrap w:val="0"/>
            <w:vAlign w:val="center"/>
          </w:tcPr>
          <w:p w14:paraId="134EFFFB">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eastAsia" w:cs="Times New Roman"/>
                <w:color w:val="auto"/>
                <w:kern w:val="0"/>
                <w:sz w:val="21"/>
                <w:szCs w:val="21"/>
                <w:lang w:val="en-US" w:eastAsia="zh-CN"/>
              </w:rPr>
              <w:t>无此项</w:t>
            </w:r>
            <w:r>
              <w:rPr>
                <w:rFonts w:hint="default" w:ascii="Times New Roman" w:hAnsi="Times New Roman" w:eastAsia="宋体" w:cs="Times New Roman"/>
                <w:color w:val="auto"/>
                <w:kern w:val="0"/>
                <w:sz w:val="21"/>
                <w:szCs w:val="21"/>
                <w:lang w:val="en-US" w:eastAsia="zh-CN"/>
              </w:rPr>
              <w:t>。</w:t>
            </w:r>
          </w:p>
        </w:tc>
        <w:tc>
          <w:tcPr>
            <w:tcW w:w="1373" w:type="dxa"/>
            <w:noWrap w:val="0"/>
            <w:vAlign w:val="center"/>
          </w:tcPr>
          <w:p w14:paraId="6F3820C8">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eastAsia" w:cs="Times New Roman"/>
                <w:bCs/>
                <w:color w:val="auto"/>
                <w:sz w:val="21"/>
                <w:szCs w:val="21"/>
                <w:lang w:val="en-US" w:eastAsia="zh-CN"/>
              </w:rPr>
              <w:t>不涉及</w:t>
            </w:r>
          </w:p>
        </w:tc>
      </w:tr>
      <w:tr w14:paraId="49A8D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5" w:type="dxa"/>
            <w:noWrap w:val="0"/>
            <w:vAlign w:val="center"/>
          </w:tcPr>
          <w:p w14:paraId="3D1B4607">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19</w:t>
            </w:r>
          </w:p>
        </w:tc>
        <w:tc>
          <w:tcPr>
            <w:tcW w:w="4837" w:type="dxa"/>
            <w:noWrap w:val="0"/>
            <w:vAlign w:val="center"/>
          </w:tcPr>
          <w:p w14:paraId="0A0E386B">
            <w:pPr>
              <w:keepNext w:val="0"/>
              <w:keepLines w:val="0"/>
              <w:pageBreakBefore w:val="0"/>
              <w:widowControl/>
              <w:shd w:val="clear" w:color="auto" w:fill="FFFFFF"/>
              <w:kinsoku/>
              <w:wordWrap/>
              <w:overflowPunct/>
              <w:topLinePunct w:val="0"/>
              <w:bidi w:val="0"/>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未按国家规定配备专职安全生产管理人员、专业技术人员和特种作业人员。</w:t>
            </w:r>
          </w:p>
        </w:tc>
        <w:tc>
          <w:tcPr>
            <w:tcW w:w="2290" w:type="dxa"/>
            <w:gridSpan w:val="3"/>
            <w:noWrap w:val="0"/>
            <w:vAlign w:val="center"/>
          </w:tcPr>
          <w:p w14:paraId="65229B74">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配有安全管理人员、专业技术人员、尾矿工。</w:t>
            </w:r>
          </w:p>
        </w:tc>
        <w:tc>
          <w:tcPr>
            <w:tcW w:w="1373" w:type="dxa"/>
            <w:noWrap w:val="0"/>
            <w:vAlign w:val="center"/>
          </w:tcPr>
          <w:p w14:paraId="257603F3">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无重大隐患</w:t>
            </w:r>
          </w:p>
        </w:tc>
      </w:tr>
      <w:tr w14:paraId="24014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5" w:type="dxa"/>
            <w:noWrap w:val="0"/>
            <w:vAlign w:val="center"/>
          </w:tcPr>
          <w:p w14:paraId="4C57A954">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20</w:t>
            </w:r>
          </w:p>
        </w:tc>
        <w:tc>
          <w:tcPr>
            <w:tcW w:w="5084" w:type="dxa"/>
            <w:gridSpan w:val="2"/>
            <w:noWrap w:val="0"/>
            <w:vAlign w:val="center"/>
          </w:tcPr>
          <w:p w14:paraId="6C470E27">
            <w:pPr>
              <w:keepNext w:val="0"/>
              <w:keepLines w:val="0"/>
              <w:pageBreakBefore w:val="0"/>
              <w:widowControl/>
              <w:shd w:val="clear" w:color="auto" w:fill="FFFFFF"/>
              <w:kinsoku/>
              <w:wordWrap/>
              <w:overflowPunct/>
              <w:topLinePunct w:val="0"/>
              <w:bidi w:val="0"/>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尾矿库排洪构筑物拱板（盖板）与周边结构缝隙未采用设计材料充满充实的，或封堵体设置在井顶、井身段或斜槽顶、槽身段。</w:t>
            </w:r>
          </w:p>
        </w:tc>
        <w:tc>
          <w:tcPr>
            <w:tcW w:w="2043" w:type="dxa"/>
            <w:gridSpan w:val="2"/>
            <w:noWrap w:val="0"/>
            <w:vAlign w:val="center"/>
          </w:tcPr>
          <w:p w14:paraId="7D3A4542">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无此现象</w:t>
            </w:r>
            <w:r>
              <w:rPr>
                <w:rFonts w:hint="default" w:ascii="Times New Roman" w:hAnsi="Times New Roman" w:eastAsia="宋体" w:cs="Times New Roman"/>
                <w:color w:val="auto"/>
                <w:kern w:val="0"/>
                <w:sz w:val="21"/>
                <w:szCs w:val="21"/>
                <w:lang w:eastAsia="zh-CN"/>
              </w:rPr>
              <w:t>。</w:t>
            </w:r>
          </w:p>
        </w:tc>
        <w:tc>
          <w:tcPr>
            <w:tcW w:w="1373" w:type="dxa"/>
            <w:noWrap w:val="0"/>
            <w:vAlign w:val="center"/>
          </w:tcPr>
          <w:p w14:paraId="19B071AF">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无重大隐患</w:t>
            </w:r>
          </w:p>
        </w:tc>
      </w:tr>
      <w:tr w14:paraId="09227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5" w:type="dxa"/>
            <w:noWrap w:val="0"/>
            <w:vAlign w:val="center"/>
          </w:tcPr>
          <w:p w14:paraId="081F3CC8">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21</w:t>
            </w:r>
          </w:p>
        </w:tc>
        <w:tc>
          <w:tcPr>
            <w:tcW w:w="5304" w:type="dxa"/>
            <w:gridSpan w:val="3"/>
            <w:noWrap w:val="0"/>
            <w:vAlign w:val="center"/>
          </w:tcPr>
          <w:p w14:paraId="2DD2BF30">
            <w:pPr>
              <w:keepNext w:val="0"/>
              <w:keepLines w:val="0"/>
              <w:pageBreakBefore w:val="0"/>
              <w:widowControl/>
              <w:shd w:val="clear" w:color="auto" w:fill="FFFFFF"/>
              <w:kinsoku/>
              <w:wordWrap/>
              <w:overflowPunct/>
              <w:topLinePunct w:val="0"/>
              <w:bidi w:val="0"/>
              <w:snapToGrid/>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遇极端天气尾矿库未及时停止作业、撤出现场作业人员。</w:t>
            </w:r>
          </w:p>
        </w:tc>
        <w:tc>
          <w:tcPr>
            <w:tcW w:w="1823" w:type="dxa"/>
            <w:noWrap w:val="0"/>
            <w:vAlign w:val="center"/>
          </w:tcPr>
          <w:p w14:paraId="13015B1F">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无此现象</w:t>
            </w:r>
            <w:r>
              <w:rPr>
                <w:rFonts w:hint="default" w:ascii="Times New Roman" w:hAnsi="Times New Roman" w:eastAsia="宋体" w:cs="Times New Roman"/>
                <w:color w:val="auto"/>
                <w:kern w:val="0"/>
                <w:sz w:val="21"/>
                <w:szCs w:val="21"/>
                <w:lang w:eastAsia="zh-CN"/>
              </w:rPr>
              <w:t>。</w:t>
            </w:r>
          </w:p>
        </w:tc>
        <w:tc>
          <w:tcPr>
            <w:tcW w:w="1373" w:type="dxa"/>
            <w:noWrap w:val="0"/>
            <w:vAlign w:val="center"/>
          </w:tcPr>
          <w:p w14:paraId="72C1E539">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无重大隐患</w:t>
            </w:r>
          </w:p>
        </w:tc>
      </w:tr>
    </w:tbl>
    <w:p w14:paraId="18232F28">
      <w:pPr>
        <w:bidi w:val="0"/>
        <w:rPr>
          <w:rFonts w:hint="eastAsia"/>
          <w:color w:val="auto"/>
          <w:lang w:eastAsia="zh-CN"/>
        </w:rPr>
      </w:pPr>
      <w:r>
        <w:rPr>
          <w:rFonts w:hint="eastAsia"/>
          <w:color w:val="auto"/>
          <w:lang w:eastAsia="zh-CN"/>
        </w:rPr>
        <w:t>经现场检查，</w:t>
      </w:r>
      <w:r>
        <w:rPr>
          <w:rFonts w:hint="eastAsia"/>
        </w:rPr>
        <w:t>三号（氰化渣）尾矿库</w:t>
      </w:r>
      <w:r>
        <w:rPr>
          <w:rFonts w:hint="eastAsia"/>
          <w:color w:val="auto"/>
          <w:lang w:eastAsia="zh-CN"/>
        </w:rPr>
        <w:t>不存在重大事故隐患。</w:t>
      </w:r>
    </w:p>
    <w:p w14:paraId="10FE1E52">
      <w:pPr>
        <w:pStyle w:val="3"/>
        <w:bidi w:val="0"/>
        <w:rPr>
          <w:rFonts w:hint="eastAsia"/>
          <w:color w:val="auto"/>
          <w:lang w:eastAsia="zh-CN"/>
        </w:rPr>
      </w:pPr>
      <w:bookmarkStart w:id="386" w:name="_Toc2288"/>
      <w:bookmarkStart w:id="387" w:name="_Toc3042"/>
      <w:bookmarkStart w:id="388" w:name="_Toc17353"/>
      <w:bookmarkStart w:id="389" w:name="_Toc12774"/>
      <w:bookmarkStart w:id="390" w:name="_Toc15145"/>
      <w:bookmarkStart w:id="391" w:name="_Toc31267"/>
      <w:bookmarkStart w:id="392" w:name="_Toc11633"/>
      <w:bookmarkStart w:id="393" w:name="_Toc23979"/>
      <w:r>
        <w:rPr>
          <w:rFonts w:hint="eastAsia"/>
          <w:color w:val="auto"/>
          <w:lang w:eastAsia="zh-CN"/>
        </w:rPr>
        <w:t>3.4</w:t>
      </w:r>
      <w:r>
        <w:rPr>
          <w:rFonts w:hint="eastAsia"/>
          <w:color w:val="auto"/>
          <w:lang w:val="en-US" w:eastAsia="zh-CN"/>
        </w:rPr>
        <w:t xml:space="preserve"> </w:t>
      </w:r>
      <w:r>
        <w:rPr>
          <w:rFonts w:hint="eastAsia"/>
          <w:color w:val="auto"/>
          <w:lang w:eastAsia="zh-CN"/>
        </w:rPr>
        <w:t>危险、有害因素分析结果</w:t>
      </w:r>
      <w:bookmarkEnd w:id="386"/>
      <w:bookmarkEnd w:id="387"/>
      <w:bookmarkEnd w:id="388"/>
      <w:bookmarkEnd w:id="389"/>
      <w:bookmarkEnd w:id="390"/>
      <w:bookmarkEnd w:id="391"/>
      <w:bookmarkEnd w:id="392"/>
      <w:bookmarkEnd w:id="393"/>
    </w:p>
    <w:p w14:paraId="77B80D2F">
      <w:pPr>
        <w:pStyle w:val="4"/>
        <w:bidi w:val="0"/>
        <w:rPr>
          <w:rFonts w:hint="eastAsia"/>
          <w:color w:val="auto"/>
          <w:lang w:eastAsia="zh-CN"/>
        </w:rPr>
      </w:pPr>
      <w:bookmarkStart w:id="394" w:name="_Toc9061"/>
      <w:bookmarkStart w:id="395" w:name="_Toc28947"/>
      <w:bookmarkStart w:id="396" w:name="_Toc2126"/>
      <w:bookmarkStart w:id="397" w:name="_Toc9160"/>
      <w:bookmarkStart w:id="398" w:name="_Toc29225"/>
      <w:bookmarkStart w:id="399" w:name="_Toc18534"/>
      <w:bookmarkStart w:id="400" w:name="_Toc10745"/>
      <w:bookmarkStart w:id="401" w:name="_Toc26704"/>
      <w:r>
        <w:rPr>
          <w:rFonts w:hint="eastAsia"/>
          <w:color w:val="auto"/>
          <w:lang w:eastAsia="zh-CN"/>
        </w:rPr>
        <w:t>3.4.1</w:t>
      </w:r>
      <w:r>
        <w:rPr>
          <w:rFonts w:hint="eastAsia"/>
          <w:color w:val="auto"/>
          <w:lang w:val="en-US" w:eastAsia="zh-CN"/>
        </w:rPr>
        <w:t xml:space="preserve"> </w:t>
      </w:r>
      <w:r>
        <w:rPr>
          <w:rFonts w:hint="eastAsia"/>
          <w:color w:val="auto"/>
          <w:lang w:eastAsia="zh-CN"/>
        </w:rPr>
        <w:t>危险、有害因素产生的原因</w:t>
      </w:r>
      <w:bookmarkEnd w:id="394"/>
      <w:bookmarkEnd w:id="395"/>
      <w:bookmarkEnd w:id="396"/>
      <w:bookmarkEnd w:id="397"/>
      <w:bookmarkEnd w:id="398"/>
      <w:bookmarkEnd w:id="399"/>
      <w:bookmarkEnd w:id="400"/>
      <w:bookmarkEnd w:id="401"/>
    </w:p>
    <w:p w14:paraId="6B16804A">
      <w:pPr>
        <w:rPr>
          <w:rFonts w:hint="eastAsia"/>
          <w:color w:val="auto"/>
          <w:lang w:eastAsia="zh-CN"/>
        </w:rPr>
      </w:pPr>
      <w:r>
        <w:rPr>
          <w:rFonts w:hint="eastAsia" w:eastAsia="宋体"/>
          <w:color w:val="auto"/>
          <w:lang w:eastAsia="zh-CN"/>
        </w:rPr>
        <w:t>1.</w:t>
      </w:r>
      <w:r>
        <w:rPr>
          <w:rFonts w:hint="eastAsia" w:ascii="Times New Roman" w:eastAsia="宋体"/>
          <w:color w:val="auto"/>
          <w:lang w:val="en-US" w:eastAsia="zh-CN"/>
        </w:rPr>
        <w:t xml:space="preserve"> </w:t>
      </w:r>
      <w:r>
        <w:rPr>
          <w:rFonts w:hint="eastAsia" w:eastAsia="宋体"/>
          <w:color w:val="auto"/>
          <w:lang w:eastAsia="zh-CN"/>
        </w:rPr>
        <w:t>勘察因素造成；</w:t>
      </w:r>
    </w:p>
    <w:p w14:paraId="1CDA25EF">
      <w:pPr>
        <w:rPr>
          <w:rFonts w:hint="eastAsia"/>
          <w:color w:val="auto"/>
          <w:lang w:eastAsia="zh-CN"/>
        </w:rPr>
      </w:pPr>
      <w:r>
        <w:rPr>
          <w:rFonts w:hint="eastAsia" w:eastAsia="宋体"/>
          <w:color w:val="auto"/>
          <w:lang w:eastAsia="zh-CN"/>
        </w:rPr>
        <w:t>2.</w:t>
      </w:r>
      <w:r>
        <w:rPr>
          <w:rFonts w:hint="eastAsia" w:ascii="Times New Roman" w:eastAsia="宋体"/>
          <w:color w:val="auto"/>
          <w:lang w:val="en-US" w:eastAsia="zh-CN"/>
        </w:rPr>
        <w:t xml:space="preserve"> </w:t>
      </w:r>
      <w:r>
        <w:rPr>
          <w:rFonts w:hint="eastAsia" w:eastAsia="宋体"/>
          <w:color w:val="auto"/>
          <w:lang w:eastAsia="zh-CN"/>
        </w:rPr>
        <w:t>设计因素造成；</w:t>
      </w:r>
    </w:p>
    <w:p w14:paraId="3D42350F">
      <w:pPr>
        <w:rPr>
          <w:rFonts w:hint="eastAsia"/>
          <w:color w:val="auto"/>
          <w:lang w:eastAsia="zh-CN"/>
        </w:rPr>
      </w:pPr>
      <w:r>
        <w:rPr>
          <w:rFonts w:hint="eastAsia" w:eastAsia="宋体"/>
          <w:color w:val="auto"/>
          <w:lang w:eastAsia="zh-CN"/>
        </w:rPr>
        <w:t>3.</w:t>
      </w:r>
      <w:r>
        <w:rPr>
          <w:rFonts w:hint="eastAsia" w:ascii="Times New Roman" w:eastAsia="宋体"/>
          <w:color w:val="auto"/>
          <w:lang w:val="en-US" w:eastAsia="zh-CN"/>
        </w:rPr>
        <w:t xml:space="preserve"> </w:t>
      </w:r>
      <w:r>
        <w:rPr>
          <w:rFonts w:hint="eastAsia" w:eastAsia="宋体"/>
          <w:color w:val="auto"/>
          <w:lang w:eastAsia="zh-CN"/>
        </w:rPr>
        <w:t>施工因素造成；</w:t>
      </w:r>
    </w:p>
    <w:p w14:paraId="24513847">
      <w:pPr>
        <w:rPr>
          <w:rFonts w:hint="eastAsia"/>
          <w:color w:val="auto"/>
          <w:lang w:eastAsia="zh-CN"/>
        </w:rPr>
      </w:pPr>
      <w:r>
        <w:rPr>
          <w:rFonts w:hint="eastAsia" w:eastAsia="宋体"/>
          <w:color w:val="auto"/>
          <w:lang w:eastAsia="zh-CN"/>
        </w:rPr>
        <w:t>4.</w:t>
      </w:r>
      <w:r>
        <w:rPr>
          <w:rFonts w:hint="eastAsia" w:ascii="Times New Roman" w:eastAsia="宋体"/>
          <w:color w:val="auto"/>
          <w:lang w:val="en-US" w:eastAsia="zh-CN"/>
        </w:rPr>
        <w:t xml:space="preserve"> </w:t>
      </w:r>
      <w:r>
        <w:rPr>
          <w:rFonts w:hint="eastAsia" w:eastAsia="宋体"/>
          <w:color w:val="auto"/>
          <w:lang w:eastAsia="zh-CN"/>
        </w:rPr>
        <w:t>操作管理不当造成；</w:t>
      </w:r>
    </w:p>
    <w:p w14:paraId="242CB4D3">
      <w:pPr>
        <w:rPr>
          <w:rFonts w:hint="eastAsia"/>
          <w:color w:val="auto"/>
          <w:lang w:eastAsia="zh-CN"/>
        </w:rPr>
      </w:pPr>
      <w:r>
        <w:rPr>
          <w:rFonts w:hint="eastAsia" w:eastAsia="宋体"/>
          <w:color w:val="auto"/>
          <w:lang w:eastAsia="zh-CN"/>
        </w:rPr>
        <w:t>5.</w:t>
      </w:r>
      <w:r>
        <w:rPr>
          <w:rFonts w:hint="eastAsia" w:ascii="Times New Roman" w:eastAsia="宋体"/>
          <w:color w:val="auto"/>
          <w:lang w:val="en-US" w:eastAsia="zh-CN"/>
        </w:rPr>
        <w:t xml:space="preserve"> </w:t>
      </w:r>
      <w:r>
        <w:rPr>
          <w:rFonts w:hint="eastAsia" w:eastAsia="宋体"/>
          <w:color w:val="auto"/>
          <w:lang w:eastAsia="zh-CN"/>
        </w:rPr>
        <w:t>其他因素造成。</w:t>
      </w:r>
    </w:p>
    <w:p w14:paraId="5BD17523">
      <w:pPr>
        <w:pStyle w:val="4"/>
        <w:bidi w:val="0"/>
        <w:rPr>
          <w:rFonts w:hint="eastAsia"/>
          <w:color w:val="auto"/>
          <w:lang w:eastAsia="zh-CN"/>
        </w:rPr>
      </w:pPr>
      <w:bookmarkStart w:id="402" w:name="_Toc9780"/>
      <w:bookmarkStart w:id="403" w:name="_Toc2627"/>
      <w:bookmarkStart w:id="404" w:name="_Toc8642"/>
      <w:bookmarkStart w:id="405" w:name="_Toc25310"/>
      <w:bookmarkStart w:id="406" w:name="_Toc26638"/>
      <w:bookmarkStart w:id="407" w:name="_Toc24140"/>
      <w:bookmarkStart w:id="408" w:name="_Toc3410"/>
      <w:r>
        <w:rPr>
          <w:rFonts w:hint="eastAsia"/>
          <w:color w:val="auto"/>
          <w:lang w:eastAsia="zh-CN"/>
        </w:rPr>
        <w:t>3.4.2</w:t>
      </w:r>
      <w:r>
        <w:rPr>
          <w:rFonts w:hint="eastAsia"/>
          <w:color w:val="auto"/>
          <w:lang w:val="en-US" w:eastAsia="zh-CN"/>
        </w:rPr>
        <w:t xml:space="preserve"> </w:t>
      </w:r>
      <w:r>
        <w:rPr>
          <w:rFonts w:hint="eastAsia"/>
          <w:color w:val="auto"/>
          <w:lang w:eastAsia="zh-CN"/>
        </w:rPr>
        <w:t>危险、有害因素分析结果</w:t>
      </w:r>
      <w:bookmarkEnd w:id="402"/>
      <w:bookmarkEnd w:id="403"/>
      <w:bookmarkEnd w:id="404"/>
      <w:bookmarkEnd w:id="405"/>
      <w:bookmarkEnd w:id="406"/>
      <w:bookmarkEnd w:id="407"/>
      <w:bookmarkEnd w:id="408"/>
    </w:p>
    <w:p w14:paraId="037890AB">
      <w:pPr>
        <w:rPr>
          <w:rFonts w:hint="eastAsia"/>
          <w:color w:val="auto"/>
          <w:lang w:eastAsia="zh-CN"/>
        </w:rPr>
      </w:pPr>
      <w:r>
        <w:rPr>
          <w:rFonts w:hint="eastAsia" w:eastAsia="宋体"/>
          <w:color w:val="auto"/>
          <w:lang w:eastAsia="zh-CN"/>
        </w:rPr>
        <w:t>1.</w:t>
      </w:r>
      <w:r>
        <w:rPr>
          <w:rFonts w:hint="eastAsia" w:ascii="Times New Roman" w:eastAsia="宋体"/>
          <w:color w:val="auto"/>
          <w:lang w:val="en-US" w:eastAsia="zh-CN"/>
        </w:rPr>
        <w:t xml:space="preserve"> </w:t>
      </w:r>
      <w:r>
        <w:rPr>
          <w:rFonts w:hint="eastAsia"/>
        </w:rPr>
        <w:t>三号（氰化渣）尾矿库</w:t>
      </w:r>
      <w:r>
        <w:rPr>
          <w:rFonts w:hint="eastAsia" w:eastAsia="宋体"/>
          <w:color w:val="auto"/>
          <w:lang w:eastAsia="zh-CN"/>
        </w:rPr>
        <w:t>暂不属于重大危险源，不存在重大事故隐患。</w:t>
      </w:r>
    </w:p>
    <w:p w14:paraId="46A23F9E">
      <w:pPr>
        <w:rPr>
          <w:rFonts w:hint="eastAsia" w:eastAsia="宋体"/>
          <w:color w:val="auto"/>
          <w:lang w:eastAsia="zh-CN"/>
        </w:rPr>
      </w:pPr>
      <w:r>
        <w:rPr>
          <w:rFonts w:hint="eastAsia" w:eastAsia="宋体"/>
          <w:color w:val="auto"/>
          <w:lang w:eastAsia="zh-CN"/>
        </w:rPr>
        <w:t>2.</w:t>
      </w:r>
      <w:r>
        <w:rPr>
          <w:rFonts w:hint="eastAsia" w:ascii="Times New Roman" w:eastAsia="宋体"/>
          <w:color w:val="auto"/>
          <w:lang w:val="en-US" w:eastAsia="zh-CN"/>
        </w:rPr>
        <w:t xml:space="preserve"> </w:t>
      </w:r>
      <w:r>
        <w:rPr>
          <w:rFonts w:hint="eastAsia"/>
        </w:rPr>
        <w:t>三号（氰化渣）尾矿库</w:t>
      </w:r>
      <w:r>
        <w:rPr>
          <w:rFonts w:hint="eastAsia" w:eastAsia="宋体"/>
          <w:color w:val="auto"/>
          <w:lang w:eastAsia="zh-CN"/>
        </w:rPr>
        <w:t>可能存在：滑坡（坝坡失稳），洪水漫顶，渗漏，排水、泄洪构筑物破坏，调洪库容不足，裂缝，淹溺，高处坠落，库区山体滑坡、塌方和泥石流，不良环境因素及其他因素造成的病害。</w:t>
      </w:r>
    </w:p>
    <w:p w14:paraId="00ED0383">
      <w:pPr>
        <w:rPr>
          <w:rFonts w:hint="eastAsia" w:eastAsia="宋体"/>
          <w:color w:val="auto"/>
          <w:lang w:eastAsia="zh-CN"/>
        </w:rPr>
      </w:pPr>
      <w:r>
        <w:rPr>
          <w:rFonts w:hint="eastAsia" w:eastAsia="宋体"/>
          <w:color w:val="auto"/>
          <w:lang w:eastAsia="zh-CN"/>
        </w:rPr>
        <w:br w:type="page"/>
      </w:r>
    </w:p>
    <w:p w14:paraId="5528C609">
      <w:pPr>
        <w:pStyle w:val="2"/>
        <w:numPr>
          <w:ilvl w:val="0"/>
          <w:numId w:val="4"/>
        </w:numPr>
        <w:bidi w:val="0"/>
        <w:rPr>
          <w:rFonts w:hint="eastAsia"/>
          <w:color w:val="auto"/>
          <w:lang w:eastAsia="zh-CN"/>
        </w:rPr>
      </w:pPr>
      <w:bookmarkStart w:id="409" w:name="_Toc9251"/>
      <w:bookmarkStart w:id="410" w:name="_Toc23423"/>
      <w:bookmarkStart w:id="411" w:name="_Toc13614"/>
      <w:bookmarkStart w:id="412" w:name="_Toc799"/>
      <w:bookmarkStart w:id="413" w:name="_Toc7982"/>
      <w:r>
        <w:rPr>
          <w:rFonts w:hint="eastAsia"/>
          <w:color w:val="auto"/>
          <w:lang w:eastAsia="zh-CN"/>
        </w:rPr>
        <w:t>安全评价单元划分和选择</w:t>
      </w:r>
      <w:bookmarkEnd w:id="409"/>
      <w:bookmarkEnd w:id="410"/>
      <w:bookmarkEnd w:id="411"/>
      <w:bookmarkEnd w:id="412"/>
      <w:bookmarkEnd w:id="413"/>
    </w:p>
    <w:p w14:paraId="4D8096BA">
      <w:pPr>
        <w:pStyle w:val="3"/>
        <w:bidi w:val="0"/>
        <w:rPr>
          <w:rFonts w:hint="eastAsia"/>
          <w:color w:val="auto"/>
          <w:lang w:eastAsia="zh-CN"/>
        </w:rPr>
      </w:pPr>
      <w:bookmarkStart w:id="414" w:name="_Toc15864"/>
      <w:bookmarkStart w:id="415" w:name="_Toc30305"/>
      <w:bookmarkStart w:id="416" w:name="_Toc15201"/>
      <w:bookmarkStart w:id="417" w:name="_Toc28004"/>
      <w:bookmarkStart w:id="418" w:name="_Toc30676"/>
      <w:bookmarkStart w:id="419" w:name="_Toc6223"/>
      <w:bookmarkStart w:id="420" w:name="_Toc26338"/>
      <w:bookmarkStart w:id="421" w:name="_Toc7799"/>
      <w:r>
        <w:rPr>
          <w:rFonts w:hint="eastAsia"/>
          <w:color w:val="auto"/>
          <w:lang w:eastAsia="zh-CN"/>
        </w:rPr>
        <w:t>4.1</w:t>
      </w:r>
      <w:r>
        <w:rPr>
          <w:rFonts w:hint="eastAsia"/>
          <w:color w:val="auto"/>
          <w:lang w:val="en-US" w:eastAsia="zh-CN"/>
        </w:rPr>
        <w:t xml:space="preserve"> </w:t>
      </w:r>
      <w:r>
        <w:rPr>
          <w:rFonts w:hint="eastAsia"/>
          <w:color w:val="auto"/>
          <w:lang w:eastAsia="zh-CN"/>
        </w:rPr>
        <w:t>评价单元划分</w:t>
      </w:r>
      <w:bookmarkEnd w:id="414"/>
      <w:bookmarkEnd w:id="415"/>
      <w:bookmarkEnd w:id="416"/>
      <w:bookmarkEnd w:id="417"/>
      <w:bookmarkEnd w:id="418"/>
      <w:bookmarkEnd w:id="419"/>
      <w:bookmarkEnd w:id="420"/>
      <w:bookmarkEnd w:id="421"/>
    </w:p>
    <w:p w14:paraId="7A2AE420">
      <w:pPr>
        <w:bidi w:val="0"/>
        <w:rPr>
          <w:rFonts w:hint="eastAsia"/>
          <w:color w:val="auto"/>
          <w:lang w:eastAsia="zh-CN"/>
        </w:rPr>
      </w:pPr>
      <w:r>
        <w:rPr>
          <w:rFonts w:hint="eastAsia" w:eastAsia="宋体"/>
          <w:color w:val="auto"/>
          <w:lang w:eastAsia="zh-CN"/>
        </w:rPr>
        <w:t>按照评价单元划分原则和方法，考虑该尾矿库实际情况和尾矿库中危险、有害因素的危害程度，划分为以下</w:t>
      </w:r>
      <w:r>
        <w:rPr>
          <w:rFonts w:hint="eastAsia" w:ascii="Times New Roman" w:eastAsia="宋体"/>
          <w:color w:val="auto"/>
          <w:lang w:val="en-US" w:eastAsia="zh-CN"/>
        </w:rPr>
        <w:t>六</w:t>
      </w:r>
      <w:r>
        <w:rPr>
          <w:rFonts w:hint="eastAsia" w:eastAsia="宋体"/>
          <w:color w:val="auto"/>
          <w:lang w:eastAsia="zh-CN"/>
        </w:rPr>
        <w:t>个单元：</w:t>
      </w:r>
    </w:p>
    <w:p w14:paraId="27CCC3D4">
      <w:pPr>
        <w:numPr>
          <w:ilvl w:val="0"/>
          <w:numId w:val="5"/>
        </w:numPr>
        <w:bidi w:val="0"/>
        <w:rPr>
          <w:rFonts w:hint="eastAsia"/>
          <w:color w:val="auto"/>
          <w:lang w:eastAsia="zh-CN"/>
        </w:rPr>
      </w:pPr>
      <w:r>
        <w:rPr>
          <w:rFonts w:hint="eastAsia" w:eastAsia="宋体"/>
          <w:color w:val="auto"/>
          <w:lang w:eastAsia="zh-CN"/>
        </w:rPr>
        <w:t>综合安全管理单元</w:t>
      </w:r>
    </w:p>
    <w:p w14:paraId="1AB91223">
      <w:pPr>
        <w:numPr>
          <w:ilvl w:val="0"/>
          <w:numId w:val="5"/>
        </w:numPr>
        <w:bidi w:val="0"/>
        <w:ind w:left="0" w:leftChars="0" w:firstLine="560" w:firstLineChars="200"/>
        <w:rPr>
          <w:rFonts w:hint="eastAsia"/>
          <w:color w:val="auto"/>
          <w:lang w:eastAsia="zh-CN"/>
        </w:rPr>
      </w:pPr>
      <w:r>
        <w:rPr>
          <w:rFonts w:hint="eastAsia" w:eastAsia="宋体"/>
          <w:color w:val="auto"/>
          <w:lang w:eastAsia="zh-CN"/>
        </w:rPr>
        <w:t>尾矿坝单元</w:t>
      </w:r>
    </w:p>
    <w:p w14:paraId="7EEDEBE2">
      <w:pPr>
        <w:numPr>
          <w:ilvl w:val="0"/>
          <w:numId w:val="5"/>
        </w:numPr>
        <w:bidi w:val="0"/>
        <w:ind w:left="0" w:leftChars="0" w:firstLine="560" w:firstLineChars="200"/>
        <w:rPr>
          <w:rFonts w:hint="eastAsia"/>
          <w:color w:val="auto"/>
          <w:lang w:eastAsia="zh-CN"/>
        </w:rPr>
      </w:pPr>
      <w:r>
        <w:rPr>
          <w:rFonts w:hint="eastAsia" w:eastAsia="宋体"/>
          <w:color w:val="auto"/>
          <w:lang w:eastAsia="zh-CN"/>
        </w:rPr>
        <w:t>防排洪系统单元</w:t>
      </w:r>
    </w:p>
    <w:p w14:paraId="20FA850D">
      <w:pPr>
        <w:numPr>
          <w:ilvl w:val="0"/>
          <w:numId w:val="5"/>
        </w:numPr>
        <w:bidi w:val="0"/>
        <w:ind w:left="0" w:leftChars="0" w:firstLine="560" w:firstLineChars="200"/>
        <w:rPr>
          <w:rFonts w:hint="eastAsia"/>
          <w:color w:val="auto"/>
          <w:lang w:eastAsia="zh-CN"/>
        </w:rPr>
      </w:pPr>
      <w:r>
        <w:rPr>
          <w:rFonts w:hint="eastAsia" w:eastAsia="宋体"/>
          <w:color w:val="auto"/>
          <w:lang w:eastAsia="zh-CN"/>
        </w:rPr>
        <w:t>安全监测设施单元</w:t>
      </w:r>
    </w:p>
    <w:p w14:paraId="056B7372">
      <w:pPr>
        <w:numPr>
          <w:ilvl w:val="0"/>
          <w:numId w:val="5"/>
        </w:numPr>
        <w:bidi w:val="0"/>
        <w:ind w:left="0" w:leftChars="0" w:firstLine="560" w:firstLineChars="200"/>
        <w:rPr>
          <w:rFonts w:hint="eastAsia"/>
          <w:color w:val="auto"/>
          <w:lang w:eastAsia="zh-CN"/>
        </w:rPr>
      </w:pPr>
      <w:r>
        <w:rPr>
          <w:rFonts w:hint="eastAsia" w:eastAsia="宋体"/>
          <w:color w:val="auto"/>
          <w:lang w:eastAsia="zh-CN"/>
        </w:rPr>
        <w:t>库区环境单元</w:t>
      </w:r>
    </w:p>
    <w:p w14:paraId="10D104CF">
      <w:pPr>
        <w:numPr>
          <w:ilvl w:val="0"/>
          <w:numId w:val="5"/>
        </w:numPr>
        <w:bidi w:val="0"/>
        <w:ind w:left="0" w:leftChars="0" w:firstLine="560" w:firstLineChars="200"/>
        <w:rPr>
          <w:rFonts w:hint="eastAsia"/>
          <w:color w:val="auto"/>
          <w:lang w:eastAsia="zh-CN"/>
        </w:rPr>
      </w:pPr>
      <w:r>
        <w:rPr>
          <w:rFonts w:hint="eastAsia" w:eastAsia="宋体"/>
          <w:color w:val="auto"/>
          <w:lang w:eastAsia="zh-CN"/>
        </w:rPr>
        <w:t>辅助设施单元</w:t>
      </w:r>
    </w:p>
    <w:p w14:paraId="09859462">
      <w:pPr>
        <w:pStyle w:val="3"/>
        <w:bidi w:val="0"/>
        <w:rPr>
          <w:rFonts w:hint="eastAsia"/>
          <w:color w:val="auto"/>
          <w:lang w:eastAsia="zh-CN"/>
        </w:rPr>
      </w:pPr>
      <w:bookmarkStart w:id="422" w:name="_Toc17657"/>
      <w:bookmarkStart w:id="423" w:name="_Toc20394"/>
      <w:bookmarkStart w:id="424" w:name="_Toc16459"/>
      <w:bookmarkStart w:id="425" w:name="_Toc17550"/>
      <w:bookmarkStart w:id="426" w:name="_Toc31028"/>
      <w:bookmarkStart w:id="427" w:name="_Toc15391"/>
      <w:bookmarkStart w:id="428" w:name="_Toc3876"/>
      <w:bookmarkStart w:id="429" w:name="_Toc13654"/>
      <w:r>
        <w:rPr>
          <w:rFonts w:hint="eastAsia"/>
          <w:color w:val="auto"/>
          <w:lang w:eastAsia="zh-CN"/>
        </w:rPr>
        <w:t>4.2</w:t>
      </w:r>
      <w:r>
        <w:rPr>
          <w:rFonts w:hint="eastAsia"/>
          <w:color w:val="auto"/>
          <w:lang w:val="en-US" w:eastAsia="zh-CN"/>
        </w:rPr>
        <w:t xml:space="preserve"> </w:t>
      </w:r>
      <w:r>
        <w:rPr>
          <w:rFonts w:hint="eastAsia"/>
          <w:color w:val="auto"/>
          <w:lang w:eastAsia="zh-CN"/>
        </w:rPr>
        <w:t>评价方法选择</w:t>
      </w:r>
      <w:bookmarkEnd w:id="422"/>
      <w:bookmarkEnd w:id="423"/>
      <w:bookmarkEnd w:id="424"/>
      <w:bookmarkEnd w:id="425"/>
      <w:bookmarkEnd w:id="426"/>
      <w:bookmarkEnd w:id="427"/>
      <w:bookmarkEnd w:id="428"/>
      <w:bookmarkEnd w:id="429"/>
    </w:p>
    <w:p w14:paraId="6FA6B311">
      <w:pPr>
        <w:bidi w:val="0"/>
        <w:rPr>
          <w:rFonts w:hint="eastAsia"/>
          <w:color w:val="auto"/>
          <w:lang w:eastAsia="zh-CN"/>
        </w:rPr>
      </w:pPr>
      <w:r>
        <w:rPr>
          <w:rFonts w:hint="eastAsia" w:eastAsia="宋体"/>
          <w:color w:val="auto"/>
          <w:lang w:eastAsia="zh-CN"/>
        </w:rPr>
        <w:t>安全评价方法是对系统的危险、有害因素及其危险、危害程度进行定性、定量的分析、评价的方法。评价方法的选择是根据评价的特点、具体条件和需要，考虑评价对象的特征以及评价方法的特点而确定的。根据该尾矿库危险、有害因素的特征以及安全评价导则的要求，本评价报告采用尾矿库调洪演算、坝体稳定计算、安全检查法</w:t>
      </w:r>
      <w:r>
        <w:rPr>
          <w:rFonts w:hint="eastAsia" w:ascii="Times New Roman" w:eastAsia="宋体"/>
          <w:color w:val="auto"/>
          <w:lang w:val="en-US" w:eastAsia="zh-CN"/>
        </w:rPr>
        <w:t>和安全检查表法</w:t>
      </w:r>
      <w:r>
        <w:rPr>
          <w:rFonts w:hint="eastAsia" w:eastAsia="宋体"/>
          <w:color w:val="auto"/>
          <w:lang w:eastAsia="zh-CN"/>
        </w:rPr>
        <w:t>。</w:t>
      </w:r>
    </w:p>
    <w:p w14:paraId="38CEEAF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pacing w:val="10"/>
          <w:kern w:val="0"/>
          <w:szCs w:val="28"/>
        </w:rPr>
      </w:pPr>
      <w:r>
        <w:rPr>
          <w:rFonts w:ascii="Times New Roman" w:hAnsi="Times New Roman" w:eastAsia="宋体" w:cs="Times New Roman"/>
          <w:color w:val="auto"/>
          <w:szCs w:val="28"/>
        </w:rPr>
        <w:t>表4</w:t>
      </w:r>
      <w:r>
        <w:rPr>
          <w:rFonts w:hint="eastAsia" w:cs="Times New Roman"/>
          <w:color w:val="auto"/>
          <w:szCs w:val="28"/>
          <w:lang w:val="en-US" w:eastAsia="zh-CN"/>
        </w:rPr>
        <w:t>.2</w:t>
      </w:r>
      <w:r>
        <w:rPr>
          <w:rFonts w:hint="eastAsia" w:ascii="Times New Roman" w:hAnsi="Times New Roman" w:eastAsia="宋体" w:cs="Times New Roman"/>
          <w:color w:val="auto"/>
          <w:szCs w:val="28"/>
        </w:rPr>
        <w:t>-</w:t>
      </w:r>
      <w:r>
        <w:rPr>
          <w:rFonts w:ascii="Times New Roman" w:hAnsi="Times New Roman" w:eastAsia="宋体" w:cs="Times New Roman"/>
          <w:color w:val="auto"/>
          <w:szCs w:val="28"/>
        </w:rPr>
        <w:t>1</w:t>
      </w:r>
      <w:r>
        <w:rPr>
          <w:rFonts w:hint="eastAsia" w:ascii="Times New Roman" w:hAnsi="Times New Roman" w:eastAsia="宋体" w:cs="Times New Roman"/>
          <w:color w:val="auto"/>
          <w:szCs w:val="28"/>
          <w:lang w:val="en-US" w:eastAsia="zh-CN"/>
        </w:rPr>
        <w:t xml:space="preserve"> </w:t>
      </w:r>
      <w:r>
        <w:rPr>
          <w:rFonts w:ascii="Times New Roman" w:hAnsi="Times New Roman" w:eastAsia="宋体" w:cs="Times New Roman"/>
          <w:color w:val="auto"/>
          <w:szCs w:val="28"/>
        </w:rPr>
        <w:t>评价方法一览表</w:t>
      </w:r>
    </w:p>
    <w:tbl>
      <w:tblPr>
        <w:tblStyle w:val="20"/>
        <w:tblW w:w="0" w:type="auto"/>
        <w:tblInd w:w="4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76"/>
        <w:gridCol w:w="5956"/>
      </w:tblGrid>
      <w:tr w14:paraId="7A1BF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1" w:hRule="atLeast"/>
        </w:trPr>
        <w:tc>
          <w:tcPr>
            <w:tcW w:w="1976" w:type="dxa"/>
            <w:noWrap w:val="0"/>
            <w:vAlign w:val="center"/>
          </w:tcPr>
          <w:p w14:paraId="2476DF7B">
            <w:pPr>
              <w:autoSpaceDE w:val="0"/>
              <w:autoSpaceDN w:val="0"/>
              <w:spacing w:line="320" w:lineRule="exact"/>
              <w:ind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评价单元</w:t>
            </w:r>
          </w:p>
        </w:tc>
        <w:tc>
          <w:tcPr>
            <w:tcW w:w="5956" w:type="dxa"/>
            <w:noWrap w:val="0"/>
            <w:vAlign w:val="center"/>
          </w:tcPr>
          <w:p w14:paraId="65D45031">
            <w:pPr>
              <w:autoSpaceDE w:val="0"/>
              <w:autoSpaceDN w:val="0"/>
              <w:spacing w:line="320" w:lineRule="exact"/>
              <w:ind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评价方法</w:t>
            </w:r>
          </w:p>
        </w:tc>
      </w:tr>
      <w:tr w14:paraId="1913C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trPr>
        <w:tc>
          <w:tcPr>
            <w:tcW w:w="1976" w:type="dxa"/>
            <w:noWrap w:val="0"/>
            <w:vAlign w:val="center"/>
          </w:tcPr>
          <w:p w14:paraId="51A89BFB">
            <w:pPr>
              <w:autoSpaceDE w:val="0"/>
              <w:autoSpaceDN w:val="0"/>
              <w:spacing w:line="320" w:lineRule="exact"/>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综合安全管理</w:t>
            </w:r>
          </w:p>
        </w:tc>
        <w:tc>
          <w:tcPr>
            <w:tcW w:w="5956" w:type="dxa"/>
            <w:noWrap w:val="0"/>
            <w:vAlign w:val="center"/>
          </w:tcPr>
          <w:p w14:paraId="3D545099">
            <w:pPr>
              <w:autoSpaceDE w:val="0"/>
              <w:autoSpaceDN w:val="0"/>
              <w:spacing w:line="320" w:lineRule="exact"/>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安全检查表法</w:t>
            </w:r>
          </w:p>
        </w:tc>
      </w:tr>
      <w:tr w14:paraId="6E5F5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atLeast"/>
        </w:trPr>
        <w:tc>
          <w:tcPr>
            <w:tcW w:w="1976" w:type="dxa"/>
            <w:noWrap w:val="0"/>
            <w:vAlign w:val="center"/>
          </w:tcPr>
          <w:p w14:paraId="514F4645">
            <w:pPr>
              <w:autoSpaceDE w:val="0"/>
              <w:autoSpaceDN w:val="0"/>
              <w:spacing w:line="320" w:lineRule="exact"/>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尾矿坝</w:t>
            </w:r>
          </w:p>
        </w:tc>
        <w:tc>
          <w:tcPr>
            <w:tcW w:w="5956" w:type="dxa"/>
            <w:noWrap w:val="0"/>
            <w:vAlign w:val="center"/>
          </w:tcPr>
          <w:p w14:paraId="1A3C31B3">
            <w:pPr>
              <w:autoSpaceDE w:val="0"/>
              <w:autoSpaceDN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安全检查表法</w:t>
            </w:r>
            <w:r>
              <w:rPr>
                <w:rFonts w:hint="default" w:ascii="Times New Roman" w:hAnsi="Times New Roman" w:eastAsia="宋体" w:cs="Times New Roman"/>
                <w:color w:val="auto"/>
                <w:sz w:val="21"/>
                <w:szCs w:val="21"/>
              </w:rPr>
              <w:t>、坝体稳定计算</w:t>
            </w:r>
          </w:p>
        </w:tc>
      </w:tr>
      <w:tr w14:paraId="73F88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8" w:hRule="atLeast"/>
        </w:trPr>
        <w:tc>
          <w:tcPr>
            <w:tcW w:w="1976" w:type="dxa"/>
            <w:noWrap w:val="0"/>
            <w:vAlign w:val="center"/>
          </w:tcPr>
          <w:p w14:paraId="1219FAC9">
            <w:pPr>
              <w:autoSpaceDE w:val="0"/>
              <w:autoSpaceDN w:val="0"/>
              <w:spacing w:line="320" w:lineRule="exact"/>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防排洪系统</w:t>
            </w:r>
          </w:p>
        </w:tc>
        <w:tc>
          <w:tcPr>
            <w:tcW w:w="5956" w:type="dxa"/>
            <w:noWrap w:val="0"/>
            <w:vAlign w:val="center"/>
          </w:tcPr>
          <w:p w14:paraId="33D452F4">
            <w:pPr>
              <w:autoSpaceDE w:val="0"/>
              <w:autoSpaceDN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安全检查表法、</w:t>
            </w:r>
            <w:r>
              <w:rPr>
                <w:rFonts w:hint="default" w:ascii="Times New Roman" w:hAnsi="Times New Roman" w:eastAsia="宋体" w:cs="Times New Roman"/>
                <w:color w:val="auto"/>
                <w:sz w:val="21"/>
                <w:szCs w:val="21"/>
              </w:rPr>
              <w:t>尾矿库调洪演算</w:t>
            </w:r>
          </w:p>
        </w:tc>
      </w:tr>
      <w:tr w14:paraId="79CFB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4" w:hRule="atLeast"/>
        </w:trPr>
        <w:tc>
          <w:tcPr>
            <w:tcW w:w="1976" w:type="dxa"/>
            <w:noWrap w:val="0"/>
            <w:vAlign w:val="center"/>
          </w:tcPr>
          <w:p w14:paraId="67A71DD0">
            <w:pPr>
              <w:autoSpaceDE w:val="0"/>
              <w:autoSpaceDN w:val="0"/>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安全监测设施</w:t>
            </w:r>
          </w:p>
        </w:tc>
        <w:tc>
          <w:tcPr>
            <w:tcW w:w="5956" w:type="dxa"/>
            <w:noWrap w:val="0"/>
            <w:vAlign w:val="center"/>
          </w:tcPr>
          <w:p w14:paraId="75A49810">
            <w:pPr>
              <w:autoSpaceDE w:val="0"/>
              <w:autoSpaceDN w:val="0"/>
              <w:spacing w:line="320" w:lineRule="exact"/>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安全检查法</w:t>
            </w:r>
          </w:p>
        </w:tc>
      </w:tr>
      <w:tr w14:paraId="201C1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7" w:hRule="atLeast"/>
        </w:trPr>
        <w:tc>
          <w:tcPr>
            <w:tcW w:w="1976" w:type="dxa"/>
            <w:noWrap w:val="0"/>
            <w:vAlign w:val="center"/>
          </w:tcPr>
          <w:p w14:paraId="7DC5C64A">
            <w:pPr>
              <w:spacing w:line="320" w:lineRule="exac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库区环境</w:t>
            </w:r>
          </w:p>
        </w:tc>
        <w:tc>
          <w:tcPr>
            <w:tcW w:w="5956" w:type="dxa"/>
            <w:noWrap w:val="0"/>
            <w:vAlign w:val="center"/>
          </w:tcPr>
          <w:p w14:paraId="3F82A803">
            <w:pPr>
              <w:autoSpaceDE w:val="0"/>
              <w:autoSpaceDN w:val="0"/>
              <w:spacing w:line="320" w:lineRule="exact"/>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安全检查表法</w:t>
            </w:r>
          </w:p>
        </w:tc>
      </w:tr>
      <w:tr w14:paraId="0E6AE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8" w:hRule="atLeast"/>
        </w:trPr>
        <w:tc>
          <w:tcPr>
            <w:tcW w:w="1976" w:type="dxa"/>
            <w:noWrap w:val="0"/>
            <w:vAlign w:val="center"/>
          </w:tcPr>
          <w:p w14:paraId="50D4B1D5">
            <w:pPr>
              <w:spacing w:line="320" w:lineRule="exac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辅助设施</w:t>
            </w:r>
          </w:p>
        </w:tc>
        <w:tc>
          <w:tcPr>
            <w:tcW w:w="5956" w:type="dxa"/>
            <w:noWrap w:val="0"/>
            <w:vAlign w:val="center"/>
          </w:tcPr>
          <w:p w14:paraId="7B105CC7">
            <w:pPr>
              <w:autoSpaceDE w:val="0"/>
              <w:autoSpaceDN w:val="0"/>
              <w:spacing w:line="320" w:lineRule="exact"/>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安全检查法</w:t>
            </w:r>
          </w:p>
        </w:tc>
      </w:tr>
    </w:tbl>
    <w:p w14:paraId="3FBED007">
      <w:pPr>
        <w:rPr>
          <w:rFonts w:hint="eastAsia" w:ascii="Times New Roman" w:hAnsi="Times New Roman" w:eastAsia="黑体" w:cs="Times New Roman"/>
          <w:bCs/>
          <w:color w:val="auto"/>
          <w:szCs w:val="28"/>
        </w:rPr>
      </w:pPr>
    </w:p>
    <w:p w14:paraId="659225CE">
      <w:pPr>
        <w:rPr>
          <w:rFonts w:hint="eastAsia" w:ascii="Times New Roman" w:hAnsi="Times New Roman" w:eastAsia="黑体" w:cs="Times New Roman"/>
          <w:bCs/>
          <w:color w:val="auto"/>
          <w:szCs w:val="28"/>
        </w:rPr>
      </w:pPr>
      <w:r>
        <w:rPr>
          <w:rFonts w:hint="eastAsia" w:ascii="Times New Roman" w:hAnsi="Times New Roman" w:eastAsia="黑体" w:cs="Times New Roman"/>
          <w:bCs/>
          <w:color w:val="auto"/>
          <w:szCs w:val="28"/>
        </w:rPr>
        <w:br w:type="page"/>
      </w:r>
    </w:p>
    <w:p w14:paraId="79E91876">
      <w:pPr>
        <w:pStyle w:val="2"/>
        <w:numPr>
          <w:ilvl w:val="0"/>
          <w:numId w:val="4"/>
        </w:numPr>
        <w:bidi w:val="0"/>
        <w:rPr>
          <w:rFonts w:hint="eastAsia"/>
          <w:color w:val="auto"/>
          <w:lang w:eastAsia="zh-CN"/>
        </w:rPr>
      </w:pPr>
      <w:bookmarkStart w:id="430" w:name="_Toc8103"/>
      <w:bookmarkStart w:id="431" w:name="_Toc15886"/>
      <w:bookmarkStart w:id="432" w:name="_Toc21963"/>
      <w:bookmarkStart w:id="433" w:name="_Toc2444"/>
      <w:bookmarkStart w:id="434" w:name="_Toc29894"/>
      <w:r>
        <w:rPr>
          <w:rFonts w:hint="eastAsia"/>
          <w:color w:val="auto"/>
          <w:lang w:eastAsia="zh-CN"/>
        </w:rPr>
        <w:t>安全评价</w:t>
      </w:r>
      <w:bookmarkEnd w:id="430"/>
      <w:bookmarkEnd w:id="431"/>
      <w:bookmarkEnd w:id="432"/>
      <w:bookmarkEnd w:id="433"/>
      <w:bookmarkEnd w:id="434"/>
    </w:p>
    <w:p w14:paraId="4B24828A">
      <w:pPr>
        <w:pStyle w:val="3"/>
        <w:bidi w:val="0"/>
        <w:rPr>
          <w:rFonts w:hint="eastAsia"/>
          <w:color w:val="auto"/>
          <w:lang w:eastAsia="zh-CN"/>
        </w:rPr>
      </w:pPr>
      <w:bookmarkStart w:id="435" w:name="_Toc24562"/>
      <w:bookmarkStart w:id="436" w:name="_Toc511"/>
      <w:bookmarkStart w:id="437" w:name="_Toc26410"/>
      <w:bookmarkStart w:id="438" w:name="_Toc21528"/>
      <w:bookmarkStart w:id="439" w:name="_Toc12026"/>
      <w:bookmarkStart w:id="440" w:name="_Toc6519"/>
      <w:bookmarkStart w:id="441" w:name="_Toc9629"/>
      <w:bookmarkStart w:id="442" w:name="_Toc16240"/>
      <w:r>
        <w:rPr>
          <w:rFonts w:hint="eastAsia"/>
          <w:color w:val="auto"/>
          <w:lang w:eastAsia="zh-CN"/>
        </w:rPr>
        <w:t>5.1</w:t>
      </w:r>
      <w:r>
        <w:rPr>
          <w:rFonts w:hint="eastAsia"/>
          <w:color w:val="auto"/>
          <w:lang w:val="en-US" w:eastAsia="zh-CN"/>
        </w:rPr>
        <w:t xml:space="preserve"> </w:t>
      </w:r>
      <w:r>
        <w:rPr>
          <w:rFonts w:hint="eastAsia"/>
          <w:color w:val="auto"/>
          <w:lang w:eastAsia="zh-CN"/>
        </w:rPr>
        <w:t>综合安全管理单元</w:t>
      </w:r>
      <w:bookmarkEnd w:id="435"/>
      <w:bookmarkEnd w:id="436"/>
      <w:bookmarkEnd w:id="437"/>
      <w:bookmarkEnd w:id="438"/>
      <w:bookmarkEnd w:id="439"/>
      <w:bookmarkEnd w:id="440"/>
      <w:bookmarkEnd w:id="441"/>
      <w:bookmarkEnd w:id="442"/>
    </w:p>
    <w:p w14:paraId="5BDCCA75">
      <w:pPr>
        <w:pStyle w:val="4"/>
        <w:bidi w:val="0"/>
        <w:rPr>
          <w:rFonts w:hint="eastAsia"/>
          <w:color w:val="auto"/>
          <w:lang w:eastAsia="zh-CN"/>
        </w:rPr>
      </w:pPr>
      <w:bookmarkStart w:id="443" w:name="_Toc19456"/>
      <w:bookmarkStart w:id="444" w:name="_Toc405"/>
      <w:bookmarkStart w:id="445" w:name="_Toc25604"/>
      <w:bookmarkStart w:id="446" w:name="_Toc15917"/>
      <w:bookmarkStart w:id="447" w:name="_Toc20906"/>
      <w:bookmarkStart w:id="448" w:name="_Toc15024"/>
      <w:bookmarkStart w:id="449" w:name="_Toc14727"/>
      <w:bookmarkStart w:id="450" w:name="_Toc31139"/>
      <w:r>
        <w:rPr>
          <w:rFonts w:hint="eastAsia"/>
          <w:color w:val="auto"/>
          <w:lang w:eastAsia="zh-CN"/>
        </w:rPr>
        <w:t>5.1.1</w:t>
      </w:r>
      <w:r>
        <w:rPr>
          <w:rFonts w:hint="eastAsia"/>
          <w:color w:val="auto"/>
          <w:lang w:val="en-US" w:eastAsia="zh-CN"/>
        </w:rPr>
        <w:t xml:space="preserve"> </w:t>
      </w:r>
      <w:r>
        <w:rPr>
          <w:rFonts w:hint="eastAsia"/>
          <w:color w:val="auto"/>
          <w:lang w:eastAsia="zh-CN"/>
        </w:rPr>
        <w:t>安全检查表评价</w:t>
      </w:r>
      <w:bookmarkEnd w:id="443"/>
      <w:bookmarkEnd w:id="444"/>
      <w:bookmarkEnd w:id="445"/>
      <w:bookmarkEnd w:id="446"/>
      <w:bookmarkEnd w:id="447"/>
      <w:bookmarkEnd w:id="448"/>
      <w:bookmarkEnd w:id="449"/>
      <w:bookmarkEnd w:id="450"/>
    </w:p>
    <w:p w14:paraId="4E404806">
      <w:pPr>
        <w:rPr>
          <w:rFonts w:hint="eastAsia" w:eastAsia="宋体"/>
          <w:color w:val="auto"/>
          <w:lang w:eastAsia="zh-CN"/>
        </w:rPr>
      </w:pPr>
      <w:r>
        <w:rPr>
          <w:rFonts w:hint="eastAsia" w:eastAsia="宋体"/>
          <w:color w:val="auto"/>
          <w:lang w:eastAsia="zh-CN"/>
        </w:rPr>
        <w:t>运用《江西省尾矿库安全检查表》（已按现行规程规范要求进行了修订，下同），对</w:t>
      </w:r>
      <w:r>
        <w:rPr>
          <w:rFonts w:hint="eastAsia"/>
        </w:rPr>
        <w:t>三号（氰化渣）尾矿库</w:t>
      </w:r>
      <w:r>
        <w:rPr>
          <w:rFonts w:hint="eastAsia" w:eastAsia="宋体"/>
          <w:color w:val="auto"/>
          <w:lang w:eastAsia="zh-CN"/>
        </w:rPr>
        <w:t>整个系统的综合安全管理单元进行评判，具体情况如表5</w:t>
      </w:r>
      <w:r>
        <w:rPr>
          <w:rFonts w:hint="eastAsia"/>
          <w:color w:val="auto"/>
          <w:lang w:val="en-US" w:eastAsia="zh-CN"/>
        </w:rPr>
        <w:t>.1</w:t>
      </w:r>
      <w:r>
        <w:rPr>
          <w:rFonts w:hint="eastAsia" w:eastAsia="宋体"/>
          <w:color w:val="auto"/>
          <w:lang w:eastAsia="zh-CN"/>
        </w:rPr>
        <w:t>-1所示。</w:t>
      </w:r>
    </w:p>
    <w:p w14:paraId="69607F61">
      <w:pPr>
        <w:ind w:left="0" w:leftChars="0" w:firstLine="0" w:firstLineChars="0"/>
        <w:jc w:val="center"/>
        <w:rPr>
          <w:rFonts w:hint="eastAsia" w:eastAsia="宋体"/>
          <w:color w:val="auto"/>
          <w:lang w:eastAsia="zh-CN"/>
        </w:rPr>
      </w:pPr>
      <w:r>
        <w:rPr>
          <w:rFonts w:hint="eastAsia" w:eastAsia="宋体"/>
          <w:color w:val="auto"/>
          <w:lang w:eastAsia="zh-CN"/>
        </w:rPr>
        <w:t>表5</w:t>
      </w:r>
      <w:r>
        <w:rPr>
          <w:rFonts w:hint="eastAsia"/>
          <w:color w:val="auto"/>
          <w:lang w:val="en-US" w:eastAsia="zh-CN"/>
        </w:rPr>
        <w:t>.1</w:t>
      </w:r>
      <w:r>
        <w:rPr>
          <w:rFonts w:hint="eastAsia" w:eastAsia="宋体"/>
          <w:color w:val="auto"/>
          <w:lang w:eastAsia="zh-CN"/>
        </w:rPr>
        <w:t>-1 综合安全管理单元安全检查表</w:t>
      </w:r>
    </w:p>
    <w:tbl>
      <w:tblPr>
        <w:tblStyle w:val="20"/>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33"/>
        <w:gridCol w:w="2937"/>
        <w:gridCol w:w="1501"/>
        <w:gridCol w:w="925"/>
        <w:gridCol w:w="717"/>
        <w:gridCol w:w="841"/>
        <w:gridCol w:w="1097"/>
        <w:gridCol w:w="535"/>
      </w:tblGrid>
      <w:tr w14:paraId="5E412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733" w:type="dxa"/>
            <w:noWrap w:val="0"/>
            <w:vAlign w:val="center"/>
          </w:tcPr>
          <w:p w14:paraId="73080BB8">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bCs/>
                <w:color w:val="auto"/>
                <w:kern w:val="0"/>
                <w:sz w:val="21"/>
                <w:szCs w:val="21"/>
                <w:lang w:val="zh-CN"/>
              </w:rPr>
            </w:pPr>
            <w:r>
              <w:rPr>
                <w:rFonts w:hint="default" w:ascii="Times New Roman" w:hAnsi="Times New Roman" w:eastAsia="宋体" w:cs="Times New Roman"/>
                <w:bCs/>
                <w:color w:val="auto"/>
                <w:kern w:val="0"/>
                <w:sz w:val="21"/>
                <w:szCs w:val="21"/>
                <w:lang w:val="zh-CN"/>
              </w:rPr>
              <w:t>项目</w:t>
            </w:r>
          </w:p>
        </w:tc>
        <w:tc>
          <w:tcPr>
            <w:tcW w:w="2937" w:type="dxa"/>
            <w:noWrap w:val="0"/>
            <w:vAlign w:val="center"/>
          </w:tcPr>
          <w:p w14:paraId="06871029">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bCs/>
                <w:color w:val="auto"/>
                <w:kern w:val="0"/>
                <w:sz w:val="21"/>
                <w:szCs w:val="21"/>
                <w:lang w:val="zh-CN"/>
              </w:rPr>
            </w:pPr>
            <w:r>
              <w:rPr>
                <w:rFonts w:hint="default" w:ascii="Times New Roman" w:hAnsi="Times New Roman" w:eastAsia="宋体" w:cs="Times New Roman"/>
                <w:bCs/>
                <w:color w:val="auto"/>
                <w:spacing w:val="4"/>
                <w:kern w:val="0"/>
                <w:sz w:val="21"/>
                <w:szCs w:val="21"/>
              </w:rPr>
              <w:t>检查内容</w:t>
            </w:r>
          </w:p>
        </w:tc>
        <w:tc>
          <w:tcPr>
            <w:tcW w:w="1501" w:type="dxa"/>
            <w:noWrap w:val="0"/>
            <w:vAlign w:val="center"/>
          </w:tcPr>
          <w:p w14:paraId="2ACC7275">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bCs/>
                <w:color w:val="auto"/>
                <w:kern w:val="0"/>
                <w:sz w:val="21"/>
                <w:szCs w:val="21"/>
                <w:lang w:val="zh-CN"/>
              </w:rPr>
            </w:pPr>
            <w:r>
              <w:rPr>
                <w:rFonts w:hint="default" w:ascii="Times New Roman" w:hAnsi="Times New Roman" w:eastAsia="宋体" w:cs="Times New Roman"/>
                <w:bCs/>
                <w:color w:val="auto"/>
                <w:sz w:val="21"/>
                <w:szCs w:val="21"/>
              </w:rPr>
              <w:t>检查依据</w:t>
            </w:r>
          </w:p>
        </w:tc>
        <w:tc>
          <w:tcPr>
            <w:tcW w:w="925" w:type="dxa"/>
            <w:noWrap w:val="0"/>
            <w:vAlign w:val="center"/>
          </w:tcPr>
          <w:p w14:paraId="1C6F7323">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bCs/>
                <w:color w:val="auto"/>
                <w:kern w:val="0"/>
                <w:sz w:val="21"/>
                <w:szCs w:val="21"/>
                <w:lang w:val="zh-CN"/>
              </w:rPr>
            </w:pPr>
            <w:r>
              <w:rPr>
                <w:rFonts w:hint="default" w:ascii="Times New Roman" w:hAnsi="Times New Roman" w:eastAsia="宋体" w:cs="Times New Roman"/>
                <w:bCs/>
                <w:color w:val="auto"/>
                <w:sz w:val="21"/>
                <w:szCs w:val="21"/>
              </w:rPr>
              <w:t>检查方法及地点</w:t>
            </w:r>
          </w:p>
        </w:tc>
        <w:tc>
          <w:tcPr>
            <w:tcW w:w="717" w:type="dxa"/>
            <w:noWrap w:val="0"/>
            <w:vAlign w:val="center"/>
          </w:tcPr>
          <w:p w14:paraId="274A7B48">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检查</w:t>
            </w:r>
          </w:p>
          <w:p w14:paraId="69FBF8EB">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bCs/>
                <w:color w:val="auto"/>
                <w:kern w:val="0"/>
                <w:sz w:val="21"/>
                <w:szCs w:val="21"/>
                <w:lang w:val="zh-CN"/>
              </w:rPr>
            </w:pPr>
            <w:r>
              <w:rPr>
                <w:rFonts w:hint="default" w:ascii="Times New Roman" w:hAnsi="Times New Roman" w:eastAsia="宋体" w:cs="Times New Roman"/>
                <w:bCs/>
                <w:color w:val="auto"/>
                <w:sz w:val="21"/>
                <w:szCs w:val="21"/>
              </w:rPr>
              <w:t>记录</w:t>
            </w:r>
          </w:p>
        </w:tc>
        <w:tc>
          <w:tcPr>
            <w:tcW w:w="841" w:type="dxa"/>
            <w:noWrap w:val="0"/>
            <w:vAlign w:val="center"/>
          </w:tcPr>
          <w:p w14:paraId="34F839C8">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bCs/>
                <w:color w:val="auto"/>
                <w:kern w:val="0"/>
                <w:sz w:val="21"/>
                <w:szCs w:val="21"/>
                <w:lang w:val="zh-CN"/>
              </w:rPr>
            </w:pPr>
            <w:r>
              <w:rPr>
                <w:rFonts w:hint="default" w:ascii="Times New Roman" w:hAnsi="Times New Roman" w:eastAsia="宋体" w:cs="Times New Roman"/>
                <w:bCs/>
                <w:color w:val="auto"/>
                <w:kern w:val="0"/>
                <w:sz w:val="21"/>
                <w:szCs w:val="21"/>
                <w:lang w:val="zh-CN"/>
              </w:rPr>
              <w:t>标准</w:t>
            </w:r>
          </w:p>
          <w:p w14:paraId="1A534DD8">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bCs/>
                <w:color w:val="auto"/>
                <w:kern w:val="0"/>
                <w:sz w:val="21"/>
                <w:szCs w:val="21"/>
                <w:lang w:val="zh-CN"/>
              </w:rPr>
            </w:pPr>
            <w:r>
              <w:rPr>
                <w:rFonts w:hint="default" w:ascii="Times New Roman" w:hAnsi="Times New Roman" w:eastAsia="宋体" w:cs="Times New Roman"/>
                <w:bCs/>
                <w:color w:val="auto"/>
                <w:kern w:val="0"/>
                <w:sz w:val="21"/>
                <w:szCs w:val="21"/>
                <w:lang w:val="zh-CN"/>
              </w:rPr>
              <w:t>分值</w:t>
            </w:r>
          </w:p>
        </w:tc>
        <w:tc>
          <w:tcPr>
            <w:tcW w:w="1097" w:type="dxa"/>
            <w:noWrap w:val="0"/>
            <w:vAlign w:val="center"/>
          </w:tcPr>
          <w:p w14:paraId="73672C04">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bCs/>
                <w:color w:val="auto"/>
                <w:kern w:val="0"/>
                <w:sz w:val="21"/>
                <w:szCs w:val="21"/>
                <w:lang w:val="zh-CN"/>
              </w:rPr>
            </w:pPr>
            <w:r>
              <w:rPr>
                <w:rFonts w:hint="default" w:ascii="Times New Roman" w:hAnsi="Times New Roman" w:eastAsia="宋体" w:cs="Times New Roman"/>
                <w:bCs/>
                <w:color w:val="auto"/>
                <w:kern w:val="0"/>
                <w:sz w:val="21"/>
                <w:szCs w:val="21"/>
                <w:lang w:val="zh-CN"/>
              </w:rPr>
              <w:t>评分标准</w:t>
            </w:r>
          </w:p>
        </w:tc>
        <w:tc>
          <w:tcPr>
            <w:tcW w:w="535" w:type="dxa"/>
            <w:noWrap w:val="0"/>
            <w:vAlign w:val="center"/>
          </w:tcPr>
          <w:p w14:paraId="3F4C8014">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bCs/>
                <w:color w:val="auto"/>
                <w:kern w:val="0"/>
                <w:sz w:val="21"/>
                <w:szCs w:val="21"/>
                <w:lang w:val="zh-CN"/>
              </w:rPr>
            </w:pPr>
            <w:r>
              <w:rPr>
                <w:rFonts w:hint="default" w:ascii="Times New Roman" w:hAnsi="Times New Roman" w:eastAsia="宋体" w:cs="Times New Roman"/>
                <w:bCs/>
                <w:color w:val="auto"/>
                <w:kern w:val="0"/>
                <w:sz w:val="21"/>
                <w:szCs w:val="21"/>
                <w:lang w:val="zh-CN"/>
              </w:rPr>
              <w:t>得分</w:t>
            </w:r>
          </w:p>
        </w:tc>
      </w:tr>
      <w:tr w14:paraId="7B408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733" w:type="dxa"/>
            <w:noWrap w:val="0"/>
            <w:vAlign w:val="center"/>
          </w:tcPr>
          <w:p w14:paraId="21BD7B65">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1.安全许可</w:t>
            </w:r>
          </w:p>
        </w:tc>
        <w:tc>
          <w:tcPr>
            <w:tcW w:w="2937" w:type="dxa"/>
            <w:noWrap w:val="0"/>
            <w:vAlign w:val="center"/>
          </w:tcPr>
          <w:p w14:paraId="63C6EC15">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1.1安全生产许可证合法性。</w:t>
            </w:r>
          </w:p>
          <w:p w14:paraId="5D84E573">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1.2安全生产许可证有效性。</w:t>
            </w:r>
          </w:p>
          <w:p w14:paraId="2AA58901">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1.3安全生产许可证</w:t>
            </w:r>
            <w:r>
              <w:rPr>
                <w:rFonts w:hint="default" w:ascii="Times New Roman" w:hAnsi="Times New Roman" w:eastAsia="宋体" w:cs="Times New Roman"/>
                <w:bCs/>
                <w:color w:val="auto"/>
                <w:kern w:val="0"/>
                <w:sz w:val="21"/>
                <w:szCs w:val="21"/>
                <w:lang w:val="zh-CN"/>
              </w:rPr>
              <w:t>是否年检。</w:t>
            </w:r>
          </w:p>
        </w:tc>
        <w:tc>
          <w:tcPr>
            <w:tcW w:w="1501" w:type="dxa"/>
            <w:noWrap w:val="0"/>
            <w:vAlign w:val="center"/>
          </w:tcPr>
          <w:p w14:paraId="13E09D45">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《安全生产许可证条例》第二条</w:t>
            </w:r>
          </w:p>
        </w:tc>
        <w:tc>
          <w:tcPr>
            <w:tcW w:w="925" w:type="dxa"/>
            <w:noWrap w:val="0"/>
            <w:vAlign w:val="center"/>
          </w:tcPr>
          <w:p w14:paraId="4AB9ADEF">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查有效</w:t>
            </w:r>
          </w:p>
          <w:p w14:paraId="3DE155C6">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证件</w:t>
            </w:r>
          </w:p>
        </w:tc>
        <w:tc>
          <w:tcPr>
            <w:tcW w:w="717" w:type="dxa"/>
            <w:noWrap w:val="0"/>
            <w:vAlign w:val="center"/>
          </w:tcPr>
          <w:p w14:paraId="28574C5E">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有效</w:t>
            </w:r>
          </w:p>
        </w:tc>
        <w:tc>
          <w:tcPr>
            <w:tcW w:w="841" w:type="dxa"/>
            <w:noWrap w:val="0"/>
            <w:vAlign w:val="center"/>
          </w:tcPr>
          <w:p w14:paraId="6FE30A84">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否决项</w:t>
            </w:r>
          </w:p>
        </w:tc>
        <w:tc>
          <w:tcPr>
            <w:tcW w:w="1097" w:type="dxa"/>
            <w:vMerge w:val="restart"/>
            <w:noWrap w:val="0"/>
            <w:vAlign w:val="center"/>
          </w:tcPr>
          <w:p w14:paraId="5DA79CC8">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bCs/>
                <w:color w:val="auto"/>
                <w:kern w:val="0"/>
                <w:sz w:val="21"/>
                <w:szCs w:val="21"/>
                <w:lang w:val="zh-CN"/>
              </w:rPr>
            </w:pPr>
            <w:r>
              <w:rPr>
                <w:rFonts w:hint="default" w:ascii="Times New Roman" w:hAnsi="Times New Roman" w:eastAsia="宋体" w:cs="Times New Roman"/>
                <w:bCs/>
                <w:color w:val="auto"/>
                <w:kern w:val="0"/>
                <w:sz w:val="21"/>
                <w:szCs w:val="21"/>
                <w:lang w:val="zh-CN"/>
              </w:rPr>
              <w:t>任一项</w:t>
            </w:r>
          </w:p>
          <w:p w14:paraId="2656880A">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bCs/>
                <w:color w:val="auto"/>
                <w:kern w:val="0"/>
                <w:sz w:val="21"/>
                <w:szCs w:val="21"/>
                <w:lang w:val="zh-CN"/>
              </w:rPr>
            </w:pPr>
            <w:r>
              <w:rPr>
                <w:rFonts w:hint="default" w:ascii="Times New Roman" w:hAnsi="Times New Roman" w:eastAsia="宋体" w:cs="Times New Roman"/>
                <w:bCs/>
                <w:color w:val="auto"/>
                <w:kern w:val="0"/>
                <w:sz w:val="21"/>
                <w:szCs w:val="21"/>
                <w:lang w:val="zh-CN"/>
              </w:rPr>
              <w:t>不符合</w:t>
            </w:r>
          </w:p>
          <w:p w14:paraId="484AEF88">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bCs/>
                <w:color w:val="auto"/>
                <w:kern w:val="0"/>
                <w:sz w:val="21"/>
                <w:szCs w:val="21"/>
                <w:lang w:val="zh-CN"/>
              </w:rPr>
            </w:pPr>
            <w:r>
              <w:rPr>
                <w:rFonts w:hint="default" w:ascii="Times New Roman" w:hAnsi="Times New Roman" w:eastAsia="宋体" w:cs="Times New Roman"/>
                <w:bCs/>
                <w:color w:val="auto"/>
                <w:kern w:val="0"/>
                <w:sz w:val="21"/>
                <w:szCs w:val="21"/>
                <w:lang w:val="zh-CN"/>
              </w:rPr>
              <w:t>即否决</w:t>
            </w:r>
          </w:p>
        </w:tc>
        <w:tc>
          <w:tcPr>
            <w:tcW w:w="535" w:type="dxa"/>
            <w:noWrap w:val="0"/>
            <w:vAlign w:val="center"/>
          </w:tcPr>
          <w:p w14:paraId="78D73973">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符合</w:t>
            </w:r>
          </w:p>
        </w:tc>
      </w:tr>
      <w:tr w14:paraId="0D67D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733" w:type="dxa"/>
            <w:vMerge w:val="restart"/>
            <w:noWrap w:val="0"/>
            <w:vAlign w:val="center"/>
          </w:tcPr>
          <w:p w14:paraId="561ACDC7">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2.设计与</w:t>
            </w:r>
          </w:p>
          <w:p w14:paraId="50170015">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评价</w:t>
            </w:r>
          </w:p>
        </w:tc>
        <w:tc>
          <w:tcPr>
            <w:tcW w:w="2937" w:type="dxa"/>
            <w:noWrap w:val="0"/>
            <w:vAlign w:val="center"/>
          </w:tcPr>
          <w:p w14:paraId="694D2C81">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2.1尾矿库的勘察、设计、安全评价、施工及施工监理等工作必须由具有相应资质的单位承担。</w:t>
            </w:r>
          </w:p>
        </w:tc>
        <w:tc>
          <w:tcPr>
            <w:tcW w:w="1501" w:type="dxa"/>
            <w:noWrap w:val="0"/>
            <w:vAlign w:val="center"/>
          </w:tcPr>
          <w:p w14:paraId="736F34F9">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《尾矿库安全监督管理规定》</w:t>
            </w:r>
          </w:p>
          <w:p w14:paraId="054292DF">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sz w:val="21"/>
                <w:szCs w:val="21"/>
              </w:rPr>
              <w:t>第十条</w:t>
            </w:r>
          </w:p>
        </w:tc>
        <w:tc>
          <w:tcPr>
            <w:tcW w:w="925" w:type="dxa"/>
            <w:noWrap w:val="0"/>
            <w:vAlign w:val="center"/>
          </w:tcPr>
          <w:p w14:paraId="51DD1220">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查设计文件、有效证书</w:t>
            </w:r>
          </w:p>
        </w:tc>
        <w:tc>
          <w:tcPr>
            <w:tcW w:w="717" w:type="dxa"/>
            <w:noWrap w:val="0"/>
            <w:vAlign w:val="center"/>
          </w:tcPr>
          <w:p w14:paraId="0DDF5037">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有</w:t>
            </w:r>
          </w:p>
        </w:tc>
        <w:tc>
          <w:tcPr>
            <w:tcW w:w="841" w:type="dxa"/>
            <w:noWrap w:val="0"/>
            <w:vAlign w:val="center"/>
          </w:tcPr>
          <w:p w14:paraId="60904F5D">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否决项</w:t>
            </w:r>
          </w:p>
        </w:tc>
        <w:tc>
          <w:tcPr>
            <w:tcW w:w="1097" w:type="dxa"/>
            <w:vMerge w:val="continue"/>
            <w:noWrap w:val="0"/>
            <w:vAlign w:val="center"/>
          </w:tcPr>
          <w:p w14:paraId="5D30A825">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535" w:type="dxa"/>
            <w:noWrap w:val="0"/>
            <w:vAlign w:val="center"/>
          </w:tcPr>
          <w:p w14:paraId="73EF9D7B">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符合</w:t>
            </w:r>
          </w:p>
        </w:tc>
      </w:tr>
      <w:tr w14:paraId="46E73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733" w:type="dxa"/>
            <w:vMerge w:val="continue"/>
            <w:noWrap w:val="0"/>
            <w:vAlign w:val="center"/>
          </w:tcPr>
          <w:p w14:paraId="26163BEA">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2937" w:type="dxa"/>
            <w:noWrap w:val="0"/>
            <w:vAlign w:val="center"/>
          </w:tcPr>
          <w:p w14:paraId="02E564F0">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2.2尾矿坝堆积至设计最终坝高的1/2～2/3高度时，应对尾矿堆积坝进行工勘和稳定性分析。</w:t>
            </w:r>
          </w:p>
        </w:tc>
        <w:tc>
          <w:tcPr>
            <w:tcW w:w="1501" w:type="dxa"/>
            <w:noWrap w:val="0"/>
            <w:vAlign w:val="center"/>
          </w:tcPr>
          <w:p w14:paraId="15543005">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sz w:val="21"/>
                <w:szCs w:val="21"/>
              </w:rPr>
              <w:t>《尾矿设施设计规范》第4.4.1条，《尾矿库安全监督管理规定》第十九条；《尾矿库安全规程》第6.1.9条</w:t>
            </w:r>
          </w:p>
        </w:tc>
        <w:tc>
          <w:tcPr>
            <w:tcW w:w="925" w:type="dxa"/>
            <w:noWrap w:val="0"/>
            <w:vAlign w:val="center"/>
          </w:tcPr>
          <w:p w14:paraId="30251392">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zh-CN"/>
              </w:rPr>
              <w:t>尾矿坝</w:t>
            </w:r>
            <w:r>
              <w:rPr>
                <w:rFonts w:hint="eastAsia" w:cs="Times New Roman"/>
                <w:color w:val="auto"/>
                <w:kern w:val="0"/>
                <w:sz w:val="21"/>
                <w:szCs w:val="21"/>
                <w:lang w:val="en-US" w:eastAsia="zh-CN"/>
              </w:rPr>
              <w:t>暂未</w:t>
            </w:r>
            <w:r>
              <w:rPr>
                <w:rFonts w:hint="default" w:ascii="Times New Roman" w:hAnsi="Times New Roman" w:eastAsia="宋体" w:cs="Times New Roman"/>
                <w:color w:val="auto"/>
                <w:kern w:val="0"/>
                <w:sz w:val="21"/>
                <w:szCs w:val="21"/>
                <w:lang w:val="zh-CN"/>
              </w:rPr>
              <w:t>堆</w:t>
            </w:r>
            <w:r>
              <w:rPr>
                <w:rFonts w:hint="eastAsia" w:ascii="Times New Roman" w:hAnsi="Times New Roman" w:eastAsia="宋体" w:cs="Times New Roman"/>
                <w:color w:val="auto"/>
                <w:kern w:val="0"/>
                <w:sz w:val="21"/>
                <w:szCs w:val="21"/>
                <w:lang w:val="en-US" w:eastAsia="zh-CN"/>
              </w:rPr>
              <w:t>至</w:t>
            </w:r>
            <w:r>
              <w:rPr>
                <w:rFonts w:hint="default" w:ascii="Times New Roman" w:hAnsi="Times New Roman" w:eastAsia="宋体" w:cs="Times New Roman"/>
                <w:color w:val="auto"/>
                <w:kern w:val="0"/>
                <w:sz w:val="21"/>
                <w:szCs w:val="21"/>
                <w:lang w:val="zh-CN"/>
              </w:rPr>
              <w:t>设计最终坝高1/2～2/3高度</w:t>
            </w:r>
          </w:p>
        </w:tc>
        <w:tc>
          <w:tcPr>
            <w:tcW w:w="717" w:type="dxa"/>
            <w:noWrap w:val="0"/>
            <w:vAlign w:val="center"/>
          </w:tcPr>
          <w:p w14:paraId="572AEEB4">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eastAsia" w:ascii="Times New Roman" w:hAnsi="Times New Roman" w:eastAsia="宋体" w:cs="Times New Roman"/>
                <w:color w:val="auto"/>
                <w:kern w:val="0"/>
                <w:sz w:val="21"/>
                <w:szCs w:val="21"/>
                <w:lang w:val="zh-CN" w:eastAsia="zh-CN"/>
              </w:rPr>
            </w:pPr>
            <w:r>
              <w:rPr>
                <w:rFonts w:hint="default" w:ascii="Times New Roman" w:hAnsi="Times New Roman" w:eastAsia="宋体" w:cs="Times New Roman"/>
                <w:color w:val="auto"/>
                <w:kern w:val="0"/>
                <w:sz w:val="21"/>
                <w:szCs w:val="21"/>
                <w:lang w:val="zh-CN"/>
              </w:rPr>
              <w:t>无此项</w:t>
            </w:r>
          </w:p>
        </w:tc>
        <w:tc>
          <w:tcPr>
            <w:tcW w:w="841" w:type="dxa"/>
            <w:noWrap w:val="0"/>
            <w:vAlign w:val="center"/>
          </w:tcPr>
          <w:p w14:paraId="36624C29">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否决项</w:t>
            </w:r>
          </w:p>
        </w:tc>
        <w:tc>
          <w:tcPr>
            <w:tcW w:w="1097" w:type="dxa"/>
            <w:noWrap w:val="0"/>
            <w:vAlign w:val="center"/>
          </w:tcPr>
          <w:p w14:paraId="4100CE31">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535" w:type="dxa"/>
            <w:noWrap w:val="0"/>
            <w:vAlign w:val="center"/>
          </w:tcPr>
          <w:p w14:paraId="4656D853">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符合</w:t>
            </w:r>
          </w:p>
        </w:tc>
      </w:tr>
      <w:tr w14:paraId="19C91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733" w:type="dxa"/>
            <w:vMerge w:val="continue"/>
            <w:noWrap w:val="0"/>
            <w:vAlign w:val="center"/>
          </w:tcPr>
          <w:p w14:paraId="1A4EEFC6">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2937" w:type="dxa"/>
            <w:noWrap w:val="0"/>
            <w:vAlign w:val="center"/>
          </w:tcPr>
          <w:p w14:paraId="582ED960">
            <w:pPr>
              <w:keepNext w:val="0"/>
              <w:keepLines w:val="0"/>
              <w:pageBreakBefore w:val="0"/>
              <w:widowControl w:val="0"/>
              <w:kinsoku/>
              <w:wordWrap/>
              <w:overflowPunct/>
              <w:topLinePunct w:val="0"/>
              <w:bidi w:val="0"/>
              <w:snapToGrid/>
              <w:spacing w:line="28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2.3在用尾矿库进行回采再利用或闭库、停用的尾矿库重新启用或改作他用时，必须按照尾矿库建设的规定进行工程设计、安全评价和审批。</w:t>
            </w:r>
          </w:p>
        </w:tc>
        <w:tc>
          <w:tcPr>
            <w:tcW w:w="1501" w:type="dxa"/>
            <w:vMerge w:val="restart"/>
            <w:noWrap w:val="0"/>
            <w:vAlign w:val="center"/>
          </w:tcPr>
          <w:p w14:paraId="59A34823">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《尾矿库安全规程》第4.1、7.2、7.4、7.10条；《尾矿库安全监督管理规定》第二十七条</w:t>
            </w:r>
          </w:p>
        </w:tc>
        <w:tc>
          <w:tcPr>
            <w:tcW w:w="925" w:type="dxa"/>
            <w:vMerge w:val="restart"/>
            <w:noWrap w:val="0"/>
            <w:vAlign w:val="center"/>
          </w:tcPr>
          <w:p w14:paraId="41D02916">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1</w:t>
            </w:r>
            <w:r>
              <w:rPr>
                <w:rFonts w:hint="eastAsia"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zh-CN"/>
              </w:rPr>
              <w:t>查有关资料、文件、制度及规程、规范</w:t>
            </w:r>
          </w:p>
          <w:p w14:paraId="23E13FE9">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2</w:t>
            </w:r>
            <w:r>
              <w:rPr>
                <w:rFonts w:hint="eastAsia"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zh-CN"/>
              </w:rPr>
              <w:t>查工勘和稳定性分析文件</w:t>
            </w:r>
          </w:p>
        </w:tc>
        <w:tc>
          <w:tcPr>
            <w:tcW w:w="717" w:type="dxa"/>
            <w:vMerge w:val="restart"/>
            <w:noWrap w:val="0"/>
            <w:vAlign w:val="center"/>
          </w:tcPr>
          <w:p w14:paraId="2928B131">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无此项</w:t>
            </w:r>
          </w:p>
        </w:tc>
        <w:tc>
          <w:tcPr>
            <w:tcW w:w="841" w:type="dxa"/>
            <w:vMerge w:val="restart"/>
            <w:noWrap w:val="0"/>
            <w:vAlign w:val="center"/>
          </w:tcPr>
          <w:p w14:paraId="0DDD217A">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否决项</w:t>
            </w:r>
          </w:p>
        </w:tc>
        <w:tc>
          <w:tcPr>
            <w:tcW w:w="1097" w:type="dxa"/>
            <w:vMerge w:val="restart"/>
            <w:noWrap w:val="0"/>
            <w:vAlign w:val="center"/>
          </w:tcPr>
          <w:p w14:paraId="7EA80866">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无设计或设计未经批准的否决，出现影响安全的倒扣6分</w:t>
            </w:r>
          </w:p>
        </w:tc>
        <w:tc>
          <w:tcPr>
            <w:tcW w:w="535" w:type="dxa"/>
            <w:noWrap w:val="0"/>
            <w:vAlign w:val="center"/>
          </w:tcPr>
          <w:p w14:paraId="0A4EAC6B">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eastAsia" w:ascii="Times New Roman" w:hAnsi="Times New Roman" w:eastAsia="宋体" w:cs="Times New Roman"/>
                <w:color w:val="auto"/>
                <w:kern w:val="0"/>
                <w:sz w:val="21"/>
                <w:szCs w:val="21"/>
                <w:lang w:val="zh-CN" w:eastAsia="zh-CN"/>
              </w:rPr>
            </w:pPr>
            <w:r>
              <w:rPr>
                <w:rFonts w:hint="eastAsia" w:cs="Times New Roman"/>
                <w:color w:val="auto"/>
                <w:kern w:val="0"/>
                <w:sz w:val="21"/>
                <w:szCs w:val="21"/>
                <w:lang w:val="en-US" w:eastAsia="zh-CN"/>
              </w:rPr>
              <w:t>-</w:t>
            </w:r>
          </w:p>
        </w:tc>
      </w:tr>
      <w:tr w14:paraId="67ACF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733" w:type="dxa"/>
            <w:vMerge w:val="continue"/>
            <w:noWrap w:val="0"/>
            <w:vAlign w:val="center"/>
          </w:tcPr>
          <w:p w14:paraId="65DC0B30">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2937" w:type="dxa"/>
            <w:noWrap w:val="0"/>
            <w:vAlign w:val="center"/>
          </w:tcPr>
          <w:p w14:paraId="5ABB71B5">
            <w:pPr>
              <w:keepNext w:val="0"/>
              <w:keepLines w:val="0"/>
              <w:pageBreakBefore w:val="0"/>
              <w:widowControl w:val="0"/>
              <w:kinsoku/>
              <w:wordWrap/>
              <w:overflowPunct/>
              <w:topLinePunct w:val="0"/>
              <w:bidi w:val="0"/>
              <w:snapToGrid/>
              <w:spacing w:line="28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2.4进行回采再利用时，必须严格按照批准的设计规划进行回采、排砂和排水，不得影响继续使用的尾矿坝和排洪设施的安全。</w:t>
            </w:r>
          </w:p>
        </w:tc>
        <w:tc>
          <w:tcPr>
            <w:tcW w:w="1501" w:type="dxa"/>
            <w:vMerge w:val="continue"/>
            <w:noWrap w:val="0"/>
            <w:vAlign w:val="center"/>
          </w:tcPr>
          <w:p w14:paraId="4C80910E">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sz w:val="21"/>
                <w:szCs w:val="21"/>
              </w:rPr>
            </w:pPr>
          </w:p>
        </w:tc>
        <w:tc>
          <w:tcPr>
            <w:tcW w:w="925" w:type="dxa"/>
            <w:vMerge w:val="continue"/>
            <w:noWrap w:val="0"/>
            <w:vAlign w:val="center"/>
          </w:tcPr>
          <w:p w14:paraId="2FD76813">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717" w:type="dxa"/>
            <w:vMerge w:val="continue"/>
            <w:noWrap w:val="0"/>
            <w:vAlign w:val="center"/>
          </w:tcPr>
          <w:p w14:paraId="05FA01A6">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841" w:type="dxa"/>
            <w:vMerge w:val="continue"/>
            <w:noWrap w:val="0"/>
            <w:vAlign w:val="center"/>
          </w:tcPr>
          <w:p w14:paraId="57555ED0">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1097" w:type="dxa"/>
            <w:vMerge w:val="continue"/>
            <w:noWrap w:val="0"/>
            <w:vAlign w:val="center"/>
          </w:tcPr>
          <w:p w14:paraId="10AA69E6">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535" w:type="dxa"/>
            <w:noWrap w:val="0"/>
            <w:vAlign w:val="center"/>
          </w:tcPr>
          <w:p w14:paraId="73162BFA">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eastAsia" w:ascii="Times New Roman" w:hAnsi="Times New Roman" w:eastAsia="宋体" w:cs="Times New Roman"/>
                <w:color w:val="auto"/>
                <w:kern w:val="0"/>
                <w:sz w:val="21"/>
                <w:szCs w:val="21"/>
                <w:lang w:val="zh-CN" w:eastAsia="zh-CN"/>
              </w:rPr>
            </w:pPr>
            <w:r>
              <w:rPr>
                <w:rFonts w:hint="eastAsia" w:cs="Times New Roman"/>
                <w:color w:val="auto"/>
                <w:kern w:val="0"/>
                <w:sz w:val="21"/>
                <w:szCs w:val="21"/>
                <w:lang w:val="en-US" w:eastAsia="zh-CN"/>
              </w:rPr>
              <w:t>-</w:t>
            </w:r>
          </w:p>
        </w:tc>
      </w:tr>
      <w:tr w14:paraId="00FF7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733" w:type="dxa"/>
            <w:vMerge w:val="restart"/>
            <w:noWrap w:val="0"/>
            <w:vAlign w:val="center"/>
          </w:tcPr>
          <w:p w14:paraId="0253B9BF">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3.安全管理</w:t>
            </w:r>
          </w:p>
        </w:tc>
        <w:tc>
          <w:tcPr>
            <w:tcW w:w="2937" w:type="dxa"/>
            <w:noWrap w:val="0"/>
            <w:vAlign w:val="center"/>
          </w:tcPr>
          <w:p w14:paraId="0916BF2D">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3.1应有实测的尾矿库现状图（尾矿坝平、剖面图、排洪及排水设施系统图，实测图纸有效期为六个月内）及尾矿年排放计划</w:t>
            </w:r>
          </w:p>
        </w:tc>
        <w:tc>
          <w:tcPr>
            <w:tcW w:w="1501" w:type="dxa"/>
            <w:noWrap w:val="0"/>
            <w:vAlign w:val="center"/>
          </w:tcPr>
          <w:p w14:paraId="57E96723">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sz w:val="21"/>
                <w:szCs w:val="21"/>
              </w:rPr>
              <w:t>《尾矿库安全规程》第6.1.2、11.1.3条《尾矿库安全监督管理规定》第二十二条</w:t>
            </w:r>
          </w:p>
        </w:tc>
        <w:tc>
          <w:tcPr>
            <w:tcW w:w="925" w:type="dxa"/>
            <w:noWrap w:val="0"/>
            <w:vAlign w:val="center"/>
          </w:tcPr>
          <w:p w14:paraId="4495B9AB">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对照设计、现状查图纸资料</w:t>
            </w:r>
          </w:p>
        </w:tc>
        <w:tc>
          <w:tcPr>
            <w:tcW w:w="717" w:type="dxa"/>
            <w:noWrap w:val="0"/>
            <w:vAlign w:val="center"/>
          </w:tcPr>
          <w:p w14:paraId="5E05B377">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有图纸，有尾矿年排放计划</w:t>
            </w:r>
          </w:p>
        </w:tc>
        <w:tc>
          <w:tcPr>
            <w:tcW w:w="841" w:type="dxa"/>
            <w:noWrap w:val="0"/>
            <w:vAlign w:val="center"/>
          </w:tcPr>
          <w:p w14:paraId="73837798">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否决项</w:t>
            </w:r>
          </w:p>
        </w:tc>
        <w:tc>
          <w:tcPr>
            <w:tcW w:w="1097" w:type="dxa"/>
            <w:noWrap w:val="0"/>
            <w:vAlign w:val="center"/>
          </w:tcPr>
          <w:p w14:paraId="44C8B7B8">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无图纸的否决，无计划的倒扣3分</w:t>
            </w:r>
          </w:p>
        </w:tc>
        <w:tc>
          <w:tcPr>
            <w:tcW w:w="535" w:type="dxa"/>
            <w:noWrap w:val="0"/>
            <w:vAlign w:val="center"/>
          </w:tcPr>
          <w:p w14:paraId="41A4846B">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符合</w:t>
            </w:r>
          </w:p>
        </w:tc>
      </w:tr>
      <w:tr w14:paraId="1BDA5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733" w:type="dxa"/>
            <w:vMerge w:val="continue"/>
            <w:noWrap w:val="0"/>
            <w:vAlign w:val="center"/>
          </w:tcPr>
          <w:p w14:paraId="7CB37F76">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2937" w:type="dxa"/>
            <w:noWrap w:val="0"/>
            <w:vAlign w:val="center"/>
          </w:tcPr>
          <w:p w14:paraId="54E01231">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3.2建立和健全各级各岗位人员安全生产责任制</w:t>
            </w:r>
          </w:p>
          <w:p w14:paraId="504647F5">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3.2.1尾矿库主要负责人安全生产责任制；</w:t>
            </w:r>
          </w:p>
          <w:p w14:paraId="773D4627">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3.2.2尾矿库分管负责人安全生产责任制；</w:t>
            </w:r>
          </w:p>
          <w:p w14:paraId="5419FA3E">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3.2.3尾矿库安全生产管理人员安全生产责任制；</w:t>
            </w:r>
          </w:p>
          <w:p w14:paraId="08BC5EE8">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3.2.4尾矿库职能管理部门安全生产责任制；</w:t>
            </w:r>
          </w:p>
          <w:p w14:paraId="5B42CD9A">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3.2.5尾矿工岗位安全生产责任制。</w:t>
            </w:r>
          </w:p>
        </w:tc>
        <w:tc>
          <w:tcPr>
            <w:tcW w:w="1501" w:type="dxa"/>
            <w:noWrap w:val="0"/>
            <w:vAlign w:val="center"/>
          </w:tcPr>
          <w:p w14:paraId="5F04BDA1">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《尾矿库安全监督管理规定》第四条；《尾矿库安全规程》第6.1.1条；《安全生产法》《安全生产许可征条例》国家安监局、煤监局第9号令</w:t>
            </w:r>
          </w:p>
        </w:tc>
        <w:tc>
          <w:tcPr>
            <w:tcW w:w="925" w:type="dxa"/>
            <w:noWrap w:val="0"/>
            <w:vAlign w:val="center"/>
          </w:tcPr>
          <w:p w14:paraId="0A6467DE">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1</w:t>
            </w:r>
            <w:r>
              <w:rPr>
                <w:rFonts w:hint="eastAsia"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zh-CN"/>
              </w:rPr>
              <w:t>查有关资料、文件、制度及规程、规范</w:t>
            </w:r>
          </w:p>
          <w:p w14:paraId="2AC9FFA6">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2</w:t>
            </w:r>
            <w:r>
              <w:rPr>
                <w:rFonts w:hint="eastAsia"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zh-CN"/>
              </w:rPr>
              <w:t>查有效证件、</w:t>
            </w:r>
          </w:p>
          <w:p w14:paraId="0A3A351A">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证书</w:t>
            </w:r>
          </w:p>
        </w:tc>
        <w:tc>
          <w:tcPr>
            <w:tcW w:w="717" w:type="dxa"/>
            <w:noWrap w:val="0"/>
            <w:vAlign w:val="center"/>
          </w:tcPr>
          <w:p w14:paraId="0C657C88">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有</w:t>
            </w:r>
          </w:p>
        </w:tc>
        <w:tc>
          <w:tcPr>
            <w:tcW w:w="841" w:type="dxa"/>
            <w:noWrap w:val="0"/>
            <w:vAlign w:val="center"/>
          </w:tcPr>
          <w:p w14:paraId="0B497BD8">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10</w:t>
            </w:r>
          </w:p>
        </w:tc>
        <w:tc>
          <w:tcPr>
            <w:tcW w:w="1097" w:type="dxa"/>
            <w:noWrap w:val="0"/>
            <w:vAlign w:val="center"/>
          </w:tcPr>
          <w:p w14:paraId="077B2301">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缺1项</w:t>
            </w:r>
          </w:p>
          <w:p w14:paraId="6B11B77C">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扣2分</w:t>
            </w:r>
          </w:p>
        </w:tc>
        <w:tc>
          <w:tcPr>
            <w:tcW w:w="535" w:type="dxa"/>
            <w:noWrap w:val="0"/>
            <w:vAlign w:val="center"/>
          </w:tcPr>
          <w:p w14:paraId="32084808">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10</w:t>
            </w:r>
          </w:p>
        </w:tc>
      </w:tr>
      <w:tr w14:paraId="5A98A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733" w:type="dxa"/>
            <w:vMerge w:val="restart"/>
            <w:noWrap w:val="0"/>
            <w:vAlign w:val="center"/>
          </w:tcPr>
          <w:p w14:paraId="4FAC05BE">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3.安</w:t>
            </w:r>
          </w:p>
          <w:p w14:paraId="508F58CC">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全管</w:t>
            </w:r>
          </w:p>
          <w:p w14:paraId="5BB86A99">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理</w:t>
            </w:r>
          </w:p>
        </w:tc>
        <w:tc>
          <w:tcPr>
            <w:tcW w:w="2937" w:type="dxa"/>
            <w:noWrap w:val="0"/>
            <w:vAlign w:val="center"/>
          </w:tcPr>
          <w:p w14:paraId="59ED6008">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3.3企业应建立各项安全生产管理规章制度</w:t>
            </w:r>
          </w:p>
          <w:p w14:paraId="03E298AA">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3.3.1尾矿库日常和定期的检查制度；</w:t>
            </w:r>
          </w:p>
          <w:p w14:paraId="367C4EAC">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3.3.2尾矿库应急管理制度</w:t>
            </w:r>
          </w:p>
          <w:p w14:paraId="05A2348A">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3.3.3隐患排查与整改制度；</w:t>
            </w:r>
          </w:p>
          <w:p w14:paraId="236C1622">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3.3.4特殊状况安全检查制度；</w:t>
            </w:r>
          </w:p>
          <w:p w14:paraId="2C998D28">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3.3.5安全评价制度；</w:t>
            </w:r>
          </w:p>
          <w:p w14:paraId="72AF7E44">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3.3.6尾矿库事故管理制度；</w:t>
            </w:r>
          </w:p>
          <w:p w14:paraId="445543CD">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3.3.7监控、监测制度。</w:t>
            </w:r>
          </w:p>
        </w:tc>
        <w:tc>
          <w:tcPr>
            <w:tcW w:w="1501" w:type="dxa"/>
            <w:vMerge w:val="restart"/>
            <w:noWrap w:val="0"/>
            <w:vAlign w:val="center"/>
          </w:tcPr>
          <w:p w14:paraId="30F1C757">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sz w:val="21"/>
                <w:szCs w:val="21"/>
              </w:rPr>
              <w:t>《金属非金属矿山安全规程》第4.2、4.3、4.4、4.5条；《尾矿库安全规程》第6.1.1条；《尾矿库安全监督管理规定》第四、五、六、二十一条；《特种作业人员安全技术培训考核管理规定》《安全生产培训管理办法》；《关于印发〈企业安全生产费用提取和使用管理办法〉的通知》《江西省安全生产委员会关于在全省高危行业领域实施安全生产责任保险制度的指导意见》；《国家安全监管总局办公厅关于修改用人单位劳动防护用品管理规范的通知》</w:t>
            </w:r>
          </w:p>
        </w:tc>
        <w:tc>
          <w:tcPr>
            <w:tcW w:w="925" w:type="dxa"/>
            <w:vMerge w:val="restart"/>
            <w:noWrap w:val="0"/>
            <w:vAlign w:val="center"/>
          </w:tcPr>
          <w:p w14:paraId="765FE1E4">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1</w:t>
            </w:r>
            <w:r>
              <w:rPr>
                <w:rFonts w:hint="eastAsia"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zh-CN"/>
              </w:rPr>
              <w:t>查有关资料、文件、制度及规程、规范</w:t>
            </w:r>
          </w:p>
          <w:p w14:paraId="7603F4BE">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2</w:t>
            </w:r>
            <w:r>
              <w:rPr>
                <w:rFonts w:hint="eastAsia"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zh-CN"/>
              </w:rPr>
              <w:t>查有效证件、证书</w:t>
            </w:r>
          </w:p>
          <w:p w14:paraId="5B10502F">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717" w:type="dxa"/>
            <w:noWrap w:val="0"/>
            <w:vAlign w:val="center"/>
          </w:tcPr>
          <w:p w14:paraId="7560582D">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p w14:paraId="0FD26D5E">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eastAsia" w:ascii="Times New Roman"/>
                <w:color w:val="auto"/>
                <w:kern w:val="0"/>
                <w:sz w:val="21"/>
                <w:szCs w:val="21"/>
                <w:lang w:val="zh-CN"/>
              </w:rPr>
              <w:t>未见</w:t>
            </w:r>
            <w:r>
              <w:rPr>
                <w:rFonts w:hint="eastAsia" w:ascii="Times New Roman" w:eastAsia="宋体"/>
                <w:color w:val="auto"/>
                <w:kern w:val="0"/>
                <w:sz w:val="21"/>
                <w:szCs w:val="21"/>
                <w:lang w:val="en-US" w:eastAsia="zh-CN"/>
              </w:rPr>
              <w:t>3.3.4、</w:t>
            </w:r>
            <w:r>
              <w:rPr>
                <w:rFonts w:hint="eastAsia"/>
                <w:color w:val="auto"/>
                <w:kern w:val="0"/>
                <w:sz w:val="21"/>
                <w:szCs w:val="21"/>
                <w:lang w:val="en-US" w:eastAsia="zh-CN"/>
              </w:rPr>
              <w:t>3.3.5、3.3.6、</w:t>
            </w:r>
            <w:r>
              <w:rPr>
                <w:rFonts w:hint="eastAsia" w:ascii="Times New Roman" w:eastAsia="宋体"/>
                <w:color w:val="auto"/>
                <w:kern w:val="0"/>
                <w:sz w:val="21"/>
                <w:szCs w:val="21"/>
                <w:lang w:val="en-US" w:eastAsia="zh-CN"/>
              </w:rPr>
              <w:t>3.3.7</w:t>
            </w:r>
            <w:r>
              <w:rPr>
                <w:rFonts w:hint="eastAsia" w:ascii="Times New Roman"/>
                <w:color w:val="auto"/>
                <w:kern w:val="0"/>
                <w:sz w:val="21"/>
                <w:szCs w:val="21"/>
                <w:lang w:val="zh-CN"/>
              </w:rPr>
              <w:t>，</w:t>
            </w:r>
            <w:r>
              <w:rPr>
                <w:rFonts w:hint="eastAsia" w:ascii="Times New Roman" w:eastAsia="宋体"/>
                <w:color w:val="auto"/>
                <w:kern w:val="0"/>
                <w:sz w:val="21"/>
                <w:szCs w:val="21"/>
                <w:lang w:val="en-US" w:eastAsia="zh-CN"/>
              </w:rPr>
              <w:t>3.3.4、</w:t>
            </w:r>
            <w:r>
              <w:rPr>
                <w:rFonts w:hint="eastAsia"/>
                <w:color w:val="auto"/>
                <w:kern w:val="0"/>
                <w:sz w:val="21"/>
                <w:szCs w:val="21"/>
                <w:lang w:val="en-US" w:eastAsia="zh-CN"/>
              </w:rPr>
              <w:t>3.3.5、3.3.6、</w:t>
            </w:r>
            <w:r>
              <w:rPr>
                <w:rFonts w:hint="eastAsia" w:ascii="Times New Roman" w:eastAsia="宋体"/>
                <w:color w:val="auto"/>
                <w:kern w:val="0"/>
                <w:sz w:val="21"/>
                <w:szCs w:val="21"/>
                <w:lang w:val="en-US" w:eastAsia="zh-CN"/>
              </w:rPr>
              <w:t>3.3.7</w:t>
            </w:r>
            <w:r>
              <w:rPr>
                <w:rFonts w:hint="eastAsia" w:ascii="Times New Roman"/>
                <w:color w:val="auto"/>
                <w:kern w:val="0"/>
                <w:sz w:val="21"/>
                <w:szCs w:val="21"/>
                <w:lang w:val="zh-CN"/>
              </w:rPr>
              <w:t>未运行</w:t>
            </w:r>
          </w:p>
        </w:tc>
        <w:tc>
          <w:tcPr>
            <w:tcW w:w="841" w:type="dxa"/>
            <w:noWrap w:val="0"/>
            <w:vAlign w:val="center"/>
          </w:tcPr>
          <w:p w14:paraId="693BCBE4">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14</w:t>
            </w:r>
          </w:p>
        </w:tc>
        <w:tc>
          <w:tcPr>
            <w:tcW w:w="1097" w:type="dxa"/>
            <w:noWrap w:val="0"/>
            <w:vAlign w:val="center"/>
          </w:tcPr>
          <w:p w14:paraId="7C0AFD92">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制度缺1项扣1分；1项制度未运行或运行差扣1分</w:t>
            </w:r>
          </w:p>
        </w:tc>
        <w:tc>
          <w:tcPr>
            <w:tcW w:w="535" w:type="dxa"/>
            <w:noWrap w:val="0"/>
            <w:vAlign w:val="center"/>
          </w:tcPr>
          <w:p w14:paraId="00A09707">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6</w:t>
            </w:r>
          </w:p>
        </w:tc>
      </w:tr>
      <w:tr w14:paraId="240C5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733" w:type="dxa"/>
            <w:vMerge w:val="continue"/>
            <w:noWrap w:val="0"/>
            <w:vAlign w:val="center"/>
          </w:tcPr>
          <w:p w14:paraId="40496111">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2937" w:type="dxa"/>
            <w:noWrap w:val="0"/>
            <w:vAlign w:val="center"/>
          </w:tcPr>
          <w:p w14:paraId="17A0E387">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3.4制定各工种岗位安全操作规程。</w:t>
            </w:r>
          </w:p>
        </w:tc>
        <w:tc>
          <w:tcPr>
            <w:tcW w:w="1501" w:type="dxa"/>
            <w:vMerge w:val="continue"/>
            <w:noWrap w:val="0"/>
            <w:vAlign w:val="center"/>
          </w:tcPr>
          <w:p w14:paraId="1A9D0F94">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925" w:type="dxa"/>
            <w:vMerge w:val="continue"/>
            <w:noWrap w:val="0"/>
            <w:vAlign w:val="center"/>
          </w:tcPr>
          <w:p w14:paraId="70A0E80D">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717" w:type="dxa"/>
            <w:noWrap w:val="0"/>
            <w:vAlign w:val="center"/>
          </w:tcPr>
          <w:p w14:paraId="4F136ED5">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有</w:t>
            </w:r>
          </w:p>
        </w:tc>
        <w:tc>
          <w:tcPr>
            <w:tcW w:w="841" w:type="dxa"/>
            <w:noWrap w:val="0"/>
            <w:vAlign w:val="center"/>
          </w:tcPr>
          <w:p w14:paraId="0ECA711C">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2</w:t>
            </w:r>
          </w:p>
        </w:tc>
        <w:tc>
          <w:tcPr>
            <w:tcW w:w="1097" w:type="dxa"/>
            <w:noWrap w:val="0"/>
            <w:vAlign w:val="center"/>
          </w:tcPr>
          <w:p w14:paraId="17F6F927">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缺1项</w:t>
            </w:r>
          </w:p>
          <w:p w14:paraId="3728883F">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扣1分</w:t>
            </w:r>
          </w:p>
        </w:tc>
        <w:tc>
          <w:tcPr>
            <w:tcW w:w="535" w:type="dxa"/>
            <w:noWrap w:val="0"/>
            <w:vAlign w:val="center"/>
          </w:tcPr>
          <w:p w14:paraId="56D42ADE">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2</w:t>
            </w:r>
          </w:p>
        </w:tc>
      </w:tr>
      <w:tr w14:paraId="26950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733" w:type="dxa"/>
            <w:vMerge w:val="continue"/>
            <w:noWrap w:val="0"/>
            <w:vAlign w:val="center"/>
          </w:tcPr>
          <w:p w14:paraId="341FC777">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2937" w:type="dxa"/>
            <w:noWrap w:val="0"/>
            <w:vAlign w:val="center"/>
          </w:tcPr>
          <w:p w14:paraId="415568D0">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3.5主要负责人、分管安全工作负责人和安全管理人员经过安全培训，考核合格，持证上岗。</w:t>
            </w:r>
          </w:p>
        </w:tc>
        <w:tc>
          <w:tcPr>
            <w:tcW w:w="1501" w:type="dxa"/>
            <w:vMerge w:val="continue"/>
            <w:noWrap w:val="0"/>
            <w:vAlign w:val="center"/>
          </w:tcPr>
          <w:p w14:paraId="225A6239">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925" w:type="dxa"/>
            <w:vMerge w:val="continue"/>
            <w:noWrap w:val="0"/>
            <w:vAlign w:val="center"/>
          </w:tcPr>
          <w:p w14:paraId="1AD6A8D5">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717" w:type="dxa"/>
            <w:noWrap w:val="0"/>
            <w:vAlign w:val="center"/>
          </w:tcPr>
          <w:p w14:paraId="2F26C6FF">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有</w:t>
            </w:r>
          </w:p>
        </w:tc>
        <w:tc>
          <w:tcPr>
            <w:tcW w:w="841" w:type="dxa"/>
            <w:noWrap w:val="0"/>
            <w:vAlign w:val="center"/>
          </w:tcPr>
          <w:p w14:paraId="124DAAF1">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否决项</w:t>
            </w:r>
          </w:p>
        </w:tc>
        <w:tc>
          <w:tcPr>
            <w:tcW w:w="1097" w:type="dxa"/>
            <w:noWrap w:val="0"/>
            <w:vAlign w:val="center"/>
          </w:tcPr>
          <w:p w14:paraId="736C4D2A">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任一类</w:t>
            </w:r>
          </w:p>
          <w:p w14:paraId="230DC3DE">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人员无证</w:t>
            </w:r>
          </w:p>
          <w:p w14:paraId="3268EA15">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就否</w:t>
            </w:r>
          </w:p>
        </w:tc>
        <w:tc>
          <w:tcPr>
            <w:tcW w:w="535" w:type="dxa"/>
            <w:noWrap w:val="0"/>
            <w:vAlign w:val="center"/>
          </w:tcPr>
          <w:p w14:paraId="66BCCA91">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符合</w:t>
            </w:r>
          </w:p>
        </w:tc>
      </w:tr>
      <w:tr w14:paraId="62CB6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733" w:type="dxa"/>
            <w:vMerge w:val="continue"/>
            <w:noWrap w:val="0"/>
            <w:vAlign w:val="center"/>
          </w:tcPr>
          <w:p w14:paraId="4C9D7BD6">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2937" w:type="dxa"/>
            <w:noWrap w:val="0"/>
            <w:vAlign w:val="center"/>
          </w:tcPr>
          <w:p w14:paraId="7A44511C">
            <w:pPr>
              <w:keepNext w:val="0"/>
              <w:keepLines w:val="0"/>
              <w:pageBreakBefore w:val="0"/>
              <w:widowControl w:val="0"/>
              <w:kinsoku/>
              <w:wordWrap/>
              <w:overflowPunct/>
              <w:topLinePunct w:val="0"/>
              <w:autoSpaceDE w:val="0"/>
              <w:autoSpaceDN w:val="0"/>
              <w:bidi w:val="0"/>
              <w:snapToGrid/>
              <w:spacing w:line="28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3.6特种作业人员经有关部门考核合格，取得上岗资格。</w:t>
            </w:r>
          </w:p>
        </w:tc>
        <w:tc>
          <w:tcPr>
            <w:tcW w:w="1501" w:type="dxa"/>
            <w:vMerge w:val="continue"/>
            <w:noWrap w:val="0"/>
            <w:vAlign w:val="center"/>
          </w:tcPr>
          <w:p w14:paraId="38574474">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925" w:type="dxa"/>
            <w:vMerge w:val="continue"/>
            <w:noWrap w:val="0"/>
            <w:vAlign w:val="center"/>
          </w:tcPr>
          <w:p w14:paraId="1624212C">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717" w:type="dxa"/>
            <w:noWrap w:val="0"/>
            <w:vAlign w:val="center"/>
          </w:tcPr>
          <w:p w14:paraId="493CAFBB">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有</w:t>
            </w:r>
          </w:p>
        </w:tc>
        <w:tc>
          <w:tcPr>
            <w:tcW w:w="841" w:type="dxa"/>
            <w:noWrap w:val="0"/>
            <w:vAlign w:val="center"/>
          </w:tcPr>
          <w:p w14:paraId="49B80961">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否决项</w:t>
            </w:r>
          </w:p>
        </w:tc>
        <w:tc>
          <w:tcPr>
            <w:tcW w:w="1097" w:type="dxa"/>
            <w:noWrap w:val="0"/>
            <w:vAlign w:val="center"/>
          </w:tcPr>
          <w:p w14:paraId="33F57525">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尾矿工</w:t>
            </w:r>
          </w:p>
          <w:p w14:paraId="5970263D">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无证就否</w:t>
            </w:r>
          </w:p>
        </w:tc>
        <w:tc>
          <w:tcPr>
            <w:tcW w:w="535" w:type="dxa"/>
            <w:noWrap w:val="0"/>
            <w:vAlign w:val="center"/>
          </w:tcPr>
          <w:p w14:paraId="37E99757">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符合</w:t>
            </w:r>
          </w:p>
        </w:tc>
      </w:tr>
      <w:tr w14:paraId="633F9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733" w:type="dxa"/>
            <w:vMerge w:val="continue"/>
            <w:noWrap w:val="0"/>
            <w:vAlign w:val="center"/>
          </w:tcPr>
          <w:p w14:paraId="5C451340">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2937" w:type="dxa"/>
            <w:noWrap w:val="0"/>
            <w:vAlign w:val="center"/>
          </w:tcPr>
          <w:p w14:paraId="08E68275">
            <w:pPr>
              <w:keepNext w:val="0"/>
              <w:keepLines w:val="0"/>
              <w:pageBreakBefore w:val="0"/>
              <w:widowControl w:val="0"/>
              <w:kinsoku/>
              <w:wordWrap/>
              <w:overflowPunct/>
              <w:topLinePunct w:val="0"/>
              <w:autoSpaceDE w:val="0"/>
              <w:autoSpaceDN w:val="0"/>
              <w:bidi w:val="0"/>
              <w:snapToGrid/>
              <w:spacing w:line="28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3.7对从业人员进行安全知识培训，新员工、转岗员工应接受三级安全教育。</w:t>
            </w:r>
          </w:p>
        </w:tc>
        <w:tc>
          <w:tcPr>
            <w:tcW w:w="1501" w:type="dxa"/>
            <w:vMerge w:val="continue"/>
            <w:noWrap w:val="0"/>
            <w:vAlign w:val="center"/>
          </w:tcPr>
          <w:p w14:paraId="4254EF4F">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925" w:type="dxa"/>
            <w:vMerge w:val="continue"/>
            <w:noWrap w:val="0"/>
            <w:vAlign w:val="center"/>
          </w:tcPr>
          <w:p w14:paraId="06D0A6E1">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717" w:type="dxa"/>
            <w:noWrap w:val="0"/>
            <w:vAlign w:val="center"/>
          </w:tcPr>
          <w:p w14:paraId="7C946B6C">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有</w:t>
            </w:r>
          </w:p>
        </w:tc>
        <w:tc>
          <w:tcPr>
            <w:tcW w:w="841" w:type="dxa"/>
            <w:noWrap w:val="0"/>
            <w:vAlign w:val="center"/>
          </w:tcPr>
          <w:p w14:paraId="7CECEB3C">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3</w:t>
            </w:r>
          </w:p>
        </w:tc>
        <w:tc>
          <w:tcPr>
            <w:tcW w:w="1097" w:type="dxa"/>
            <w:vMerge w:val="restart"/>
            <w:noWrap w:val="0"/>
            <w:vAlign w:val="center"/>
          </w:tcPr>
          <w:p w14:paraId="52CB9369">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不符合</w:t>
            </w:r>
          </w:p>
          <w:p w14:paraId="4678A807">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不得分</w:t>
            </w:r>
          </w:p>
        </w:tc>
        <w:tc>
          <w:tcPr>
            <w:tcW w:w="535" w:type="dxa"/>
            <w:noWrap w:val="0"/>
            <w:vAlign w:val="center"/>
          </w:tcPr>
          <w:p w14:paraId="6FFD8F8F">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3</w:t>
            </w:r>
          </w:p>
        </w:tc>
      </w:tr>
      <w:tr w14:paraId="60D4D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733" w:type="dxa"/>
            <w:vMerge w:val="continue"/>
            <w:noWrap w:val="0"/>
            <w:vAlign w:val="center"/>
          </w:tcPr>
          <w:p w14:paraId="226AE888">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2937" w:type="dxa"/>
            <w:noWrap w:val="0"/>
            <w:vAlign w:val="center"/>
          </w:tcPr>
          <w:p w14:paraId="36E52808">
            <w:pPr>
              <w:keepNext w:val="0"/>
              <w:keepLines w:val="0"/>
              <w:pageBreakBefore w:val="0"/>
              <w:widowControl w:val="0"/>
              <w:kinsoku/>
              <w:wordWrap/>
              <w:overflowPunct/>
              <w:topLinePunct w:val="0"/>
              <w:autoSpaceDE w:val="0"/>
              <w:autoSpaceDN w:val="0"/>
              <w:bidi w:val="0"/>
              <w:snapToGrid/>
              <w:spacing w:line="28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3.8制定应急救援预案及进行不定期演练，有与邻近应急救援组织签订的救护协议。</w:t>
            </w:r>
          </w:p>
        </w:tc>
        <w:tc>
          <w:tcPr>
            <w:tcW w:w="1501" w:type="dxa"/>
            <w:vMerge w:val="continue"/>
            <w:noWrap w:val="0"/>
            <w:vAlign w:val="center"/>
          </w:tcPr>
          <w:p w14:paraId="0DA1C09C">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925" w:type="dxa"/>
            <w:vMerge w:val="continue"/>
            <w:noWrap w:val="0"/>
            <w:vAlign w:val="center"/>
          </w:tcPr>
          <w:p w14:paraId="7E28BB75">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717" w:type="dxa"/>
            <w:noWrap w:val="0"/>
            <w:vAlign w:val="center"/>
          </w:tcPr>
          <w:p w14:paraId="36225188">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eastAsia" w:ascii="Times New Roman" w:hAnsi="Times New Roman" w:eastAsia="宋体" w:cs="Times New Roman"/>
                <w:color w:val="auto"/>
                <w:kern w:val="0"/>
                <w:sz w:val="21"/>
                <w:szCs w:val="21"/>
                <w:lang w:val="zh-CN" w:eastAsia="zh-CN"/>
              </w:rPr>
            </w:pPr>
            <w:r>
              <w:rPr>
                <w:rFonts w:hint="eastAsia" w:ascii="Times New Roman" w:hAnsi="Times New Roman" w:eastAsia="宋体" w:cs="Times New Roman"/>
                <w:color w:val="auto"/>
                <w:kern w:val="0"/>
                <w:sz w:val="21"/>
                <w:szCs w:val="21"/>
                <w:lang w:val="en-US" w:eastAsia="zh-CN"/>
              </w:rPr>
              <w:t>有</w:t>
            </w:r>
          </w:p>
        </w:tc>
        <w:tc>
          <w:tcPr>
            <w:tcW w:w="841" w:type="dxa"/>
            <w:noWrap w:val="0"/>
            <w:vAlign w:val="center"/>
          </w:tcPr>
          <w:p w14:paraId="71FFA20B">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5</w:t>
            </w:r>
          </w:p>
        </w:tc>
        <w:tc>
          <w:tcPr>
            <w:tcW w:w="1097" w:type="dxa"/>
            <w:vMerge w:val="continue"/>
            <w:noWrap w:val="0"/>
            <w:vAlign w:val="center"/>
          </w:tcPr>
          <w:p w14:paraId="200BE66E">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535" w:type="dxa"/>
            <w:noWrap w:val="0"/>
            <w:vAlign w:val="center"/>
          </w:tcPr>
          <w:p w14:paraId="58EFA134">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eastAsia" w:ascii="Times New Roman" w:hAnsi="Times New Roman" w:eastAsia="宋体" w:cs="Times New Roman"/>
                <w:color w:val="auto"/>
                <w:kern w:val="0"/>
                <w:sz w:val="21"/>
                <w:szCs w:val="21"/>
                <w:lang w:val="zh-CN" w:eastAsia="zh-CN"/>
              </w:rPr>
            </w:pPr>
            <w:r>
              <w:rPr>
                <w:rFonts w:hint="eastAsia" w:ascii="Times New Roman" w:hAnsi="Times New Roman" w:eastAsia="宋体" w:cs="Times New Roman"/>
                <w:color w:val="auto"/>
                <w:kern w:val="0"/>
                <w:sz w:val="21"/>
                <w:szCs w:val="21"/>
                <w:lang w:val="en-US" w:eastAsia="zh-CN"/>
              </w:rPr>
              <w:t>5</w:t>
            </w:r>
          </w:p>
        </w:tc>
      </w:tr>
      <w:tr w14:paraId="1F092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733" w:type="dxa"/>
            <w:vMerge w:val="continue"/>
            <w:noWrap w:val="0"/>
            <w:vAlign w:val="center"/>
          </w:tcPr>
          <w:p w14:paraId="3D352648">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2937" w:type="dxa"/>
            <w:noWrap w:val="0"/>
            <w:vAlign w:val="center"/>
          </w:tcPr>
          <w:p w14:paraId="72D202E9">
            <w:pPr>
              <w:keepNext w:val="0"/>
              <w:keepLines w:val="0"/>
              <w:pageBreakBefore w:val="0"/>
              <w:widowControl w:val="0"/>
              <w:kinsoku/>
              <w:wordWrap/>
              <w:overflowPunct/>
              <w:topLinePunct w:val="0"/>
              <w:autoSpaceDE w:val="0"/>
              <w:autoSpaceDN w:val="0"/>
              <w:bidi w:val="0"/>
              <w:snapToGrid/>
              <w:spacing w:line="28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3.9按规定提取和使用安全技术措施费用；</w:t>
            </w:r>
          </w:p>
          <w:p w14:paraId="16B60D1A">
            <w:pPr>
              <w:keepNext w:val="0"/>
              <w:keepLines w:val="0"/>
              <w:pageBreakBefore w:val="0"/>
              <w:widowControl w:val="0"/>
              <w:kinsoku/>
              <w:wordWrap/>
              <w:overflowPunct/>
              <w:topLinePunct w:val="0"/>
              <w:autoSpaceDE w:val="0"/>
              <w:autoSpaceDN w:val="0"/>
              <w:bidi w:val="0"/>
              <w:snapToGrid/>
              <w:spacing w:line="28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3.9.1有保证安全生产投入的文件；</w:t>
            </w:r>
          </w:p>
          <w:p w14:paraId="4416F893">
            <w:pPr>
              <w:keepNext w:val="0"/>
              <w:keepLines w:val="0"/>
              <w:pageBreakBefore w:val="0"/>
              <w:widowControl w:val="0"/>
              <w:kinsoku/>
              <w:wordWrap/>
              <w:overflowPunct/>
              <w:topLinePunct w:val="0"/>
              <w:autoSpaceDE w:val="0"/>
              <w:autoSpaceDN w:val="0"/>
              <w:bidi w:val="0"/>
              <w:snapToGrid/>
              <w:spacing w:line="28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3.9.2有安全投入使用计划；</w:t>
            </w:r>
          </w:p>
          <w:p w14:paraId="5EFCDD5B">
            <w:pPr>
              <w:keepNext w:val="0"/>
              <w:keepLines w:val="0"/>
              <w:pageBreakBefore w:val="0"/>
              <w:widowControl w:val="0"/>
              <w:kinsoku/>
              <w:wordWrap/>
              <w:overflowPunct/>
              <w:topLinePunct w:val="0"/>
              <w:autoSpaceDE w:val="0"/>
              <w:autoSpaceDN w:val="0"/>
              <w:bidi w:val="0"/>
              <w:snapToGrid/>
              <w:spacing w:line="28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3.9.3有购置安全设施设备等实物证明。</w:t>
            </w:r>
          </w:p>
        </w:tc>
        <w:tc>
          <w:tcPr>
            <w:tcW w:w="1501" w:type="dxa"/>
            <w:vMerge w:val="continue"/>
            <w:noWrap w:val="0"/>
            <w:vAlign w:val="center"/>
          </w:tcPr>
          <w:p w14:paraId="0F5EADAC">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925" w:type="dxa"/>
            <w:vMerge w:val="continue"/>
            <w:noWrap w:val="0"/>
            <w:vAlign w:val="center"/>
          </w:tcPr>
          <w:p w14:paraId="44D3B969">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717" w:type="dxa"/>
            <w:noWrap w:val="0"/>
            <w:vAlign w:val="center"/>
          </w:tcPr>
          <w:p w14:paraId="412A5277">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有</w:t>
            </w:r>
          </w:p>
        </w:tc>
        <w:tc>
          <w:tcPr>
            <w:tcW w:w="841" w:type="dxa"/>
            <w:noWrap w:val="0"/>
            <w:vAlign w:val="center"/>
          </w:tcPr>
          <w:p w14:paraId="3ED392EE">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5</w:t>
            </w:r>
          </w:p>
        </w:tc>
        <w:tc>
          <w:tcPr>
            <w:tcW w:w="1097" w:type="dxa"/>
            <w:noWrap w:val="0"/>
            <w:vAlign w:val="center"/>
          </w:tcPr>
          <w:p w14:paraId="5C57A71B">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缺1项</w:t>
            </w:r>
          </w:p>
          <w:p w14:paraId="28D537EB">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扣1分</w:t>
            </w:r>
          </w:p>
        </w:tc>
        <w:tc>
          <w:tcPr>
            <w:tcW w:w="535" w:type="dxa"/>
            <w:noWrap w:val="0"/>
            <w:vAlign w:val="center"/>
          </w:tcPr>
          <w:p w14:paraId="0E7C16F7">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eastAsia" w:ascii="Times New Roman" w:hAnsi="Times New Roman" w:eastAsia="宋体" w:cs="Times New Roman"/>
                <w:color w:val="auto"/>
                <w:kern w:val="0"/>
                <w:sz w:val="21"/>
                <w:szCs w:val="21"/>
                <w:lang w:val="zh-CN" w:eastAsia="zh-CN"/>
              </w:rPr>
            </w:pPr>
            <w:r>
              <w:rPr>
                <w:rFonts w:hint="eastAsia" w:cs="Times New Roman"/>
                <w:color w:val="auto"/>
                <w:kern w:val="0"/>
                <w:sz w:val="21"/>
                <w:szCs w:val="21"/>
                <w:lang w:val="en-US" w:eastAsia="zh-CN"/>
              </w:rPr>
              <w:t>5</w:t>
            </w:r>
          </w:p>
        </w:tc>
      </w:tr>
      <w:tr w14:paraId="47A0D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733" w:type="dxa"/>
            <w:vMerge w:val="continue"/>
            <w:noWrap w:val="0"/>
            <w:vAlign w:val="center"/>
          </w:tcPr>
          <w:p w14:paraId="02057BDE">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2937" w:type="dxa"/>
            <w:noWrap w:val="0"/>
            <w:vAlign w:val="center"/>
          </w:tcPr>
          <w:p w14:paraId="126C1E60">
            <w:pPr>
              <w:keepNext w:val="0"/>
              <w:keepLines w:val="0"/>
              <w:pageBreakBefore w:val="0"/>
              <w:widowControl w:val="0"/>
              <w:kinsoku/>
              <w:wordWrap/>
              <w:overflowPunct/>
              <w:topLinePunct w:val="0"/>
              <w:autoSpaceDE w:val="0"/>
              <w:autoSpaceDN w:val="0"/>
              <w:bidi w:val="0"/>
              <w:snapToGrid/>
              <w:spacing w:line="28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3.10从业人员按规定穿戴和使用劳动保护用品与用具。</w:t>
            </w:r>
          </w:p>
        </w:tc>
        <w:tc>
          <w:tcPr>
            <w:tcW w:w="1501" w:type="dxa"/>
            <w:vMerge w:val="continue"/>
            <w:noWrap w:val="0"/>
            <w:vAlign w:val="center"/>
          </w:tcPr>
          <w:p w14:paraId="4F840C46">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925" w:type="dxa"/>
            <w:vMerge w:val="continue"/>
            <w:noWrap w:val="0"/>
            <w:vAlign w:val="center"/>
          </w:tcPr>
          <w:p w14:paraId="2BD15882">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717" w:type="dxa"/>
            <w:noWrap w:val="0"/>
            <w:vAlign w:val="center"/>
          </w:tcPr>
          <w:p w14:paraId="7D8ADC8A">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符合</w:t>
            </w:r>
          </w:p>
        </w:tc>
        <w:tc>
          <w:tcPr>
            <w:tcW w:w="841" w:type="dxa"/>
            <w:noWrap w:val="0"/>
            <w:vAlign w:val="center"/>
          </w:tcPr>
          <w:p w14:paraId="16F9117F">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2</w:t>
            </w:r>
          </w:p>
        </w:tc>
        <w:tc>
          <w:tcPr>
            <w:tcW w:w="1097" w:type="dxa"/>
            <w:vMerge w:val="restart"/>
            <w:noWrap w:val="0"/>
            <w:vAlign w:val="center"/>
          </w:tcPr>
          <w:p w14:paraId="70D2B776">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不符合</w:t>
            </w:r>
          </w:p>
          <w:p w14:paraId="441BEC15">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不得分</w:t>
            </w:r>
          </w:p>
        </w:tc>
        <w:tc>
          <w:tcPr>
            <w:tcW w:w="535" w:type="dxa"/>
            <w:noWrap w:val="0"/>
            <w:vAlign w:val="center"/>
          </w:tcPr>
          <w:p w14:paraId="38ACAB8F">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2</w:t>
            </w:r>
          </w:p>
        </w:tc>
      </w:tr>
      <w:tr w14:paraId="41C65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733" w:type="dxa"/>
            <w:vMerge w:val="continue"/>
            <w:noWrap w:val="0"/>
            <w:vAlign w:val="center"/>
          </w:tcPr>
          <w:p w14:paraId="492D6F6F">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2937" w:type="dxa"/>
            <w:noWrap w:val="0"/>
            <w:vAlign w:val="center"/>
          </w:tcPr>
          <w:p w14:paraId="4EB7022C">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3.11参加安全生产保险；</w:t>
            </w:r>
          </w:p>
          <w:p w14:paraId="605F4701">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3.12有为从业人员缴纳安全生产责任保险证明；</w:t>
            </w:r>
          </w:p>
          <w:p w14:paraId="136DDBBC">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3.13保险人数与从事尾矿库管理、尾矿工的实际人数相符。</w:t>
            </w:r>
          </w:p>
        </w:tc>
        <w:tc>
          <w:tcPr>
            <w:tcW w:w="1501" w:type="dxa"/>
            <w:vMerge w:val="continue"/>
            <w:noWrap w:val="0"/>
            <w:vAlign w:val="center"/>
          </w:tcPr>
          <w:p w14:paraId="0F814429">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925" w:type="dxa"/>
            <w:vMerge w:val="continue"/>
            <w:noWrap w:val="0"/>
            <w:vAlign w:val="center"/>
          </w:tcPr>
          <w:p w14:paraId="7D176758">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717" w:type="dxa"/>
            <w:noWrap w:val="0"/>
            <w:vAlign w:val="center"/>
          </w:tcPr>
          <w:p w14:paraId="699B2A1E">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符合</w:t>
            </w:r>
          </w:p>
        </w:tc>
        <w:tc>
          <w:tcPr>
            <w:tcW w:w="841" w:type="dxa"/>
            <w:noWrap w:val="0"/>
            <w:vAlign w:val="center"/>
          </w:tcPr>
          <w:p w14:paraId="7AFB913C">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5</w:t>
            </w:r>
          </w:p>
        </w:tc>
        <w:tc>
          <w:tcPr>
            <w:tcW w:w="1097" w:type="dxa"/>
            <w:vMerge w:val="continue"/>
            <w:noWrap w:val="0"/>
            <w:vAlign w:val="center"/>
          </w:tcPr>
          <w:p w14:paraId="07C0869A">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535" w:type="dxa"/>
            <w:noWrap w:val="0"/>
            <w:vAlign w:val="center"/>
          </w:tcPr>
          <w:p w14:paraId="7A8DBC01">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5</w:t>
            </w:r>
          </w:p>
        </w:tc>
      </w:tr>
      <w:tr w14:paraId="67227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733" w:type="dxa"/>
            <w:vMerge w:val="continue"/>
            <w:noWrap w:val="0"/>
            <w:vAlign w:val="center"/>
          </w:tcPr>
          <w:p w14:paraId="44822F31">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2937" w:type="dxa"/>
            <w:noWrap w:val="0"/>
            <w:vAlign w:val="center"/>
          </w:tcPr>
          <w:p w14:paraId="1996E907">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3.14应有防震与抗震措施。</w:t>
            </w:r>
          </w:p>
        </w:tc>
        <w:tc>
          <w:tcPr>
            <w:tcW w:w="1501" w:type="dxa"/>
            <w:noWrap w:val="0"/>
            <w:vAlign w:val="center"/>
          </w:tcPr>
          <w:p w14:paraId="27BF35E5">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sz w:val="21"/>
                <w:szCs w:val="21"/>
              </w:rPr>
              <w:t>《尾矿库安全安全生产标准化评分办法》</w:t>
            </w:r>
          </w:p>
        </w:tc>
        <w:tc>
          <w:tcPr>
            <w:tcW w:w="925" w:type="dxa"/>
            <w:noWrap w:val="0"/>
            <w:vAlign w:val="center"/>
          </w:tcPr>
          <w:p w14:paraId="4EA3C2D2">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查记录</w:t>
            </w:r>
          </w:p>
        </w:tc>
        <w:tc>
          <w:tcPr>
            <w:tcW w:w="717" w:type="dxa"/>
            <w:noWrap w:val="0"/>
            <w:vAlign w:val="center"/>
          </w:tcPr>
          <w:p w14:paraId="0AA21A1C">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有</w:t>
            </w:r>
          </w:p>
        </w:tc>
        <w:tc>
          <w:tcPr>
            <w:tcW w:w="841" w:type="dxa"/>
            <w:noWrap w:val="0"/>
            <w:vAlign w:val="center"/>
          </w:tcPr>
          <w:p w14:paraId="6CC6493B">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5</w:t>
            </w:r>
          </w:p>
        </w:tc>
        <w:tc>
          <w:tcPr>
            <w:tcW w:w="1097" w:type="dxa"/>
            <w:vMerge w:val="continue"/>
            <w:noWrap w:val="0"/>
            <w:vAlign w:val="center"/>
          </w:tcPr>
          <w:p w14:paraId="7F7D98AB">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535" w:type="dxa"/>
            <w:noWrap w:val="0"/>
            <w:vAlign w:val="center"/>
          </w:tcPr>
          <w:p w14:paraId="3F7D38CC">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5</w:t>
            </w:r>
          </w:p>
        </w:tc>
      </w:tr>
      <w:tr w14:paraId="6E023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733" w:type="dxa"/>
            <w:noWrap w:val="0"/>
            <w:vAlign w:val="center"/>
          </w:tcPr>
          <w:p w14:paraId="1FF9261C">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小计</w:t>
            </w:r>
          </w:p>
        </w:tc>
        <w:tc>
          <w:tcPr>
            <w:tcW w:w="2937" w:type="dxa"/>
            <w:noWrap w:val="0"/>
            <w:vAlign w:val="center"/>
          </w:tcPr>
          <w:p w14:paraId="49AFD7FA">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1501" w:type="dxa"/>
            <w:noWrap w:val="0"/>
            <w:vAlign w:val="center"/>
          </w:tcPr>
          <w:p w14:paraId="3D0A67D4">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sz w:val="21"/>
                <w:szCs w:val="21"/>
              </w:rPr>
            </w:pPr>
          </w:p>
        </w:tc>
        <w:tc>
          <w:tcPr>
            <w:tcW w:w="925" w:type="dxa"/>
            <w:noWrap w:val="0"/>
            <w:vAlign w:val="center"/>
          </w:tcPr>
          <w:p w14:paraId="031AC9B0">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717" w:type="dxa"/>
            <w:noWrap w:val="0"/>
            <w:vAlign w:val="center"/>
          </w:tcPr>
          <w:p w14:paraId="3C924248">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841" w:type="dxa"/>
            <w:noWrap w:val="0"/>
            <w:vAlign w:val="center"/>
          </w:tcPr>
          <w:p w14:paraId="07EE39B1">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51</w:t>
            </w:r>
          </w:p>
        </w:tc>
        <w:tc>
          <w:tcPr>
            <w:tcW w:w="1097" w:type="dxa"/>
            <w:noWrap w:val="0"/>
            <w:vAlign w:val="center"/>
          </w:tcPr>
          <w:p w14:paraId="5986FDC1">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535" w:type="dxa"/>
            <w:noWrap w:val="0"/>
            <w:vAlign w:val="center"/>
          </w:tcPr>
          <w:p w14:paraId="3AA648EB">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43</w:t>
            </w:r>
          </w:p>
        </w:tc>
      </w:tr>
    </w:tbl>
    <w:p w14:paraId="1D43A877">
      <w:pPr>
        <w:pStyle w:val="4"/>
        <w:bidi w:val="0"/>
        <w:rPr>
          <w:rFonts w:hint="eastAsia"/>
          <w:color w:val="auto"/>
          <w:lang w:eastAsia="zh-CN"/>
        </w:rPr>
      </w:pPr>
      <w:bookmarkStart w:id="451" w:name="_Toc15440"/>
      <w:bookmarkStart w:id="452" w:name="_Toc32518"/>
      <w:bookmarkStart w:id="453" w:name="_Toc23318"/>
      <w:bookmarkStart w:id="454" w:name="_Toc21936"/>
      <w:bookmarkStart w:id="455" w:name="_Toc28718"/>
      <w:r>
        <w:rPr>
          <w:rFonts w:hint="eastAsia"/>
          <w:color w:val="auto"/>
          <w:lang w:eastAsia="zh-CN"/>
        </w:rPr>
        <w:t>5.1.2</w:t>
      </w:r>
      <w:r>
        <w:rPr>
          <w:rFonts w:hint="eastAsia"/>
          <w:color w:val="auto"/>
          <w:lang w:val="en-US" w:eastAsia="zh-CN"/>
        </w:rPr>
        <w:t xml:space="preserve"> </w:t>
      </w:r>
      <w:r>
        <w:rPr>
          <w:rFonts w:hint="eastAsia"/>
          <w:color w:val="auto"/>
          <w:lang w:eastAsia="zh-CN"/>
        </w:rPr>
        <w:t>评价单元小结</w:t>
      </w:r>
      <w:bookmarkEnd w:id="451"/>
      <w:bookmarkEnd w:id="452"/>
      <w:bookmarkEnd w:id="453"/>
      <w:bookmarkEnd w:id="454"/>
      <w:bookmarkEnd w:id="455"/>
    </w:p>
    <w:p w14:paraId="358632C4">
      <w:pPr>
        <w:bidi w:val="0"/>
        <w:rPr>
          <w:rFonts w:hint="eastAsia"/>
          <w:color w:val="auto"/>
          <w:lang w:eastAsia="zh-CN"/>
        </w:rPr>
      </w:pPr>
      <w:r>
        <w:rPr>
          <w:rFonts w:hint="eastAsia"/>
          <w:color w:val="auto"/>
          <w:lang w:eastAsia="zh-CN"/>
        </w:rPr>
        <w:t>经检查，</w:t>
      </w:r>
      <w:r>
        <w:rPr>
          <w:rFonts w:hint="eastAsia"/>
        </w:rPr>
        <w:t>江西三和金业有限公司</w:t>
      </w:r>
      <w:r>
        <w:rPr>
          <w:rFonts w:hint="eastAsia"/>
          <w:color w:val="auto"/>
          <w:lang w:val="en-US" w:eastAsia="zh-CN"/>
        </w:rPr>
        <w:t>于</w:t>
      </w:r>
      <w:r>
        <w:rPr>
          <w:rFonts w:hint="eastAsia"/>
          <w:color w:val="auto"/>
          <w:lang w:eastAsia="zh-CN"/>
        </w:rPr>
        <w:t>2022年</w:t>
      </w:r>
      <w:r>
        <w:rPr>
          <w:rFonts w:hint="eastAsia"/>
          <w:color w:val="auto"/>
          <w:lang w:val="en-US" w:eastAsia="zh-CN"/>
        </w:rPr>
        <w:t>09</w:t>
      </w:r>
      <w:r>
        <w:rPr>
          <w:rFonts w:hint="eastAsia"/>
          <w:color w:val="auto"/>
          <w:lang w:eastAsia="zh-CN"/>
        </w:rPr>
        <w:t>月</w:t>
      </w:r>
      <w:r>
        <w:rPr>
          <w:rFonts w:hint="eastAsia"/>
          <w:color w:val="auto"/>
          <w:lang w:val="en-US" w:eastAsia="zh-CN"/>
        </w:rPr>
        <w:t>23</w:t>
      </w:r>
      <w:r>
        <w:rPr>
          <w:rFonts w:hint="eastAsia"/>
          <w:color w:val="auto"/>
          <w:lang w:eastAsia="zh-CN"/>
        </w:rPr>
        <w:t>日取得了</w:t>
      </w:r>
      <w:r>
        <w:rPr>
          <w:rFonts w:hint="eastAsia"/>
          <w:color w:val="auto"/>
          <w:lang w:val="en-US" w:eastAsia="zh-CN"/>
        </w:rPr>
        <w:t>上饶市应急管理局换</w:t>
      </w:r>
      <w:r>
        <w:rPr>
          <w:rFonts w:hint="eastAsia"/>
          <w:color w:val="auto"/>
          <w:lang w:eastAsia="zh-CN"/>
        </w:rPr>
        <w:t>发的《安全生产许可证》。</w:t>
      </w:r>
      <w:r>
        <w:rPr>
          <w:rFonts w:hint="eastAsia"/>
        </w:rPr>
        <w:t>江西三和金业有限公司</w:t>
      </w:r>
      <w:r>
        <w:rPr>
          <w:rFonts w:hint="eastAsia"/>
          <w:color w:val="auto"/>
          <w:lang w:eastAsia="zh-CN"/>
        </w:rPr>
        <w:t>设有安全管理机构，配备了专职安全管理人员，安全管理体系健全，制定了各种安全生产规章制度、操作规程、岗位安全生产责任制和应急救援预案，安全管理措施落实较好；主要负责人和安全管理人员经当地安全培训机构培训、考核合格，具备安全资格证持证资格；有尾矿工</w:t>
      </w:r>
      <w:r>
        <w:rPr>
          <w:rFonts w:hint="eastAsia"/>
          <w:color w:val="auto"/>
          <w:lang w:val="en-US" w:eastAsia="zh-CN"/>
        </w:rPr>
        <w:t>6</w:t>
      </w:r>
      <w:r>
        <w:rPr>
          <w:rFonts w:hint="eastAsia"/>
          <w:color w:val="auto"/>
          <w:lang w:eastAsia="zh-CN"/>
        </w:rPr>
        <w:t>人，全部持证上岗，符合规范要求；尾矿库勘察、设计、评价均由有资质单位承担，符合相关规范要求；尾矿库有实测图纸且在有效期内，企业为尾矿库管理及作业人员办理了安全生产责任险。</w:t>
      </w:r>
      <w:r>
        <w:rPr>
          <w:rFonts w:hint="eastAsia"/>
        </w:rPr>
        <w:t>三号（氰化渣）尾矿库</w:t>
      </w:r>
      <w:r>
        <w:rPr>
          <w:rFonts w:hint="eastAsia"/>
          <w:color w:val="auto"/>
          <w:lang w:eastAsia="zh-CN"/>
        </w:rPr>
        <w:t>现场安全管理较为规范。尾矿库综合安全管理单元应得分51分，实际分</w:t>
      </w:r>
      <w:r>
        <w:rPr>
          <w:rFonts w:hint="eastAsia"/>
          <w:color w:val="auto"/>
          <w:lang w:val="en-US" w:eastAsia="zh-CN"/>
        </w:rPr>
        <w:t>43</w:t>
      </w:r>
      <w:r>
        <w:rPr>
          <w:rFonts w:hint="eastAsia"/>
          <w:color w:val="auto"/>
          <w:lang w:eastAsia="zh-CN"/>
        </w:rPr>
        <w:t>分，得分率为</w:t>
      </w:r>
      <w:r>
        <w:rPr>
          <w:rFonts w:hint="eastAsia"/>
          <w:color w:val="auto"/>
          <w:lang w:val="en-US" w:eastAsia="zh-CN"/>
        </w:rPr>
        <w:t>84.31</w:t>
      </w:r>
      <w:r>
        <w:rPr>
          <w:rFonts w:hint="eastAsia"/>
          <w:color w:val="auto"/>
          <w:lang w:eastAsia="zh-CN"/>
        </w:rPr>
        <w:t>%</w:t>
      </w:r>
      <w:r>
        <w:rPr>
          <w:rFonts w:hint="eastAsia"/>
          <w:color w:val="auto"/>
          <w:lang w:val="en-US" w:eastAsia="zh-CN"/>
        </w:rPr>
        <w:t>。</w:t>
      </w:r>
    </w:p>
    <w:p w14:paraId="47D85A13">
      <w:pPr>
        <w:bidi w:val="0"/>
        <w:rPr>
          <w:rFonts w:hint="default"/>
          <w:color w:val="auto"/>
          <w:lang w:val="en-US" w:eastAsia="zh-CN"/>
        </w:rPr>
      </w:pPr>
      <w:r>
        <w:rPr>
          <w:rFonts w:hint="eastAsia"/>
          <w:color w:val="auto"/>
          <w:lang w:eastAsia="zh-CN"/>
        </w:rPr>
        <w:t>综上所述，</w:t>
      </w:r>
      <w:r>
        <w:rPr>
          <w:rFonts w:hint="eastAsia"/>
        </w:rPr>
        <w:t>三号（氰化渣）尾矿库</w:t>
      </w:r>
      <w:r>
        <w:rPr>
          <w:rFonts w:hint="eastAsia"/>
          <w:color w:val="auto"/>
          <w:lang w:eastAsia="zh-CN"/>
        </w:rPr>
        <w:t>综合安全管理单元符合安全生产条件。</w:t>
      </w:r>
      <w:r>
        <w:rPr>
          <w:rFonts w:hint="eastAsia"/>
        </w:rPr>
        <w:t>江西三和金业有限公司</w:t>
      </w:r>
      <w:r>
        <w:rPr>
          <w:rFonts w:hint="eastAsia"/>
          <w:color w:val="auto"/>
          <w:lang w:eastAsia="zh-CN"/>
        </w:rPr>
        <w:t>应</w:t>
      </w:r>
      <w:r>
        <w:rPr>
          <w:rFonts w:hint="eastAsia"/>
          <w:color w:val="auto"/>
          <w:lang w:val="en-US" w:eastAsia="zh-CN"/>
        </w:rPr>
        <w:t>完善有关规章制度。</w:t>
      </w:r>
    </w:p>
    <w:p w14:paraId="7226B418">
      <w:pPr>
        <w:pStyle w:val="3"/>
        <w:bidi w:val="0"/>
        <w:rPr>
          <w:rFonts w:hint="eastAsia"/>
          <w:color w:val="auto"/>
          <w:lang w:eastAsia="zh-CN"/>
        </w:rPr>
      </w:pPr>
      <w:bookmarkStart w:id="456" w:name="_Toc499"/>
      <w:bookmarkStart w:id="457" w:name="_Toc21088"/>
      <w:bookmarkStart w:id="458" w:name="_Toc30259"/>
      <w:bookmarkStart w:id="459" w:name="_Toc22364"/>
      <w:bookmarkStart w:id="460" w:name="_Toc633"/>
      <w:bookmarkStart w:id="461" w:name="_Toc3825"/>
      <w:bookmarkStart w:id="462" w:name="_Toc16700"/>
      <w:bookmarkStart w:id="463" w:name="_Toc25306"/>
      <w:r>
        <w:rPr>
          <w:rFonts w:hint="eastAsia"/>
          <w:color w:val="auto"/>
          <w:lang w:eastAsia="zh-CN"/>
        </w:rPr>
        <w:t>5.2</w:t>
      </w:r>
      <w:r>
        <w:rPr>
          <w:rFonts w:hint="eastAsia"/>
          <w:color w:val="auto"/>
          <w:lang w:val="en-US" w:eastAsia="zh-CN"/>
        </w:rPr>
        <w:t xml:space="preserve"> </w:t>
      </w:r>
      <w:r>
        <w:rPr>
          <w:rFonts w:hint="eastAsia"/>
          <w:color w:val="auto"/>
          <w:lang w:eastAsia="zh-CN"/>
        </w:rPr>
        <w:t>尾矿坝体单元</w:t>
      </w:r>
      <w:bookmarkEnd w:id="456"/>
      <w:bookmarkEnd w:id="457"/>
      <w:bookmarkEnd w:id="458"/>
      <w:bookmarkEnd w:id="459"/>
      <w:bookmarkEnd w:id="460"/>
      <w:bookmarkEnd w:id="461"/>
      <w:bookmarkEnd w:id="462"/>
      <w:bookmarkEnd w:id="463"/>
    </w:p>
    <w:p w14:paraId="2CF4550D">
      <w:pPr>
        <w:pStyle w:val="4"/>
        <w:bidi w:val="0"/>
        <w:rPr>
          <w:rFonts w:hint="eastAsia"/>
          <w:color w:val="auto"/>
          <w:lang w:eastAsia="zh-CN"/>
        </w:rPr>
      </w:pPr>
      <w:bookmarkStart w:id="464" w:name="_Toc29952"/>
      <w:bookmarkStart w:id="465" w:name="_Toc428"/>
      <w:bookmarkStart w:id="466" w:name="_Toc11171"/>
      <w:bookmarkStart w:id="467" w:name="_Toc23489"/>
      <w:bookmarkStart w:id="468" w:name="_Toc10518"/>
      <w:bookmarkStart w:id="469" w:name="_Toc6112"/>
      <w:bookmarkStart w:id="470" w:name="_Toc17723"/>
      <w:bookmarkStart w:id="471" w:name="_Toc9824"/>
      <w:r>
        <w:rPr>
          <w:rFonts w:hint="eastAsia"/>
          <w:color w:val="auto"/>
          <w:lang w:eastAsia="zh-CN"/>
        </w:rPr>
        <w:t>5.2.1</w:t>
      </w:r>
      <w:r>
        <w:rPr>
          <w:rFonts w:hint="eastAsia"/>
          <w:color w:val="auto"/>
          <w:lang w:val="en-US" w:eastAsia="zh-CN"/>
        </w:rPr>
        <w:t xml:space="preserve"> </w:t>
      </w:r>
      <w:r>
        <w:rPr>
          <w:rFonts w:hint="eastAsia"/>
          <w:color w:val="auto"/>
          <w:lang w:eastAsia="zh-CN"/>
        </w:rPr>
        <w:t>安全检查表评价</w:t>
      </w:r>
      <w:bookmarkEnd w:id="464"/>
      <w:bookmarkEnd w:id="465"/>
      <w:bookmarkEnd w:id="466"/>
      <w:bookmarkEnd w:id="467"/>
      <w:bookmarkEnd w:id="468"/>
      <w:bookmarkEnd w:id="469"/>
      <w:bookmarkEnd w:id="470"/>
      <w:bookmarkEnd w:id="471"/>
    </w:p>
    <w:p w14:paraId="70A87115">
      <w:pPr>
        <w:bidi w:val="0"/>
        <w:rPr>
          <w:rFonts w:hint="eastAsia" w:eastAsia="宋体"/>
          <w:color w:val="auto"/>
          <w:lang w:eastAsia="zh-CN"/>
        </w:rPr>
      </w:pPr>
      <w:r>
        <w:rPr>
          <w:rFonts w:hint="eastAsia" w:eastAsia="宋体"/>
          <w:color w:val="auto"/>
          <w:lang w:eastAsia="zh-CN"/>
        </w:rPr>
        <w:t>运用《江西省尾矿库安全检查表》对</w:t>
      </w:r>
      <w:r>
        <w:rPr>
          <w:rFonts w:hint="eastAsia"/>
        </w:rPr>
        <w:t>三号（氰化渣）尾矿库</w:t>
      </w:r>
      <w:r>
        <w:rPr>
          <w:rFonts w:hint="eastAsia" w:eastAsia="宋体"/>
          <w:color w:val="auto"/>
          <w:lang w:eastAsia="zh-CN"/>
        </w:rPr>
        <w:t>坝体现状进行评判，对其安全性进行评述，具体见表5</w:t>
      </w:r>
      <w:r>
        <w:rPr>
          <w:rFonts w:hint="eastAsia"/>
          <w:color w:val="auto"/>
          <w:lang w:val="en-US" w:eastAsia="zh-CN"/>
        </w:rPr>
        <w:t>.2</w:t>
      </w:r>
      <w:r>
        <w:rPr>
          <w:rFonts w:hint="eastAsia" w:eastAsia="宋体"/>
          <w:color w:val="auto"/>
          <w:lang w:eastAsia="zh-CN"/>
        </w:rPr>
        <w:t>-</w:t>
      </w:r>
      <w:r>
        <w:rPr>
          <w:rFonts w:hint="eastAsia"/>
          <w:color w:val="auto"/>
          <w:lang w:val="en-US" w:eastAsia="zh-CN"/>
        </w:rPr>
        <w:t>1</w:t>
      </w:r>
      <w:r>
        <w:rPr>
          <w:rFonts w:hint="eastAsia" w:eastAsia="宋体"/>
          <w:color w:val="auto"/>
          <w:lang w:eastAsia="zh-CN"/>
        </w:rPr>
        <w:t>。</w:t>
      </w:r>
    </w:p>
    <w:p w14:paraId="12B5CDD4">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eastAsia="宋体"/>
          <w:color w:val="auto"/>
          <w:lang w:val="en-US" w:eastAsia="zh-CN"/>
        </w:rPr>
      </w:pPr>
      <w:r>
        <w:rPr>
          <w:rFonts w:hint="eastAsia" w:eastAsia="宋体"/>
          <w:color w:val="auto"/>
          <w:lang w:val="en-US" w:eastAsia="zh-CN"/>
        </w:rPr>
        <w:t>表</w:t>
      </w:r>
      <w:r>
        <w:rPr>
          <w:rFonts w:hint="eastAsia" w:eastAsia="宋体"/>
          <w:color w:val="auto"/>
          <w:lang w:eastAsia="zh-CN"/>
        </w:rPr>
        <w:t>5</w:t>
      </w:r>
      <w:r>
        <w:rPr>
          <w:rFonts w:hint="eastAsia"/>
          <w:color w:val="auto"/>
          <w:lang w:val="en-US" w:eastAsia="zh-CN"/>
        </w:rPr>
        <w:t>.2</w:t>
      </w:r>
      <w:r>
        <w:rPr>
          <w:rFonts w:hint="eastAsia" w:eastAsia="宋体"/>
          <w:color w:val="auto"/>
          <w:lang w:eastAsia="zh-CN"/>
        </w:rPr>
        <w:t>-</w:t>
      </w:r>
      <w:r>
        <w:rPr>
          <w:rFonts w:hint="eastAsia"/>
          <w:color w:val="auto"/>
          <w:lang w:val="en-US" w:eastAsia="zh-CN"/>
        </w:rPr>
        <w:t>1</w:t>
      </w:r>
      <w:r>
        <w:rPr>
          <w:rFonts w:hint="eastAsia" w:ascii="Times New Roman" w:eastAsia="宋体"/>
          <w:color w:val="auto"/>
          <w:lang w:val="en-US" w:eastAsia="zh-CN"/>
        </w:rPr>
        <w:t xml:space="preserve"> 尾矿坝体安全检查表</w:t>
      </w:r>
    </w:p>
    <w:tbl>
      <w:tblPr>
        <w:tblStyle w:val="20"/>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510"/>
        <w:gridCol w:w="300"/>
        <w:gridCol w:w="2929"/>
        <w:gridCol w:w="1055"/>
        <w:gridCol w:w="999"/>
        <w:gridCol w:w="1114"/>
        <w:gridCol w:w="544"/>
        <w:gridCol w:w="751"/>
        <w:gridCol w:w="775"/>
      </w:tblGrid>
      <w:tr w14:paraId="2C28F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42" w:hRule="atLeast"/>
          <w:jc w:val="center"/>
        </w:trPr>
        <w:tc>
          <w:tcPr>
            <w:tcW w:w="810" w:type="dxa"/>
            <w:gridSpan w:val="2"/>
            <w:noWrap w:val="0"/>
            <w:vAlign w:val="center"/>
          </w:tcPr>
          <w:p w14:paraId="4CDB1C6D">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项目</w:t>
            </w:r>
          </w:p>
        </w:tc>
        <w:tc>
          <w:tcPr>
            <w:tcW w:w="2929" w:type="dxa"/>
            <w:noWrap w:val="0"/>
            <w:vAlign w:val="center"/>
          </w:tcPr>
          <w:p w14:paraId="7E11C281">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检查内容</w:t>
            </w:r>
          </w:p>
        </w:tc>
        <w:tc>
          <w:tcPr>
            <w:tcW w:w="1055" w:type="dxa"/>
            <w:noWrap w:val="0"/>
            <w:vAlign w:val="center"/>
          </w:tcPr>
          <w:p w14:paraId="407CFBFF">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检查依据</w:t>
            </w:r>
          </w:p>
        </w:tc>
        <w:tc>
          <w:tcPr>
            <w:tcW w:w="999" w:type="dxa"/>
            <w:noWrap w:val="0"/>
            <w:vAlign w:val="center"/>
          </w:tcPr>
          <w:p w14:paraId="3A010AE5">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auto"/>
                <w:kern w:val="0"/>
                <w:sz w:val="21"/>
                <w:szCs w:val="21"/>
                <w:lang w:val="zh-CN"/>
              </w:rPr>
            </w:pPr>
            <w:r>
              <w:rPr>
                <w:rFonts w:hint="default" w:ascii="Times New Roman" w:hAnsi="Times New Roman" w:eastAsia="宋体" w:cs="Times New Roman"/>
                <w:bCs/>
                <w:color w:val="auto"/>
                <w:sz w:val="21"/>
                <w:szCs w:val="21"/>
              </w:rPr>
              <w:t>检查方法及地点</w:t>
            </w:r>
          </w:p>
        </w:tc>
        <w:tc>
          <w:tcPr>
            <w:tcW w:w="1114" w:type="dxa"/>
            <w:noWrap w:val="0"/>
            <w:vAlign w:val="center"/>
          </w:tcPr>
          <w:p w14:paraId="314C59B5">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检查</w:t>
            </w:r>
          </w:p>
          <w:p w14:paraId="2F9EAC4E">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auto"/>
                <w:kern w:val="0"/>
                <w:sz w:val="21"/>
                <w:szCs w:val="21"/>
                <w:lang w:val="zh-CN"/>
              </w:rPr>
            </w:pPr>
            <w:r>
              <w:rPr>
                <w:rFonts w:hint="default" w:ascii="Times New Roman" w:hAnsi="Times New Roman" w:eastAsia="宋体" w:cs="Times New Roman"/>
                <w:bCs/>
                <w:color w:val="auto"/>
                <w:sz w:val="21"/>
                <w:szCs w:val="21"/>
              </w:rPr>
              <w:t>记录</w:t>
            </w:r>
          </w:p>
        </w:tc>
        <w:tc>
          <w:tcPr>
            <w:tcW w:w="544" w:type="dxa"/>
            <w:noWrap w:val="0"/>
            <w:vAlign w:val="center"/>
          </w:tcPr>
          <w:p w14:paraId="2123143F">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auto"/>
                <w:kern w:val="0"/>
                <w:sz w:val="21"/>
                <w:szCs w:val="21"/>
                <w:lang w:val="zh-CN"/>
              </w:rPr>
            </w:pPr>
            <w:r>
              <w:rPr>
                <w:rFonts w:hint="default" w:ascii="Times New Roman" w:hAnsi="Times New Roman" w:eastAsia="宋体" w:cs="Times New Roman"/>
                <w:bCs/>
                <w:color w:val="auto"/>
                <w:kern w:val="0"/>
                <w:sz w:val="21"/>
                <w:szCs w:val="21"/>
                <w:lang w:val="zh-CN"/>
              </w:rPr>
              <w:t>标准</w:t>
            </w:r>
          </w:p>
          <w:p w14:paraId="2EFADC33">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auto"/>
                <w:kern w:val="0"/>
                <w:sz w:val="21"/>
                <w:szCs w:val="21"/>
                <w:lang w:val="zh-CN"/>
              </w:rPr>
            </w:pPr>
            <w:r>
              <w:rPr>
                <w:rFonts w:hint="default" w:ascii="Times New Roman" w:hAnsi="Times New Roman" w:eastAsia="宋体" w:cs="Times New Roman"/>
                <w:bCs/>
                <w:color w:val="auto"/>
                <w:kern w:val="0"/>
                <w:sz w:val="21"/>
                <w:szCs w:val="21"/>
                <w:lang w:val="zh-CN"/>
              </w:rPr>
              <w:t>分值</w:t>
            </w:r>
          </w:p>
        </w:tc>
        <w:tc>
          <w:tcPr>
            <w:tcW w:w="751" w:type="dxa"/>
            <w:noWrap w:val="0"/>
            <w:vAlign w:val="center"/>
          </w:tcPr>
          <w:p w14:paraId="09C81F56">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auto"/>
                <w:kern w:val="0"/>
                <w:sz w:val="21"/>
                <w:szCs w:val="21"/>
                <w:lang w:val="zh-CN"/>
              </w:rPr>
            </w:pPr>
            <w:r>
              <w:rPr>
                <w:rFonts w:hint="default" w:ascii="Times New Roman" w:hAnsi="Times New Roman" w:eastAsia="宋体" w:cs="Times New Roman"/>
                <w:bCs/>
                <w:color w:val="auto"/>
                <w:kern w:val="0"/>
                <w:sz w:val="21"/>
                <w:szCs w:val="21"/>
                <w:lang w:val="zh-CN"/>
              </w:rPr>
              <w:t>评分</w:t>
            </w:r>
          </w:p>
          <w:p w14:paraId="60DC3DF4">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auto"/>
                <w:kern w:val="0"/>
                <w:sz w:val="21"/>
                <w:szCs w:val="21"/>
                <w:lang w:val="zh-CN"/>
              </w:rPr>
            </w:pPr>
            <w:r>
              <w:rPr>
                <w:rFonts w:hint="default" w:ascii="Times New Roman" w:hAnsi="Times New Roman" w:eastAsia="宋体" w:cs="Times New Roman"/>
                <w:bCs/>
                <w:color w:val="auto"/>
                <w:kern w:val="0"/>
                <w:sz w:val="21"/>
                <w:szCs w:val="21"/>
                <w:lang w:val="zh-CN"/>
              </w:rPr>
              <w:t>标准</w:t>
            </w:r>
          </w:p>
        </w:tc>
        <w:tc>
          <w:tcPr>
            <w:tcW w:w="775" w:type="dxa"/>
            <w:noWrap w:val="0"/>
            <w:vAlign w:val="center"/>
          </w:tcPr>
          <w:p w14:paraId="5687673A">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auto"/>
                <w:kern w:val="0"/>
                <w:sz w:val="21"/>
                <w:szCs w:val="21"/>
                <w:lang w:val="zh-CN"/>
              </w:rPr>
            </w:pPr>
            <w:r>
              <w:rPr>
                <w:rFonts w:hint="default" w:ascii="Times New Roman" w:hAnsi="Times New Roman" w:eastAsia="宋体" w:cs="Times New Roman"/>
                <w:bCs/>
                <w:color w:val="auto"/>
                <w:kern w:val="0"/>
                <w:sz w:val="21"/>
                <w:szCs w:val="21"/>
                <w:lang w:val="zh-CN"/>
              </w:rPr>
              <w:t>得分</w:t>
            </w:r>
          </w:p>
        </w:tc>
      </w:tr>
      <w:tr w14:paraId="3EAB1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315" w:hRule="atLeast"/>
          <w:jc w:val="center"/>
        </w:trPr>
        <w:tc>
          <w:tcPr>
            <w:tcW w:w="510" w:type="dxa"/>
            <w:vMerge w:val="restart"/>
            <w:noWrap w:val="0"/>
            <w:vAlign w:val="center"/>
          </w:tcPr>
          <w:p w14:paraId="7CC85EC9">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初期坝、拦挡坝、堆积坝、副坝、拦水坝坝体和排水棱体</w:t>
            </w:r>
          </w:p>
          <w:p w14:paraId="5C4B3E83">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p w14:paraId="68677A6A">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sz w:val="21"/>
                <w:szCs w:val="21"/>
              </w:rPr>
              <w:br w:type="page"/>
            </w:r>
          </w:p>
        </w:tc>
        <w:tc>
          <w:tcPr>
            <w:tcW w:w="300" w:type="dxa"/>
            <w:vMerge w:val="restart"/>
            <w:noWrap w:val="0"/>
            <w:vAlign w:val="center"/>
          </w:tcPr>
          <w:p w14:paraId="5976A95E">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坝</w:t>
            </w:r>
          </w:p>
          <w:p w14:paraId="7084480F">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体</w:t>
            </w:r>
          </w:p>
        </w:tc>
        <w:tc>
          <w:tcPr>
            <w:tcW w:w="2929" w:type="dxa"/>
            <w:noWrap w:val="0"/>
            <w:vAlign w:val="center"/>
          </w:tcPr>
          <w:p w14:paraId="7BE7D7C9">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1.初期坝、拦挡坝、堆积坝、副坝、拦水坝坝体和排水棱体</w:t>
            </w:r>
          </w:p>
          <w:p w14:paraId="767D16EE">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1.1顶高程必须符合设计要求</w:t>
            </w:r>
          </w:p>
          <w:p w14:paraId="4B9D3FDC">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1.2顶宽度必须符合设计要求</w:t>
            </w:r>
          </w:p>
          <w:p w14:paraId="3BB0D964">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1.3筑坝材料必须符合设计要求</w:t>
            </w:r>
          </w:p>
          <w:p w14:paraId="43DB5DA9">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1.4内外坡比必须符合设计要求，当坝坡陡于设计值时，其稳定性必须符合规范要求</w:t>
            </w:r>
          </w:p>
        </w:tc>
        <w:tc>
          <w:tcPr>
            <w:tcW w:w="1055" w:type="dxa"/>
            <w:noWrap w:val="0"/>
            <w:vAlign w:val="center"/>
          </w:tcPr>
          <w:p w14:paraId="22ECC107">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《尾矿库安全规程》第5.6.2、6.1.5、6.1.6条</w:t>
            </w:r>
          </w:p>
        </w:tc>
        <w:tc>
          <w:tcPr>
            <w:tcW w:w="999" w:type="dxa"/>
            <w:noWrap w:val="0"/>
            <w:vAlign w:val="center"/>
          </w:tcPr>
          <w:p w14:paraId="2DEFEFAD">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对照设计、稳定性分析文件查现场</w:t>
            </w:r>
          </w:p>
        </w:tc>
        <w:tc>
          <w:tcPr>
            <w:tcW w:w="1114" w:type="dxa"/>
            <w:noWrap w:val="0"/>
            <w:vAlign w:val="center"/>
          </w:tcPr>
          <w:p w14:paraId="50933282">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rPr>
              <w:t>坝顶高程、顶宽、筑坝材料、内外坡比均与设计一致，符合要求</w:t>
            </w:r>
          </w:p>
        </w:tc>
        <w:tc>
          <w:tcPr>
            <w:tcW w:w="544" w:type="dxa"/>
            <w:noWrap w:val="0"/>
            <w:vAlign w:val="center"/>
          </w:tcPr>
          <w:p w14:paraId="394640CB">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eastAsia" w:ascii="Times New Roman" w:hAnsi="Times New Roman" w:eastAsia="宋体" w:cs="Times New Roman"/>
                <w:color w:val="auto"/>
                <w:kern w:val="0"/>
                <w:sz w:val="21"/>
                <w:szCs w:val="21"/>
                <w:lang w:val="zh-CN" w:eastAsia="zh-CN"/>
              </w:rPr>
            </w:pPr>
            <w:r>
              <w:rPr>
                <w:rFonts w:hint="eastAsia" w:cs="Times New Roman"/>
                <w:color w:val="auto"/>
                <w:kern w:val="0"/>
                <w:sz w:val="21"/>
                <w:szCs w:val="21"/>
                <w:lang w:val="en-US" w:eastAsia="zh-CN"/>
              </w:rPr>
              <w:t>8</w:t>
            </w:r>
          </w:p>
        </w:tc>
        <w:tc>
          <w:tcPr>
            <w:tcW w:w="751" w:type="dxa"/>
            <w:noWrap w:val="0"/>
            <w:vAlign w:val="center"/>
          </w:tcPr>
          <w:p w14:paraId="2FEF1073">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任1项</w:t>
            </w:r>
          </w:p>
          <w:p w14:paraId="51CAE39B">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不符合</w:t>
            </w:r>
          </w:p>
          <w:p w14:paraId="454B05BD">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就不得分</w:t>
            </w:r>
          </w:p>
        </w:tc>
        <w:tc>
          <w:tcPr>
            <w:tcW w:w="775" w:type="dxa"/>
            <w:noWrap w:val="0"/>
            <w:vAlign w:val="center"/>
          </w:tcPr>
          <w:p w14:paraId="40B98D61">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eastAsia" w:ascii="Times New Roman" w:hAnsi="Times New Roman" w:eastAsia="宋体" w:cs="Times New Roman"/>
                <w:color w:val="auto"/>
                <w:kern w:val="0"/>
                <w:sz w:val="21"/>
                <w:szCs w:val="21"/>
                <w:lang w:val="zh-CN" w:eastAsia="zh-CN"/>
              </w:rPr>
            </w:pPr>
            <w:r>
              <w:rPr>
                <w:rFonts w:hint="eastAsia" w:cs="Times New Roman"/>
                <w:color w:val="auto"/>
                <w:kern w:val="0"/>
                <w:sz w:val="21"/>
                <w:szCs w:val="21"/>
                <w:lang w:val="en-US" w:eastAsia="zh-CN"/>
              </w:rPr>
              <w:t>8</w:t>
            </w:r>
          </w:p>
        </w:tc>
      </w:tr>
      <w:tr w14:paraId="0C691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 w:hRule="atLeast"/>
          <w:jc w:val="center"/>
        </w:trPr>
        <w:tc>
          <w:tcPr>
            <w:tcW w:w="510" w:type="dxa"/>
            <w:vMerge w:val="continue"/>
            <w:noWrap w:val="0"/>
            <w:vAlign w:val="center"/>
          </w:tcPr>
          <w:p w14:paraId="6353E730">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300" w:type="dxa"/>
            <w:vMerge w:val="continue"/>
            <w:noWrap w:val="0"/>
            <w:vAlign w:val="center"/>
          </w:tcPr>
          <w:p w14:paraId="4A153D29">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2929" w:type="dxa"/>
            <w:noWrap w:val="0"/>
            <w:vAlign w:val="center"/>
          </w:tcPr>
          <w:p w14:paraId="54D64C38">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1.5坝体出现贯穿性横向裂缝，且出现较大范围管涌、流土变形，坝体出现深层滑动迹象。</w:t>
            </w:r>
          </w:p>
        </w:tc>
        <w:tc>
          <w:tcPr>
            <w:tcW w:w="1055" w:type="dxa"/>
            <w:vMerge w:val="restart"/>
            <w:noWrap w:val="0"/>
            <w:vAlign w:val="center"/>
          </w:tcPr>
          <w:p w14:paraId="3919D684">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《尾矿库安全规程》第6.9条</w:t>
            </w:r>
          </w:p>
        </w:tc>
        <w:tc>
          <w:tcPr>
            <w:tcW w:w="999" w:type="dxa"/>
            <w:noWrap w:val="0"/>
            <w:vAlign w:val="center"/>
          </w:tcPr>
          <w:p w14:paraId="4D189D0D">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查现场</w:t>
            </w:r>
          </w:p>
        </w:tc>
        <w:tc>
          <w:tcPr>
            <w:tcW w:w="1114" w:type="dxa"/>
            <w:noWrap w:val="0"/>
            <w:vAlign w:val="center"/>
          </w:tcPr>
          <w:p w14:paraId="61DB3AA3">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无此现象</w:t>
            </w:r>
          </w:p>
        </w:tc>
        <w:tc>
          <w:tcPr>
            <w:tcW w:w="544" w:type="dxa"/>
            <w:vMerge w:val="restart"/>
            <w:noWrap w:val="0"/>
            <w:vAlign w:val="center"/>
          </w:tcPr>
          <w:p w14:paraId="08BA0D28">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重大险情</w:t>
            </w:r>
          </w:p>
        </w:tc>
        <w:tc>
          <w:tcPr>
            <w:tcW w:w="751" w:type="dxa"/>
            <w:noWrap w:val="0"/>
            <w:vAlign w:val="center"/>
          </w:tcPr>
          <w:p w14:paraId="1DC9FC52">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775" w:type="dxa"/>
            <w:noWrap w:val="0"/>
            <w:vAlign w:val="center"/>
          </w:tcPr>
          <w:p w14:paraId="1E82BFEA">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w:t>
            </w:r>
          </w:p>
        </w:tc>
      </w:tr>
      <w:tr w14:paraId="1C644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3" w:hRule="atLeast"/>
          <w:jc w:val="center"/>
        </w:trPr>
        <w:tc>
          <w:tcPr>
            <w:tcW w:w="510" w:type="dxa"/>
            <w:vMerge w:val="continue"/>
            <w:noWrap w:val="0"/>
            <w:vAlign w:val="center"/>
          </w:tcPr>
          <w:p w14:paraId="2E0831D2">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300" w:type="dxa"/>
            <w:vMerge w:val="continue"/>
            <w:noWrap w:val="0"/>
            <w:vAlign w:val="center"/>
          </w:tcPr>
          <w:p w14:paraId="46EE5FC6">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2929" w:type="dxa"/>
            <w:noWrap w:val="0"/>
            <w:vAlign w:val="center"/>
          </w:tcPr>
          <w:p w14:paraId="3952C428">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1.6经验算，坝体抗滑稳定最小安全系数小于规范值的0.95。</w:t>
            </w:r>
          </w:p>
        </w:tc>
        <w:tc>
          <w:tcPr>
            <w:tcW w:w="1055" w:type="dxa"/>
            <w:vMerge w:val="continue"/>
            <w:noWrap w:val="0"/>
            <w:vAlign w:val="center"/>
          </w:tcPr>
          <w:p w14:paraId="5E260141">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sz w:val="21"/>
                <w:szCs w:val="21"/>
              </w:rPr>
            </w:pPr>
          </w:p>
        </w:tc>
        <w:tc>
          <w:tcPr>
            <w:tcW w:w="999" w:type="dxa"/>
            <w:noWrap w:val="0"/>
            <w:vAlign w:val="center"/>
          </w:tcPr>
          <w:p w14:paraId="08943441">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查稳定性分析文件</w:t>
            </w:r>
          </w:p>
        </w:tc>
        <w:tc>
          <w:tcPr>
            <w:tcW w:w="1114" w:type="dxa"/>
            <w:noWrap w:val="0"/>
            <w:vAlign w:val="center"/>
          </w:tcPr>
          <w:p w14:paraId="6796FD3C">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大于规范值</w:t>
            </w:r>
          </w:p>
        </w:tc>
        <w:tc>
          <w:tcPr>
            <w:tcW w:w="544" w:type="dxa"/>
            <w:vMerge w:val="continue"/>
            <w:noWrap w:val="0"/>
            <w:vAlign w:val="center"/>
          </w:tcPr>
          <w:p w14:paraId="61B55C2D">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751" w:type="dxa"/>
            <w:noWrap w:val="0"/>
            <w:vAlign w:val="center"/>
          </w:tcPr>
          <w:p w14:paraId="4CE1ACC3">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775" w:type="dxa"/>
            <w:noWrap w:val="0"/>
            <w:vAlign w:val="center"/>
          </w:tcPr>
          <w:p w14:paraId="0BD19371">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w:t>
            </w:r>
          </w:p>
        </w:tc>
      </w:tr>
      <w:tr w14:paraId="56C20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39" w:hRule="atLeast"/>
          <w:jc w:val="center"/>
        </w:trPr>
        <w:tc>
          <w:tcPr>
            <w:tcW w:w="510" w:type="dxa"/>
            <w:vMerge w:val="continue"/>
            <w:noWrap w:val="0"/>
            <w:vAlign w:val="center"/>
          </w:tcPr>
          <w:p w14:paraId="010DFFFA">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300" w:type="dxa"/>
            <w:vMerge w:val="continue"/>
            <w:noWrap w:val="0"/>
            <w:vAlign w:val="center"/>
          </w:tcPr>
          <w:p w14:paraId="59ABE3E5">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2929" w:type="dxa"/>
            <w:noWrap w:val="0"/>
            <w:vAlign w:val="center"/>
          </w:tcPr>
          <w:p w14:paraId="2B49AF06">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1.7坝体出现浅层滑动迹象。</w:t>
            </w:r>
          </w:p>
        </w:tc>
        <w:tc>
          <w:tcPr>
            <w:tcW w:w="1055" w:type="dxa"/>
            <w:vMerge w:val="restart"/>
            <w:noWrap w:val="0"/>
            <w:vAlign w:val="center"/>
          </w:tcPr>
          <w:p w14:paraId="1AE688D3">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《尾矿库安全规程》第6.9条</w:t>
            </w:r>
          </w:p>
        </w:tc>
        <w:tc>
          <w:tcPr>
            <w:tcW w:w="999" w:type="dxa"/>
            <w:noWrap w:val="0"/>
            <w:vAlign w:val="center"/>
          </w:tcPr>
          <w:p w14:paraId="075C12E0">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查现场</w:t>
            </w:r>
          </w:p>
        </w:tc>
        <w:tc>
          <w:tcPr>
            <w:tcW w:w="1114" w:type="dxa"/>
            <w:noWrap w:val="0"/>
            <w:vAlign w:val="center"/>
          </w:tcPr>
          <w:p w14:paraId="6976780D">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无</w:t>
            </w:r>
          </w:p>
        </w:tc>
        <w:tc>
          <w:tcPr>
            <w:tcW w:w="544" w:type="dxa"/>
            <w:vMerge w:val="restart"/>
            <w:noWrap w:val="0"/>
            <w:vAlign w:val="center"/>
          </w:tcPr>
          <w:p w14:paraId="472CAB91">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重大隐患</w:t>
            </w:r>
          </w:p>
        </w:tc>
        <w:tc>
          <w:tcPr>
            <w:tcW w:w="751" w:type="dxa"/>
            <w:noWrap w:val="0"/>
            <w:vAlign w:val="center"/>
          </w:tcPr>
          <w:p w14:paraId="7602D34C">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775" w:type="dxa"/>
            <w:noWrap w:val="0"/>
            <w:vAlign w:val="center"/>
          </w:tcPr>
          <w:p w14:paraId="6FBA3CF0">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w:t>
            </w:r>
          </w:p>
        </w:tc>
      </w:tr>
      <w:tr w14:paraId="15735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87" w:hRule="atLeast"/>
          <w:jc w:val="center"/>
        </w:trPr>
        <w:tc>
          <w:tcPr>
            <w:tcW w:w="510" w:type="dxa"/>
            <w:vMerge w:val="continue"/>
            <w:noWrap w:val="0"/>
            <w:vAlign w:val="center"/>
          </w:tcPr>
          <w:p w14:paraId="595FF3E9">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300" w:type="dxa"/>
            <w:vMerge w:val="continue"/>
            <w:noWrap w:val="0"/>
            <w:vAlign w:val="center"/>
          </w:tcPr>
          <w:p w14:paraId="16B528CE">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2929" w:type="dxa"/>
            <w:noWrap w:val="0"/>
            <w:vAlign w:val="center"/>
          </w:tcPr>
          <w:p w14:paraId="3BB0D36D">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1.8经验算，坝体抗滑稳定最小安全系数小于规范值的0.98。</w:t>
            </w:r>
          </w:p>
        </w:tc>
        <w:tc>
          <w:tcPr>
            <w:tcW w:w="1055" w:type="dxa"/>
            <w:vMerge w:val="continue"/>
            <w:noWrap w:val="0"/>
            <w:vAlign w:val="center"/>
          </w:tcPr>
          <w:p w14:paraId="015B0E0E">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sz w:val="21"/>
                <w:szCs w:val="21"/>
              </w:rPr>
            </w:pPr>
          </w:p>
        </w:tc>
        <w:tc>
          <w:tcPr>
            <w:tcW w:w="999" w:type="dxa"/>
            <w:noWrap w:val="0"/>
            <w:vAlign w:val="center"/>
          </w:tcPr>
          <w:p w14:paraId="4B2F4F1A">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查稳定性分析文件</w:t>
            </w:r>
          </w:p>
        </w:tc>
        <w:tc>
          <w:tcPr>
            <w:tcW w:w="1114" w:type="dxa"/>
            <w:noWrap w:val="0"/>
            <w:vAlign w:val="center"/>
          </w:tcPr>
          <w:p w14:paraId="5AE7E9CF">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无此现象</w:t>
            </w:r>
          </w:p>
        </w:tc>
        <w:tc>
          <w:tcPr>
            <w:tcW w:w="544" w:type="dxa"/>
            <w:vMerge w:val="continue"/>
            <w:noWrap w:val="0"/>
            <w:vAlign w:val="center"/>
          </w:tcPr>
          <w:p w14:paraId="3823DCD6">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751" w:type="dxa"/>
            <w:noWrap w:val="0"/>
            <w:vAlign w:val="center"/>
          </w:tcPr>
          <w:p w14:paraId="6B778904">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775" w:type="dxa"/>
            <w:noWrap w:val="0"/>
            <w:vAlign w:val="center"/>
          </w:tcPr>
          <w:p w14:paraId="43133C98">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w:t>
            </w:r>
          </w:p>
        </w:tc>
      </w:tr>
      <w:tr w14:paraId="74080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510" w:type="dxa"/>
            <w:vMerge w:val="continue"/>
            <w:noWrap w:val="0"/>
            <w:vAlign w:val="center"/>
          </w:tcPr>
          <w:p w14:paraId="66F683A8">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300" w:type="dxa"/>
            <w:vMerge w:val="continue"/>
            <w:noWrap w:val="0"/>
            <w:vAlign w:val="center"/>
          </w:tcPr>
          <w:p w14:paraId="2644E577">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2929" w:type="dxa"/>
            <w:noWrap w:val="0"/>
            <w:vAlign w:val="center"/>
          </w:tcPr>
          <w:p w14:paraId="0F59852B">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1.9坝体出现大面积纵向裂缝，且出现较大范围渗透水高位出逸，出现大面积沼泽化。</w:t>
            </w:r>
          </w:p>
        </w:tc>
        <w:tc>
          <w:tcPr>
            <w:tcW w:w="1055" w:type="dxa"/>
            <w:vMerge w:val="continue"/>
            <w:noWrap w:val="0"/>
            <w:vAlign w:val="center"/>
          </w:tcPr>
          <w:p w14:paraId="47B4A683">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sz w:val="21"/>
                <w:szCs w:val="21"/>
              </w:rPr>
            </w:pPr>
          </w:p>
        </w:tc>
        <w:tc>
          <w:tcPr>
            <w:tcW w:w="999" w:type="dxa"/>
            <w:noWrap w:val="0"/>
            <w:vAlign w:val="center"/>
          </w:tcPr>
          <w:p w14:paraId="6BD9BB79">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查现场</w:t>
            </w:r>
          </w:p>
        </w:tc>
        <w:tc>
          <w:tcPr>
            <w:tcW w:w="1114" w:type="dxa"/>
            <w:noWrap w:val="0"/>
            <w:vAlign w:val="center"/>
          </w:tcPr>
          <w:p w14:paraId="7E49365B">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大于规范值</w:t>
            </w:r>
          </w:p>
        </w:tc>
        <w:tc>
          <w:tcPr>
            <w:tcW w:w="544" w:type="dxa"/>
            <w:vMerge w:val="continue"/>
            <w:noWrap w:val="0"/>
            <w:vAlign w:val="center"/>
          </w:tcPr>
          <w:p w14:paraId="05E1A924">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751" w:type="dxa"/>
            <w:noWrap w:val="0"/>
            <w:vAlign w:val="center"/>
          </w:tcPr>
          <w:p w14:paraId="7877DFAF">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775" w:type="dxa"/>
            <w:noWrap w:val="0"/>
            <w:vAlign w:val="center"/>
          </w:tcPr>
          <w:p w14:paraId="76929EFC">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w:t>
            </w:r>
          </w:p>
        </w:tc>
      </w:tr>
      <w:tr w14:paraId="7064F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510" w:type="dxa"/>
            <w:vMerge w:val="continue"/>
            <w:noWrap w:val="0"/>
            <w:vAlign w:val="center"/>
          </w:tcPr>
          <w:p w14:paraId="2FD9D221">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300" w:type="dxa"/>
            <w:vMerge w:val="continue"/>
            <w:noWrap w:val="0"/>
            <w:vAlign w:val="center"/>
          </w:tcPr>
          <w:p w14:paraId="2A6D45F0">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2929" w:type="dxa"/>
            <w:noWrap w:val="0"/>
            <w:vAlign w:val="center"/>
          </w:tcPr>
          <w:p w14:paraId="02B211A9">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1.10经验算，坝体抗滑稳定最小安全系数满足规范规定值，但部分高程上堆积边坡过陡，可能出现局部失稳。</w:t>
            </w:r>
          </w:p>
        </w:tc>
        <w:tc>
          <w:tcPr>
            <w:tcW w:w="1055" w:type="dxa"/>
            <w:vMerge w:val="continue"/>
            <w:noWrap w:val="0"/>
            <w:vAlign w:val="center"/>
          </w:tcPr>
          <w:p w14:paraId="081F0494">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sz w:val="21"/>
                <w:szCs w:val="21"/>
              </w:rPr>
            </w:pPr>
          </w:p>
        </w:tc>
        <w:tc>
          <w:tcPr>
            <w:tcW w:w="999" w:type="dxa"/>
            <w:noWrap w:val="0"/>
            <w:vAlign w:val="center"/>
          </w:tcPr>
          <w:p w14:paraId="562E5400">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查稳定分析文件和现场</w:t>
            </w:r>
          </w:p>
        </w:tc>
        <w:tc>
          <w:tcPr>
            <w:tcW w:w="1114" w:type="dxa"/>
            <w:noWrap w:val="0"/>
            <w:vAlign w:val="center"/>
          </w:tcPr>
          <w:p w14:paraId="6D96D9C8">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无此现象</w:t>
            </w:r>
          </w:p>
        </w:tc>
        <w:tc>
          <w:tcPr>
            <w:tcW w:w="544" w:type="dxa"/>
            <w:noWrap w:val="0"/>
            <w:vAlign w:val="center"/>
          </w:tcPr>
          <w:p w14:paraId="261FAA29">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一般隐患</w:t>
            </w:r>
          </w:p>
        </w:tc>
        <w:tc>
          <w:tcPr>
            <w:tcW w:w="751" w:type="dxa"/>
            <w:noWrap w:val="0"/>
            <w:vAlign w:val="center"/>
          </w:tcPr>
          <w:p w14:paraId="2354DBF6">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775" w:type="dxa"/>
            <w:noWrap w:val="0"/>
            <w:vAlign w:val="center"/>
          </w:tcPr>
          <w:p w14:paraId="71C86F65">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w:t>
            </w:r>
          </w:p>
        </w:tc>
      </w:tr>
      <w:tr w14:paraId="436C7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54" w:hRule="atLeast"/>
          <w:jc w:val="center"/>
        </w:trPr>
        <w:tc>
          <w:tcPr>
            <w:tcW w:w="510" w:type="dxa"/>
            <w:vMerge w:val="restart"/>
            <w:noWrap w:val="0"/>
            <w:vAlign w:val="center"/>
          </w:tcPr>
          <w:p w14:paraId="3699DD51">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300" w:type="dxa"/>
            <w:vMerge w:val="restart"/>
            <w:noWrap w:val="0"/>
            <w:vAlign w:val="center"/>
          </w:tcPr>
          <w:p w14:paraId="4AA423C8">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堆积坝</w:t>
            </w:r>
          </w:p>
        </w:tc>
        <w:tc>
          <w:tcPr>
            <w:tcW w:w="2929" w:type="dxa"/>
            <w:noWrap w:val="0"/>
            <w:vAlign w:val="center"/>
          </w:tcPr>
          <w:p w14:paraId="652E3B2F">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2.1坝体应设位移、沉降和浸润线观测设施。</w:t>
            </w:r>
          </w:p>
        </w:tc>
        <w:tc>
          <w:tcPr>
            <w:tcW w:w="1055" w:type="dxa"/>
            <w:noWrap w:val="0"/>
            <w:vAlign w:val="center"/>
          </w:tcPr>
          <w:p w14:paraId="3899F952">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《尾矿库安全规程》第5.5.2条</w:t>
            </w:r>
          </w:p>
        </w:tc>
        <w:tc>
          <w:tcPr>
            <w:tcW w:w="999" w:type="dxa"/>
            <w:noWrap w:val="0"/>
            <w:vAlign w:val="center"/>
          </w:tcPr>
          <w:p w14:paraId="5A36C0A2">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rPr>
              <w:t>对照</w:t>
            </w:r>
            <w:r>
              <w:rPr>
                <w:rFonts w:hint="default" w:ascii="Times New Roman" w:hAnsi="Times New Roman" w:eastAsia="宋体" w:cs="Times New Roman"/>
                <w:color w:val="auto"/>
                <w:kern w:val="0"/>
                <w:sz w:val="21"/>
                <w:szCs w:val="21"/>
                <w:lang w:val="zh-CN"/>
              </w:rPr>
              <w:t>设计</w:t>
            </w:r>
          </w:p>
          <w:p w14:paraId="5AF2DF40">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查现场</w:t>
            </w:r>
          </w:p>
        </w:tc>
        <w:tc>
          <w:tcPr>
            <w:tcW w:w="1114" w:type="dxa"/>
            <w:noWrap w:val="0"/>
            <w:vAlign w:val="center"/>
          </w:tcPr>
          <w:p w14:paraId="6118A9DA">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有</w:t>
            </w:r>
          </w:p>
        </w:tc>
        <w:tc>
          <w:tcPr>
            <w:tcW w:w="544" w:type="dxa"/>
            <w:noWrap w:val="0"/>
            <w:vAlign w:val="center"/>
          </w:tcPr>
          <w:p w14:paraId="7029C045">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5</w:t>
            </w:r>
          </w:p>
        </w:tc>
        <w:tc>
          <w:tcPr>
            <w:tcW w:w="751" w:type="dxa"/>
            <w:noWrap w:val="0"/>
            <w:vAlign w:val="center"/>
          </w:tcPr>
          <w:p w14:paraId="5CE88016">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不符合</w:t>
            </w:r>
          </w:p>
          <w:p w14:paraId="49B4DCCF">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不得分</w:t>
            </w:r>
          </w:p>
        </w:tc>
        <w:tc>
          <w:tcPr>
            <w:tcW w:w="775" w:type="dxa"/>
            <w:noWrap w:val="0"/>
            <w:vAlign w:val="center"/>
          </w:tcPr>
          <w:p w14:paraId="3D2AD889">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5</w:t>
            </w:r>
          </w:p>
        </w:tc>
      </w:tr>
      <w:tr w14:paraId="611D3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1" w:hRule="atLeast"/>
          <w:jc w:val="center"/>
        </w:trPr>
        <w:tc>
          <w:tcPr>
            <w:tcW w:w="510" w:type="dxa"/>
            <w:vMerge w:val="continue"/>
            <w:noWrap w:val="0"/>
            <w:vAlign w:val="center"/>
          </w:tcPr>
          <w:p w14:paraId="70171F30">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300" w:type="dxa"/>
            <w:vMerge w:val="continue"/>
            <w:noWrap w:val="0"/>
            <w:vAlign w:val="center"/>
          </w:tcPr>
          <w:p w14:paraId="711BBECD">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2929" w:type="dxa"/>
            <w:noWrap w:val="0"/>
            <w:vAlign w:val="center"/>
          </w:tcPr>
          <w:p w14:paraId="35879D27">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2.2浸润线位置局部过高，有渗透水逸出，坝面局部出现沼泽化。</w:t>
            </w:r>
          </w:p>
        </w:tc>
        <w:tc>
          <w:tcPr>
            <w:tcW w:w="1055" w:type="dxa"/>
            <w:vMerge w:val="restart"/>
            <w:noWrap w:val="0"/>
            <w:vAlign w:val="center"/>
          </w:tcPr>
          <w:p w14:paraId="204E16FB">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《尾矿库安全规程》第6.9条</w:t>
            </w:r>
          </w:p>
        </w:tc>
        <w:tc>
          <w:tcPr>
            <w:tcW w:w="999" w:type="dxa"/>
            <w:noWrap w:val="0"/>
            <w:vAlign w:val="center"/>
          </w:tcPr>
          <w:p w14:paraId="37BE1FAF">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查观测</w:t>
            </w:r>
          </w:p>
          <w:p w14:paraId="36BBB4DB">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记录、现场</w:t>
            </w:r>
          </w:p>
        </w:tc>
        <w:tc>
          <w:tcPr>
            <w:tcW w:w="1114" w:type="dxa"/>
            <w:noWrap w:val="0"/>
            <w:vAlign w:val="center"/>
          </w:tcPr>
          <w:p w14:paraId="70720360">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无此现象</w:t>
            </w:r>
          </w:p>
        </w:tc>
        <w:tc>
          <w:tcPr>
            <w:tcW w:w="544" w:type="dxa"/>
            <w:vMerge w:val="restart"/>
            <w:noWrap w:val="0"/>
            <w:vAlign w:val="center"/>
          </w:tcPr>
          <w:p w14:paraId="488356FB">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一般隐患</w:t>
            </w:r>
          </w:p>
        </w:tc>
        <w:tc>
          <w:tcPr>
            <w:tcW w:w="751" w:type="dxa"/>
            <w:noWrap w:val="0"/>
            <w:vAlign w:val="center"/>
          </w:tcPr>
          <w:p w14:paraId="73C69277">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775" w:type="dxa"/>
            <w:noWrap w:val="0"/>
            <w:vAlign w:val="center"/>
          </w:tcPr>
          <w:p w14:paraId="437E07C8">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正常库</w:t>
            </w:r>
          </w:p>
        </w:tc>
      </w:tr>
      <w:tr w14:paraId="025DA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71" w:hRule="atLeast"/>
          <w:jc w:val="center"/>
        </w:trPr>
        <w:tc>
          <w:tcPr>
            <w:tcW w:w="510" w:type="dxa"/>
            <w:vMerge w:val="continue"/>
            <w:noWrap w:val="0"/>
            <w:vAlign w:val="center"/>
          </w:tcPr>
          <w:p w14:paraId="3DCBBA8A">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300" w:type="dxa"/>
            <w:vMerge w:val="continue"/>
            <w:noWrap w:val="0"/>
            <w:vAlign w:val="center"/>
          </w:tcPr>
          <w:p w14:paraId="3EF510C9">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2929" w:type="dxa"/>
            <w:noWrap w:val="0"/>
            <w:vAlign w:val="center"/>
          </w:tcPr>
          <w:p w14:paraId="291AA1F4">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2.3坝面出现纵向或横向裂缝。</w:t>
            </w:r>
          </w:p>
        </w:tc>
        <w:tc>
          <w:tcPr>
            <w:tcW w:w="1055" w:type="dxa"/>
            <w:vMerge w:val="continue"/>
            <w:noWrap w:val="0"/>
            <w:vAlign w:val="center"/>
          </w:tcPr>
          <w:p w14:paraId="2B60B2A6">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sz w:val="21"/>
                <w:szCs w:val="21"/>
              </w:rPr>
            </w:pPr>
          </w:p>
        </w:tc>
        <w:tc>
          <w:tcPr>
            <w:tcW w:w="999" w:type="dxa"/>
            <w:noWrap w:val="0"/>
            <w:vAlign w:val="center"/>
          </w:tcPr>
          <w:p w14:paraId="2EF19283">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查现场</w:t>
            </w:r>
          </w:p>
        </w:tc>
        <w:tc>
          <w:tcPr>
            <w:tcW w:w="1114" w:type="dxa"/>
            <w:noWrap w:val="0"/>
            <w:vAlign w:val="center"/>
          </w:tcPr>
          <w:p w14:paraId="2B8AFDBC">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无裂缝</w:t>
            </w:r>
          </w:p>
        </w:tc>
        <w:tc>
          <w:tcPr>
            <w:tcW w:w="544" w:type="dxa"/>
            <w:vMerge w:val="continue"/>
            <w:noWrap w:val="0"/>
            <w:vAlign w:val="center"/>
          </w:tcPr>
          <w:p w14:paraId="5797A672">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751" w:type="dxa"/>
            <w:noWrap w:val="0"/>
            <w:vAlign w:val="center"/>
          </w:tcPr>
          <w:p w14:paraId="465A09DB">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775" w:type="dxa"/>
            <w:noWrap w:val="0"/>
            <w:vAlign w:val="center"/>
          </w:tcPr>
          <w:p w14:paraId="7D1CA44C">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正常库</w:t>
            </w:r>
          </w:p>
        </w:tc>
      </w:tr>
      <w:tr w14:paraId="20C30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67" w:hRule="atLeast"/>
          <w:jc w:val="center"/>
        </w:trPr>
        <w:tc>
          <w:tcPr>
            <w:tcW w:w="510" w:type="dxa"/>
            <w:vMerge w:val="continue"/>
            <w:noWrap w:val="0"/>
            <w:vAlign w:val="center"/>
          </w:tcPr>
          <w:p w14:paraId="35BC4022">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300" w:type="dxa"/>
            <w:vMerge w:val="continue"/>
            <w:noWrap w:val="0"/>
            <w:vAlign w:val="center"/>
          </w:tcPr>
          <w:p w14:paraId="3492E68D">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2929" w:type="dxa"/>
            <w:noWrap w:val="0"/>
            <w:vAlign w:val="center"/>
          </w:tcPr>
          <w:p w14:paraId="28E01862">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2.4马道的高程、宽度必须符合设计要求。</w:t>
            </w:r>
          </w:p>
        </w:tc>
        <w:tc>
          <w:tcPr>
            <w:tcW w:w="1055" w:type="dxa"/>
            <w:vMerge w:val="restart"/>
            <w:noWrap w:val="0"/>
            <w:vAlign w:val="center"/>
          </w:tcPr>
          <w:p w14:paraId="1FD0AC1B">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《尾矿设施设计规范》第4.5.5、4.5.7条，《尾矿库安全规程》第5.3.20条</w:t>
            </w:r>
          </w:p>
        </w:tc>
        <w:tc>
          <w:tcPr>
            <w:tcW w:w="999" w:type="dxa"/>
            <w:vMerge w:val="restart"/>
            <w:noWrap w:val="0"/>
            <w:vAlign w:val="center"/>
          </w:tcPr>
          <w:p w14:paraId="261EDC02">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对照设计查现场</w:t>
            </w:r>
          </w:p>
        </w:tc>
        <w:tc>
          <w:tcPr>
            <w:tcW w:w="1114" w:type="dxa"/>
            <w:noWrap w:val="0"/>
            <w:vAlign w:val="center"/>
          </w:tcPr>
          <w:p w14:paraId="4D1887F8">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eastAsia" w:ascii="Times New Roman" w:hAnsi="Times New Roman" w:cs="Times New Roman"/>
                <w:color w:val="auto"/>
                <w:kern w:val="0"/>
                <w:sz w:val="21"/>
                <w:szCs w:val="21"/>
                <w:lang w:val="en-US" w:eastAsia="zh-CN"/>
              </w:rPr>
              <w:t>符合</w:t>
            </w:r>
          </w:p>
        </w:tc>
        <w:tc>
          <w:tcPr>
            <w:tcW w:w="544" w:type="dxa"/>
            <w:noWrap w:val="0"/>
            <w:vAlign w:val="center"/>
          </w:tcPr>
          <w:p w14:paraId="42AE1B1D">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cs="Times New Roman"/>
                <w:color w:val="auto"/>
                <w:kern w:val="0"/>
                <w:sz w:val="21"/>
                <w:szCs w:val="21"/>
                <w:lang w:val="zh-CN"/>
              </w:rPr>
              <w:t>4</w:t>
            </w:r>
          </w:p>
        </w:tc>
        <w:tc>
          <w:tcPr>
            <w:tcW w:w="751" w:type="dxa"/>
            <w:vMerge w:val="restart"/>
            <w:noWrap w:val="0"/>
            <w:vAlign w:val="center"/>
          </w:tcPr>
          <w:p w14:paraId="665EC02B">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textAlignment w:val="auto"/>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不符合</w:t>
            </w:r>
          </w:p>
          <w:p w14:paraId="67A4E630">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cs="Times New Roman"/>
                <w:color w:val="auto"/>
                <w:kern w:val="0"/>
                <w:sz w:val="21"/>
                <w:szCs w:val="21"/>
                <w:lang w:val="zh-CN"/>
              </w:rPr>
              <w:t>不得分</w:t>
            </w:r>
          </w:p>
        </w:tc>
        <w:tc>
          <w:tcPr>
            <w:tcW w:w="775" w:type="dxa"/>
            <w:noWrap w:val="0"/>
            <w:vAlign w:val="center"/>
          </w:tcPr>
          <w:p w14:paraId="708AE281">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eastAsia" w:ascii="Times New Roman" w:hAnsi="Times New Roman" w:eastAsia="宋体" w:cs="Times New Roman"/>
                <w:color w:val="auto"/>
                <w:kern w:val="0"/>
                <w:sz w:val="21"/>
                <w:szCs w:val="21"/>
                <w:lang w:val="zh-CN" w:eastAsia="zh-CN"/>
              </w:rPr>
            </w:pPr>
            <w:r>
              <w:rPr>
                <w:rFonts w:hint="eastAsia" w:ascii="Times New Roman" w:hAnsi="Times New Roman" w:cs="Times New Roman"/>
                <w:color w:val="auto"/>
                <w:kern w:val="0"/>
                <w:sz w:val="21"/>
                <w:szCs w:val="21"/>
                <w:lang w:val="en-US" w:eastAsia="zh-CN"/>
              </w:rPr>
              <w:t>4</w:t>
            </w:r>
          </w:p>
        </w:tc>
      </w:tr>
      <w:tr w14:paraId="76EE6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74" w:hRule="atLeast"/>
          <w:jc w:val="center"/>
        </w:trPr>
        <w:tc>
          <w:tcPr>
            <w:tcW w:w="510" w:type="dxa"/>
            <w:vMerge w:val="continue"/>
            <w:noWrap w:val="0"/>
            <w:vAlign w:val="center"/>
          </w:tcPr>
          <w:p w14:paraId="494898A4">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300" w:type="dxa"/>
            <w:vMerge w:val="continue"/>
            <w:noWrap w:val="0"/>
            <w:vAlign w:val="center"/>
          </w:tcPr>
          <w:p w14:paraId="5BA49D50">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2929" w:type="dxa"/>
            <w:noWrap w:val="0"/>
            <w:vAlign w:val="center"/>
          </w:tcPr>
          <w:p w14:paraId="1618D040">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2.5坝面排水沟的数量、尺寸必须符合设计要求，并保持畅通。</w:t>
            </w:r>
          </w:p>
        </w:tc>
        <w:tc>
          <w:tcPr>
            <w:tcW w:w="1055" w:type="dxa"/>
            <w:vMerge w:val="continue"/>
            <w:noWrap w:val="0"/>
            <w:vAlign w:val="center"/>
          </w:tcPr>
          <w:p w14:paraId="221035C5">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sz w:val="21"/>
                <w:szCs w:val="21"/>
              </w:rPr>
            </w:pPr>
          </w:p>
        </w:tc>
        <w:tc>
          <w:tcPr>
            <w:tcW w:w="999" w:type="dxa"/>
            <w:vMerge w:val="continue"/>
            <w:noWrap w:val="0"/>
            <w:vAlign w:val="center"/>
          </w:tcPr>
          <w:p w14:paraId="48E41D8A">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1114" w:type="dxa"/>
            <w:noWrap w:val="0"/>
            <w:vAlign w:val="center"/>
          </w:tcPr>
          <w:p w14:paraId="06819E5D">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cs="Times New Roman"/>
                <w:color w:val="auto"/>
                <w:kern w:val="0"/>
                <w:sz w:val="21"/>
                <w:szCs w:val="21"/>
                <w:lang w:val="en-US" w:eastAsia="zh-CN"/>
              </w:rPr>
              <w:t>畅通</w:t>
            </w:r>
          </w:p>
        </w:tc>
        <w:tc>
          <w:tcPr>
            <w:tcW w:w="544" w:type="dxa"/>
            <w:noWrap w:val="0"/>
            <w:vAlign w:val="center"/>
          </w:tcPr>
          <w:p w14:paraId="682A1022">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cs="Times New Roman"/>
                <w:color w:val="auto"/>
                <w:kern w:val="0"/>
                <w:sz w:val="21"/>
                <w:szCs w:val="21"/>
                <w:lang w:val="zh-CN"/>
              </w:rPr>
              <w:t>4</w:t>
            </w:r>
          </w:p>
        </w:tc>
        <w:tc>
          <w:tcPr>
            <w:tcW w:w="751" w:type="dxa"/>
            <w:vMerge w:val="continue"/>
            <w:noWrap w:val="0"/>
            <w:vAlign w:val="center"/>
          </w:tcPr>
          <w:p w14:paraId="0578FA2B">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textAlignment w:val="auto"/>
              <w:rPr>
                <w:rFonts w:hint="default" w:ascii="Times New Roman" w:hAnsi="Times New Roman" w:eastAsia="宋体" w:cs="Times New Roman"/>
                <w:color w:val="auto"/>
                <w:kern w:val="0"/>
                <w:sz w:val="21"/>
                <w:szCs w:val="21"/>
                <w:lang w:val="zh-CN"/>
              </w:rPr>
            </w:pPr>
          </w:p>
        </w:tc>
        <w:tc>
          <w:tcPr>
            <w:tcW w:w="775" w:type="dxa"/>
            <w:noWrap w:val="0"/>
            <w:vAlign w:val="center"/>
          </w:tcPr>
          <w:p w14:paraId="50C65997">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eastAsia" w:ascii="Times New Roman" w:hAnsi="Times New Roman" w:eastAsia="宋体" w:cs="Times New Roman"/>
                <w:color w:val="auto"/>
                <w:kern w:val="0"/>
                <w:sz w:val="21"/>
                <w:szCs w:val="21"/>
                <w:lang w:val="zh-CN" w:eastAsia="zh-CN"/>
              </w:rPr>
            </w:pPr>
            <w:r>
              <w:rPr>
                <w:rFonts w:hint="eastAsia" w:ascii="Times New Roman" w:hAnsi="Times New Roman" w:cs="Times New Roman"/>
                <w:color w:val="auto"/>
                <w:kern w:val="0"/>
                <w:sz w:val="21"/>
                <w:szCs w:val="21"/>
                <w:lang w:val="en-US" w:eastAsia="zh-CN"/>
              </w:rPr>
              <w:t>4</w:t>
            </w:r>
          </w:p>
        </w:tc>
      </w:tr>
      <w:tr w14:paraId="7F4C4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12" w:hRule="atLeast"/>
          <w:jc w:val="center"/>
        </w:trPr>
        <w:tc>
          <w:tcPr>
            <w:tcW w:w="510" w:type="dxa"/>
            <w:vMerge w:val="continue"/>
            <w:noWrap w:val="0"/>
            <w:vAlign w:val="center"/>
          </w:tcPr>
          <w:p w14:paraId="2B912380">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300" w:type="dxa"/>
            <w:vMerge w:val="continue"/>
            <w:noWrap w:val="0"/>
            <w:vAlign w:val="center"/>
          </w:tcPr>
          <w:p w14:paraId="043C19F6">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2929" w:type="dxa"/>
            <w:noWrap w:val="0"/>
            <w:vAlign w:val="center"/>
          </w:tcPr>
          <w:p w14:paraId="0F89E617">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2.6上游式尾矿坝的堆积坝下游坡面上，应结合排渗设施每隔6～10m高差设排水沟。</w:t>
            </w:r>
          </w:p>
        </w:tc>
        <w:tc>
          <w:tcPr>
            <w:tcW w:w="1055" w:type="dxa"/>
            <w:vMerge w:val="continue"/>
            <w:noWrap w:val="0"/>
            <w:vAlign w:val="center"/>
          </w:tcPr>
          <w:p w14:paraId="11A55D3A">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sz w:val="21"/>
                <w:szCs w:val="21"/>
              </w:rPr>
            </w:pPr>
          </w:p>
        </w:tc>
        <w:tc>
          <w:tcPr>
            <w:tcW w:w="999" w:type="dxa"/>
            <w:noWrap w:val="0"/>
            <w:vAlign w:val="center"/>
          </w:tcPr>
          <w:p w14:paraId="1E0B4F00">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对照设计、规范查现场</w:t>
            </w:r>
          </w:p>
        </w:tc>
        <w:tc>
          <w:tcPr>
            <w:tcW w:w="1114" w:type="dxa"/>
            <w:noWrap w:val="0"/>
            <w:vAlign w:val="center"/>
          </w:tcPr>
          <w:p w14:paraId="527D5BEF">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color w:val="auto"/>
                <w:kern w:val="0"/>
                <w:sz w:val="21"/>
                <w:szCs w:val="21"/>
                <w:lang w:val="en-US" w:eastAsia="zh-CN"/>
              </w:rPr>
              <w:t>初期坝坝顶设有马道排水沟，目前堆积坝高3m，暂时不需要设置。</w:t>
            </w:r>
          </w:p>
        </w:tc>
        <w:tc>
          <w:tcPr>
            <w:tcW w:w="544" w:type="dxa"/>
            <w:noWrap w:val="0"/>
            <w:vAlign w:val="center"/>
          </w:tcPr>
          <w:p w14:paraId="5947FD0C">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cs="Times New Roman"/>
                <w:color w:val="auto"/>
                <w:kern w:val="0"/>
                <w:sz w:val="21"/>
                <w:szCs w:val="21"/>
                <w:lang w:val="zh-CN"/>
              </w:rPr>
              <w:t>3</w:t>
            </w:r>
          </w:p>
        </w:tc>
        <w:tc>
          <w:tcPr>
            <w:tcW w:w="751" w:type="dxa"/>
            <w:vMerge w:val="continue"/>
            <w:noWrap w:val="0"/>
            <w:vAlign w:val="center"/>
          </w:tcPr>
          <w:p w14:paraId="739EB3B3">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textAlignment w:val="auto"/>
              <w:rPr>
                <w:rFonts w:hint="default" w:ascii="Times New Roman" w:hAnsi="Times New Roman" w:eastAsia="宋体" w:cs="Times New Roman"/>
                <w:color w:val="auto"/>
                <w:kern w:val="0"/>
                <w:sz w:val="21"/>
                <w:szCs w:val="21"/>
                <w:lang w:val="zh-CN"/>
              </w:rPr>
            </w:pPr>
          </w:p>
        </w:tc>
        <w:tc>
          <w:tcPr>
            <w:tcW w:w="775" w:type="dxa"/>
            <w:noWrap w:val="0"/>
            <w:vAlign w:val="center"/>
          </w:tcPr>
          <w:p w14:paraId="5C2741DD">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eastAsia" w:ascii="Times New Roman" w:hAnsi="Times New Roman" w:eastAsia="宋体" w:cs="Times New Roman"/>
                <w:color w:val="auto"/>
                <w:kern w:val="0"/>
                <w:sz w:val="21"/>
                <w:szCs w:val="21"/>
                <w:lang w:val="zh-CN" w:eastAsia="zh-CN"/>
              </w:rPr>
            </w:pPr>
            <w:r>
              <w:rPr>
                <w:rFonts w:hint="eastAsia" w:cs="Times New Roman"/>
                <w:color w:val="auto"/>
                <w:kern w:val="0"/>
                <w:sz w:val="21"/>
                <w:szCs w:val="21"/>
                <w:lang w:val="en-US" w:eastAsia="zh-CN"/>
              </w:rPr>
              <w:t>3</w:t>
            </w:r>
          </w:p>
        </w:tc>
      </w:tr>
      <w:tr w14:paraId="50AC4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12" w:hRule="atLeast"/>
          <w:jc w:val="center"/>
        </w:trPr>
        <w:tc>
          <w:tcPr>
            <w:tcW w:w="510" w:type="dxa"/>
            <w:vMerge w:val="continue"/>
            <w:noWrap w:val="0"/>
            <w:vAlign w:val="center"/>
          </w:tcPr>
          <w:p w14:paraId="301FBE99">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300" w:type="dxa"/>
            <w:vMerge w:val="continue"/>
            <w:noWrap w:val="0"/>
            <w:vAlign w:val="center"/>
          </w:tcPr>
          <w:p w14:paraId="685094BD">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2929" w:type="dxa"/>
            <w:noWrap w:val="0"/>
            <w:vAlign w:val="center"/>
          </w:tcPr>
          <w:p w14:paraId="13FA5F91">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2.7坝面未按设计设置排水沟，冲蚀严重，形成较多或较大的冲沟。</w:t>
            </w:r>
          </w:p>
        </w:tc>
        <w:tc>
          <w:tcPr>
            <w:tcW w:w="1055" w:type="dxa"/>
            <w:vMerge w:val="restart"/>
            <w:noWrap w:val="0"/>
            <w:vAlign w:val="center"/>
          </w:tcPr>
          <w:p w14:paraId="5A4886C5">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《尾矿设施设计规范》第4.5.9条，《尾矿库安全规程》第6.9条、第5.3.20条</w:t>
            </w:r>
          </w:p>
        </w:tc>
        <w:tc>
          <w:tcPr>
            <w:tcW w:w="999" w:type="dxa"/>
            <w:noWrap w:val="0"/>
            <w:vAlign w:val="center"/>
          </w:tcPr>
          <w:p w14:paraId="13B9912E">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rPr>
              <w:t>查现场</w:t>
            </w:r>
          </w:p>
        </w:tc>
        <w:tc>
          <w:tcPr>
            <w:tcW w:w="1114" w:type="dxa"/>
            <w:noWrap w:val="0"/>
            <w:vAlign w:val="center"/>
          </w:tcPr>
          <w:p w14:paraId="22907C52">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zh-CN"/>
              </w:rPr>
              <w:t>坝面排水沟</w:t>
            </w:r>
            <w:r>
              <w:rPr>
                <w:rFonts w:hint="eastAsia" w:cs="Times New Roman"/>
                <w:color w:val="auto"/>
                <w:kern w:val="0"/>
                <w:sz w:val="21"/>
                <w:szCs w:val="21"/>
                <w:lang w:val="en-US" w:eastAsia="zh-CN"/>
              </w:rPr>
              <w:t>完好</w:t>
            </w:r>
          </w:p>
        </w:tc>
        <w:tc>
          <w:tcPr>
            <w:tcW w:w="544" w:type="dxa"/>
            <w:vMerge w:val="restart"/>
            <w:noWrap w:val="0"/>
            <w:vAlign w:val="center"/>
          </w:tcPr>
          <w:p w14:paraId="060A05ED">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病库</w:t>
            </w:r>
          </w:p>
        </w:tc>
        <w:tc>
          <w:tcPr>
            <w:tcW w:w="751" w:type="dxa"/>
            <w:noWrap w:val="0"/>
            <w:vAlign w:val="center"/>
          </w:tcPr>
          <w:p w14:paraId="1B20AE8A">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775" w:type="dxa"/>
            <w:noWrap w:val="0"/>
            <w:vAlign w:val="center"/>
          </w:tcPr>
          <w:p w14:paraId="7C8E24DD">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eastAsia" w:ascii="Times New Roman" w:hAnsi="Times New Roman" w:eastAsia="宋体" w:cs="Times New Roman"/>
                <w:color w:val="auto"/>
                <w:kern w:val="0"/>
                <w:sz w:val="21"/>
                <w:szCs w:val="21"/>
                <w:lang w:val="zh-CN" w:eastAsia="zh-CN"/>
              </w:rPr>
            </w:pPr>
            <w:r>
              <w:rPr>
                <w:rFonts w:hint="default" w:ascii="Times New Roman" w:hAnsi="Times New Roman" w:eastAsia="宋体" w:cs="Times New Roman"/>
                <w:color w:val="auto"/>
                <w:kern w:val="0"/>
                <w:sz w:val="21"/>
                <w:szCs w:val="21"/>
                <w:lang w:val="zh-CN"/>
              </w:rPr>
              <w:t>正常库</w:t>
            </w:r>
          </w:p>
        </w:tc>
      </w:tr>
      <w:tr w14:paraId="4D96D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12" w:hRule="atLeast"/>
          <w:jc w:val="center"/>
        </w:trPr>
        <w:tc>
          <w:tcPr>
            <w:tcW w:w="510" w:type="dxa"/>
            <w:vMerge w:val="continue"/>
            <w:noWrap w:val="0"/>
            <w:vAlign w:val="center"/>
          </w:tcPr>
          <w:p w14:paraId="00043A21">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300" w:type="dxa"/>
            <w:vMerge w:val="continue"/>
            <w:noWrap w:val="0"/>
            <w:vAlign w:val="center"/>
          </w:tcPr>
          <w:p w14:paraId="28A662DF">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2929" w:type="dxa"/>
            <w:noWrap w:val="0"/>
            <w:vAlign w:val="center"/>
          </w:tcPr>
          <w:p w14:paraId="4A29A9BA">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2.8尾矿堆积坝下游坡与两岸山坡结合处的山坡上设置的截水沟应符合设计要求，并畅通。</w:t>
            </w:r>
          </w:p>
        </w:tc>
        <w:tc>
          <w:tcPr>
            <w:tcW w:w="1055" w:type="dxa"/>
            <w:vMerge w:val="continue"/>
            <w:noWrap w:val="0"/>
            <w:vAlign w:val="center"/>
          </w:tcPr>
          <w:p w14:paraId="68DD4380">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sz w:val="21"/>
                <w:szCs w:val="21"/>
              </w:rPr>
            </w:pPr>
          </w:p>
        </w:tc>
        <w:tc>
          <w:tcPr>
            <w:tcW w:w="999" w:type="dxa"/>
            <w:vMerge w:val="restart"/>
            <w:noWrap w:val="0"/>
            <w:vAlign w:val="center"/>
          </w:tcPr>
          <w:p w14:paraId="7FF82333">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对照设计</w:t>
            </w:r>
          </w:p>
          <w:p w14:paraId="56E00E71">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查现场</w:t>
            </w:r>
          </w:p>
        </w:tc>
        <w:tc>
          <w:tcPr>
            <w:tcW w:w="1114" w:type="dxa"/>
            <w:noWrap w:val="0"/>
            <w:vAlign w:val="center"/>
          </w:tcPr>
          <w:p w14:paraId="74EAB7BD">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eastAsia" w:ascii="Times New Roman"/>
                <w:color w:val="auto"/>
                <w:kern w:val="0"/>
                <w:sz w:val="21"/>
                <w:szCs w:val="21"/>
                <w:lang w:val="zh-CN"/>
              </w:rPr>
              <w:t>截水沟符合设计要求</w:t>
            </w:r>
          </w:p>
        </w:tc>
        <w:tc>
          <w:tcPr>
            <w:tcW w:w="544" w:type="dxa"/>
            <w:vMerge w:val="continue"/>
            <w:noWrap w:val="0"/>
            <w:vAlign w:val="center"/>
          </w:tcPr>
          <w:p w14:paraId="50DAF5E8">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751" w:type="dxa"/>
            <w:noWrap w:val="0"/>
            <w:vAlign w:val="center"/>
          </w:tcPr>
          <w:p w14:paraId="22B0781B">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775" w:type="dxa"/>
            <w:noWrap w:val="0"/>
            <w:vAlign w:val="center"/>
          </w:tcPr>
          <w:p w14:paraId="24BA1E51">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正常库</w:t>
            </w:r>
          </w:p>
        </w:tc>
      </w:tr>
      <w:tr w14:paraId="5E95D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12" w:hRule="atLeast"/>
          <w:jc w:val="center"/>
        </w:trPr>
        <w:tc>
          <w:tcPr>
            <w:tcW w:w="510" w:type="dxa"/>
            <w:vMerge w:val="continue"/>
            <w:noWrap w:val="0"/>
            <w:vAlign w:val="center"/>
          </w:tcPr>
          <w:p w14:paraId="77114A5B">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300" w:type="dxa"/>
            <w:vMerge w:val="continue"/>
            <w:noWrap w:val="0"/>
            <w:vAlign w:val="center"/>
          </w:tcPr>
          <w:p w14:paraId="035C104A">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2929" w:type="dxa"/>
            <w:noWrap w:val="0"/>
            <w:vAlign w:val="center"/>
          </w:tcPr>
          <w:p w14:paraId="548056A9">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2.9堆积坝外坡未按设计覆土、植被。</w:t>
            </w:r>
          </w:p>
        </w:tc>
        <w:tc>
          <w:tcPr>
            <w:tcW w:w="1055" w:type="dxa"/>
            <w:vMerge w:val="continue"/>
            <w:noWrap w:val="0"/>
            <w:vAlign w:val="center"/>
          </w:tcPr>
          <w:p w14:paraId="242E2C54">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sz w:val="21"/>
                <w:szCs w:val="21"/>
              </w:rPr>
            </w:pPr>
          </w:p>
        </w:tc>
        <w:tc>
          <w:tcPr>
            <w:tcW w:w="999" w:type="dxa"/>
            <w:vMerge w:val="continue"/>
            <w:noWrap w:val="0"/>
            <w:vAlign w:val="center"/>
          </w:tcPr>
          <w:p w14:paraId="0F169565">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1114" w:type="dxa"/>
            <w:noWrap w:val="0"/>
            <w:vAlign w:val="center"/>
          </w:tcPr>
          <w:p w14:paraId="3C65EA69">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eastAsia"/>
                <w:color w:val="auto"/>
                <w:kern w:val="0"/>
                <w:sz w:val="21"/>
                <w:szCs w:val="21"/>
                <w:lang w:val="en-US" w:eastAsia="zh-CN"/>
              </w:rPr>
              <w:t>已</w:t>
            </w:r>
            <w:r>
              <w:rPr>
                <w:rFonts w:hint="eastAsia" w:ascii="Times New Roman"/>
                <w:color w:val="auto"/>
                <w:kern w:val="0"/>
                <w:sz w:val="21"/>
                <w:szCs w:val="21"/>
                <w:lang w:val="zh-CN"/>
              </w:rPr>
              <w:t>按设计覆土、植被。</w:t>
            </w:r>
          </w:p>
        </w:tc>
        <w:tc>
          <w:tcPr>
            <w:tcW w:w="544" w:type="dxa"/>
            <w:vMerge w:val="continue"/>
            <w:noWrap w:val="0"/>
            <w:vAlign w:val="center"/>
          </w:tcPr>
          <w:p w14:paraId="41E8B2FA">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751" w:type="dxa"/>
            <w:noWrap w:val="0"/>
            <w:vAlign w:val="center"/>
          </w:tcPr>
          <w:p w14:paraId="623CAC2A">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775" w:type="dxa"/>
            <w:noWrap w:val="0"/>
            <w:vAlign w:val="center"/>
          </w:tcPr>
          <w:p w14:paraId="0F0AB9F8">
            <w:pPr>
              <w:keepNext w:val="0"/>
              <w:keepLines w:val="0"/>
              <w:pageBreakBefore w:val="0"/>
              <w:widowControl w:val="0"/>
              <w:kinsoku/>
              <w:wordWrap/>
              <w:overflowPunct/>
              <w:topLinePunct w:val="0"/>
              <w:bidi w:val="0"/>
              <w:snapToGrid/>
              <w:spacing w:line="28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zh-CN"/>
              </w:rPr>
              <w:t>正常库</w:t>
            </w:r>
          </w:p>
        </w:tc>
      </w:tr>
      <w:tr w14:paraId="57266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07" w:hRule="atLeast"/>
          <w:jc w:val="center"/>
        </w:trPr>
        <w:tc>
          <w:tcPr>
            <w:tcW w:w="510" w:type="dxa"/>
            <w:vMerge w:val="continue"/>
            <w:noWrap w:val="0"/>
            <w:vAlign w:val="center"/>
          </w:tcPr>
          <w:p w14:paraId="1FA4274A">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300" w:type="dxa"/>
            <w:vMerge w:val="continue"/>
            <w:noWrap w:val="0"/>
            <w:vAlign w:val="center"/>
          </w:tcPr>
          <w:p w14:paraId="4033FAE5">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2929" w:type="dxa"/>
            <w:noWrap w:val="0"/>
            <w:vAlign w:val="center"/>
          </w:tcPr>
          <w:p w14:paraId="2C870D5B">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2.10尾矿坝下游坡面上，不得有积水坑存在。</w:t>
            </w:r>
          </w:p>
        </w:tc>
        <w:tc>
          <w:tcPr>
            <w:tcW w:w="1055" w:type="dxa"/>
            <w:noWrap w:val="0"/>
            <w:vAlign w:val="center"/>
          </w:tcPr>
          <w:p w14:paraId="53EFF5E8">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《尾矿库安全规程》第6.3.11条</w:t>
            </w:r>
          </w:p>
        </w:tc>
        <w:tc>
          <w:tcPr>
            <w:tcW w:w="999" w:type="dxa"/>
            <w:noWrap w:val="0"/>
            <w:vAlign w:val="center"/>
          </w:tcPr>
          <w:p w14:paraId="3C4D68F4">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color w:val="auto"/>
                <w:kern w:val="0"/>
                <w:sz w:val="21"/>
                <w:szCs w:val="21"/>
                <w:lang w:val="zh-CN"/>
              </w:rPr>
              <w:t>查现场</w:t>
            </w:r>
          </w:p>
        </w:tc>
        <w:tc>
          <w:tcPr>
            <w:tcW w:w="1114" w:type="dxa"/>
            <w:noWrap w:val="0"/>
            <w:vAlign w:val="center"/>
          </w:tcPr>
          <w:p w14:paraId="5F48EF63">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eastAsia" w:ascii="Times New Roman"/>
                <w:color w:val="auto"/>
                <w:kern w:val="0"/>
                <w:sz w:val="21"/>
                <w:szCs w:val="21"/>
                <w:lang w:val="zh-CN"/>
              </w:rPr>
              <w:t>无此现象</w:t>
            </w:r>
          </w:p>
        </w:tc>
        <w:tc>
          <w:tcPr>
            <w:tcW w:w="544" w:type="dxa"/>
            <w:noWrap w:val="0"/>
            <w:vAlign w:val="center"/>
          </w:tcPr>
          <w:p w14:paraId="65B15A72">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3</w:t>
            </w:r>
          </w:p>
        </w:tc>
        <w:tc>
          <w:tcPr>
            <w:tcW w:w="751" w:type="dxa"/>
            <w:noWrap w:val="0"/>
            <w:vAlign w:val="center"/>
          </w:tcPr>
          <w:p w14:paraId="24D3E750">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不符合</w:t>
            </w:r>
          </w:p>
          <w:p w14:paraId="28B8A432">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不得分</w:t>
            </w:r>
          </w:p>
        </w:tc>
        <w:tc>
          <w:tcPr>
            <w:tcW w:w="775" w:type="dxa"/>
            <w:noWrap w:val="0"/>
            <w:vAlign w:val="center"/>
          </w:tcPr>
          <w:p w14:paraId="09179814">
            <w:pPr>
              <w:keepNext w:val="0"/>
              <w:keepLines w:val="0"/>
              <w:pageBreakBefore w:val="0"/>
              <w:widowControl w:val="0"/>
              <w:kinsoku/>
              <w:wordWrap/>
              <w:overflowPunct/>
              <w:topLinePunct w:val="0"/>
              <w:bidi w:val="0"/>
              <w:snapToGrid/>
              <w:spacing w:line="280" w:lineRule="exact"/>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kern w:val="0"/>
                <w:sz w:val="21"/>
                <w:szCs w:val="21"/>
                <w:lang w:val="en-US" w:eastAsia="zh-CN"/>
              </w:rPr>
              <w:t>3</w:t>
            </w:r>
          </w:p>
        </w:tc>
      </w:tr>
      <w:tr w14:paraId="3482D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8" w:hRule="atLeast"/>
          <w:jc w:val="center"/>
        </w:trPr>
        <w:tc>
          <w:tcPr>
            <w:tcW w:w="510" w:type="dxa"/>
            <w:vMerge w:val="continue"/>
            <w:noWrap w:val="0"/>
            <w:vAlign w:val="center"/>
          </w:tcPr>
          <w:p w14:paraId="408AA9B4">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300" w:type="dxa"/>
            <w:vMerge w:val="restart"/>
            <w:noWrap w:val="0"/>
            <w:vAlign w:val="center"/>
          </w:tcPr>
          <w:p w14:paraId="4DEC352A">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拦挡坝</w:t>
            </w:r>
          </w:p>
        </w:tc>
        <w:tc>
          <w:tcPr>
            <w:tcW w:w="2929" w:type="dxa"/>
            <w:noWrap w:val="0"/>
            <w:vAlign w:val="center"/>
          </w:tcPr>
          <w:p w14:paraId="1462459A">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3.1尾矿库拦挡坝在设计洪水位时，其安全超高不得小于最小安全超高、最大风雍水面高度和最大风浪爬高三者之和。地震雍浪高度可根据抗震设防烈度和水深确定，可采用0.5～1.5m。</w:t>
            </w:r>
          </w:p>
        </w:tc>
        <w:tc>
          <w:tcPr>
            <w:tcW w:w="1055" w:type="dxa"/>
            <w:noWrap w:val="0"/>
            <w:vAlign w:val="center"/>
          </w:tcPr>
          <w:p w14:paraId="1CED3266">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《尾矿设施设计规范》第4.2.3条，《尾矿库安全规程》第5.3.11、5.3.12条第5.3.11、12条</w:t>
            </w:r>
          </w:p>
        </w:tc>
        <w:tc>
          <w:tcPr>
            <w:tcW w:w="999" w:type="dxa"/>
            <w:noWrap w:val="0"/>
            <w:vAlign w:val="center"/>
          </w:tcPr>
          <w:p w14:paraId="7B773020">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对照设计查现场</w:t>
            </w:r>
          </w:p>
        </w:tc>
        <w:tc>
          <w:tcPr>
            <w:tcW w:w="1114" w:type="dxa"/>
            <w:noWrap w:val="0"/>
            <w:vAlign w:val="center"/>
          </w:tcPr>
          <w:p w14:paraId="5802AD43">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eastAsia" w:ascii="Times New Roman"/>
                <w:color w:val="auto"/>
                <w:kern w:val="0"/>
                <w:sz w:val="21"/>
                <w:szCs w:val="21"/>
                <w:lang w:val="zh-CN"/>
              </w:rPr>
              <w:t>无</w:t>
            </w:r>
            <w:r>
              <w:rPr>
                <w:rFonts w:hint="eastAsia" w:ascii="Times New Roman" w:eastAsia="宋体"/>
                <w:color w:val="auto"/>
                <w:kern w:val="0"/>
                <w:sz w:val="21"/>
                <w:szCs w:val="21"/>
                <w:lang w:val="en-US" w:eastAsia="zh-CN"/>
              </w:rPr>
              <w:t>此项</w:t>
            </w:r>
          </w:p>
        </w:tc>
        <w:tc>
          <w:tcPr>
            <w:tcW w:w="544" w:type="dxa"/>
            <w:noWrap w:val="0"/>
            <w:vAlign w:val="center"/>
          </w:tcPr>
          <w:p w14:paraId="0ED86839">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5</w:t>
            </w:r>
          </w:p>
        </w:tc>
        <w:tc>
          <w:tcPr>
            <w:tcW w:w="751" w:type="dxa"/>
            <w:noWrap w:val="0"/>
            <w:vAlign w:val="center"/>
          </w:tcPr>
          <w:p w14:paraId="20B9D741">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不符合</w:t>
            </w:r>
          </w:p>
          <w:p w14:paraId="3DB9D9B4">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不得分</w:t>
            </w:r>
          </w:p>
        </w:tc>
        <w:tc>
          <w:tcPr>
            <w:tcW w:w="775" w:type="dxa"/>
            <w:noWrap w:val="0"/>
            <w:vAlign w:val="center"/>
          </w:tcPr>
          <w:p w14:paraId="2F24D3CD">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eastAsia" w:ascii="Times New Roman" w:hAnsi="Times New Roman" w:eastAsia="宋体" w:cs="Times New Roman"/>
                <w:color w:val="auto"/>
                <w:kern w:val="0"/>
                <w:sz w:val="21"/>
                <w:szCs w:val="21"/>
                <w:lang w:val="zh-CN" w:eastAsia="zh-CN"/>
              </w:rPr>
            </w:pPr>
            <w:r>
              <w:rPr>
                <w:rFonts w:hint="default" w:ascii="Times New Roman" w:hAnsi="Times New Roman" w:eastAsia="宋体" w:cs="Times New Roman"/>
                <w:color w:val="auto"/>
                <w:kern w:val="0"/>
                <w:sz w:val="21"/>
                <w:szCs w:val="21"/>
                <w:lang w:val="zh-CN"/>
              </w:rPr>
              <w:t>—</w:t>
            </w:r>
          </w:p>
        </w:tc>
      </w:tr>
      <w:tr w14:paraId="54388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54" w:hRule="atLeast"/>
          <w:jc w:val="center"/>
        </w:trPr>
        <w:tc>
          <w:tcPr>
            <w:tcW w:w="510" w:type="dxa"/>
            <w:vMerge w:val="continue"/>
            <w:noWrap w:val="0"/>
            <w:vAlign w:val="center"/>
          </w:tcPr>
          <w:p w14:paraId="6983FC55">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300" w:type="dxa"/>
            <w:vMerge w:val="continue"/>
            <w:noWrap w:val="0"/>
            <w:vAlign w:val="center"/>
          </w:tcPr>
          <w:p w14:paraId="51ED22AA">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2929" w:type="dxa"/>
            <w:noWrap w:val="0"/>
            <w:vAlign w:val="center"/>
          </w:tcPr>
          <w:p w14:paraId="50CFD1A3">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3.2挑流鼻坎应与设计的相符，施工质量合格，下泄水不得冲刷坝脚。</w:t>
            </w:r>
          </w:p>
        </w:tc>
        <w:tc>
          <w:tcPr>
            <w:tcW w:w="1055" w:type="dxa"/>
            <w:noWrap w:val="0"/>
            <w:vAlign w:val="center"/>
          </w:tcPr>
          <w:p w14:paraId="70FAB60F">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《尾矿库安全规程》第5.6.2条</w:t>
            </w:r>
          </w:p>
        </w:tc>
        <w:tc>
          <w:tcPr>
            <w:tcW w:w="999" w:type="dxa"/>
            <w:noWrap w:val="0"/>
            <w:vAlign w:val="center"/>
          </w:tcPr>
          <w:p w14:paraId="6F563756">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对照设计查现场</w:t>
            </w:r>
          </w:p>
        </w:tc>
        <w:tc>
          <w:tcPr>
            <w:tcW w:w="1114" w:type="dxa"/>
            <w:noWrap w:val="0"/>
            <w:vAlign w:val="center"/>
          </w:tcPr>
          <w:p w14:paraId="75080AAA">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无此项</w:t>
            </w:r>
          </w:p>
        </w:tc>
        <w:tc>
          <w:tcPr>
            <w:tcW w:w="544" w:type="dxa"/>
            <w:noWrap w:val="0"/>
            <w:vAlign w:val="center"/>
          </w:tcPr>
          <w:p w14:paraId="224DBBD1">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5</w:t>
            </w:r>
          </w:p>
        </w:tc>
        <w:tc>
          <w:tcPr>
            <w:tcW w:w="751" w:type="dxa"/>
            <w:noWrap w:val="0"/>
            <w:vAlign w:val="center"/>
          </w:tcPr>
          <w:p w14:paraId="7F4CFD2A">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不符合</w:t>
            </w:r>
          </w:p>
          <w:p w14:paraId="31C8C419">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不得分</w:t>
            </w:r>
          </w:p>
        </w:tc>
        <w:tc>
          <w:tcPr>
            <w:tcW w:w="775" w:type="dxa"/>
            <w:noWrap w:val="0"/>
            <w:vAlign w:val="center"/>
          </w:tcPr>
          <w:p w14:paraId="17B89121">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w:t>
            </w:r>
          </w:p>
        </w:tc>
      </w:tr>
      <w:tr w14:paraId="7DAF1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813" w:hRule="atLeast"/>
          <w:jc w:val="center"/>
        </w:trPr>
        <w:tc>
          <w:tcPr>
            <w:tcW w:w="510" w:type="dxa"/>
            <w:vMerge w:val="restart"/>
            <w:noWrap w:val="0"/>
            <w:vAlign w:val="center"/>
          </w:tcPr>
          <w:p w14:paraId="75F51FDC">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rPr>
              <w:t>初期坝、拦挡坝、堆积坝、副坝、拦水坝坝体和排水棱体</w:t>
            </w:r>
          </w:p>
        </w:tc>
        <w:tc>
          <w:tcPr>
            <w:tcW w:w="300" w:type="dxa"/>
            <w:vMerge w:val="restart"/>
            <w:noWrap w:val="0"/>
            <w:vAlign w:val="center"/>
          </w:tcPr>
          <w:p w14:paraId="6AA69C35">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初期坝</w:t>
            </w:r>
          </w:p>
        </w:tc>
        <w:tc>
          <w:tcPr>
            <w:tcW w:w="2929" w:type="dxa"/>
            <w:noWrap w:val="0"/>
            <w:vAlign w:val="center"/>
          </w:tcPr>
          <w:p w14:paraId="6CF28FAF">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4.1上游式尾矿堆积坝的初期透水堆石坝坝高与总坝高之比值不宜小于1/8。</w:t>
            </w:r>
          </w:p>
        </w:tc>
        <w:tc>
          <w:tcPr>
            <w:tcW w:w="1055" w:type="dxa"/>
            <w:noWrap w:val="0"/>
            <w:vAlign w:val="center"/>
          </w:tcPr>
          <w:p w14:paraId="0AAAB910">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《尾矿设施设计规范》第4.1.3条，《尾矿库安全规程》第5.3.3条</w:t>
            </w:r>
          </w:p>
        </w:tc>
        <w:tc>
          <w:tcPr>
            <w:tcW w:w="999" w:type="dxa"/>
            <w:noWrap w:val="0"/>
            <w:vAlign w:val="center"/>
          </w:tcPr>
          <w:p w14:paraId="68986FAB">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查设计与现场并进行验算</w:t>
            </w:r>
          </w:p>
        </w:tc>
        <w:tc>
          <w:tcPr>
            <w:tcW w:w="1114" w:type="dxa"/>
            <w:noWrap w:val="0"/>
            <w:vAlign w:val="center"/>
          </w:tcPr>
          <w:p w14:paraId="01278620">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eastAsia" w:ascii="Times New Roman" w:hAnsi="Times New Roman" w:eastAsia="宋体" w:cs="Times New Roman"/>
                <w:color w:val="auto"/>
                <w:kern w:val="0"/>
                <w:sz w:val="21"/>
                <w:szCs w:val="21"/>
                <w:lang w:val="zh-CN" w:eastAsia="zh-CN"/>
              </w:rPr>
            </w:pPr>
            <w:r>
              <w:rPr>
                <w:rFonts w:hint="eastAsia"/>
                <w:color w:val="auto"/>
                <w:kern w:val="0"/>
                <w:sz w:val="21"/>
                <w:szCs w:val="21"/>
                <w:lang w:val="en-US" w:eastAsia="zh-CN"/>
              </w:rPr>
              <w:t>无此项</w:t>
            </w:r>
          </w:p>
        </w:tc>
        <w:tc>
          <w:tcPr>
            <w:tcW w:w="544" w:type="dxa"/>
            <w:noWrap w:val="0"/>
            <w:vAlign w:val="center"/>
          </w:tcPr>
          <w:p w14:paraId="56C41BB2">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5</w:t>
            </w:r>
          </w:p>
        </w:tc>
        <w:tc>
          <w:tcPr>
            <w:tcW w:w="751" w:type="dxa"/>
            <w:vMerge w:val="restart"/>
            <w:noWrap w:val="0"/>
            <w:vAlign w:val="center"/>
          </w:tcPr>
          <w:p w14:paraId="3E64ABBA">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不符合</w:t>
            </w:r>
          </w:p>
          <w:p w14:paraId="489F30B4">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不得分</w:t>
            </w:r>
          </w:p>
        </w:tc>
        <w:tc>
          <w:tcPr>
            <w:tcW w:w="775" w:type="dxa"/>
            <w:noWrap w:val="0"/>
            <w:vAlign w:val="center"/>
          </w:tcPr>
          <w:p w14:paraId="45527C04">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eastAsia" w:ascii="Times New Roman" w:hAnsi="Times New Roman" w:eastAsia="宋体" w:cs="Times New Roman"/>
                <w:color w:val="auto"/>
                <w:kern w:val="0"/>
                <w:sz w:val="21"/>
                <w:szCs w:val="21"/>
                <w:lang w:val="zh-CN" w:eastAsia="zh-CN"/>
              </w:rPr>
            </w:pPr>
            <w:r>
              <w:rPr>
                <w:rFonts w:hint="eastAsia" w:cs="Times New Roman"/>
                <w:color w:val="auto"/>
                <w:kern w:val="0"/>
                <w:sz w:val="21"/>
                <w:szCs w:val="21"/>
                <w:lang w:val="en-US" w:eastAsia="zh-CN"/>
              </w:rPr>
              <w:t>-</w:t>
            </w:r>
          </w:p>
        </w:tc>
      </w:tr>
      <w:tr w14:paraId="3A67E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318" w:hRule="atLeast"/>
          <w:jc w:val="center"/>
        </w:trPr>
        <w:tc>
          <w:tcPr>
            <w:tcW w:w="510" w:type="dxa"/>
            <w:vMerge w:val="continue"/>
            <w:noWrap w:val="0"/>
            <w:vAlign w:val="center"/>
          </w:tcPr>
          <w:p w14:paraId="0CF786B1">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rPr>
            </w:pPr>
          </w:p>
        </w:tc>
        <w:tc>
          <w:tcPr>
            <w:tcW w:w="300" w:type="dxa"/>
            <w:vMerge w:val="continue"/>
            <w:noWrap w:val="0"/>
            <w:vAlign w:val="center"/>
          </w:tcPr>
          <w:p w14:paraId="47A5B1C9">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2929" w:type="dxa"/>
            <w:noWrap w:val="0"/>
            <w:vAlign w:val="center"/>
          </w:tcPr>
          <w:p w14:paraId="223C1532">
            <w:pPr>
              <w:keepNext w:val="0"/>
              <w:keepLines w:val="0"/>
              <w:pageBreakBefore w:val="0"/>
              <w:widowControl w:val="0"/>
              <w:kinsoku/>
              <w:wordWrap/>
              <w:overflowPunct/>
              <w:topLinePunct w:val="0"/>
              <w:autoSpaceDE w:val="0"/>
              <w:autoSpaceDN w:val="0"/>
              <w:bidi w:val="0"/>
              <w:adjustRightInd w:val="0"/>
              <w:snapToGrid/>
              <w:spacing w:line="32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zh-CN"/>
              </w:rPr>
              <w:t>4.2透水初期坝上游坡面采用土工布组合反滤层时，土工布嵌入坝基及坝肩的深度不得小于0.5m，并需用土料填塞密实。</w:t>
            </w:r>
          </w:p>
        </w:tc>
        <w:tc>
          <w:tcPr>
            <w:tcW w:w="1055" w:type="dxa"/>
            <w:noWrap w:val="0"/>
            <w:vAlign w:val="center"/>
          </w:tcPr>
          <w:p w14:paraId="744401B4">
            <w:pPr>
              <w:keepNext w:val="0"/>
              <w:keepLines w:val="0"/>
              <w:pageBreakBefore w:val="0"/>
              <w:widowControl w:val="0"/>
              <w:kinsoku/>
              <w:wordWrap/>
              <w:overflowPunct/>
              <w:topLinePunct w:val="0"/>
              <w:autoSpaceDE w:val="0"/>
              <w:autoSpaceDN w:val="0"/>
              <w:bidi w:val="0"/>
              <w:adjustRightInd w:val="0"/>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《尾矿设施设计规范》第4.5.4条</w:t>
            </w:r>
          </w:p>
        </w:tc>
        <w:tc>
          <w:tcPr>
            <w:tcW w:w="999" w:type="dxa"/>
            <w:noWrap w:val="0"/>
            <w:vAlign w:val="center"/>
          </w:tcPr>
          <w:p w14:paraId="237585F3">
            <w:pPr>
              <w:keepNext w:val="0"/>
              <w:keepLines w:val="0"/>
              <w:pageBreakBefore w:val="0"/>
              <w:widowControl w:val="0"/>
              <w:kinsoku/>
              <w:wordWrap/>
              <w:overflowPunct/>
              <w:topLinePunct w:val="0"/>
              <w:autoSpaceDE w:val="0"/>
              <w:autoSpaceDN w:val="0"/>
              <w:bidi w:val="0"/>
              <w:adjustRightInd w:val="0"/>
              <w:snapToGrid/>
              <w:spacing w:line="32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rPr>
              <w:t>查设计文件、竣工、监理报告、现场</w:t>
            </w:r>
          </w:p>
        </w:tc>
        <w:tc>
          <w:tcPr>
            <w:tcW w:w="1114" w:type="dxa"/>
            <w:noWrap w:val="0"/>
            <w:vAlign w:val="center"/>
          </w:tcPr>
          <w:p w14:paraId="4EF7EA0D">
            <w:pPr>
              <w:keepNext w:val="0"/>
              <w:keepLines w:val="0"/>
              <w:pageBreakBefore w:val="0"/>
              <w:widowControl w:val="0"/>
              <w:kinsoku/>
              <w:wordWrap/>
              <w:overflowPunct/>
              <w:topLinePunct w:val="0"/>
              <w:autoSpaceDE w:val="0"/>
              <w:autoSpaceDN w:val="0"/>
              <w:bidi w:val="0"/>
              <w:adjustRightInd w:val="0"/>
              <w:snapToGrid/>
              <w:spacing w:line="320" w:lineRule="exact"/>
              <w:ind w:firstLine="0" w:firstLineChars="0"/>
              <w:jc w:val="center"/>
              <w:textAlignment w:val="auto"/>
              <w:rPr>
                <w:rFonts w:hint="default" w:eastAsia="宋体"/>
                <w:color w:val="auto"/>
                <w:kern w:val="0"/>
                <w:sz w:val="21"/>
                <w:szCs w:val="21"/>
                <w:lang w:val="en-US" w:eastAsia="zh-CN"/>
              </w:rPr>
            </w:pPr>
            <w:r>
              <w:rPr>
                <w:rFonts w:hint="eastAsia" w:cs="Times New Roman"/>
                <w:color w:val="auto"/>
                <w:kern w:val="0"/>
                <w:sz w:val="21"/>
                <w:szCs w:val="21"/>
                <w:lang w:val="en-US" w:eastAsia="zh-CN"/>
              </w:rPr>
              <w:t>无此项</w:t>
            </w:r>
          </w:p>
        </w:tc>
        <w:tc>
          <w:tcPr>
            <w:tcW w:w="544" w:type="dxa"/>
            <w:noWrap w:val="0"/>
            <w:vAlign w:val="center"/>
          </w:tcPr>
          <w:p w14:paraId="2115D7FA">
            <w:pPr>
              <w:keepNext w:val="0"/>
              <w:keepLines w:val="0"/>
              <w:pageBreakBefore w:val="0"/>
              <w:widowControl w:val="0"/>
              <w:kinsoku/>
              <w:wordWrap/>
              <w:overflowPunct/>
              <w:topLinePunct w:val="0"/>
              <w:autoSpaceDE w:val="0"/>
              <w:autoSpaceDN w:val="0"/>
              <w:bidi w:val="0"/>
              <w:adjustRightInd w:val="0"/>
              <w:snapToGrid/>
              <w:spacing w:line="32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5</w:t>
            </w:r>
          </w:p>
        </w:tc>
        <w:tc>
          <w:tcPr>
            <w:tcW w:w="751" w:type="dxa"/>
            <w:vMerge w:val="continue"/>
            <w:noWrap w:val="0"/>
            <w:vAlign w:val="center"/>
          </w:tcPr>
          <w:p w14:paraId="0A78038D">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775" w:type="dxa"/>
            <w:noWrap w:val="0"/>
            <w:vAlign w:val="center"/>
          </w:tcPr>
          <w:p w14:paraId="1F2D284F">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r>
      <w:tr w14:paraId="44FD6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95" w:hRule="atLeast"/>
          <w:jc w:val="center"/>
        </w:trPr>
        <w:tc>
          <w:tcPr>
            <w:tcW w:w="510" w:type="dxa"/>
            <w:vMerge w:val="continue"/>
            <w:noWrap w:val="0"/>
            <w:vAlign w:val="center"/>
          </w:tcPr>
          <w:p w14:paraId="4CF51707">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300" w:type="dxa"/>
            <w:vMerge w:val="continue"/>
            <w:noWrap w:val="0"/>
            <w:vAlign w:val="center"/>
          </w:tcPr>
          <w:p w14:paraId="2777C461">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2929" w:type="dxa"/>
            <w:noWrap w:val="0"/>
            <w:vAlign w:val="center"/>
          </w:tcPr>
          <w:p w14:paraId="1E10DE1D">
            <w:pPr>
              <w:keepNext w:val="0"/>
              <w:keepLines w:val="0"/>
              <w:pageBreakBefore w:val="0"/>
              <w:widowControl w:val="0"/>
              <w:kinsoku/>
              <w:wordWrap/>
              <w:overflowPunct/>
              <w:topLinePunct w:val="0"/>
              <w:autoSpaceDE w:val="0"/>
              <w:autoSpaceDN w:val="0"/>
              <w:bidi w:val="0"/>
              <w:adjustRightInd w:val="0"/>
              <w:snapToGrid/>
              <w:spacing w:line="32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4.</w:t>
            </w:r>
            <w:r>
              <w:rPr>
                <w:rFonts w:hint="eastAsia" w:cs="Times New Roman"/>
                <w:color w:val="auto"/>
                <w:kern w:val="0"/>
                <w:sz w:val="21"/>
                <w:szCs w:val="21"/>
                <w:lang w:val="en-US" w:eastAsia="zh-CN"/>
              </w:rPr>
              <w:t>3</w:t>
            </w:r>
            <w:r>
              <w:rPr>
                <w:rFonts w:hint="default" w:ascii="Times New Roman" w:hAnsi="Times New Roman" w:eastAsia="宋体" w:cs="Times New Roman"/>
                <w:color w:val="auto"/>
                <w:kern w:val="0"/>
                <w:sz w:val="21"/>
                <w:szCs w:val="21"/>
                <w:lang w:val="zh-CN"/>
              </w:rPr>
              <w:t>初期的安全超高和泄洪能力要满足初期设计洪水标准。</w:t>
            </w:r>
          </w:p>
        </w:tc>
        <w:tc>
          <w:tcPr>
            <w:tcW w:w="1055" w:type="dxa"/>
            <w:noWrap w:val="0"/>
            <w:vAlign w:val="center"/>
          </w:tcPr>
          <w:p w14:paraId="6F647F6B">
            <w:pPr>
              <w:keepNext w:val="0"/>
              <w:keepLines w:val="0"/>
              <w:pageBreakBefore w:val="0"/>
              <w:widowControl w:val="0"/>
              <w:kinsoku/>
              <w:wordWrap/>
              <w:overflowPunct/>
              <w:topLinePunct w:val="0"/>
              <w:autoSpaceDE w:val="0"/>
              <w:autoSpaceDN w:val="0"/>
              <w:bidi w:val="0"/>
              <w:adjustRightInd w:val="0"/>
              <w:snapToGrid/>
              <w:spacing w:line="32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sz w:val="21"/>
                <w:szCs w:val="21"/>
              </w:rPr>
              <w:t>《尾矿设施设计规范》第4.1.3条，《尾矿库安全规程》第5.3.3条</w:t>
            </w:r>
          </w:p>
        </w:tc>
        <w:tc>
          <w:tcPr>
            <w:tcW w:w="999" w:type="dxa"/>
            <w:noWrap w:val="0"/>
            <w:vAlign w:val="center"/>
          </w:tcPr>
          <w:p w14:paraId="66777FC7">
            <w:pPr>
              <w:keepNext w:val="0"/>
              <w:keepLines w:val="0"/>
              <w:pageBreakBefore w:val="0"/>
              <w:widowControl w:val="0"/>
              <w:kinsoku/>
              <w:wordWrap/>
              <w:overflowPunct/>
              <w:topLinePunct w:val="0"/>
              <w:autoSpaceDE w:val="0"/>
              <w:autoSpaceDN w:val="0"/>
              <w:bidi w:val="0"/>
              <w:adjustRightInd w:val="0"/>
              <w:snapToGrid/>
              <w:spacing w:line="32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查设计与场察</w:t>
            </w:r>
          </w:p>
        </w:tc>
        <w:tc>
          <w:tcPr>
            <w:tcW w:w="1114" w:type="dxa"/>
            <w:noWrap w:val="0"/>
            <w:vAlign w:val="center"/>
          </w:tcPr>
          <w:p w14:paraId="4DA10AC9">
            <w:pPr>
              <w:keepNext w:val="0"/>
              <w:keepLines w:val="0"/>
              <w:pageBreakBefore w:val="0"/>
              <w:widowControl w:val="0"/>
              <w:kinsoku/>
              <w:wordWrap/>
              <w:overflowPunct/>
              <w:topLinePunct w:val="0"/>
              <w:autoSpaceDE w:val="0"/>
              <w:autoSpaceDN w:val="0"/>
              <w:bidi w:val="0"/>
              <w:adjustRightInd w:val="0"/>
              <w:snapToGrid/>
              <w:spacing w:line="32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符合</w:t>
            </w:r>
            <w:r>
              <w:rPr>
                <w:rFonts w:hint="eastAsia" w:cs="Times New Roman"/>
                <w:color w:val="auto"/>
                <w:kern w:val="0"/>
                <w:sz w:val="21"/>
                <w:szCs w:val="21"/>
                <w:lang w:val="en-US" w:eastAsia="zh-CN"/>
              </w:rPr>
              <w:t>要求</w:t>
            </w:r>
          </w:p>
        </w:tc>
        <w:tc>
          <w:tcPr>
            <w:tcW w:w="544" w:type="dxa"/>
            <w:noWrap w:val="0"/>
            <w:vAlign w:val="center"/>
          </w:tcPr>
          <w:p w14:paraId="1E7AD865">
            <w:pPr>
              <w:keepNext w:val="0"/>
              <w:keepLines w:val="0"/>
              <w:pageBreakBefore w:val="0"/>
              <w:widowControl w:val="0"/>
              <w:kinsoku/>
              <w:wordWrap/>
              <w:overflowPunct/>
              <w:topLinePunct w:val="0"/>
              <w:autoSpaceDE w:val="0"/>
              <w:autoSpaceDN w:val="0"/>
              <w:bidi w:val="0"/>
              <w:adjustRightInd w:val="0"/>
              <w:snapToGrid/>
              <w:spacing w:line="32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7</w:t>
            </w:r>
          </w:p>
        </w:tc>
        <w:tc>
          <w:tcPr>
            <w:tcW w:w="751" w:type="dxa"/>
            <w:vMerge w:val="continue"/>
            <w:noWrap w:val="0"/>
            <w:vAlign w:val="center"/>
          </w:tcPr>
          <w:p w14:paraId="362AB105">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775" w:type="dxa"/>
            <w:noWrap w:val="0"/>
            <w:vAlign w:val="center"/>
          </w:tcPr>
          <w:p w14:paraId="533C6FE5">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7</w:t>
            </w:r>
          </w:p>
        </w:tc>
      </w:tr>
      <w:tr w14:paraId="5DB82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4" w:hRule="atLeast"/>
          <w:jc w:val="center"/>
        </w:trPr>
        <w:tc>
          <w:tcPr>
            <w:tcW w:w="510" w:type="dxa"/>
            <w:vMerge w:val="continue"/>
            <w:noWrap w:val="0"/>
            <w:vAlign w:val="center"/>
          </w:tcPr>
          <w:p w14:paraId="1452B121">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300" w:type="dxa"/>
            <w:vMerge w:val="restart"/>
            <w:noWrap w:val="0"/>
            <w:vAlign w:val="center"/>
          </w:tcPr>
          <w:p w14:paraId="1EA1B1BE">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堆积坝</w:t>
            </w:r>
          </w:p>
        </w:tc>
        <w:tc>
          <w:tcPr>
            <w:tcW w:w="2929" w:type="dxa"/>
            <w:noWrap w:val="0"/>
            <w:vAlign w:val="center"/>
          </w:tcPr>
          <w:p w14:paraId="258034F3">
            <w:pPr>
              <w:keepNext w:val="0"/>
              <w:keepLines w:val="0"/>
              <w:pageBreakBefore w:val="0"/>
              <w:widowControl w:val="0"/>
              <w:kinsoku/>
              <w:wordWrap/>
              <w:overflowPunct/>
              <w:topLinePunct w:val="0"/>
              <w:autoSpaceDE w:val="0"/>
              <w:autoSpaceDN w:val="0"/>
              <w:bidi w:val="0"/>
              <w:adjustRightInd w:val="0"/>
              <w:snapToGrid/>
              <w:spacing w:line="32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5.1坝上必须配备有通讯照明设备、各种安全监测设施、救生设备。</w:t>
            </w:r>
          </w:p>
        </w:tc>
        <w:tc>
          <w:tcPr>
            <w:tcW w:w="1055" w:type="dxa"/>
            <w:noWrap w:val="0"/>
            <w:vAlign w:val="center"/>
          </w:tcPr>
          <w:p w14:paraId="18E62EF8">
            <w:pPr>
              <w:keepNext w:val="0"/>
              <w:keepLines w:val="0"/>
              <w:pageBreakBefore w:val="0"/>
              <w:widowControl w:val="0"/>
              <w:kinsoku/>
              <w:wordWrap/>
              <w:overflowPunct/>
              <w:topLinePunct w:val="0"/>
              <w:autoSpaceDE w:val="0"/>
              <w:autoSpaceDN w:val="0"/>
              <w:bidi w:val="0"/>
              <w:adjustRightInd w:val="0"/>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《尾矿库安全规程》第9.7.1条</w:t>
            </w:r>
          </w:p>
        </w:tc>
        <w:tc>
          <w:tcPr>
            <w:tcW w:w="999" w:type="dxa"/>
            <w:noWrap w:val="0"/>
            <w:vAlign w:val="center"/>
          </w:tcPr>
          <w:p w14:paraId="5277995E">
            <w:pPr>
              <w:keepNext w:val="0"/>
              <w:keepLines w:val="0"/>
              <w:pageBreakBefore w:val="0"/>
              <w:widowControl w:val="0"/>
              <w:kinsoku/>
              <w:wordWrap/>
              <w:overflowPunct/>
              <w:topLinePunct w:val="0"/>
              <w:autoSpaceDE w:val="0"/>
              <w:autoSpaceDN w:val="0"/>
              <w:bidi w:val="0"/>
              <w:adjustRightInd w:val="0"/>
              <w:snapToGrid/>
              <w:spacing w:line="32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查现场</w:t>
            </w:r>
          </w:p>
        </w:tc>
        <w:tc>
          <w:tcPr>
            <w:tcW w:w="1114" w:type="dxa"/>
            <w:noWrap w:val="0"/>
            <w:vAlign w:val="center"/>
          </w:tcPr>
          <w:p w14:paraId="2C208CC2">
            <w:pPr>
              <w:keepNext w:val="0"/>
              <w:keepLines w:val="0"/>
              <w:pageBreakBefore w:val="0"/>
              <w:widowControl w:val="0"/>
              <w:kinsoku/>
              <w:wordWrap/>
              <w:overflowPunct/>
              <w:topLinePunct w:val="0"/>
              <w:autoSpaceDE w:val="0"/>
              <w:autoSpaceDN w:val="0"/>
              <w:bidi w:val="0"/>
              <w:adjustRightInd w:val="0"/>
              <w:snapToGrid/>
              <w:spacing w:line="32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有通讯照明设备、安全监测设施，无</w:t>
            </w:r>
            <w:r>
              <w:rPr>
                <w:rFonts w:hint="default" w:ascii="Times New Roman" w:hAnsi="Times New Roman" w:eastAsia="宋体" w:cs="Times New Roman"/>
                <w:color w:val="auto"/>
                <w:kern w:val="0"/>
                <w:sz w:val="21"/>
                <w:szCs w:val="21"/>
                <w:lang w:val="zh-CN"/>
              </w:rPr>
              <w:t>救生设备</w:t>
            </w:r>
            <w:r>
              <w:rPr>
                <w:rFonts w:hint="eastAsia" w:cs="Times New Roman"/>
                <w:color w:val="auto"/>
                <w:kern w:val="0"/>
                <w:sz w:val="21"/>
                <w:szCs w:val="21"/>
                <w:lang w:val="zh-CN"/>
              </w:rPr>
              <w:t>。</w:t>
            </w:r>
          </w:p>
        </w:tc>
        <w:tc>
          <w:tcPr>
            <w:tcW w:w="544" w:type="dxa"/>
            <w:noWrap w:val="0"/>
            <w:vAlign w:val="center"/>
          </w:tcPr>
          <w:p w14:paraId="6086FE39">
            <w:pPr>
              <w:keepNext w:val="0"/>
              <w:keepLines w:val="0"/>
              <w:pageBreakBefore w:val="0"/>
              <w:widowControl w:val="0"/>
              <w:kinsoku/>
              <w:wordWrap/>
              <w:overflowPunct/>
              <w:topLinePunct w:val="0"/>
              <w:autoSpaceDE w:val="0"/>
              <w:autoSpaceDN w:val="0"/>
              <w:bidi w:val="0"/>
              <w:adjustRightInd w:val="0"/>
              <w:snapToGrid/>
              <w:spacing w:line="32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2</w:t>
            </w:r>
          </w:p>
        </w:tc>
        <w:tc>
          <w:tcPr>
            <w:tcW w:w="751" w:type="dxa"/>
            <w:vMerge w:val="continue"/>
            <w:noWrap w:val="0"/>
            <w:vAlign w:val="center"/>
          </w:tcPr>
          <w:p w14:paraId="6CA75AA8">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775" w:type="dxa"/>
            <w:noWrap w:val="0"/>
            <w:vAlign w:val="center"/>
          </w:tcPr>
          <w:p w14:paraId="1375E3D1">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eastAsia" w:ascii="Times New Roman" w:hAnsi="Times New Roman" w:eastAsia="宋体" w:cs="Times New Roman"/>
                <w:color w:val="auto"/>
                <w:kern w:val="0"/>
                <w:sz w:val="21"/>
                <w:szCs w:val="21"/>
                <w:lang w:val="zh-CN" w:eastAsia="zh-CN"/>
              </w:rPr>
            </w:pPr>
            <w:r>
              <w:rPr>
                <w:rFonts w:hint="eastAsia" w:cs="Times New Roman"/>
                <w:color w:val="auto"/>
                <w:kern w:val="0"/>
                <w:sz w:val="21"/>
                <w:szCs w:val="21"/>
                <w:lang w:val="en-US" w:eastAsia="zh-CN"/>
              </w:rPr>
              <w:t>0</w:t>
            </w:r>
          </w:p>
        </w:tc>
      </w:tr>
      <w:tr w14:paraId="12B4C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199" w:hRule="atLeast"/>
          <w:jc w:val="center"/>
        </w:trPr>
        <w:tc>
          <w:tcPr>
            <w:tcW w:w="510" w:type="dxa"/>
            <w:vMerge w:val="continue"/>
            <w:noWrap w:val="0"/>
            <w:vAlign w:val="center"/>
          </w:tcPr>
          <w:p w14:paraId="53FC7AEA">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300" w:type="dxa"/>
            <w:vMerge w:val="continue"/>
            <w:noWrap w:val="0"/>
            <w:vAlign w:val="center"/>
          </w:tcPr>
          <w:p w14:paraId="5EDFC33F">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2929" w:type="dxa"/>
            <w:noWrap w:val="0"/>
            <w:vAlign w:val="center"/>
          </w:tcPr>
          <w:p w14:paraId="31A91B24">
            <w:pPr>
              <w:keepNext w:val="0"/>
              <w:keepLines w:val="0"/>
              <w:pageBreakBefore w:val="0"/>
              <w:widowControl w:val="0"/>
              <w:kinsoku/>
              <w:wordWrap/>
              <w:overflowPunct/>
              <w:topLinePunct w:val="0"/>
              <w:autoSpaceDE w:val="0"/>
              <w:autoSpaceDN w:val="0"/>
              <w:bidi w:val="0"/>
              <w:adjustRightInd w:val="0"/>
              <w:snapToGrid/>
              <w:spacing w:line="32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5.2每一期筑坝充填作业之前，必须进行岸坡处理。岸坡处理应做隐蔽工程记录，如遇泉眼水井、地道或洞穴等，要采取有效措施进行处理，经主管技术人员检查合格后方可充填筑坝。</w:t>
            </w:r>
          </w:p>
        </w:tc>
        <w:tc>
          <w:tcPr>
            <w:tcW w:w="1055" w:type="dxa"/>
            <w:noWrap w:val="0"/>
            <w:vAlign w:val="center"/>
          </w:tcPr>
          <w:p w14:paraId="3819B922">
            <w:pPr>
              <w:keepNext w:val="0"/>
              <w:keepLines w:val="0"/>
              <w:pageBreakBefore w:val="0"/>
              <w:widowControl w:val="0"/>
              <w:kinsoku/>
              <w:wordWrap/>
              <w:overflowPunct/>
              <w:topLinePunct w:val="0"/>
              <w:autoSpaceDE w:val="0"/>
              <w:autoSpaceDN w:val="0"/>
              <w:bidi w:val="0"/>
              <w:adjustRightInd w:val="0"/>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《尾矿库安全规程》</w:t>
            </w:r>
          </w:p>
          <w:p w14:paraId="4AE17625">
            <w:pPr>
              <w:keepNext w:val="0"/>
              <w:keepLines w:val="0"/>
              <w:pageBreakBefore w:val="0"/>
              <w:widowControl w:val="0"/>
              <w:kinsoku/>
              <w:wordWrap/>
              <w:overflowPunct/>
              <w:topLinePunct w:val="0"/>
              <w:autoSpaceDE w:val="0"/>
              <w:autoSpaceDN w:val="0"/>
              <w:bidi w:val="0"/>
              <w:adjustRightInd w:val="0"/>
              <w:snapToGrid/>
              <w:spacing w:line="32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sz w:val="21"/>
                <w:szCs w:val="21"/>
              </w:rPr>
              <w:t>第6.3.3条</w:t>
            </w:r>
          </w:p>
        </w:tc>
        <w:tc>
          <w:tcPr>
            <w:tcW w:w="999" w:type="dxa"/>
            <w:noWrap w:val="0"/>
            <w:vAlign w:val="center"/>
          </w:tcPr>
          <w:p w14:paraId="10366D75">
            <w:pPr>
              <w:keepNext w:val="0"/>
              <w:keepLines w:val="0"/>
              <w:pageBreakBefore w:val="0"/>
              <w:widowControl w:val="0"/>
              <w:kinsoku/>
              <w:wordWrap/>
              <w:overflowPunct/>
              <w:topLinePunct w:val="0"/>
              <w:autoSpaceDE w:val="0"/>
              <w:autoSpaceDN w:val="0"/>
              <w:bidi w:val="0"/>
              <w:adjustRightInd w:val="0"/>
              <w:snapToGrid/>
              <w:spacing w:line="32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rPr>
              <w:t>查设尾矿库工程档案、现场</w:t>
            </w:r>
          </w:p>
        </w:tc>
        <w:tc>
          <w:tcPr>
            <w:tcW w:w="1114" w:type="dxa"/>
            <w:noWrap w:val="0"/>
            <w:vAlign w:val="center"/>
          </w:tcPr>
          <w:p w14:paraId="167C772D">
            <w:pPr>
              <w:keepNext w:val="0"/>
              <w:keepLines w:val="0"/>
              <w:pageBreakBefore w:val="0"/>
              <w:widowControl w:val="0"/>
              <w:kinsoku/>
              <w:wordWrap/>
              <w:overflowPunct/>
              <w:topLinePunct w:val="0"/>
              <w:autoSpaceDE w:val="0"/>
              <w:autoSpaceDN w:val="0"/>
              <w:bidi w:val="0"/>
              <w:adjustRightInd w:val="0"/>
              <w:snapToGrid/>
              <w:spacing w:line="32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eastAsia"/>
                <w:color w:val="auto"/>
                <w:kern w:val="0"/>
                <w:sz w:val="21"/>
                <w:szCs w:val="21"/>
                <w:lang w:val="zh-CN"/>
              </w:rPr>
              <w:t>有记录</w:t>
            </w:r>
          </w:p>
        </w:tc>
        <w:tc>
          <w:tcPr>
            <w:tcW w:w="544" w:type="dxa"/>
            <w:noWrap w:val="0"/>
            <w:vAlign w:val="center"/>
          </w:tcPr>
          <w:p w14:paraId="1A546854">
            <w:pPr>
              <w:keepNext w:val="0"/>
              <w:keepLines w:val="0"/>
              <w:pageBreakBefore w:val="0"/>
              <w:widowControl w:val="0"/>
              <w:kinsoku/>
              <w:wordWrap/>
              <w:overflowPunct/>
              <w:topLinePunct w:val="0"/>
              <w:autoSpaceDE w:val="0"/>
              <w:autoSpaceDN w:val="0"/>
              <w:bidi w:val="0"/>
              <w:adjustRightInd w:val="0"/>
              <w:snapToGrid/>
              <w:spacing w:line="32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3</w:t>
            </w:r>
          </w:p>
        </w:tc>
        <w:tc>
          <w:tcPr>
            <w:tcW w:w="751" w:type="dxa"/>
            <w:vMerge w:val="continue"/>
            <w:noWrap w:val="0"/>
            <w:vAlign w:val="center"/>
          </w:tcPr>
          <w:p w14:paraId="4E3BB03B">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775" w:type="dxa"/>
            <w:noWrap w:val="0"/>
            <w:vAlign w:val="center"/>
          </w:tcPr>
          <w:p w14:paraId="283ADC1C">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eastAsia" w:ascii="Times New Roman" w:hAnsi="Times New Roman" w:eastAsia="宋体" w:cs="Times New Roman"/>
                <w:color w:val="auto"/>
                <w:kern w:val="0"/>
                <w:sz w:val="21"/>
                <w:szCs w:val="21"/>
                <w:lang w:val="zh-CN" w:eastAsia="zh-CN"/>
              </w:rPr>
            </w:pPr>
            <w:r>
              <w:rPr>
                <w:rFonts w:hint="eastAsia" w:cs="Times New Roman"/>
                <w:color w:val="auto"/>
                <w:kern w:val="0"/>
                <w:sz w:val="21"/>
                <w:szCs w:val="21"/>
                <w:lang w:val="en-US" w:eastAsia="zh-CN"/>
              </w:rPr>
              <w:t>3</w:t>
            </w:r>
          </w:p>
        </w:tc>
      </w:tr>
      <w:tr w14:paraId="52823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32" w:hRule="atLeast"/>
          <w:jc w:val="center"/>
        </w:trPr>
        <w:tc>
          <w:tcPr>
            <w:tcW w:w="510" w:type="dxa"/>
            <w:vMerge w:val="continue"/>
            <w:noWrap w:val="0"/>
            <w:vAlign w:val="center"/>
          </w:tcPr>
          <w:p w14:paraId="7AC4AD57">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300" w:type="dxa"/>
            <w:vMerge w:val="continue"/>
            <w:noWrap w:val="0"/>
            <w:vAlign w:val="center"/>
          </w:tcPr>
          <w:p w14:paraId="4C1D4F22">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2929" w:type="dxa"/>
            <w:noWrap w:val="0"/>
            <w:vAlign w:val="center"/>
          </w:tcPr>
          <w:p w14:paraId="7B7807A6">
            <w:pPr>
              <w:keepNext w:val="0"/>
              <w:keepLines w:val="0"/>
              <w:pageBreakBefore w:val="0"/>
              <w:widowControl w:val="0"/>
              <w:kinsoku/>
              <w:wordWrap/>
              <w:overflowPunct/>
              <w:topLinePunct w:val="0"/>
              <w:autoSpaceDE w:val="0"/>
              <w:autoSpaceDN w:val="0"/>
              <w:bidi w:val="0"/>
              <w:adjustRightInd w:val="0"/>
              <w:snapToGrid/>
              <w:spacing w:line="32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5.3每期子坝堆筑完毕，应进行质量检查，检查记录需经主管技术人员签字后存档备查。</w:t>
            </w:r>
          </w:p>
        </w:tc>
        <w:tc>
          <w:tcPr>
            <w:tcW w:w="1055" w:type="dxa"/>
            <w:noWrap w:val="0"/>
            <w:vAlign w:val="center"/>
          </w:tcPr>
          <w:p w14:paraId="56763307">
            <w:pPr>
              <w:keepNext w:val="0"/>
              <w:keepLines w:val="0"/>
              <w:pageBreakBefore w:val="0"/>
              <w:widowControl w:val="0"/>
              <w:kinsoku/>
              <w:wordWrap/>
              <w:overflowPunct/>
              <w:topLinePunct w:val="0"/>
              <w:autoSpaceDE w:val="0"/>
              <w:autoSpaceDN w:val="0"/>
              <w:bidi w:val="0"/>
              <w:adjustRightInd w:val="0"/>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《尾矿库安全规程》第6.1.6、6.3.5条</w:t>
            </w:r>
          </w:p>
        </w:tc>
        <w:tc>
          <w:tcPr>
            <w:tcW w:w="999" w:type="dxa"/>
            <w:noWrap w:val="0"/>
            <w:vAlign w:val="center"/>
          </w:tcPr>
          <w:p w14:paraId="18AF04D4">
            <w:pPr>
              <w:keepNext w:val="0"/>
              <w:keepLines w:val="0"/>
              <w:pageBreakBefore w:val="0"/>
              <w:widowControl w:val="0"/>
              <w:kinsoku/>
              <w:wordWrap/>
              <w:overflowPunct/>
              <w:topLinePunct w:val="0"/>
              <w:autoSpaceDE w:val="0"/>
              <w:autoSpaceDN w:val="0"/>
              <w:bidi w:val="0"/>
              <w:adjustRightInd w:val="0"/>
              <w:snapToGrid/>
              <w:spacing w:line="32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rPr>
              <w:t>查现场</w:t>
            </w:r>
            <w:r>
              <w:rPr>
                <w:rFonts w:hint="eastAsia" w:cs="Times New Roman"/>
                <w:color w:val="auto"/>
                <w:kern w:val="0"/>
                <w:sz w:val="21"/>
                <w:szCs w:val="21"/>
                <w:lang w:eastAsia="zh-CN"/>
              </w:rPr>
              <w:t>、</w:t>
            </w:r>
            <w:r>
              <w:rPr>
                <w:rFonts w:hint="default" w:ascii="Times New Roman" w:hAnsi="Times New Roman" w:eastAsia="宋体" w:cs="Times New Roman"/>
                <w:color w:val="auto"/>
                <w:kern w:val="0"/>
                <w:sz w:val="21"/>
                <w:szCs w:val="21"/>
              </w:rPr>
              <w:t>查尾矿库工程档案</w:t>
            </w:r>
          </w:p>
        </w:tc>
        <w:tc>
          <w:tcPr>
            <w:tcW w:w="1114" w:type="dxa"/>
            <w:noWrap w:val="0"/>
            <w:vAlign w:val="center"/>
          </w:tcPr>
          <w:p w14:paraId="0126B5CE">
            <w:pPr>
              <w:keepNext w:val="0"/>
              <w:keepLines w:val="0"/>
              <w:pageBreakBefore w:val="0"/>
              <w:widowControl w:val="0"/>
              <w:kinsoku/>
              <w:wordWrap/>
              <w:overflowPunct/>
              <w:topLinePunct w:val="0"/>
              <w:autoSpaceDE w:val="0"/>
              <w:autoSpaceDN w:val="0"/>
              <w:bidi w:val="0"/>
              <w:adjustRightInd w:val="0"/>
              <w:snapToGrid/>
              <w:spacing w:line="32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eastAsia"/>
                <w:color w:val="auto"/>
                <w:kern w:val="0"/>
                <w:sz w:val="21"/>
                <w:szCs w:val="21"/>
                <w:lang w:val="zh-CN"/>
              </w:rPr>
              <w:t>有记录</w:t>
            </w:r>
          </w:p>
        </w:tc>
        <w:tc>
          <w:tcPr>
            <w:tcW w:w="544" w:type="dxa"/>
            <w:noWrap w:val="0"/>
            <w:vAlign w:val="center"/>
          </w:tcPr>
          <w:p w14:paraId="53B51077">
            <w:pPr>
              <w:keepNext w:val="0"/>
              <w:keepLines w:val="0"/>
              <w:pageBreakBefore w:val="0"/>
              <w:widowControl w:val="0"/>
              <w:kinsoku/>
              <w:wordWrap/>
              <w:overflowPunct/>
              <w:topLinePunct w:val="0"/>
              <w:autoSpaceDE w:val="0"/>
              <w:autoSpaceDN w:val="0"/>
              <w:bidi w:val="0"/>
              <w:adjustRightInd w:val="0"/>
              <w:snapToGrid/>
              <w:spacing w:line="32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2</w:t>
            </w:r>
          </w:p>
        </w:tc>
        <w:tc>
          <w:tcPr>
            <w:tcW w:w="751" w:type="dxa"/>
            <w:vMerge w:val="continue"/>
            <w:noWrap w:val="0"/>
            <w:vAlign w:val="center"/>
          </w:tcPr>
          <w:p w14:paraId="4188DAC8">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775" w:type="dxa"/>
            <w:noWrap w:val="0"/>
            <w:vAlign w:val="center"/>
          </w:tcPr>
          <w:p w14:paraId="59E9A0E8">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eastAsia" w:cs="Times New Roman"/>
                <w:color w:val="auto"/>
                <w:kern w:val="0"/>
                <w:sz w:val="21"/>
                <w:szCs w:val="21"/>
                <w:lang w:val="en-US" w:eastAsia="zh-CN"/>
              </w:rPr>
              <w:t>2</w:t>
            </w:r>
          </w:p>
        </w:tc>
      </w:tr>
      <w:tr w14:paraId="201D2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388" w:hRule="atLeast"/>
          <w:jc w:val="center"/>
        </w:trPr>
        <w:tc>
          <w:tcPr>
            <w:tcW w:w="510" w:type="dxa"/>
            <w:vMerge w:val="continue"/>
            <w:noWrap w:val="0"/>
            <w:vAlign w:val="center"/>
          </w:tcPr>
          <w:p w14:paraId="038734D4">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300" w:type="dxa"/>
            <w:vMerge w:val="continue"/>
            <w:noWrap w:val="0"/>
            <w:vAlign w:val="center"/>
          </w:tcPr>
          <w:p w14:paraId="5C68DE4C">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2929" w:type="dxa"/>
            <w:noWrap w:val="0"/>
            <w:vAlign w:val="center"/>
          </w:tcPr>
          <w:p w14:paraId="046F601B">
            <w:pPr>
              <w:keepNext w:val="0"/>
              <w:keepLines w:val="0"/>
              <w:pageBreakBefore w:val="0"/>
              <w:widowControl w:val="0"/>
              <w:kinsoku/>
              <w:wordWrap/>
              <w:overflowPunct/>
              <w:topLinePunct w:val="0"/>
              <w:autoSpaceDE w:val="0"/>
              <w:autoSpaceDN w:val="0"/>
              <w:bidi w:val="0"/>
              <w:adjustRightInd w:val="0"/>
              <w:snapToGrid/>
              <w:spacing w:line="32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5.4坝下游坡面不得有冲刷、拉沟现象。</w:t>
            </w:r>
          </w:p>
        </w:tc>
        <w:tc>
          <w:tcPr>
            <w:tcW w:w="1055" w:type="dxa"/>
            <w:noWrap w:val="0"/>
            <w:vAlign w:val="center"/>
          </w:tcPr>
          <w:p w14:paraId="2ABB1C0B">
            <w:pPr>
              <w:keepNext w:val="0"/>
              <w:keepLines w:val="0"/>
              <w:pageBreakBefore w:val="0"/>
              <w:widowControl w:val="0"/>
              <w:kinsoku/>
              <w:wordWrap/>
              <w:overflowPunct/>
              <w:topLinePunct w:val="0"/>
              <w:autoSpaceDE w:val="0"/>
              <w:autoSpaceDN w:val="0"/>
              <w:bidi w:val="0"/>
              <w:adjustRightInd w:val="0"/>
              <w:snapToGrid/>
              <w:spacing w:line="32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sz w:val="21"/>
                <w:szCs w:val="21"/>
              </w:rPr>
              <w:t>《尾矿库安全规程》第6.3.11条</w:t>
            </w:r>
          </w:p>
        </w:tc>
        <w:tc>
          <w:tcPr>
            <w:tcW w:w="999" w:type="dxa"/>
            <w:noWrap w:val="0"/>
            <w:vAlign w:val="center"/>
          </w:tcPr>
          <w:p w14:paraId="3EE12A06">
            <w:pPr>
              <w:keepNext w:val="0"/>
              <w:keepLines w:val="0"/>
              <w:pageBreakBefore w:val="0"/>
              <w:widowControl w:val="0"/>
              <w:kinsoku/>
              <w:wordWrap/>
              <w:overflowPunct/>
              <w:topLinePunct w:val="0"/>
              <w:autoSpaceDE w:val="0"/>
              <w:autoSpaceDN w:val="0"/>
              <w:bidi w:val="0"/>
              <w:adjustRightInd w:val="0"/>
              <w:snapToGrid/>
              <w:spacing w:line="32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查现场</w:t>
            </w:r>
          </w:p>
        </w:tc>
        <w:tc>
          <w:tcPr>
            <w:tcW w:w="1114" w:type="dxa"/>
            <w:noWrap w:val="0"/>
            <w:vAlign w:val="center"/>
          </w:tcPr>
          <w:p w14:paraId="0DA44E65">
            <w:pPr>
              <w:keepNext w:val="0"/>
              <w:keepLines w:val="0"/>
              <w:pageBreakBefore w:val="0"/>
              <w:widowControl w:val="0"/>
              <w:kinsoku/>
              <w:wordWrap/>
              <w:overflowPunct/>
              <w:topLinePunct w:val="0"/>
              <w:autoSpaceDE w:val="0"/>
              <w:autoSpaceDN w:val="0"/>
              <w:bidi w:val="0"/>
              <w:adjustRightInd w:val="0"/>
              <w:snapToGrid/>
              <w:spacing w:line="32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eastAsia" w:ascii="Times New Roman"/>
                <w:color w:val="auto"/>
                <w:kern w:val="0"/>
                <w:sz w:val="21"/>
                <w:szCs w:val="21"/>
                <w:lang w:val="zh-CN"/>
              </w:rPr>
              <w:t>符合</w:t>
            </w:r>
          </w:p>
        </w:tc>
        <w:tc>
          <w:tcPr>
            <w:tcW w:w="544" w:type="dxa"/>
            <w:noWrap w:val="0"/>
            <w:vAlign w:val="center"/>
          </w:tcPr>
          <w:p w14:paraId="2947650A">
            <w:pPr>
              <w:keepNext w:val="0"/>
              <w:keepLines w:val="0"/>
              <w:pageBreakBefore w:val="0"/>
              <w:widowControl w:val="0"/>
              <w:kinsoku/>
              <w:wordWrap/>
              <w:overflowPunct/>
              <w:topLinePunct w:val="0"/>
              <w:autoSpaceDE w:val="0"/>
              <w:autoSpaceDN w:val="0"/>
              <w:bidi w:val="0"/>
              <w:adjustRightInd w:val="0"/>
              <w:snapToGrid/>
              <w:spacing w:line="32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4</w:t>
            </w:r>
          </w:p>
        </w:tc>
        <w:tc>
          <w:tcPr>
            <w:tcW w:w="751" w:type="dxa"/>
            <w:vMerge w:val="continue"/>
            <w:noWrap w:val="0"/>
            <w:vAlign w:val="center"/>
          </w:tcPr>
          <w:p w14:paraId="16FECE9C">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775" w:type="dxa"/>
            <w:noWrap w:val="0"/>
            <w:vAlign w:val="center"/>
          </w:tcPr>
          <w:p w14:paraId="6F592387">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4</w:t>
            </w:r>
          </w:p>
        </w:tc>
      </w:tr>
      <w:tr w14:paraId="45306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879" w:hRule="atLeast"/>
          <w:jc w:val="center"/>
        </w:trPr>
        <w:tc>
          <w:tcPr>
            <w:tcW w:w="510" w:type="dxa"/>
            <w:vMerge w:val="continue"/>
            <w:noWrap w:val="0"/>
            <w:vAlign w:val="center"/>
          </w:tcPr>
          <w:p w14:paraId="620303F5">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300" w:type="dxa"/>
            <w:vMerge w:val="continue"/>
            <w:noWrap w:val="0"/>
            <w:vAlign w:val="center"/>
          </w:tcPr>
          <w:p w14:paraId="39C2A11E">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2929" w:type="dxa"/>
            <w:noWrap w:val="0"/>
            <w:vAlign w:val="center"/>
          </w:tcPr>
          <w:p w14:paraId="322791A9">
            <w:pPr>
              <w:keepNext w:val="0"/>
              <w:keepLines w:val="0"/>
              <w:pageBreakBefore w:val="0"/>
              <w:widowControl w:val="0"/>
              <w:kinsoku/>
              <w:wordWrap/>
              <w:overflowPunct/>
              <w:topLinePunct w:val="0"/>
              <w:autoSpaceDE w:val="0"/>
              <w:autoSpaceDN w:val="0"/>
              <w:bidi w:val="0"/>
              <w:adjustRightInd w:val="0"/>
              <w:snapToGrid/>
              <w:spacing w:line="32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5.5若同一尾矿库内，建有一座或几座尾矿堆积坝体时，不得将细粒尾矿排至尾矿堆积坝前。</w:t>
            </w:r>
          </w:p>
        </w:tc>
        <w:tc>
          <w:tcPr>
            <w:tcW w:w="1055" w:type="dxa"/>
            <w:noWrap w:val="0"/>
            <w:vAlign w:val="center"/>
          </w:tcPr>
          <w:p w14:paraId="3E5F5555">
            <w:pPr>
              <w:keepNext w:val="0"/>
              <w:keepLines w:val="0"/>
              <w:pageBreakBefore w:val="0"/>
              <w:widowControl w:val="0"/>
              <w:kinsoku/>
              <w:wordWrap/>
              <w:overflowPunct/>
              <w:topLinePunct w:val="0"/>
              <w:autoSpaceDE w:val="0"/>
              <w:autoSpaceDN w:val="0"/>
              <w:bidi w:val="0"/>
              <w:adjustRightInd w:val="0"/>
              <w:snapToGrid/>
              <w:spacing w:line="32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《冶金矿山尾矿设施管理规程》第4.2.9条</w:t>
            </w:r>
          </w:p>
        </w:tc>
        <w:tc>
          <w:tcPr>
            <w:tcW w:w="999" w:type="dxa"/>
            <w:noWrap w:val="0"/>
            <w:vAlign w:val="center"/>
          </w:tcPr>
          <w:p w14:paraId="5A1C05EC">
            <w:pPr>
              <w:keepNext w:val="0"/>
              <w:keepLines w:val="0"/>
              <w:pageBreakBefore w:val="0"/>
              <w:widowControl w:val="0"/>
              <w:kinsoku/>
              <w:wordWrap/>
              <w:overflowPunct/>
              <w:topLinePunct w:val="0"/>
              <w:autoSpaceDE w:val="0"/>
              <w:autoSpaceDN w:val="0"/>
              <w:bidi w:val="0"/>
              <w:adjustRightInd w:val="0"/>
              <w:snapToGrid/>
              <w:spacing w:line="32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查现场</w:t>
            </w:r>
          </w:p>
        </w:tc>
        <w:tc>
          <w:tcPr>
            <w:tcW w:w="1114" w:type="dxa"/>
            <w:noWrap w:val="0"/>
            <w:vAlign w:val="center"/>
          </w:tcPr>
          <w:p w14:paraId="038009C8">
            <w:pPr>
              <w:keepNext w:val="0"/>
              <w:keepLines w:val="0"/>
              <w:pageBreakBefore w:val="0"/>
              <w:widowControl w:val="0"/>
              <w:kinsoku/>
              <w:wordWrap/>
              <w:overflowPunct/>
              <w:topLinePunct w:val="0"/>
              <w:autoSpaceDE w:val="0"/>
              <w:autoSpaceDN w:val="0"/>
              <w:bidi w:val="0"/>
              <w:adjustRightInd w:val="0"/>
              <w:snapToGrid/>
              <w:spacing w:line="32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无此项</w:t>
            </w:r>
          </w:p>
        </w:tc>
        <w:tc>
          <w:tcPr>
            <w:tcW w:w="544" w:type="dxa"/>
            <w:noWrap w:val="0"/>
            <w:vAlign w:val="center"/>
          </w:tcPr>
          <w:p w14:paraId="34684F9C">
            <w:pPr>
              <w:keepNext w:val="0"/>
              <w:keepLines w:val="0"/>
              <w:pageBreakBefore w:val="0"/>
              <w:widowControl w:val="0"/>
              <w:kinsoku/>
              <w:wordWrap/>
              <w:overflowPunct/>
              <w:topLinePunct w:val="0"/>
              <w:autoSpaceDE w:val="0"/>
              <w:autoSpaceDN w:val="0"/>
              <w:bidi w:val="0"/>
              <w:adjustRightInd w:val="0"/>
              <w:snapToGrid/>
              <w:spacing w:line="32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7</w:t>
            </w:r>
          </w:p>
        </w:tc>
        <w:tc>
          <w:tcPr>
            <w:tcW w:w="751" w:type="dxa"/>
            <w:vMerge w:val="continue"/>
            <w:noWrap w:val="0"/>
            <w:vAlign w:val="center"/>
          </w:tcPr>
          <w:p w14:paraId="019DBB23">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775" w:type="dxa"/>
            <w:noWrap w:val="0"/>
            <w:vAlign w:val="center"/>
          </w:tcPr>
          <w:p w14:paraId="4BA68D1D">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w:t>
            </w:r>
          </w:p>
        </w:tc>
      </w:tr>
      <w:tr w14:paraId="1C230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56" w:hRule="atLeast"/>
          <w:jc w:val="center"/>
        </w:trPr>
        <w:tc>
          <w:tcPr>
            <w:tcW w:w="510" w:type="dxa"/>
            <w:vMerge w:val="continue"/>
            <w:noWrap w:val="0"/>
            <w:vAlign w:val="center"/>
          </w:tcPr>
          <w:p w14:paraId="4649E558">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300" w:type="dxa"/>
            <w:vMerge w:val="continue"/>
            <w:noWrap w:val="0"/>
            <w:vAlign w:val="center"/>
          </w:tcPr>
          <w:p w14:paraId="1535FCA8">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2929" w:type="dxa"/>
            <w:noWrap w:val="0"/>
            <w:vAlign w:val="center"/>
          </w:tcPr>
          <w:p w14:paraId="7B26C374">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5.6坝面不得出现局部隆起、塌陷、流土、管涌、渗水量增大或渗水变浑等异常情况。</w:t>
            </w:r>
          </w:p>
        </w:tc>
        <w:tc>
          <w:tcPr>
            <w:tcW w:w="1055" w:type="dxa"/>
            <w:noWrap w:val="0"/>
            <w:vAlign w:val="center"/>
          </w:tcPr>
          <w:p w14:paraId="5BC447EC">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《尾矿库安全规程》第6.9条</w:t>
            </w:r>
          </w:p>
        </w:tc>
        <w:tc>
          <w:tcPr>
            <w:tcW w:w="999" w:type="dxa"/>
            <w:noWrap w:val="0"/>
            <w:vAlign w:val="center"/>
          </w:tcPr>
          <w:p w14:paraId="42E368D8">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查记录、</w:t>
            </w:r>
          </w:p>
          <w:p w14:paraId="1DC4B19E">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现场</w:t>
            </w:r>
          </w:p>
        </w:tc>
        <w:tc>
          <w:tcPr>
            <w:tcW w:w="1114" w:type="dxa"/>
            <w:noWrap w:val="0"/>
            <w:vAlign w:val="center"/>
          </w:tcPr>
          <w:p w14:paraId="6A8B0933">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eastAsia" w:ascii="Times New Roman"/>
                <w:color w:val="auto"/>
                <w:kern w:val="0"/>
                <w:sz w:val="21"/>
                <w:szCs w:val="21"/>
                <w:lang w:val="zh-CN"/>
              </w:rPr>
              <w:t>无此现象</w:t>
            </w:r>
          </w:p>
        </w:tc>
        <w:tc>
          <w:tcPr>
            <w:tcW w:w="544" w:type="dxa"/>
            <w:noWrap w:val="0"/>
            <w:vAlign w:val="center"/>
          </w:tcPr>
          <w:p w14:paraId="09A19071">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7</w:t>
            </w:r>
          </w:p>
        </w:tc>
        <w:tc>
          <w:tcPr>
            <w:tcW w:w="751" w:type="dxa"/>
            <w:vMerge w:val="continue"/>
            <w:noWrap w:val="0"/>
            <w:vAlign w:val="center"/>
          </w:tcPr>
          <w:p w14:paraId="2DD987A4">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775" w:type="dxa"/>
            <w:noWrap w:val="0"/>
            <w:vAlign w:val="center"/>
          </w:tcPr>
          <w:p w14:paraId="03FAE3DE">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7</w:t>
            </w:r>
          </w:p>
        </w:tc>
      </w:tr>
      <w:tr w14:paraId="74D39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53" w:hRule="atLeast"/>
          <w:jc w:val="center"/>
        </w:trPr>
        <w:tc>
          <w:tcPr>
            <w:tcW w:w="510" w:type="dxa"/>
            <w:vMerge w:val="continue"/>
            <w:noWrap w:val="0"/>
            <w:vAlign w:val="center"/>
          </w:tcPr>
          <w:p w14:paraId="7683D59E">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300" w:type="dxa"/>
            <w:vMerge w:val="continue"/>
            <w:noWrap w:val="0"/>
            <w:vAlign w:val="center"/>
          </w:tcPr>
          <w:p w14:paraId="60D5831C">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2929" w:type="dxa"/>
            <w:noWrap w:val="0"/>
            <w:vAlign w:val="center"/>
          </w:tcPr>
          <w:p w14:paraId="4E92BAAB">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left"/>
              <w:textAlignment w:val="auto"/>
              <w:rPr>
                <w:rFonts w:hint="eastAsia" w:ascii="Times New Roman" w:hAnsi="Times New Roman" w:eastAsia="宋体" w:cs="Times New Roman"/>
                <w:color w:val="auto"/>
                <w:spacing w:val="4"/>
                <w:kern w:val="0"/>
                <w:sz w:val="21"/>
                <w:szCs w:val="21"/>
                <w:lang w:eastAsia="zh-CN"/>
              </w:rPr>
            </w:pPr>
            <w:r>
              <w:rPr>
                <w:rFonts w:hint="default" w:ascii="Times New Roman" w:hAnsi="Times New Roman" w:eastAsia="宋体" w:cs="Times New Roman"/>
                <w:color w:val="auto"/>
                <w:spacing w:val="4"/>
                <w:kern w:val="0"/>
                <w:sz w:val="21"/>
                <w:szCs w:val="21"/>
              </w:rPr>
              <w:t>5.7干式尾矿库的尾矿排矿筑坝应符合下列要求</w:t>
            </w:r>
            <w:r>
              <w:rPr>
                <w:rFonts w:hint="eastAsia" w:cs="Times New Roman"/>
                <w:color w:val="auto"/>
                <w:spacing w:val="4"/>
                <w:kern w:val="0"/>
                <w:sz w:val="21"/>
                <w:szCs w:val="21"/>
                <w:lang w:eastAsia="zh-CN"/>
              </w:rPr>
              <w:t>：</w:t>
            </w:r>
          </w:p>
          <w:p w14:paraId="60F34B38">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left"/>
              <w:textAlignment w:val="auto"/>
              <w:rPr>
                <w:rFonts w:hint="default" w:ascii="Times New Roman" w:hAnsi="Times New Roman" w:eastAsia="宋体" w:cs="Times New Roman"/>
                <w:color w:val="auto"/>
                <w:spacing w:val="4"/>
                <w:kern w:val="0"/>
                <w:sz w:val="21"/>
                <w:szCs w:val="21"/>
              </w:rPr>
            </w:pPr>
            <w:r>
              <w:rPr>
                <w:rFonts w:hint="eastAsia" w:cs="Times New Roman"/>
                <w:color w:val="auto"/>
                <w:spacing w:val="4"/>
                <w:kern w:val="0"/>
                <w:sz w:val="21"/>
                <w:szCs w:val="21"/>
                <w:lang w:val="en-US" w:eastAsia="zh-CN"/>
              </w:rPr>
              <w:t>1）</w:t>
            </w:r>
            <w:r>
              <w:rPr>
                <w:rFonts w:hint="default" w:ascii="Times New Roman" w:hAnsi="Times New Roman" w:eastAsia="宋体" w:cs="Times New Roman"/>
                <w:color w:val="auto"/>
                <w:spacing w:val="4"/>
                <w:kern w:val="0"/>
                <w:sz w:val="21"/>
                <w:szCs w:val="21"/>
              </w:rPr>
              <w:t>尾矿排矿筑坝应边堆放边碾压</w:t>
            </w:r>
            <w:r>
              <w:rPr>
                <w:rFonts w:hint="eastAsia" w:cs="Times New Roman"/>
                <w:color w:val="auto"/>
                <w:spacing w:val="4"/>
                <w:kern w:val="0"/>
                <w:sz w:val="21"/>
                <w:szCs w:val="21"/>
                <w:lang w:eastAsia="zh-CN"/>
              </w:rPr>
              <w:t>，</w:t>
            </w:r>
            <w:r>
              <w:rPr>
                <w:rFonts w:hint="default" w:ascii="Times New Roman" w:hAnsi="Times New Roman" w:eastAsia="宋体" w:cs="Times New Roman"/>
                <w:color w:val="auto"/>
                <w:spacing w:val="4"/>
                <w:kern w:val="0"/>
                <w:sz w:val="21"/>
                <w:szCs w:val="21"/>
              </w:rPr>
              <w:t>堆积坝顶面坡度应满足排水的要求</w:t>
            </w:r>
            <w:r>
              <w:rPr>
                <w:rFonts w:hint="eastAsia" w:cs="Times New Roman"/>
                <w:color w:val="auto"/>
                <w:spacing w:val="4"/>
                <w:kern w:val="0"/>
                <w:sz w:val="21"/>
                <w:szCs w:val="21"/>
                <w:lang w:eastAsia="zh-CN"/>
              </w:rPr>
              <w:t>，</w:t>
            </w:r>
            <w:r>
              <w:rPr>
                <w:rFonts w:hint="default" w:ascii="Times New Roman" w:hAnsi="Times New Roman" w:eastAsia="宋体" w:cs="Times New Roman"/>
                <w:color w:val="auto"/>
                <w:spacing w:val="4"/>
                <w:kern w:val="0"/>
                <w:sz w:val="21"/>
                <w:szCs w:val="21"/>
              </w:rPr>
              <w:t>并不得出现反坡</w:t>
            </w:r>
            <w:r>
              <w:rPr>
                <w:rFonts w:hint="eastAsia" w:cs="Times New Roman"/>
                <w:color w:val="auto"/>
                <w:spacing w:val="4"/>
                <w:kern w:val="0"/>
                <w:sz w:val="21"/>
                <w:szCs w:val="21"/>
                <w:lang w:eastAsia="zh-CN"/>
              </w:rPr>
              <w:t>；</w:t>
            </w:r>
            <w:r>
              <w:rPr>
                <w:rFonts w:hint="default" w:ascii="Times New Roman" w:hAnsi="Times New Roman" w:eastAsia="宋体" w:cs="Times New Roman"/>
                <w:color w:val="auto"/>
                <w:spacing w:val="4"/>
                <w:kern w:val="0"/>
                <w:sz w:val="21"/>
                <w:szCs w:val="21"/>
              </w:rPr>
              <w:t>当堆积坝顶面倾向堆积坝外边坡或库周截洪沟时</w:t>
            </w:r>
            <w:r>
              <w:rPr>
                <w:rFonts w:hint="eastAsia" w:cs="Times New Roman"/>
                <w:color w:val="auto"/>
                <w:spacing w:val="4"/>
                <w:kern w:val="0"/>
                <w:sz w:val="21"/>
                <w:szCs w:val="21"/>
                <w:lang w:eastAsia="zh-CN"/>
              </w:rPr>
              <w:t>，</w:t>
            </w:r>
            <w:r>
              <w:rPr>
                <w:rFonts w:hint="default" w:ascii="Times New Roman" w:hAnsi="Times New Roman" w:eastAsia="宋体" w:cs="Times New Roman"/>
                <w:color w:val="auto"/>
                <w:spacing w:val="4"/>
                <w:kern w:val="0"/>
                <w:sz w:val="21"/>
                <w:szCs w:val="21"/>
              </w:rPr>
              <w:t>堆积坝顶面坡度不应大于2%。</w:t>
            </w:r>
          </w:p>
          <w:p w14:paraId="08F1D009">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left"/>
              <w:textAlignment w:val="auto"/>
              <w:rPr>
                <w:rFonts w:hint="default" w:ascii="Times New Roman" w:hAnsi="Times New Roman" w:eastAsia="宋体" w:cs="Times New Roman"/>
                <w:color w:val="auto"/>
                <w:spacing w:val="4"/>
                <w:kern w:val="0"/>
                <w:sz w:val="21"/>
                <w:szCs w:val="21"/>
              </w:rPr>
            </w:pPr>
            <w:r>
              <w:rPr>
                <w:rFonts w:hint="eastAsia" w:cs="Times New Roman"/>
                <w:color w:val="auto"/>
                <w:spacing w:val="4"/>
                <w:kern w:val="0"/>
                <w:sz w:val="21"/>
                <w:szCs w:val="21"/>
                <w:lang w:val="en-US" w:eastAsia="zh-CN"/>
              </w:rPr>
              <w:t>2）</w:t>
            </w:r>
            <w:r>
              <w:rPr>
                <w:rFonts w:hint="default" w:ascii="Times New Roman" w:hAnsi="Times New Roman" w:eastAsia="宋体" w:cs="Times New Roman"/>
                <w:color w:val="auto"/>
                <w:spacing w:val="4"/>
                <w:kern w:val="0"/>
                <w:sz w:val="21"/>
                <w:szCs w:val="21"/>
              </w:rPr>
              <w:t>尾矿排矿筑坝期间应设置台阶</w:t>
            </w:r>
            <w:r>
              <w:rPr>
                <w:rFonts w:hint="eastAsia" w:cs="Times New Roman"/>
                <w:color w:val="auto"/>
                <w:spacing w:val="4"/>
                <w:kern w:val="0"/>
                <w:sz w:val="21"/>
                <w:szCs w:val="21"/>
                <w:lang w:eastAsia="zh-CN"/>
              </w:rPr>
              <w:t>，</w:t>
            </w:r>
            <w:r>
              <w:rPr>
                <w:rFonts w:hint="default" w:ascii="Times New Roman" w:hAnsi="Times New Roman" w:eastAsia="宋体" w:cs="Times New Roman"/>
                <w:color w:val="auto"/>
                <w:spacing w:val="4"/>
                <w:kern w:val="0"/>
                <w:sz w:val="21"/>
                <w:szCs w:val="21"/>
              </w:rPr>
              <w:t>分层碾压排放作业的台阶高度不应超过10m</w:t>
            </w:r>
            <w:r>
              <w:rPr>
                <w:rFonts w:hint="eastAsia" w:cs="Times New Roman"/>
                <w:color w:val="auto"/>
                <w:spacing w:val="4"/>
                <w:kern w:val="0"/>
                <w:sz w:val="21"/>
                <w:szCs w:val="21"/>
                <w:lang w:eastAsia="zh-CN"/>
              </w:rPr>
              <w:t>，</w:t>
            </w:r>
            <w:r>
              <w:rPr>
                <w:rFonts w:hint="default" w:ascii="Times New Roman" w:hAnsi="Times New Roman" w:eastAsia="宋体" w:cs="Times New Roman"/>
                <w:color w:val="auto"/>
                <w:spacing w:val="4"/>
                <w:kern w:val="0"/>
                <w:sz w:val="21"/>
                <w:szCs w:val="21"/>
              </w:rPr>
              <w:t>台阶宽度不应小于1.5m</w:t>
            </w:r>
            <w:r>
              <w:rPr>
                <w:rFonts w:hint="eastAsia" w:cs="Times New Roman"/>
                <w:color w:val="auto"/>
                <w:spacing w:val="4"/>
                <w:kern w:val="0"/>
                <w:sz w:val="21"/>
                <w:szCs w:val="21"/>
                <w:lang w:eastAsia="zh-CN"/>
              </w:rPr>
              <w:t>，</w:t>
            </w:r>
            <w:r>
              <w:rPr>
                <w:rFonts w:hint="default" w:ascii="Times New Roman" w:hAnsi="Times New Roman" w:eastAsia="宋体" w:cs="Times New Roman"/>
                <w:color w:val="auto"/>
                <w:spacing w:val="4"/>
                <w:kern w:val="0"/>
                <w:sz w:val="21"/>
                <w:szCs w:val="21"/>
              </w:rPr>
              <w:t>有行车要求时不应小于5m</w:t>
            </w:r>
            <w:r>
              <w:rPr>
                <w:rFonts w:hint="eastAsia" w:cs="Times New Roman"/>
                <w:color w:val="auto"/>
                <w:spacing w:val="4"/>
                <w:kern w:val="0"/>
                <w:sz w:val="21"/>
                <w:szCs w:val="21"/>
                <w:lang w:eastAsia="zh-CN"/>
              </w:rPr>
              <w:t>；</w:t>
            </w:r>
            <w:r>
              <w:rPr>
                <w:rFonts w:hint="default" w:ascii="Times New Roman" w:hAnsi="Times New Roman" w:eastAsia="宋体" w:cs="Times New Roman"/>
                <w:color w:val="auto"/>
                <w:spacing w:val="4"/>
                <w:kern w:val="0"/>
                <w:sz w:val="21"/>
                <w:szCs w:val="21"/>
              </w:rPr>
              <w:t>推进碾压排放作业的台阶高度不应超过5m</w:t>
            </w:r>
            <w:r>
              <w:rPr>
                <w:rFonts w:hint="eastAsia" w:cs="Times New Roman"/>
                <w:color w:val="auto"/>
                <w:spacing w:val="4"/>
                <w:kern w:val="0"/>
                <w:sz w:val="21"/>
                <w:szCs w:val="21"/>
                <w:lang w:eastAsia="zh-CN"/>
              </w:rPr>
              <w:t>，</w:t>
            </w:r>
            <w:r>
              <w:rPr>
                <w:rFonts w:hint="default" w:ascii="Times New Roman" w:hAnsi="Times New Roman" w:eastAsia="宋体" w:cs="Times New Roman"/>
                <w:color w:val="auto"/>
                <w:spacing w:val="4"/>
                <w:kern w:val="0"/>
                <w:sz w:val="21"/>
                <w:szCs w:val="21"/>
              </w:rPr>
              <w:t>台阶宽度不应小于5m</w:t>
            </w:r>
            <w:r>
              <w:rPr>
                <w:rFonts w:hint="eastAsia" w:cs="Times New Roman"/>
                <w:color w:val="auto"/>
                <w:spacing w:val="4"/>
                <w:kern w:val="0"/>
                <w:sz w:val="21"/>
                <w:szCs w:val="21"/>
                <w:lang w:eastAsia="zh-CN"/>
              </w:rPr>
              <w:t>；</w:t>
            </w:r>
            <w:r>
              <w:rPr>
                <w:rFonts w:hint="default" w:ascii="Times New Roman" w:hAnsi="Times New Roman" w:eastAsia="宋体" w:cs="Times New Roman"/>
                <w:color w:val="auto"/>
                <w:spacing w:val="4"/>
                <w:kern w:val="0"/>
                <w:sz w:val="21"/>
                <w:szCs w:val="21"/>
              </w:rPr>
              <w:t>运行期</w:t>
            </w:r>
            <w:r>
              <w:rPr>
                <w:rFonts w:hint="eastAsia" w:cs="Times New Roman"/>
                <w:color w:val="auto"/>
                <w:spacing w:val="4"/>
                <w:kern w:val="0"/>
                <w:sz w:val="21"/>
                <w:szCs w:val="21"/>
                <w:lang w:val="en-US" w:eastAsia="zh-CN"/>
              </w:rPr>
              <w:t>间</w:t>
            </w:r>
            <w:r>
              <w:rPr>
                <w:rFonts w:hint="default" w:ascii="Times New Roman" w:hAnsi="Times New Roman" w:eastAsia="宋体" w:cs="Times New Roman"/>
                <w:color w:val="auto"/>
                <w:spacing w:val="4"/>
                <w:kern w:val="0"/>
                <w:sz w:val="21"/>
                <w:szCs w:val="21"/>
              </w:rPr>
              <w:t>台阶的坡比应满足</w:t>
            </w:r>
            <w:r>
              <w:rPr>
                <w:rFonts w:hint="eastAsia" w:cs="Times New Roman"/>
                <w:color w:val="auto"/>
                <w:spacing w:val="4"/>
                <w:kern w:val="0"/>
                <w:sz w:val="21"/>
                <w:szCs w:val="21"/>
                <w:lang w:val="en-US" w:eastAsia="zh-CN"/>
              </w:rPr>
              <w:t>稳定</w:t>
            </w:r>
            <w:r>
              <w:rPr>
                <w:rFonts w:hint="default" w:ascii="Times New Roman" w:hAnsi="Times New Roman" w:eastAsia="宋体" w:cs="Times New Roman"/>
                <w:color w:val="auto"/>
                <w:spacing w:val="4"/>
                <w:kern w:val="0"/>
                <w:sz w:val="21"/>
                <w:szCs w:val="21"/>
              </w:rPr>
              <w:t>要求。</w:t>
            </w:r>
          </w:p>
          <w:p w14:paraId="0AFF1468">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left"/>
              <w:textAlignment w:val="auto"/>
              <w:rPr>
                <w:rFonts w:hint="default" w:ascii="Times New Roman" w:hAnsi="Times New Roman" w:eastAsia="宋体" w:cs="Times New Roman"/>
                <w:color w:val="auto"/>
                <w:spacing w:val="4"/>
                <w:kern w:val="0"/>
                <w:sz w:val="21"/>
                <w:szCs w:val="21"/>
              </w:rPr>
            </w:pPr>
            <w:r>
              <w:rPr>
                <w:rFonts w:hint="eastAsia" w:cs="Times New Roman"/>
                <w:color w:val="auto"/>
                <w:spacing w:val="4"/>
                <w:kern w:val="0"/>
                <w:sz w:val="21"/>
                <w:szCs w:val="21"/>
                <w:lang w:val="en-US" w:eastAsia="zh-CN"/>
              </w:rPr>
              <w:t>3）</w:t>
            </w:r>
            <w:r>
              <w:rPr>
                <w:rFonts w:hint="default" w:ascii="Times New Roman" w:hAnsi="Times New Roman" w:eastAsia="宋体" w:cs="Times New Roman"/>
                <w:color w:val="auto"/>
                <w:spacing w:val="4"/>
                <w:kern w:val="0"/>
                <w:sz w:val="21"/>
                <w:szCs w:val="21"/>
              </w:rPr>
              <w:t>无黏性、少黏性尾矿分层厚度不得超过0.8m</w:t>
            </w:r>
            <w:r>
              <w:rPr>
                <w:rFonts w:hint="eastAsia" w:cs="Times New Roman"/>
                <w:color w:val="auto"/>
                <w:spacing w:val="4"/>
                <w:kern w:val="0"/>
                <w:sz w:val="21"/>
                <w:szCs w:val="21"/>
                <w:lang w:eastAsia="zh-CN"/>
              </w:rPr>
              <w:t>，</w:t>
            </w:r>
            <w:r>
              <w:rPr>
                <w:rFonts w:hint="default" w:ascii="Times New Roman" w:hAnsi="Times New Roman" w:eastAsia="宋体" w:cs="Times New Roman"/>
                <w:color w:val="auto"/>
                <w:spacing w:val="4"/>
                <w:kern w:val="0"/>
                <w:sz w:val="21"/>
                <w:szCs w:val="21"/>
              </w:rPr>
              <w:t>黏性尾矿分层厚度不得超过0.5m。</w:t>
            </w:r>
          </w:p>
          <w:p w14:paraId="4CDD871F">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left"/>
              <w:textAlignment w:val="auto"/>
              <w:rPr>
                <w:rFonts w:hint="default" w:ascii="Times New Roman" w:hAnsi="Times New Roman" w:eastAsia="宋体" w:cs="Times New Roman"/>
                <w:color w:val="auto"/>
                <w:spacing w:val="4"/>
                <w:kern w:val="0"/>
                <w:sz w:val="21"/>
                <w:szCs w:val="21"/>
              </w:rPr>
            </w:pPr>
            <w:r>
              <w:rPr>
                <w:rFonts w:hint="eastAsia" w:cs="Times New Roman"/>
                <w:color w:val="auto"/>
                <w:spacing w:val="4"/>
                <w:kern w:val="0"/>
                <w:sz w:val="21"/>
                <w:szCs w:val="21"/>
                <w:lang w:val="en-US" w:eastAsia="zh-CN"/>
              </w:rPr>
              <w:t>4）</w:t>
            </w:r>
            <w:r>
              <w:rPr>
                <w:rFonts w:hint="default" w:ascii="Times New Roman" w:hAnsi="Times New Roman" w:eastAsia="宋体" w:cs="Times New Roman"/>
                <w:color w:val="auto"/>
                <w:spacing w:val="4"/>
                <w:kern w:val="0"/>
                <w:sz w:val="21"/>
                <w:szCs w:val="21"/>
              </w:rPr>
              <w:t>尾矿排矿筑坝过程中</w:t>
            </w:r>
            <w:r>
              <w:rPr>
                <w:rFonts w:hint="eastAsia" w:cs="Times New Roman"/>
                <w:color w:val="auto"/>
                <w:spacing w:val="4"/>
                <w:kern w:val="0"/>
                <w:sz w:val="21"/>
                <w:szCs w:val="21"/>
                <w:lang w:eastAsia="zh-CN"/>
              </w:rPr>
              <w:t>，</w:t>
            </w:r>
            <w:r>
              <w:rPr>
                <w:rFonts w:hint="default" w:ascii="Times New Roman" w:hAnsi="Times New Roman" w:eastAsia="宋体" w:cs="Times New Roman"/>
                <w:color w:val="auto"/>
                <w:spacing w:val="4"/>
                <w:kern w:val="0"/>
                <w:sz w:val="21"/>
                <w:szCs w:val="21"/>
              </w:rPr>
              <w:t>应分阶段尽早形成永久边坡</w:t>
            </w:r>
            <w:r>
              <w:rPr>
                <w:rFonts w:hint="eastAsia" w:cs="Times New Roman"/>
                <w:color w:val="auto"/>
                <w:spacing w:val="4"/>
                <w:kern w:val="0"/>
                <w:sz w:val="21"/>
                <w:szCs w:val="21"/>
                <w:lang w:eastAsia="zh-CN"/>
              </w:rPr>
              <w:t>，</w:t>
            </w:r>
            <w:r>
              <w:rPr>
                <w:rFonts w:hint="default" w:ascii="Times New Roman" w:hAnsi="Times New Roman" w:eastAsia="宋体" w:cs="Times New Roman"/>
                <w:color w:val="auto"/>
                <w:spacing w:val="4"/>
                <w:kern w:val="0"/>
                <w:sz w:val="21"/>
                <w:szCs w:val="21"/>
              </w:rPr>
              <w:t>影响堆积坝最终外边坡稳定的区域应采用分层碾压排放作业</w:t>
            </w:r>
            <w:r>
              <w:rPr>
                <w:rFonts w:hint="eastAsia" w:cs="Times New Roman"/>
                <w:color w:val="auto"/>
                <w:spacing w:val="4"/>
                <w:kern w:val="0"/>
                <w:sz w:val="21"/>
                <w:szCs w:val="21"/>
                <w:lang w:eastAsia="zh-CN"/>
              </w:rPr>
              <w:t>，</w:t>
            </w:r>
            <w:r>
              <w:rPr>
                <w:rFonts w:hint="default" w:ascii="Times New Roman" w:hAnsi="Times New Roman" w:eastAsia="宋体" w:cs="Times New Roman"/>
                <w:color w:val="auto"/>
                <w:spacing w:val="4"/>
                <w:kern w:val="0"/>
                <w:sz w:val="21"/>
                <w:szCs w:val="21"/>
              </w:rPr>
              <w:t>压实度不应小于0.92。</w:t>
            </w:r>
          </w:p>
        </w:tc>
        <w:tc>
          <w:tcPr>
            <w:tcW w:w="1055" w:type="dxa"/>
            <w:noWrap w:val="0"/>
            <w:vAlign w:val="center"/>
          </w:tcPr>
          <w:p w14:paraId="0BBB406F">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《尾矿库安全规程》第</w:t>
            </w: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rPr>
              <w:t>.3.</w:t>
            </w:r>
            <w:r>
              <w:rPr>
                <w:rFonts w:hint="eastAsia" w:cs="Times New Roman"/>
                <w:color w:val="auto"/>
                <w:sz w:val="21"/>
                <w:szCs w:val="21"/>
                <w:lang w:val="en-US" w:eastAsia="zh-CN"/>
              </w:rPr>
              <w:t>6</w:t>
            </w:r>
            <w:r>
              <w:rPr>
                <w:rFonts w:hint="default" w:ascii="Times New Roman" w:hAnsi="Times New Roman" w:eastAsia="宋体" w:cs="Times New Roman"/>
                <w:color w:val="auto"/>
                <w:sz w:val="21"/>
                <w:szCs w:val="21"/>
              </w:rPr>
              <w:t>条</w:t>
            </w:r>
          </w:p>
        </w:tc>
        <w:tc>
          <w:tcPr>
            <w:tcW w:w="999" w:type="dxa"/>
            <w:noWrap w:val="0"/>
            <w:vAlign w:val="center"/>
          </w:tcPr>
          <w:p w14:paraId="4E06FF60">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rPr>
              <w:t>查尾矿库工程档案</w:t>
            </w:r>
          </w:p>
        </w:tc>
        <w:tc>
          <w:tcPr>
            <w:tcW w:w="1114" w:type="dxa"/>
            <w:noWrap w:val="0"/>
            <w:vAlign w:val="center"/>
          </w:tcPr>
          <w:p w14:paraId="5ECE07A5">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未提供无黏性、少黏性、黏性尾矿分层厚度要求。</w:t>
            </w:r>
          </w:p>
        </w:tc>
        <w:tc>
          <w:tcPr>
            <w:tcW w:w="544" w:type="dxa"/>
            <w:noWrap w:val="0"/>
            <w:vAlign w:val="center"/>
          </w:tcPr>
          <w:p w14:paraId="141B95EF">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8</w:t>
            </w:r>
          </w:p>
        </w:tc>
        <w:tc>
          <w:tcPr>
            <w:tcW w:w="751" w:type="dxa"/>
            <w:noWrap w:val="0"/>
            <w:vAlign w:val="center"/>
          </w:tcPr>
          <w:p w14:paraId="48E12624">
            <w:pPr>
              <w:keepNext w:val="0"/>
              <w:keepLines w:val="0"/>
              <w:pageBreakBefore w:val="0"/>
              <w:widowControl w:val="0"/>
              <w:kinsoku/>
              <w:wordWrap/>
              <w:overflowPunct/>
              <w:topLinePunct w:val="0"/>
              <w:autoSpaceDE w:val="0"/>
              <w:autoSpaceDN w:val="0"/>
              <w:bidi w:val="0"/>
              <w:adjustRightInd w:val="0"/>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缺1项</w:t>
            </w:r>
          </w:p>
          <w:p w14:paraId="0D2789EB">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扣2分</w:t>
            </w:r>
          </w:p>
        </w:tc>
        <w:tc>
          <w:tcPr>
            <w:tcW w:w="775" w:type="dxa"/>
            <w:noWrap w:val="0"/>
            <w:vAlign w:val="center"/>
          </w:tcPr>
          <w:p w14:paraId="5F67EAA6">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eastAsia" w:ascii="Times New Roman" w:hAnsi="Times New Roman" w:eastAsia="宋体" w:cs="Times New Roman"/>
                <w:color w:val="auto"/>
                <w:kern w:val="0"/>
                <w:sz w:val="21"/>
                <w:szCs w:val="21"/>
                <w:lang w:val="zh-CN" w:eastAsia="zh-CN"/>
              </w:rPr>
            </w:pPr>
            <w:r>
              <w:rPr>
                <w:rFonts w:hint="eastAsia" w:cs="Times New Roman"/>
                <w:color w:val="auto"/>
                <w:kern w:val="0"/>
                <w:sz w:val="21"/>
                <w:szCs w:val="21"/>
                <w:lang w:val="en-US" w:eastAsia="zh-CN"/>
              </w:rPr>
              <w:t>6</w:t>
            </w:r>
          </w:p>
        </w:tc>
      </w:tr>
      <w:tr w14:paraId="35F7E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0" w:hRule="atLeast"/>
          <w:jc w:val="center"/>
        </w:trPr>
        <w:tc>
          <w:tcPr>
            <w:tcW w:w="510" w:type="dxa"/>
            <w:noWrap w:val="0"/>
            <w:vAlign w:val="center"/>
          </w:tcPr>
          <w:p w14:paraId="406471CF">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小计</w:t>
            </w:r>
          </w:p>
        </w:tc>
        <w:tc>
          <w:tcPr>
            <w:tcW w:w="6397" w:type="dxa"/>
            <w:gridSpan w:val="5"/>
            <w:noWrap w:val="0"/>
            <w:vAlign w:val="center"/>
          </w:tcPr>
          <w:p w14:paraId="5E69D0EA">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544" w:type="dxa"/>
            <w:noWrap w:val="0"/>
            <w:vAlign w:val="center"/>
          </w:tcPr>
          <w:p w14:paraId="79A922A4">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60</w:t>
            </w:r>
          </w:p>
        </w:tc>
        <w:tc>
          <w:tcPr>
            <w:tcW w:w="751" w:type="dxa"/>
            <w:noWrap w:val="0"/>
            <w:vAlign w:val="center"/>
          </w:tcPr>
          <w:p w14:paraId="5C7FC35D">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775" w:type="dxa"/>
            <w:noWrap w:val="0"/>
            <w:vAlign w:val="center"/>
          </w:tcPr>
          <w:p w14:paraId="23F3C137">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56</w:t>
            </w:r>
          </w:p>
        </w:tc>
      </w:tr>
    </w:tbl>
    <w:p w14:paraId="003F3684">
      <w:pPr>
        <w:pStyle w:val="4"/>
        <w:bidi w:val="0"/>
        <w:rPr>
          <w:rFonts w:hint="default"/>
          <w:color w:val="auto"/>
          <w:lang w:val="en-US" w:eastAsia="zh-CN"/>
        </w:rPr>
      </w:pPr>
      <w:bookmarkStart w:id="472" w:name="_Toc5129"/>
      <w:bookmarkStart w:id="473" w:name="_Toc32217"/>
      <w:bookmarkStart w:id="474" w:name="_Toc25468"/>
      <w:bookmarkStart w:id="475" w:name="_Toc28039"/>
      <w:bookmarkStart w:id="476" w:name="_Toc24626"/>
      <w:r>
        <w:rPr>
          <w:rFonts w:hint="default"/>
          <w:color w:val="auto"/>
          <w:lang w:val="en-US" w:eastAsia="zh-CN"/>
        </w:rPr>
        <w:t>5.2.2</w:t>
      </w:r>
      <w:r>
        <w:rPr>
          <w:rFonts w:hint="eastAsia"/>
          <w:color w:val="auto"/>
          <w:lang w:val="en-US" w:eastAsia="zh-CN"/>
        </w:rPr>
        <w:t xml:space="preserve"> </w:t>
      </w:r>
      <w:r>
        <w:rPr>
          <w:rFonts w:hint="default"/>
          <w:color w:val="auto"/>
          <w:lang w:val="en-US" w:eastAsia="zh-CN"/>
        </w:rPr>
        <w:t>尾矿坝稳定性分析</w:t>
      </w:r>
      <w:bookmarkEnd w:id="472"/>
      <w:bookmarkEnd w:id="473"/>
      <w:bookmarkEnd w:id="474"/>
      <w:bookmarkEnd w:id="475"/>
      <w:bookmarkEnd w:id="476"/>
    </w:p>
    <w:p w14:paraId="0E5207F2">
      <w:pPr>
        <w:rPr>
          <w:rFonts w:hint="default"/>
          <w:color w:val="auto"/>
          <w:lang w:val="en-US" w:eastAsia="zh-CN"/>
        </w:rPr>
      </w:pPr>
      <w:r>
        <w:rPr>
          <w:rFonts w:hint="default"/>
          <w:color w:val="auto"/>
          <w:lang w:val="en-US" w:eastAsia="zh-CN"/>
        </w:rPr>
        <w:t>本节内容主要摘自20</w:t>
      </w:r>
      <w:r>
        <w:rPr>
          <w:rFonts w:hint="eastAsia"/>
          <w:color w:val="auto"/>
          <w:lang w:val="en-US" w:eastAsia="zh-CN"/>
        </w:rPr>
        <w:t>14</w:t>
      </w:r>
      <w:r>
        <w:rPr>
          <w:rFonts w:hint="default"/>
          <w:color w:val="auto"/>
          <w:lang w:val="en-US" w:eastAsia="zh-CN"/>
        </w:rPr>
        <w:t>年</w:t>
      </w:r>
      <w:r>
        <w:rPr>
          <w:rFonts w:hint="eastAsia"/>
          <w:color w:val="auto"/>
          <w:lang w:val="en-US" w:eastAsia="zh-CN"/>
        </w:rPr>
        <w:t>6</w:t>
      </w:r>
      <w:r>
        <w:rPr>
          <w:rFonts w:hint="default"/>
          <w:color w:val="auto"/>
          <w:lang w:val="en-US" w:eastAsia="zh-CN"/>
        </w:rPr>
        <w:t>月长春黄金设计院的《江西三和金业有限责任公司尾矿库建设暨节能降耗技改工程3#（氰化渣）尾矿库安全专篇》。</w:t>
      </w:r>
    </w:p>
    <w:p w14:paraId="6273C837">
      <w:pPr>
        <w:numPr>
          <w:ilvl w:val="0"/>
          <w:numId w:val="0"/>
        </w:numPr>
        <w:bidi w:val="0"/>
        <w:ind w:firstLine="560" w:firstLineChars="200"/>
        <w:rPr>
          <w:rFonts w:hint="default"/>
          <w:color w:val="auto"/>
          <w:lang w:val="en-US" w:eastAsia="zh-CN"/>
        </w:rPr>
      </w:pPr>
      <w:r>
        <w:rPr>
          <w:rFonts w:hint="default" w:ascii="Times New Roman" w:hAnsi="Times New Roman" w:eastAsia="宋体" w:cs="Times New Roman"/>
          <w:color w:val="auto"/>
          <w:kern w:val="2"/>
          <w:sz w:val="28"/>
          <w:szCs w:val="24"/>
          <w:lang w:val="en-US" w:eastAsia="zh-CN" w:bidi="ar-SA"/>
        </w:rPr>
        <w:t>1.</w:t>
      </w:r>
      <w:r>
        <w:rPr>
          <w:rFonts w:hint="eastAsia" w:cs="Times New Roman"/>
          <w:color w:val="auto"/>
          <w:kern w:val="2"/>
          <w:sz w:val="28"/>
          <w:szCs w:val="24"/>
          <w:lang w:val="en-US" w:eastAsia="zh-CN" w:bidi="ar-SA"/>
        </w:rPr>
        <w:t xml:space="preserve"> </w:t>
      </w:r>
      <w:r>
        <w:rPr>
          <w:rFonts w:hint="default"/>
          <w:color w:val="auto"/>
          <w:lang w:val="en-US" w:eastAsia="zh-CN"/>
        </w:rPr>
        <w:t>计算断面概化和计算工况</w:t>
      </w:r>
    </w:p>
    <w:p w14:paraId="41FAAA15">
      <w:pPr>
        <w:bidi w:val="0"/>
        <w:rPr>
          <w:rFonts w:hint="default"/>
          <w:color w:val="auto"/>
          <w:lang w:val="en-US" w:eastAsia="zh-CN"/>
        </w:rPr>
      </w:pPr>
      <w:bookmarkStart w:id="477" w:name="_Toc8793"/>
      <w:r>
        <w:rPr>
          <w:rFonts w:hint="default"/>
          <w:color w:val="auto"/>
          <w:lang w:val="en-US" w:eastAsia="zh-CN"/>
        </w:rPr>
        <w:t>（1）稳定计算得基本原理和方法：</w:t>
      </w:r>
    </w:p>
    <w:p w14:paraId="7535890F">
      <w:pPr>
        <w:bidi w:val="0"/>
        <w:rPr>
          <w:rFonts w:hint="default"/>
          <w:color w:val="auto"/>
          <w:lang w:val="en-US" w:eastAsia="zh-CN"/>
        </w:rPr>
      </w:pPr>
      <w:r>
        <w:rPr>
          <w:rFonts w:hint="default"/>
          <w:color w:val="auto"/>
          <w:lang w:val="en-US" w:eastAsia="zh-CN"/>
        </w:rPr>
        <w:t>坝体的失稳是部分土体沿某滑裂面滑动，通常滑裂面假定为圆弧形的，一般情况采用瑞典圆弧法计算坝坡的抗滑稳定。本次采用瑞典圆弧法。该方法的基本假定如下：</w:t>
      </w:r>
    </w:p>
    <w:p w14:paraId="17E6E9BC">
      <w:pPr>
        <w:bidi w:val="0"/>
        <w:rPr>
          <w:rFonts w:hint="default"/>
          <w:color w:val="auto"/>
          <w:lang w:val="en-US" w:eastAsia="zh-CN"/>
        </w:rPr>
      </w:pPr>
      <w:r>
        <w:rPr>
          <w:rFonts w:hint="default"/>
          <w:color w:val="auto"/>
          <w:lang w:val="en-US" w:eastAsia="zh-CN"/>
        </w:rPr>
        <w:t>①假定土坡稳定性属平面应变问题，即可取其某一横剖面为代表进行分析计算；</w:t>
      </w:r>
    </w:p>
    <w:p w14:paraId="7739073F">
      <w:pPr>
        <w:bidi w:val="0"/>
        <w:rPr>
          <w:rFonts w:hint="default"/>
          <w:color w:val="auto"/>
          <w:lang w:val="en-US" w:eastAsia="zh-CN"/>
        </w:rPr>
      </w:pPr>
      <w:r>
        <w:rPr>
          <w:rFonts w:hint="default"/>
          <w:color w:val="auto"/>
          <w:lang w:val="en-US" w:eastAsia="zh-CN"/>
        </w:rPr>
        <w:t>②假定滑裂面为圆柱面；弧面上的滑动土体视为刚体，即计算中不考虑滑体的内部相互作用力；</w:t>
      </w:r>
    </w:p>
    <w:p w14:paraId="421EE9CA">
      <w:pPr>
        <w:bidi w:val="0"/>
        <w:rPr>
          <w:rFonts w:hint="default"/>
          <w:color w:val="auto"/>
          <w:lang w:val="en-US" w:eastAsia="zh-CN"/>
        </w:rPr>
      </w:pPr>
      <w:r>
        <w:rPr>
          <w:rFonts w:hint="default"/>
          <w:color w:val="auto"/>
          <w:lang w:val="en-US" w:eastAsia="zh-CN"/>
        </w:rPr>
        <w:t>③定义安全系数为滑裂面上所能提供的抗滑动力矩之和与外荷载及滑动土体在滑裂面上所产生的滑动力矩之比；所有力矩都以圆心O为矩心。</w:t>
      </w:r>
    </w:p>
    <w:p w14:paraId="3183DEB3">
      <w:pPr>
        <w:bidi w:val="0"/>
        <w:rPr>
          <w:rFonts w:hint="default"/>
          <w:color w:val="auto"/>
          <w:lang w:val="en-US" w:eastAsia="zh-CN"/>
        </w:rPr>
      </w:pPr>
      <w:r>
        <w:rPr>
          <w:rFonts w:hint="default"/>
          <w:color w:val="auto"/>
          <w:lang w:val="en-US" w:eastAsia="zh-CN"/>
        </w:rPr>
        <w:t>④采用条分法进行计算</w:t>
      </w:r>
    </w:p>
    <w:p w14:paraId="2B43C690">
      <w:pPr>
        <w:bidi w:val="0"/>
        <w:rPr>
          <w:rFonts w:hint="default"/>
          <w:color w:val="auto"/>
          <w:lang w:val="en-US" w:eastAsia="zh-CN"/>
        </w:rPr>
      </w:pPr>
      <w:r>
        <w:rPr>
          <w:rFonts w:hint="default"/>
          <w:color w:val="auto"/>
          <w:lang w:val="en-US" w:eastAsia="zh-CN"/>
        </w:rPr>
        <w:t>根据考虑孔隙压力影响的方法不同，又分为有效应力法和总应力法两种。本次计算采用总应力法。</w:t>
      </w:r>
    </w:p>
    <w:p w14:paraId="4A830A81">
      <w:pPr>
        <w:bidi w:val="0"/>
        <w:rPr>
          <w:rFonts w:hint="default"/>
          <w:color w:val="auto"/>
          <w:lang w:val="en-US" w:eastAsia="zh-CN"/>
        </w:rPr>
      </w:pPr>
      <w:r>
        <w:rPr>
          <w:rFonts w:hint="default"/>
          <w:color w:val="auto"/>
          <w:lang w:val="en-US" w:eastAsia="zh-CN"/>
        </w:rPr>
        <w:t>（2）荷载组合及最小安全系数：</w:t>
      </w:r>
    </w:p>
    <w:p w14:paraId="56259869">
      <w:pPr>
        <w:bidi w:val="0"/>
        <w:rPr>
          <w:rFonts w:hint="default"/>
          <w:color w:val="auto"/>
          <w:lang w:val="en-US" w:eastAsia="zh-CN"/>
        </w:rPr>
      </w:pPr>
      <w:r>
        <w:rPr>
          <w:rFonts w:hint="default"/>
          <w:color w:val="auto"/>
          <w:lang w:val="en-US" w:eastAsia="zh-CN"/>
        </w:rPr>
        <w:t>①荷载组合：正常运行：坝体自重（正常运行时库内无水）；</w:t>
      </w:r>
    </w:p>
    <w:p w14:paraId="678124B2">
      <w:pPr>
        <w:bidi w:val="0"/>
        <w:rPr>
          <w:rFonts w:hint="default"/>
          <w:color w:val="auto"/>
          <w:lang w:val="en-US" w:eastAsia="zh-CN"/>
        </w:rPr>
      </w:pPr>
      <w:r>
        <w:rPr>
          <w:rFonts w:hint="default"/>
          <w:color w:val="auto"/>
          <w:lang w:val="en-US" w:eastAsia="zh-CN"/>
        </w:rPr>
        <w:t>洪水运行：坝体自重+洪水；</w:t>
      </w:r>
    </w:p>
    <w:p w14:paraId="7203E98B">
      <w:pPr>
        <w:bidi w:val="0"/>
        <w:rPr>
          <w:rFonts w:hint="default"/>
          <w:color w:val="auto"/>
          <w:lang w:val="en-US" w:eastAsia="zh-CN"/>
        </w:rPr>
      </w:pPr>
      <w:r>
        <w:rPr>
          <w:rFonts w:hint="default"/>
          <w:color w:val="auto"/>
          <w:lang w:val="en-US" w:eastAsia="zh-CN"/>
        </w:rPr>
        <w:t>特殊运行：坝体自重+地震。</w:t>
      </w:r>
    </w:p>
    <w:p w14:paraId="485CBD4B">
      <w:pPr>
        <w:bidi w:val="0"/>
        <w:rPr>
          <w:rFonts w:hint="default"/>
          <w:color w:val="auto"/>
          <w:lang w:val="en-US" w:eastAsia="zh-CN"/>
        </w:rPr>
      </w:pPr>
      <w:r>
        <w:rPr>
          <w:rFonts w:hint="default"/>
          <w:color w:val="auto"/>
          <w:lang w:val="en-US" w:eastAsia="zh-CN"/>
        </w:rPr>
        <w:t>②抗滑稳定最小安全系数</w:t>
      </w:r>
    </w:p>
    <w:p w14:paraId="63554B40">
      <w:pPr>
        <w:bidi w:val="0"/>
        <w:rPr>
          <w:rFonts w:hint="default"/>
          <w:color w:val="auto"/>
          <w:lang w:val="en-US" w:eastAsia="zh-CN"/>
        </w:rPr>
      </w:pPr>
      <w:r>
        <w:rPr>
          <w:rFonts w:hint="default"/>
          <w:color w:val="auto"/>
          <w:lang w:val="en-US" w:eastAsia="zh-CN"/>
        </w:rPr>
        <w:t>《尾矿设施设计规范》坝坡抗滑稳定最小安全系数判定依据，如表5</w:t>
      </w:r>
      <w:r>
        <w:rPr>
          <w:rFonts w:hint="eastAsia"/>
          <w:color w:val="auto"/>
          <w:lang w:val="en-US" w:eastAsia="zh-CN"/>
        </w:rPr>
        <w:t>.2</w:t>
      </w:r>
      <w:r>
        <w:rPr>
          <w:rFonts w:hint="default"/>
          <w:color w:val="auto"/>
          <w:lang w:val="en-US" w:eastAsia="zh-CN"/>
        </w:rPr>
        <w:t>-</w:t>
      </w:r>
      <w:r>
        <w:rPr>
          <w:rFonts w:hint="eastAsia"/>
          <w:color w:val="auto"/>
          <w:lang w:val="en-US" w:eastAsia="zh-CN"/>
        </w:rPr>
        <w:t>2</w:t>
      </w:r>
      <w:r>
        <w:rPr>
          <w:rFonts w:hint="default"/>
          <w:color w:val="auto"/>
          <w:lang w:val="en-US" w:eastAsia="zh-CN"/>
        </w:rPr>
        <w:t>所示：</w:t>
      </w:r>
    </w:p>
    <w:p w14:paraId="7125A6F3">
      <w:pPr>
        <w:bidi w:val="0"/>
        <w:ind w:left="0" w:leftChars="0" w:firstLine="0" w:firstLineChars="0"/>
        <w:jc w:val="center"/>
        <w:rPr>
          <w:rFonts w:hint="default"/>
          <w:color w:val="auto"/>
          <w:lang w:val="en-US" w:eastAsia="zh-CN"/>
        </w:rPr>
      </w:pPr>
      <w:r>
        <w:rPr>
          <w:rFonts w:hint="default"/>
          <w:color w:val="auto"/>
          <w:lang w:val="en-US" w:eastAsia="zh-CN"/>
        </w:rPr>
        <w:t>表5</w:t>
      </w:r>
      <w:r>
        <w:rPr>
          <w:rFonts w:hint="eastAsia"/>
          <w:color w:val="auto"/>
          <w:lang w:val="en-US" w:eastAsia="zh-CN"/>
        </w:rPr>
        <w:t>.2</w:t>
      </w:r>
      <w:r>
        <w:rPr>
          <w:rFonts w:hint="default"/>
          <w:color w:val="auto"/>
          <w:lang w:val="en-US" w:eastAsia="zh-CN"/>
        </w:rPr>
        <w:t>-</w:t>
      </w:r>
      <w:r>
        <w:rPr>
          <w:rFonts w:hint="eastAsia"/>
          <w:color w:val="auto"/>
          <w:lang w:val="en-US" w:eastAsia="zh-CN"/>
        </w:rPr>
        <w:t>2</w:t>
      </w:r>
      <w:r>
        <w:rPr>
          <w:rFonts w:hint="default"/>
          <w:color w:val="auto"/>
          <w:lang w:val="en-US" w:eastAsia="zh-CN"/>
        </w:rPr>
        <w:t xml:space="preserve"> 坝坡抗滑稳定最小安全系数（瑞典圆弧法）</w:t>
      </w:r>
    </w:p>
    <w:tbl>
      <w:tblPr>
        <w:tblStyle w:val="20"/>
        <w:tblW w:w="82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0"/>
        <w:gridCol w:w="1686"/>
        <w:gridCol w:w="1687"/>
        <w:gridCol w:w="1687"/>
        <w:gridCol w:w="1538"/>
      </w:tblGrid>
      <w:tr w14:paraId="0D71C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0" w:type="dxa"/>
            <w:tcBorders>
              <w:tl2br w:val="single" w:color="auto" w:sz="4" w:space="0"/>
            </w:tcBorders>
            <w:noWrap w:val="0"/>
            <w:vAlign w:val="center"/>
          </w:tcPr>
          <w:p w14:paraId="567C7E75">
            <w:pPr>
              <w:keepNext w:val="0"/>
              <w:keepLines w:val="0"/>
              <w:pageBreakBefore w:val="0"/>
              <w:widowControl/>
              <w:kinsoku/>
              <w:wordWrap/>
              <w:overflowPunct/>
              <w:topLinePunct w:val="0"/>
              <w:autoSpaceDE/>
              <w:autoSpaceDN/>
              <w:bidi w:val="0"/>
              <w:adjustRightInd/>
              <w:snapToGrid/>
              <w:spacing w:line="260" w:lineRule="exact"/>
              <w:ind w:firstLine="0" w:firstLineChars="0"/>
              <w:textAlignment w:val="auto"/>
              <w:rPr>
                <w:rFonts w:hint="eastAsia" w:ascii="宋体" w:hAnsi="宋体" w:cs="宋体"/>
                <w:kern w:val="0"/>
                <w:sz w:val="21"/>
                <w:szCs w:val="21"/>
              </w:rPr>
            </w:pPr>
            <w:r>
              <w:rPr>
                <w:rFonts w:hint="eastAsia" w:ascii="宋体" w:hAnsi="宋体" w:cs="宋体"/>
                <w:kern w:val="0"/>
                <w:sz w:val="21"/>
                <w:szCs w:val="21"/>
              </w:rPr>
              <w:t xml:space="preserve">       </w:t>
            </w:r>
            <w:r>
              <w:rPr>
                <w:rFonts w:hint="eastAsia" w:ascii="宋体" w:hAnsi="宋体" w:cs="宋体"/>
                <w:kern w:val="0"/>
                <w:sz w:val="21"/>
                <w:szCs w:val="21"/>
                <w:lang w:val="en-US" w:eastAsia="zh-CN"/>
              </w:rPr>
              <w:t xml:space="preserve">  </w:t>
            </w:r>
            <w:r>
              <w:rPr>
                <w:rFonts w:hint="eastAsia" w:ascii="宋体" w:hAnsi="宋体" w:cs="宋体"/>
                <w:kern w:val="0"/>
                <w:sz w:val="21"/>
                <w:szCs w:val="21"/>
              </w:rPr>
              <w:t>等别</w:t>
            </w:r>
          </w:p>
          <w:p w14:paraId="0E52C9EE">
            <w:pPr>
              <w:keepNext w:val="0"/>
              <w:keepLines w:val="0"/>
              <w:pageBreakBefore w:val="0"/>
              <w:widowControl/>
              <w:kinsoku/>
              <w:wordWrap/>
              <w:overflowPunct/>
              <w:topLinePunct w:val="0"/>
              <w:autoSpaceDE/>
              <w:autoSpaceDN/>
              <w:bidi w:val="0"/>
              <w:adjustRightInd/>
              <w:snapToGrid/>
              <w:spacing w:line="260" w:lineRule="exact"/>
              <w:ind w:firstLine="0" w:firstLineChars="0"/>
              <w:textAlignment w:val="auto"/>
              <w:rPr>
                <w:rFonts w:hint="eastAsia" w:ascii="宋体" w:hAnsi="宋体" w:eastAsia="宋体" w:cs="宋体"/>
                <w:kern w:val="0"/>
                <w:sz w:val="21"/>
                <w:szCs w:val="21"/>
                <w:lang w:val="en-US" w:eastAsia="zh-CN"/>
              </w:rPr>
            </w:pPr>
            <w:r>
              <w:rPr>
                <w:rFonts w:hint="eastAsia" w:ascii="宋体" w:hAnsi="宋体" w:cs="宋体"/>
                <w:kern w:val="0"/>
                <w:sz w:val="21"/>
                <w:szCs w:val="21"/>
              </w:rPr>
              <w:t>运行</w:t>
            </w:r>
            <w:r>
              <w:rPr>
                <w:rFonts w:hint="eastAsia" w:ascii="宋体" w:hAnsi="宋体" w:cs="宋体"/>
                <w:kern w:val="0"/>
                <w:sz w:val="21"/>
                <w:szCs w:val="21"/>
                <w:lang w:val="en-US" w:eastAsia="zh-CN"/>
              </w:rPr>
              <w:t>情况</w:t>
            </w:r>
          </w:p>
        </w:tc>
        <w:tc>
          <w:tcPr>
            <w:tcW w:w="1686" w:type="dxa"/>
            <w:noWrap w:val="0"/>
            <w:vAlign w:val="center"/>
          </w:tcPr>
          <w:p w14:paraId="37D51F0C">
            <w:pPr>
              <w:keepNext w:val="0"/>
              <w:keepLines w:val="0"/>
              <w:pageBreakBefore w:val="0"/>
              <w:widowControl/>
              <w:kinsoku/>
              <w:wordWrap/>
              <w:overflowPunct/>
              <w:topLinePunct w:val="0"/>
              <w:autoSpaceDE/>
              <w:autoSpaceDN/>
              <w:bidi w:val="0"/>
              <w:adjustRightInd/>
              <w:snapToGrid/>
              <w:spacing w:line="340" w:lineRule="exact"/>
              <w:ind w:firstLine="0" w:firstLineChars="0"/>
              <w:jc w:val="center"/>
              <w:textAlignment w:val="auto"/>
              <w:rPr>
                <w:rFonts w:ascii="宋体" w:hAnsi="宋体" w:cs="宋体"/>
                <w:kern w:val="0"/>
                <w:sz w:val="21"/>
                <w:szCs w:val="21"/>
              </w:rPr>
            </w:pPr>
            <w:r>
              <w:rPr>
                <w:kern w:val="0"/>
                <w:sz w:val="21"/>
                <w:szCs w:val="21"/>
              </w:rPr>
              <w:t>1</w:t>
            </w:r>
          </w:p>
        </w:tc>
        <w:tc>
          <w:tcPr>
            <w:tcW w:w="1687" w:type="dxa"/>
            <w:noWrap w:val="0"/>
            <w:vAlign w:val="center"/>
          </w:tcPr>
          <w:p w14:paraId="2B0A8BD9">
            <w:pPr>
              <w:keepNext w:val="0"/>
              <w:keepLines w:val="0"/>
              <w:pageBreakBefore w:val="0"/>
              <w:widowControl/>
              <w:kinsoku/>
              <w:wordWrap/>
              <w:overflowPunct/>
              <w:topLinePunct w:val="0"/>
              <w:autoSpaceDE/>
              <w:autoSpaceDN/>
              <w:bidi w:val="0"/>
              <w:adjustRightInd/>
              <w:snapToGrid/>
              <w:spacing w:line="340" w:lineRule="exact"/>
              <w:ind w:firstLine="0" w:firstLineChars="0"/>
              <w:jc w:val="center"/>
              <w:textAlignment w:val="auto"/>
              <w:rPr>
                <w:rFonts w:ascii="宋体" w:hAnsi="宋体" w:cs="宋体"/>
                <w:kern w:val="0"/>
                <w:sz w:val="21"/>
                <w:szCs w:val="21"/>
              </w:rPr>
            </w:pPr>
            <w:r>
              <w:rPr>
                <w:kern w:val="0"/>
                <w:sz w:val="21"/>
                <w:szCs w:val="21"/>
              </w:rPr>
              <w:t>2</w:t>
            </w:r>
          </w:p>
        </w:tc>
        <w:tc>
          <w:tcPr>
            <w:tcW w:w="1687" w:type="dxa"/>
            <w:noWrap w:val="0"/>
            <w:vAlign w:val="center"/>
          </w:tcPr>
          <w:p w14:paraId="76BE179D">
            <w:pPr>
              <w:keepNext w:val="0"/>
              <w:keepLines w:val="0"/>
              <w:pageBreakBefore w:val="0"/>
              <w:widowControl/>
              <w:kinsoku/>
              <w:wordWrap/>
              <w:overflowPunct/>
              <w:topLinePunct w:val="0"/>
              <w:autoSpaceDE/>
              <w:autoSpaceDN/>
              <w:bidi w:val="0"/>
              <w:adjustRightInd/>
              <w:snapToGrid/>
              <w:spacing w:line="340" w:lineRule="exact"/>
              <w:ind w:firstLine="0" w:firstLineChars="0"/>
              <w:jc w:val="center"/>
              <w:textAlignment w:val="auto"/>
              <w:rPr>
                <w:rFonts w:ascii="宋体" w:hAnsi="宋体" w:cs="宋体"/>
                <w:kern w:val="0"/>
                <w:sz w:val="21"/>
                <w:szCs w:val="21"/>
              </w:rPr>
            </w:pPr>
            <w:r>
              <w:rPr>
                <w:kern w:val="0"/>
                <w:sz w:val="21"/>
                <w:szCs w:val="21"/>
              </w:rPr>
              <w:t>3</w:t>
            </w:r>
          </w:p>
        </w:tc>
        <w:tc>
          <w:tcPr>
            <w:tcW w:w="1538" w:type="dxa"/>
            <w:noWrap w:val="0"/>
            <w:vAlign w:val="center"/>
          </w:tcPr>
          <w:p w14:paraId="05DE2F29">
            <w:pPr>
              <w:keepNext w:val="0"/>
              <w:keepLines w:val="0"/>
              <w:pageBreakBefore w:val="0"/>
              <w:widowControl/>
              <w:kinsoku/>
              <w:wordWrap/>
              <w:overflowPunct/>
              <w:topLinePunct w:val="0"/>
              <w:autoSpaceDE/>
              <w:autoSpaceDN/>
              <w:bidi w:val="0"/>
              <w:adjustRightInd/>
              <w:snapToGrid/>
              <w:spacing w:line="340" w:lineRule="exact"/>
              <w:ind w:firstLine="0" w:firstLineChars="0"/>
              <w:jc w:val="center"/>
              <w:textAlignment w:val="auto"/>
              <w:rPr>
                <w:rFonts w:ascii="宋体" w:hAnsi="宋体" w:cs="宋体"/>
                <w:kern w:val="0"/>
                <w:sz w:val="21"/>
                <w:szCs w:val="21"/>
              </w:rPr>
            </w:pPr>
            <w:r>
              <w:rPr>
                <w:kern w:val="0"/>
                <w:sz w:val="21"/>
                <w:szCs w:val="21"/>
              </w:rPr>
              <w:t>4.5</w:t>
            </w:r>
          </w:p>
        </w:tc>
      </w:tr>
      <w:tr w14:paraId="28D80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0" w:type="dxa"/>
            <w:noWrap w:val="0"/>
            <w:vAlign w:val="center"/>
          </w:tcPr>
          <w:p w14:paraId="6F071D37">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ascii="宋体" w:hAnsi="宋体" w:cs="宋体"/>
                <w:kern w:val="0"/>
                <w:sz w:val="21"/>
                <w:szCs w:val="21"/>
              </w:rPr>
            </w:pPr>
            <w:r>
              <w:rPr>
                <w:rFonts w:hint="eastAsia" w:cs="宋体"/>
                <w:kern w:val="0"/>
                <w:sz w:val="21"/>
                <w:szCs w:val="21"/>
              </w:rPr>
              <w:t>正常运行</w:t>
            </w:r>
          </w:p>
        </w:tc>
        <w:tc>
          <w:tcPr>
            <w:tcW w:w="1686" w:type="dxa"/>
            <w:noWrap w:val="0"/>
            <w:vAlign w:val="center"/>
          </w:tcPr>
          <w:p w14:paraId="3AD47F7D">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ascii="宋体" w:hAnsi="宋体" w:cs="宋体"/>
                <w:kern w:val="0"/>
                <w:sz w:val="21"/>
                <w:szCs w:val="21"/>
              </w:rPr>
            </w:pPr>
            <w:r>
              <w:rPr>
                <w:kern w:val="0"/>
                <w:sz w:val="21"/>
                <w:szCs w:val="21"/>
              </w:rPr>
              <w:t>1.30</w:t>
            </w:r>
          </w:p>
        </w:tc>
        <w:tc>
          <w:tcPr>
            <w:tcW w:w="1687" w:type="dxa"/>
            <w:noWrap w:val="0"/>
            <w:vAlign w:val="center"/>
          </w:tcPr>
          <w:p w14:paraId="5944FAE3">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ascii="宋体" w:hAnsi="宋体" w:cs="宋体"/>
                <w:kern w:val="0"/>
                <w:sz w:val="21"/>
                <w:szCs w:val="21"/>
              </w:rPr>
            </w:pPr>
            <w:r>
              <w:rPr>
                <w:kern w:val="0"/>
                <w:sz w:val="21"/>
                <w:szCs w:val="21"/>
              </w:rPr>
              <w:t>1.25</w:t>
            </w:r>
          </w:p>
        </w:tc>
        <w:tc>
          <w:tcPr>
            <w:tcW w:w="1687" w:type="dxa"/>
            <w:noWrap w:val="0"/>
            <w:vAlign w:val="center"/>
          </w:tcPr>
          <w:p w14:paraId="5A18A63E">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ascii="宋体" w:hAnsi="宋体" w:cs="宋体"/>
                <w:kern w:val="0"/>
                <w:sz w:val="21"/>
                <w:szCs w:val="21"/>
              </w:rPr>
            </w:pPr>
            <w:r>
              <w:rPr>
                <w:kern w:val="0"/>
                <w:sz w:val="21"/>
                <w:szCs w:val="21"/>
              </w:rPr>
              <w:t>1.20</w:t>
            </w:r>
          </w:p>
        </w:tc>
        <w:tc>
          <w:tcPr>
            <w:tcW w:w="1538" w:type="dxa"/>
            <w:noWrap w:val="0"/>
            <w:vAlign w:val="center"/>
          </w:tcPr>
          <w:p w14:paraId="4F132A06">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ascii="宋体" w:hAnsi="宋体" w:cs="宋体"/>
                <w:kern w:val="0"/>
                <w:sz w:val="21"/>
                <w:szCs w:val="21"/>
              </w:rPr>
            </w:pPr>
            <w:r>
              <w:rPr>
                <w:kern w:val="0"/>
                <w:sz w:val="21"/>
                <w:szCs w:val="21"/>
              </w:rPr>
              <w:t>1.15</w:t>
            </w:r>
          </w:p>
        </w:tc>
      </w:tr>
      <w:tr w14:paraId="3DA75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0" w:type="dxa"/>
            <w:noWrap w:val="0"/>
            <w:vAlign w:val="center"/>
          </w:tcPr>
          <w:p w14:paraId="7A03FAFF">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ascii="宋体" w:hAnsi="宋体" w:cs="宋体"/>
                <w:kern w:val="0"/>
                <w:sz w:val="21"/>
                <w:szCs w:val="21"/>
              </w:rPr>
            </w:pPr>
            <w:r>
              <w:rPr>
                <w:rFonts w:hint="eastAsia" w:cs="宋体"/>
                <w:kern w:val="0"/>
                <w:sz w:val="21"/>
                <w:szCs w:val="21"/>
              </w:rPr>
              <w:t>洪水运行</w:t>
            </w:r>
          </w:p>
        </w:tc>
        <w:tc>
          <w:tcPr>
            <w:tcW w:w="1686" w:type="dxa"/>
            <w:noWrap w:val="0"/>
            <w:vAlign w:val="center"/>
          </w:tcPr>
          <w:p w14:paraId="6CE2EB41">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ascii="宋体" w:hAnsi="宋体" w:cs="宋体"/>
                <w:kern w:val="0"/>
                <w:sz w:val="21"/>
                <w:szCs w:val="21"/>
              </w:rPr>
            </w:pPr>
            <w:r>
              <w:rPr>
                <w:kern w:val="0"/>
                <w:sz w:val="21"/>
                <w:szCs w:val="21"/>
              </w:rPr>
              <w:t>1.20</w:t>
            </w:r>
          </w:p>
        </w:tc>
        <w:tc>
          <w:tcPr>
            <w:tcW w:w="1687" w:type="dxa"/>
            <w:noWrap w:val="0"/>
            <w:vAlign w:val="center"/>
          </w:tcPr>
          <w:p w14:paraId="74413535">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ascii="宋体" w:hAnsi="宋体" w:cs="宋体"/>
                <w:kern w:val="0"/>
                <w:sz w:val="21"/>
                <w:szCs w:val="21"/>
              </w:rPr>
            </w:pPr>
            <w:r>
              <w:rPr>
                <w:kern w:val="0"/>
                <w:sz w:val="21"/>
                <w:szCs w:val="21"/>
              </w:rPr>
              <w:t>1.15</w:t>
            </w:r>
          </w:p>
        </w:tc>
        <w:tc>
          <w:tcPr>
            <w:tcW w:w="1687" w:type="dxa"/>
            <w:noWrap w:val="0"/>
            <w:vAlign w:val="center"/>
          </w:tcPr>
          <w:p w14:paraId="5F4C7CC1">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ascii="宋体" w:hAnsi="宋体" w:cs="宋体"/>
                <w:kern w:val="0"/>
                <w:sz w:val="21"/>
                <w:szCs w:val="21"/>
              </w:rPr>
            </w:pPr>
            <w:r>
              <w:rPr>
                <w:kern w:val="0"/>
                <w:sz w:val="21"/>
                <w:szCs w:val="21"/>
              </w:rPr>
              <w:t>1.10</w:t>
            </w:r>
          </w:p>
        </w:tc>
        <w:tc>
          <w:tcPr>
            <w:tcW w:w="1538" w:type="dxa"/>
            <w:noWrap w:val="0"/>
            <w:vAlign w:val="center"/>
          </w:tcPr>
          <w:p w14:paraId="01CD2549">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ascii="宋体" w:hAnsi="宋体" w:cs="宋体"/>
                <w:kern w:val="0"/>
                <w:sz w:val="21"/>
                <w:szCs w:val="21"/>
              </w:rPr>
            </w:pPr>
            <w:r>
              <w:rPr>
                <w:kern w:val="0"/>
                <w:sz w:val="21"/>
                <w:szCs w:val="21"/>
              </w:rPr>
              <w:t>1.05</w:t>
            </w:r>
          </w:p>
        </w:tc>
      </w:tr>
      <w:tr w14:paraId="3D5D0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0" w:type="dxa"/>
            <w:noWrap w:val="0"/>
            <w:vAlign w:val="center"/>
          </w:tcPr>
          <w:p w14:paraId="48409534">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ascii="宋体" w:hAnsi="宋体" w:cs="宋体"/>
                <w:kern w:val="0"/>
                <w:sz w:val="21"/>
                <w:szCs w:val="21"/>
              </w:rPr>
            </w:pPr>
            <w:r>
              <w:rPr>
                <w:rFonts w:hint="eastAsia" w:cs="宋体"/>
                <w:kern w:val="0"/>
                <w:sz w:val="21"/>
                <w:szCs w:val="21"/>
              </w:rPr>
              <w:t>特殊运行</w:t>
            </w:r>
          </w:p>
        </w:tc>
        <w:tc>
          <w:tcPr>
            <w:tcW w:w="1686" w:type="dxa"/>
            <w:noWrap w:val="0"/>
            <w:vAlign w:val="center"/>
          </w:tcPr>
          <w:p w14:paraId="629EEB4D">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ascii="宋体" w:hAnsi="宋体" w:cs="宋体"/>
                <w:kern w:val="0"/>
                <w:sz w:val="21"/>
                <w:szCs w:val="21"/>
              </w:rPr>
            </w:pPr>
            <w:r>
              <w:rPr>
                <w:kern w:val="0"/>
                <w:sz w:val="21"/>
                <w:szCs w:val="21"/>
              </w:rPr>
              <w:t>1.10</w:t>
            </w:r>
          </w:p>
        </w:tc>
        <w:tc>
          <w:tcPr>
            <w:tcW w:w="1687" w:type="dxa"/>
            <w:noWrap w:val="0"/>
            <w:vAlign w:val="center"/>
          </w:tcPr>
          <w:p w14:paraId="2C0C0C4D">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ascii="宋体" w:hAnsi="宋体" w:cs="宋体"/>
                <w:kern w:val="0"/>
                <w:sz w:val="21"/>
                <w:szCs w:val="21"/>
              </w:rPr>
            </w:pPr>
            <w:r>
              <w:rPr>
                <w:kern w:val="0"/>
                <w:sz w:val="21"/>
                <w:szCs w:val="21"/>
              </w:rPr>
              <w:t>1.05</w:t>
            </w:r>
          </w:p>
        </w:tc>
        <w:tc>
          <w:tcPr>
            <w:tcW w:w="1687" w:type="dxa"/>
            <w:noWrap w:val="0"/>
            <w:vAlign w:val="center"/>
          </w:tcPr>
          <w:p w14:paraId="7E25F770">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ascii="宋体" w:hAnsi="宋体" w:cs="宋体"/>
                <w:kern w:val="0"/>
                <w:sz w:val="21"/>
                <w:szCs w:val="21"/>
              </w:rPr>
            </w:pPr>
            <w:r>
              <w:rPr>
                <w:kern w:val="0"/>
                <w:sz w:val="21"/>
                <w:szCs w:val="21"/>
              </w:rPr>
              <w:t>1.05</w:t>
            </w:r>
          </w:p>
        </w:tc>
        <w:tc>
          <w:tcPr>
            <w:tcW w:w="1538" w:type="dxa"/>
            <w:noWrap w:val="0"/>
            <w:vAlign w:val="center"/>
          </w:tcPr>
          <w:p w14:paraId="324E7868">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ascii="宋体" w:hAnsi="宋体" w:cs="宋体"/>
                <w:kern w:val="0"/>
                <w:sz w:val="21"/>
                <w:szCs w:val="21"/>
              </w:rPr>
            </w:pPr>
            <w:r>
              <w:rPr>
                <w:kern w:val="0"/>
                <w:sz w:val="21"/>
                <w:szCs w:val="21"/>
              </w:rPr>
              <w:t>1.00</w:t>
            </w:r>
          </w:p>
        </w:tc>
      </w:tr>
    </w:tbl>
    <w:p w14:paraId="388D066F">
      <w:pPr>
        <w:bidi w:val="0"/>
        <w:rPr>
          <w:rFonts w:hint="default"/>
          <w:lang w:val="en-US" w:eastAsia="zh-CN"/>
        </w:rPr>
      </w:pPr>
      <w:r>
        <w:rPr>
          <w:rFonts w:hint="eastAsia"/>
          <w:color w:val="000000"/>
          <w:spacing w:val="-2"/>
          <w:sz w:val="28"/>
          <w:szCs w:val="28"/>
        </w:rPr>
        <w:t>③计算参数的选取</w:t>
      </w:r>
    </w:p>
    <w:p w14:paraId="4F35A795">
      <w:pPr>
        <w:spacing w:line="600" w:lineRule="exact"/>
        <w:ind w:firstLine="552" w:firstLineChars="200"/>
        <w:rPr>
          <w:color w:val="000000"/>
          <w:spacing w:val="-2"/>
          <w:sz w:val="28"/>
          <w:szCs w:val="28"/>
        </w:rPr>
      </w:pPr>
      <w:r>
        <w:rPr>
          <w:rFonts w:hint="eastAsia"/>
          <w:color w:val="000000"/>
          <w:spacing w:val="-2"/>
          <w:sz w:val="28"/>
          <w:szCs w:val="28"/>
        </w:rPr>
        <w:t>本次</w:t>
      </w:r>
      <w:r>
        <w:rPr>
          <w:color w:val="000000"/>
          <w:spacing w:val="-2"/>
          <w:sz w:val="28"/>
          <w:szCs w:val="28"/>
        </w:rPr>
        <w:t>参照</w:t>
      </w:r>
      <w:r>
        <w:rPr>
          <w:rFonts w:hint="eastAsia"/>
          <w:color w:val="000000"/>
          <w:spacing w:val="-2"/>
          <w:sz w:val="28"/>
          <w:szCs w:val="28"/>
        </w:rPr>
        <w:t>3号（氰化渣）尾矿库工勘报告提供的土层物理力学指标进行稳定性</w:t>
      </w:r>
      <w:r>
        <w:rPr>
          <w:color w:val="000000"/>
          <w:spacing w:val="-2"/>
          <w:sz w:val="28"/>
          <w:szCs w:val="28"/>
        </w:rPr>
        <w:t>计算，拟静力法稳定计算，即将水平地震惯性力计入稳定计算公式中再用静力法作计算。</w:t>
      </w:r>
    </w:p>
    <w:p w14:paraId="2D5F5550">
      <w:pPr>
        <w:spacing w:line="600" w:lineRule="exact"/>
        <w:ind w:firstLine="552" w:firstLineChars="200"/>
        <w:rPr>
          <w:rFonts w:hint="eastAsia"/>
          <w:color w:val="000000"/>
          <w:spacing w:val="-2"/>
          <w:sz w:val="28"/>
          <w:szCs w:val="28"/>
        </w:rPr>
      </w:pPr>
      <w:r>
        <w:rPr>
          <w:color w:val="000000"/>
          <w:spacing w:val="-2"/>
          <w:sz w:val="28"/>
          <w:szCs w:val="28"/>
        </w:rPr>
        <w:t>计算断面：取最大断面</w:t>
      </w:r>
      <w:r>
        <w:rPr>
          <w:rFonts w:hint="eastAsia"/>
          <w:color w:val="000000"/>
          <w:spacing w:val="-2"/>
          <w:sz w:val="28"/>
          <w:szCs w:val="28"/>
        </w:rPr>
        <w:t>、</w:t>
      </w:r>
      <w:r>
        <w:rPr>
          <w:color w:val="000000"/>
          <w:spacing w:val="-2"/>
          <w:sz w:val="28"/>
          <w:szCs w:val="28"/>
        </w:rPr>
        <w:t>最高洪水位进行计算。</w:t>
      </w:r>
      <w:r>
        <w:rPr>
          <w:rFonts w:hint="eastAsia"/>
          <w:color w:val="000000"/>
          <w:spacing w:val="-2"/>
          <w:sz w:val="28"/>
          <w:szCs w:val="28"/>
        </w:rPr>
        <w:t>尾矿</w:t>
      </w:r>
      <w:r>
        <w:rPr>
          <w:color w:val="000000"/>
          <w:spacing w:val="-2"/>
          <w:sz w:val="28"/>
          <w:szCs w:val="28"/>
        </w:rPr>
        <w:t>坝高</w:t>
      </w:r>
      <w:r>
        <w:rPr>
          <w:rFonts w:hint="eastAsia"/>
          <w:color w:val="000000"/>
          <w:spacing w:val="-2"/>
          <w:sz w:val="28"/>
          <w:szCs w:val="28"/>
        </w:rPr>
        <w:t>11.5</w:t>
      </w:r>
      <w:r>
        <w:rPr>
          <w:color w:val="000000"/>
          <w:spacing w:val="-2"/>
          <w:sz w:val="28"/>
          <w:szCs w:val="28"/>
        </w:rPr>
        <w:t>m。基本地震加速度值为0.</w:t>
      </w:r>
      <w:r>
        <w:rPr>
          <w:rFonts w:hint="eastAsia"/>
          <w:color w:val="000000"/>
          <w:spacing w:val="-2"/>
          <w:sz w:val="28"/>
          <w:szCs w:val="28"/>
        </w:rPr>
        <w:t>05</w:t>
      </w:r>
      <w:r>
        <w:rPr>
          <w:color w:val="000000"/>
          <w:spacing w:val="-2"/>
          <w:sz w:val="28"/>
          <w:szCs w:val="28"/>
        </w:rPr>
        <w:t>g。</w:t>
      </w:r>
    </w:p>
    <w:p w14:paraId="6C20BC05">
      <w:pPr>
        <w:bidi w:val="0"/>
        <w:ind w:left="0" w:leftChars="0" w:firstLine="0" w:firstLineChars="0"/>
        <w:jc w:val="center"/>
        <w:rPr>
          <w:rFonts w:hint="default"/>
          <w:color w:val="auto"/>
          <w:lang w:val="en-US" w:eastAsia="zh-CN"/>
        </w:rPr>
      </w:pPr>
      <w:r>
        <w:drawing>
          <wp:inline distT="0" distB="0" distL="114300" distR="114300">
            <wp:extent cx="5924550" cy="1584960"/>
            <wp:effectExtent l="0" t="0" r="0" b="15240"/>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11" r:link="rId12"/>
                    <a:srcRect l="2687" t="6993"/>
                    <a:stretch>
                      <a:fillRect/>
                    </a:stretch>
                  </pic:blipFill>
                  <pic:spPr>
                    <a:xfrm>
                      <a:off x="0" y="0"/>
                      <a:ext cx="5924550" cy="1584960"/>
                    </a:xfrm>
                    <a:prstGeom prst="rect">
                      <a:avLst/>
                    </a:prstGeom>
                    <a:noFill/>
                    <a:ln>
                      <a:noFill/>
                    </a:ln>
                  </pic:spPr>
                </pic:pic>
              </a:graphicData>
            </a:graphic>
          </wp:inline>
        </w:drawing>
      </w:r>
    </w:p>
    <w:p w14:paraId="499F6F92">
      <w:pPr>
        <w:spacing w:line="600" w:lineRule="exact"/>
        <w:ind w:firstLine="560" w:firstLineChars="200"/>
        <w:jc w:val="center"/>
        <w:rPr>
          <w:rFonts w:hint="eastAsia"/>
          <w:sz w:val="28"/>
          <w:szCs w:val="28"/>
        </w:rPr>
      </w:pPr>
      <w:r>
        <w:rPr>
          <w:rFonts w:hint="eastAsia"/>
          <w:sz w:val="28"/>
          <w:szCs w:val="28"/>
        </w:rPr>
        <w:t>图5</w:t>
      </w:r>
      <w:r>
        <w:rPr>
          <w:rFonts w:hint="eastAsia"/>
          <w:sz w:val="28"/>
          <w:szCs w:val="28"/>
          <w:lang w:val="en-US" w:eastAsia="zh-CN"/>
        </w:rPr>
        <w:t xml:space="preserve">.2-1 </w:t>
      </w:r>
      <w:r>
        <w:rPr>
          <w:rFonts w:hint="eastAsia"/>
          <w:sz w:val="28"/>
          <w:szCs w:val="28"/>
        </w:rPr>
        <w:t>材料分区图</w:t>
      </w:r>
    </w:p>
    <w:p w14:paraId="432595C6">
      <w:pPr>
        <w:bidi w:val="0"/>
        <w:rPr>
          <w:rFonts w:hint="default"/>
          <w:lang w:val="en-US" w:eastAsia="zh-CN"/>
        </w:rPr>
      </w:pPr>
      <w:r>
        <w:rPr>
          <w:rFonts w:hint="default"/>
          <w:lang w:val="en-US" w:eastAsia="zh-CN"/>
        </w:rPr>
        <w:t>3号（氰化渣）尾矿库各土层物理力学指标见表5</w:t>
      </w:r>
      <w:r>
        <w:rPr>
          <w:rFonts w:hint="eastAsia"/>
          <w:lang w:val="en-US" w:eastAsia="zh-CN"/>
        </w:rPr>
        <w:t>.2</w:t>
      </w:r>
      <w:r>
        <w:rPr>
          <w:rFonts w:hint="default"/>
          <w:lang w:val="en-US" w:eastAsia="zh-CN"/>
        </w:rPr>
        <w:t>-</w:t>
      </w:r>
      <w:r>
        <w:rPr>
          <w:rFonts w:hint="eastAsia"/>
          <w:lang w:val="en-US" w:eastAsia="zh-CN"/>
        </w:rPr>
        <w:t>2</w:t>
      </w:r>
      <w:r>
        <w:rPr>
          <w:rFonts w:hint="default"/>
          <w:lang w:val="en-US" w:eastAsia="zh-CN"/>
        </w:rPr>
        <w:t>。</w:t>
      </w:r>
    </w:p>
    <w:p w14:paraId="4CB8E5B8">
      <w:pPr>
        <w:bidi w:val="0"/>
        <w:ind w:left="0" w:leftChars="0" w:firstLine="0" w:firstLineChars="0"/>
        <w:jc w:val="center"/>
        <w:rPr>
          <w:rFonts w:hint="default"/>
          <w:color w:val="auto"/>
          <w:lang w:val="en-US" w:eastAsia="zh-CN"/>
        </w:rPr>
      </w:pPr>
      <w:r>
        <w:rPr>
          <w:rFonts w:hint="default"/>
          <w:lang w:val="en-US" w:eastAsia="zh-CN"/>
        </w:rPr>
        <w:t>表5</w:t>
      </w:r>
      <w:r>
        <w:rPr>
          <w:rFonts w:hint="eastAsia"/>
          <w:lang w:val="en-US" w:eastAsia="zh-CN"/>
        </w:rPr>
        <w:t>.2</w:t>
      </w:r>
      <w:r>
        <w:rPr>
          <w:rFonts w:hint="default"/>
          <w:lang w:val="en-US" w:eastAsia="zh-CN"/>
        </w:rPr>
        <w:t>-</w:t>
      </w:r>
      <w:r>
        <w:rPr>
          <w:rFonts w:hint="eastAsia"/>
          <w:lang w:val="en-US" w:eastAsia="zh-CN"/>
        </w:rPr>
        <w:t xml:space="preserve">3 </w:t>
      </w:r>
      <w:r>
        <w:rPr>
          <w:rFonts w:hint="eastAsia"/>
          <w:sz w:val="28"/>
          <w:szCs w:val="28"/>
        </w:rPr>
        <w:t>土层物理力学指标表</w:t>
      </w:r>
    </w:p>
    <w:tbl>
      <w:tblPr>
        <w:tblStyle w:val="20"/>
        <w:tblW w:w="8958" w:type="dxa"/>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
        <w:gridCol w:w="720"/>
        <w:gridCol w:w="1440"/>
        <w:gridCol w:w="913"/>
        <w:gridCol w:w="887"/>
        <w:gridCol w:w="1080"/>
        <w:gridCol w:w="1209"/>
        <w:gridCol w:w="1181"/>
        <w:gridCol w:w="1095"/>
      </w:tblGrid>
      <w:tr w14:paraId="20FD6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93" w:type="dxa"/>
            <w:gridSpan w:val="3"/>
            <w:noWrap w:val="0"/>
            <w:vAlign w:val="center"/>
          </w:tcPr>
          <w:p w14:paraId="2A192550">
            <w:pPr>
              <w:spacing w:line="280" w:lineRule="exact"/>
              <w:ind w:firstLine="0" w:firstLineChars="0"/>
              <w:jc w:val="center"/>
              <w:rPr>
                <w:rFonts w:hint="eastAsia" w:ascii="宋体" w:hAnsi="宋体" w:eastAsia="宋体" w:cs="Times New Roman"/>
                <w:bCs/>
                <w:sz w:val="21"/>
                <w:szCs w:val="21"/>
              </w:rPr>
            </w:pPr>
            <w:r>
              <w:rPr>
                <w:rFonts w:hint="eastAsia" w:ascii="宋体" w:hAnsi="宋体" w:eastAsia="宋体" w:cs="Times New Roman"/>
                <w:bCs/>
                <w:sz w:val="21"/>
                <w:szCs w:val="21"/>
              </w:rPr>
              <w:t>岩土类别</w:t>
            </w:r>
          </w:p>
        </w:tc>
        <w:tc>
          <w:tcPr>
            <w:tcW w:w="913" w:type="dxa"/>
            <w:noWrap w:val="0"/>
            <w:vAlign w:val="center"/>
          </w:tcPr>
          <w:p w14:paraId="46CA5DC8">
            <w:pPr>
              <w:spacing w:line="280" w:lineRule="exact"/>
              <w:ind w:firstLine="0" w:firstLineChars="0"/>
              <w:jc w:val="center"/>
              <w:rPr>
                <w:rFonts w:hint="eastAsia" w:ascii="宋体" w:hAnsi="宋体" w:eastAsia="宋体" w:cs="Times New Roman"/>
                <w:bCs/>
                <w:sz w:val="21"/>
                <w:szCs w:val="21"/>
              </w:rPr>
            </w:pPr>
            <w:r>
              <w:rPr>
                <w:rFonts w:hint="eastAsia" w:ascii="宋体" w:hAnsi="宋体" w:eastAsia="宋体" w:cs="Times New Roman"/>
                <w:bCs/>
                <w:sz w:val="21"/>
                <w:szCs w:val="21"/>
              </w:rPr>
              <w:t>粉质</w:t>
            </w:r>
          </w:p>
          <w:p w14:paraId="66DDD575">
            <w:pPr>
              <w:spacing w:line="280" w:lineRule="exact"/>
              <w:ind w:firstLine="0" w:firstLineChars="0"/>
              <w:jc w:val="center"/>
              <w:rPr>
                <w:rFonts w:hint="eastAsia" w:ascii="宋体" w:hAnsi="宋体" w:eastAsia="宋体" w:cs="Times New Roman"/>
                <w:bCs/>
                <w:sz w:val="21"/>
                <w:szCs w:val="21"/>
              </w:rPr>
            </w:pPr>
            <w:r>
              <w:rPr>
                <w:rFonts w:hint="eastAsia" w:ascii="宋体" w:hAnsi="宋体" w:eastAsia="宋体" w:cs="Times New Roman"/>
                <w:bCs/>
                <w:sz w:val="21"/>
                <w:szCs w:val="21"/>
              </w:rPr>
              <w:t>粘土</w:t>
            </w:r>
          </w:p>
        </w:tc>
        <w:tc>
          <w:tcPr>
            <w:tcW w:w="887" w:type="dxa"/>
            <w:noWrap w:val="0"/>
            <w:vAlign w:val="center"/>
          </w:tcPr>
          <w:p w14:paraId="24024FF3">
            <w:pPr>
              <w:spacing w:line="280" w:lineRule="exact"/>
              <w:ind w:firstLine="0" w:firstLineChars="0"/>
              <w:jc w:val="center"/>
              <w:rPr>
                <w:rFonts w:hint="eastAsia" w:ascii="宋体" w:hAnsi="宋体" w:eastAsia="宋体" w:cs="Times New Roman"/>
                <w:bCs/>
                <w:sz w:val="21"/>
                <w:szCs w:val="21"/>
              </w:rPr>
            </w:pPr>
            <w:r>
              <w:rPr>
                <w:rFonts w:hint="eastAsia" w:ascii="宋体" w:hAnsi="宋体" w:eastAsia="宋体" w:cs="Times New Roman"/>
                <w:bCs/>
                <w:sz w:val="21"/>
                <w:szCs w:val="21"/>
              </w:rPr>
              <w:t>残坡</w:t>
            </w:r>
          </w:p>
          <w:p w14:paraId="4BDA96C3">
            <w:pPr>
              <w:spacing w:line="280" w:lineRule="exact"/>
              <w:ind w:firstLine="0" w:firstLineChars="0"/>
              <w:jc w:val="center"/>
              <w:rPr>
                <w:rFonts w:hint="eastAsia" w:ascii="宋体" w:hAnsi="宋体" w:eastAsia="宋体" w:cs="Times New Roman"/>
                <w:bCs/>
                <w:sz w:val="21"/>
                <w:szCs w:val="21"/>
              </w:rPr>
            </w:pPr>
            <w:r>
              <w:rPr>
                <w:rFonts w:hint="eastAsia" w:ascii="宋体" w:hAnsi="宋体" w:eastAsia="宋体" w:cs="Times New Roman"/>
                <w:bCs/>
                <w:sz w:val="21"/>
                <w:szCs w:val="21"/>
              </w:rPr>
              <w:t>积土</w:t>
            </w:r>
          </w:p>
        </w:tc>
        <w:tc>
          <w:tcPr>
            <w:tcW w:w="1080" w:type="dxa"/>
            <w:noWrap w:val="0"/>
            <w:vAlign w:val="center"/>
          </w:tcPr>
          <w:p w14:paraId="672164CE">
            <w:pPr>
              <w:spacing w:line="280" w:lineRule="exact"/>
              <w:ind w:firstLine="0" w:firstLineChars="0"/>
              <w:jc w:val="center"/>
              <w:rPr>
                <w:rFonts w:hint="eastAsia" w:ascii="宋体" w:hAnsi="宋体" w:eastAsia="宋体" w:cs="Times New Roman"/>
                <w:bCs/>
                <w:sz w:val="21"/>
                <w:szCs w:val="21"/>
              </w:rPr>
            </w:pPr>
            <w:r>
              <w:rPr>
                <w:rFonts w:hint="eastAsia" w:ascii="宋体" w:hAnsi="宋体" w:eastAsia="宋体" w:cs="Times New Roman"/>
                <w:bCs/>
                <w:sz w:val="21"/>
                <w:szCs w:val="21"/>
              </w:rPr>
              <w:t>强风化</w:t>
            </w:r>
          </w:p>
          <w:p w14:paraId="3AD6877F">
            <w:pPr>
              <w:spacing w:line="280" w:lineRule="exact"/>
              <w:ind w:firstLine="0" w:firstLineChars="0"/>
              <w:jc w:val="center"/>
              <w:rPr>
                <w:rFonts w:hint="eastAsia" w:ascii="宋体" w:hAnsi="宋体" w:eastAsia="宋体" w:cs="Times New Roman"/>
                <w:bCs/>
                <w:sz w:val="21"/>
                <w:szCs w:val="21"/>
              </w:rPr>
            </w:pPr>
            <w:r>
              <w:rPr>
                <w:rFonts w:hint="eastAsia" w:ascii="宋体" w:hAnsi="宋体" w:eastAsia="宋体" w:cs="Times New Roman"/>
                <w:bCs/>
                <w:sz w:val="21"/>
                <w:szCs w:val="21"/>
              </w:rPr>
              <w:t>角砾岩</w:t>
            </w:r>
          </w:p>
        </w:tc>
        <w:tc>
          <w:tcPr>
            <w:tcW w:w="1209" w:type="dxa"/>
            <w:noWrap w:val="0"/>
            <w:vAlign w:val="center"/>
          </w:tcPr>
          <w:p w14:paraId="0D726D66">
            <w:pPr>
              <w:spacing w:line="280" w:lineRule="exact"/>
              <w:ind w:firstLine="0" w:firstLineChars="0"/>
              <w:jc w:val="center"/>
              <w:rPr>
                <w:rFonts w:hint="eastAsia" w:ascii="宋体" w:hAnsi="宋体" w:eastAsia="宋体" w:cs="Times New Roman"/>
                <w:bCs/>
                <w:sz w:val="21"/>
                <w:szCs w:val="21"/>
              </w:rPr>
            </w:pPr>
            <w:r>
              <w:rPr>
                <w:rFonts w:hint="eastAsia" w:ascii="宋体" w:hAnsi="宋体" w:eastAsia="宋体" w:cs="Times New Roman"/>
                <w:bCs/>
                <w:sz w:val="21"/>
                <w:szCs w:val="21"/>
              </w:rPr>
              <w:t>中风化</w:t>
            </w:r>
          </w:p>
          <w:p w14:paraId="464E98CD">
            <w:pPr>
              <w:spacing w:line="280" w:lineRule="exact"/>
              <w:ind w:firstLine="0" w:firstLineChars="0"/>
              <w:jc w:val="center"/>
              <w:rPr>
                <w:rFonts w:hint="eastAsia" w:ascii="宋体" w:hAnsi="宋体" w:eastAsia="宋体" w:cs="Times New Roman"/>
                <w:bCs/>
                <w:sz w:val="21"/>
                <w:szCs w:val="21"/>
              </w:rPr>
            </w:pPr>
            <w:r>
              <w:rPr>
                <w:rFonts w:hint="eastAsia" w:ascii="宋体" w:hAnsi="宋体" w:eastAsia="宋体" w:cs="Times New Roman"/>
                <w:bCs/>
                <w:sz w:val="21"/>
                <w:szCs w:val="21"/>
              </w:rPr>
              <w:t>角砾岩</w:t>
            </w:r>
          </w:p>
        </w:tc>
        <w:tc>
          <w:tcPr>
            <w:tcW w:w="1181" w:type="dxa"/>
            <w:noWrap w:val="0"/>
            <w:vAlign w:val="center"/>
          </w:tcPr>
          <w:p w14:paraId="37FEB6CB">
            <w:pPr>
              <w:spacing w:line="280" w:lineRule="exact"/>
              <w:ind w:firstLine="0" w:firstLineChars="0"/>
              <w:jc w:val="center"/>
              <w:rPr>
                <w:rFonts w:hint="eastAsia" w:ascii="宋体" w:hAnsi="宋体" w:eastAsia="宋体" w:cs="Times New Roman"/>
                <w:bCs/>
                <w:sz w:val="21"/>
                <w:szCs w:val="21"/>
              </w:rPr>
            </w:pPr>
            <w:r>
              <w:rPr>
                <w:rFonts w:hint="eastAsia" w:ascii="宋体" w:hAnsi="宋体" w:eastAsia="宋体" w:cs="Times New Roman"/>
                <w:bCs/>
                <w:sz w:val="21"/>
                <w:szCs w:val="21"/>
              </w:rPr>
              <w:t>强风化</w:t>
            </w:r>
          </w:p>
          <w:p w14:paraId="529C5C08">
            <w:pPr>
              <w:spacing w:line="280" w:lineRule="exact"/>
              <w:ind w:firstLine="0" w:firstLineChars="0"/>
              <w:jc w:val="center"/>
              <w:rPr>
                <w:rFonts w:hint="eastAsia" w:ascii="宋体" w:hAnsi="宋体" w:eastAsia="宋体" w:cs="Times New Roman"/>
                <w:bCs/>
                <w:sz w:val="21"/>
                <w:szCs w:val="21"/>
              </w:rPr>
            </w:pPr>
            <w:r>
              <w:rPr>
                <w:rFonts w:hint="eastAsia" w:ascii="宋体" w:hAnsi="宋体" w:eastAsia="宋体" w:cs="Times New Roman"/>
                <w:bCs/>
                <w:sz w:val="21"/>
                <w:szCs w:val="21"/>
              </w:rPr>
              <w:t>千枚岩</w:t>
            </w:r>
          </w:p>
        </w:tc>
        <w:tc>
          <w:tcPr>
            <w:tcW w:w="1095" w:type="dxa"/>
            <w:noWrap w:val="0"/>
            <w:vAlign w:val="center"/>
          </w:tcPr>
          <w:p w14:paraId="3B8613E7">
            <w:pPr>
              <w:spacing w:line="280" w:lineRule="exact"/>
              <w:ind w:firstLine="0" w:firstLineChars="0"/>
              <w:jc w:val="center"/>
              <w:rPr>
                <w:rFonts w:hint="eastAsia" w:ascii="宋体" w:hAnsi="宋体" w:eastAsia="宋体" w:cs="Times New Roman"/>
                <w:bCs/>
                <w:sz w:val="21"/>
                <w:szCs w:val="21"/>
              </w:rPr>
            </w:pPr>
            <w:r>
              <w:rPr>
                <w:rFonts w:hint="eastAsia" w:ascii="宋体" w:hAnsi="宋体" w:eastAsia="宋体" w:cs="Times New Roman"/>
                <w:bCs/>
                <w:sz w:val="21"/>
                <w:szCs w:val="21"/>
              </w:rPr>
              <w:t>中风化</w:t>
            </w:r>
          </w:p>
          <w:p w14:paraId="237B6CF2">
            <w:pPr>
              <w:spacing w:line="280" w:lineRule="exact"/>
              <w:ind w:firstLine="0" w:firstLineChars="0"/>
              <w:jc w:val="center"/>
              <w:rPr>
                <w:rFonts w:hint="eastAsia" w:ascii="宋体" w:hAnsi="宋体" w:eastAsia="宋体" w:cs="Times New Roman"/>
                <w:bCs/>
                <w:sz w:val="21"/>
                <w:szCs w:val="21"/>
              </w:rPr>
            </w:pPr>
            <w:r>
              <w:rPr>
                <w:rFonts w:hint="eastAsia" w:ascii="宋体" w:hAnsi="宋体" w:eastAsia="宋体" w:cs="Times New Roman"/>
                <w:bCs/>
                <w:sz w:val="21"/>
                <w:szCs w:val="21"/>
              </w:rPr>
              <w:t>千枚岩</w:t>
            </w:r>
          </w:p>
        </w:tc>
      </w:tr>
      <w:tr w14:paraId="53585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93" w:type="dxa"/>
            <w:gridSpan w:val="3"/>
            <w:noWrap w:val="0"/>
            <w:vAlign w:val="center"/>
          </w:tcPr>
          <w:p w14:paraId="3156727A">
            <w:pPr>
              <w:spacing w:line="280" w:lineRule="exact"/>
              <w:ind w:firstLine="0" w:firstLineChars="0"/>
              <w:jc w:val="center"/>
              <w:rPr>
                <w:rFonts w:ascii="Times New Roman" w:hAnsi="Times New Roman" w:eastAsia="宋体" w:cs="Times New Roman"/>
                <w:bCs/>
                <w:sz w:val="21"/>
                <w:szCs w:val="21"/>
              </w:rPr>
            </w:pPr>
            <w:r>
              <w:rPr>
                <w:rFonts w:ascii="Times New Roman" w:hAnsi="宋体" w:eastAsia="宋体" w:cs="Times New Roman"/>
                <w:bCs/>
                <w:sz w:val="21"/>
                <w:szCs w:val="21"/>
              </w:rPr>
              <w:t>容重（</w:t>
            </w:r>
            <w:r>
              <w:rPr>
                <w:rFonts w:ascii="Times New Roman" w:hAnsi="Times New Roman" w:eastAsia="宋体" w:cs="Times New Roman"/>
                <w:kern w:val="0"/>
                <w:sz w:val="21"/>
                <w:szCs w:val="21"/>
              </w:rPr>
              <w:t>kN/m</w:t>
            </w:r>
            <w:r>
              <w:rPr>
                <w:rFonts w:ascii="Times New Roman" w:hAnsi="Times New Roman" w:eastAsia="宋体" w:cs="Times New Roman"/>
                <w:kern w:val="0"/>
                <w:sz w:val="21"/>
                <w:szCs w:val="21"/>
                <w:vertAlign w:val="superscript"/>
              </w:rPr>
              <w:t>3</w:t>
            </w:r>
            <w:r>
              <w:rPr>
                <w:rFonts w:ascii="Times New Roman" w:hAnsi="宋体" w:eastAsia="宋体" w:cs="Times New Roman"/>
                <w:bCs/>
                <w:sz w:val="21"/>
                <w:szCs w:val="21"/>
              </w:rPr>
              <w:t>）</w:t>
            </w:r>
          </w:p>
        </w:tc>
        <w:tc>
          <w:tcPr>
            <w:tcW w:w="913" w:type="dxa"/>
            <w:noWrap w:val="0"/>
            <w:vAlign w:val="center"/>
          </w:tcPr>
          <w:p w14:paraId="2BEB4231">
            <w:pPr>
              <w:spacing w:line="280" w:lineRule="exact"/>
              <w:ind w:firstLine="0" w:firstLineChars="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18.86</w:t>
            </w:r>
          </w:p>
        </w:tc>
        <w:tc>
          <w:tcPr>
            <w:tcW w:w="887" w:type="dxa"/>
            <w:noWrap w:val="0"/>
            <w:vAlign w:val="center"/>
          </w:tcPr>
          <w:p w14:paraId="300AC919">
            <w:pPr>
              <w:spacing w:line="280" w:lineRule="exact"/>
              <w:ind w:firstLine="0" w:firstLineChars="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18</w:t>
            </w:r>
          </w:p>
        </w:tc>
        <w:tc>
          <w:tcPr>
            <w:tcW w:w="1080" w:type="dxa"/>
            <w:noWrap w:val="0"/>
            <w:vAlign w:val="center"/>
          </w:tcPr>
          <w:p w14:paraId="0A4D433E">
            <w:pPr>
              <w:spacing w:line="280" w:lineRule="exact"/>
              <w:ind w:firstLine="0" w:firstLineChars="0"/>
              <w:jc w:val="center"/>
              <w:rPr>
                <w:rFonts w:ascii="Times New Roman" w:hAnsi="Times New Roman" w:eastAsia="宋体" w:cs="Times New Roman"/>
                <w:bCs/>
                <w:sz w:val="21"/>
                <w:szCs w:val="21"/>
              </w:rPr>
            </w:pPr>
            <w:r>
              <w:rPr>
                <w:rFonts w:ascii="Times New Roman" w:hAnsi="Times New Roman" w:eastAsia="宋体" w:cs="Times New Roman"/>
                <w:bCs/>
                <w:sz w:val="21"/>
                <w:szCs w:val="21"/>
              </w:rPr>
              <w:t>20</w:t>
            </w:r>
          </w:p>
        </w:tc>
        <w:tc>
          <w:tcPr>
            <w:tcW w:w="1209" w:type="dxa"/>
            <w:noWrap w:val="0"/>
            <w:vAlign w:val="center"/>
          </w:tcPr>
          <w:p w14:paraId="0A69254E">
            <w:pPr>
              <w:spacing w:line="280" w:lineRule="exact"/>
              <w:ind w:firstLine="0" w:firstLineChars="0"/>
              <w:jc w:val="center"/>
              <w:rPr>
                <w:rFonts w:ascii="Times New Roman" w:hAnsi="Times New Roman" w:eastAsia="宋体" w:cs="Times New Roman"/>
                <w:bCs/>
                <w:sz w:val="21"/>
                <w:szCs w:val="21"/>
              </w:rPr>
            </w:pPr>
            <w:r>
              <w:rPr>
                <w:rFonts w:ascii="Times New Roman" w:hAnsi="Times New Roman" w:eastAsia="宋体" w:cs="Times New Roman"/>
                <w:bCs/>
                <w:sz w:val="21"/>
                <w:szCs w:val="21"/>
              </w:rPr>
              <w:t>26</w:t>
            </w:r>
          </w:p>
        </w:tc>
        <w:tc>
          <w:tcPr>
            <w:tcW w:w="1181" w:type="dxa"/>
            <w:noWrap w:val="0"/>
            <w:vAlign w:val="center"/>
          </w:tcPr>
          <w:p w14:paraId="1247F4DE">
            <w:pPr>
              <w:spacing w:line="280" w:lineRule="exact"/>
              <w:ind w:firstLine="210" w:firstLineChars="100"/>
              <w:jc w:val="center"/>
              <w:rPr>
                <w:rFonts w:ascii="Times New Roman" w:hAnsi="Times New Roman" w:eastAsia="宋体" w:cs="Times New Roman"/>
                <w:bCs/>
                <w:sz w:val="21"/>
                <w:szCs w:val="21"/>
              </w:rPr>
            </w:pPr>
            <w:r>
              <w:rPr>
                <w:rFonts w:ascii="Times New Roman" w:hAnsi="Times New Roman" w:eastAsia="宋体" w:cs="Times New Roman"/>
                <w:bCs/>
                <w:sz w:val="21"/>
                <w:szCs w:val="21"/>
              </w:rPr>
              <w:t>23</w:t>
            </w:r>
          </w:p>
        </w:tc>
        <w:tc>
          <w:tcPr>
            <w:tcW w:w="1095" w:type="dxa"/>
            <w:noWrap w:val="0"/>
            <w:vAlign w:val="center"/>
          </w:tcPr>
          <w:p w14:paraId="38D8EAA3">
            <w:pPr>
              <w:spacing w:line="280" w:lineRule="exact"/>
              <w:ind w:firstLine="0" w:firstLineChars="0"/>
              <w:jc w:val="center"/>
              <w:rPr>
                <w:rFonts w:ascii="Times New Roman" w:hAnsi="Times New Roman" w:eastAsia="宋体" w:cs="Times New Roman"/>
                <w:bCs/>
                <w:sz w:val="21"/>
                <w:szCs w:val="21"/>
              </w:rPr>
            </w:pPr>
            <w:r>
              <w:rPr>
                <w:rFonts w:ascii="Times New Roman" w:hAnsi="Times New Roman" w:eastAsia="宋体" w:cs="Times New Roman"/>
                <w:bCs/>
                <w:sz w:val="21"/>
                <w:szCs w:val="21"/>
              </w:rPr>
              <w:t>25.4</w:t>
            </w:r>
          </w:p>
        </w:tc>
      </w:tr>
      <w:tr w14:paraId="4B5F7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93" w:type="dxa"/>
            <w:gridSpan w:val="3"/>
            <w:noWrap w:val="0"/>
            <w:vAlign w:val="center"/>
          </w:tcPr>
          <w:p w14:paraId="15692B2E">
            <w:pPr>
              <w:spacing w:line="280" w:lineRule="exact"/>
              <w:ind w:firstLine="0" w:firstLineChars="0"/>
              <w:rPr>
                <w:rFonts w:hint="eastAsia" w:ascii="Times New Roman" w:hAnsi="宋体" w:eastAsia="宋体" w:cs="Times New Roman"/>
                <w:bCs/>
                <w:sz w:val="21"/>
                <w:szCs w:val="21"/>
              </w:rPr>
            </w:pPr>
            <w:r>
              <w:rPr>
                <w:rFonts w:ascii="Times New Roman" w:hAnsi="宋体" w:eastAsia="宋体" w:cs="Times New Roman"/>
                <w:bCs/>
                <w:sz w:val="21"/>
                <w:szCs w:val="21"/>
              </w:rPr>
              <w:t>承载力特征值</w:t>
            </w:r>
            <w:r>
              <w:rPr>
                <w:rFonts w:ascii="Times New Roman" w:hAnsi="Times New Roman" w:eastAsia="宋体" w:cs="Times New Roman"/>
                <w:spacing w:val="10"/>
                <w:sz w:val="21"/>
                <w:szCs w:val="21"/>
              </w:rPr>
              <w:t>f</w:t>
            </w:r>
            <w:r>
              <w:rPr>
                <w:rFonts w:ascii="Times New Roman" w:hAnsi="Times New Roman" w:eastAsia="宋体" w:cs="Times New Roman"/>
                <w:spacing w:val="10"/>
                <w:sz w:val="21"/>
                <w:szCs w:val="21"/>
                <w:vertAlign w:val="subscript"/>
              </w:rPr>
              <w:t>k</w:t>
            </w:r>
            <w:r>
              <w:rPr>
                <w:rFonts w:hint="eastAsia" w:ascii="Times New Roman" w:hAnsi="宋体" w:eastAsia="宋体" w:cs="Times New Roman"/>
                <w:sz w:val="21"/>
                <w:szCs w:val="21"/>
              </w:rPr>
              <w:t>（</w:t>
            </w:r>
            <w:r>
              <w:rPr>
                <w:rFonts w:ascii="Times New Roman" w:hAnsi="Times New Roman" w:eastAsia="宋体" w:cs="Times New Roman"/>
                <w:sz w:val="21"/>
                <w:szCs w:val="21"/>
              </w:rPr>
              <w:t>k</w:t>
            </w:r>
            <w:r>
              <w:rPr>
                <w:rFonts w:hint="eastAsia" w:ascii="Times New Roman" w:hAnsi="Times New Roman" w:eastAsia="宋体" w:cs="Times New Roman"/>
                <w:sz w:val="21"/>
                <w:szCs w:val="21"/>
              </w:rPr>
              <w:t>P</w:t>
            </w:r>
            <w:r>
              <w:rPr>
                <w:rFonts w:ascii="Times New Roman" w:hAnsi="Times New Roman" w:eastAsia="宋体" w:cs="Times New Roman"/>
                <w:sz w:val="21"/>
                <w:szCs w:val="21"/>
              </w:rPr>
              <w:t>a</w:t>
            </w:r>
            <w:r>
              <w:rPr>
                <w:rFonts w:hint="eastAsia" w:ascii="Times New Roman" w:hAnsi="宋体" w:eastAsia="宋体" w:cs="Times New Roman"/>
                <w:sz w:val="21"/>
                <w:szCs w:val="21"/>
              </w:rPr>
              <w:t>）</w:t>
            </w:r>
          </w:p>
        </w:tc>
        <w:tc>
          <w:tcPr>
            <w:tcW w:w="913" w:type="dxa"/>
            <w:noWrap w:val="0"/>
            <w:vAlign w:val="center"/>
          </w:tcPr>
          <w:p w14:paraId="1ECE0697">
            <w:pPr>
              <w:spacing w:line="280" w:lineRule="exact"/>
              <w:ind w:firstLine="0" w:firstLineChars="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160</w:t>
            </w:r>
          </w:p>
        </w:tc>
        <w:tc>
          <w:tcPr>
            <w:tcW w:w="887" w:type="dxa"/>
            <w:noWrap w:val="0"/>
            <w:vAlign w:val="center"/>
          </w:tcPr>
          <w:p w14:paraId="0ADBA3A4">
            <w:pPr>
              <w:spacing w:line="280" w:lineRule="exact"/>
              <w:ind w:firstLine="0" w:firstLineChars="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140</w:t>
            </w:r>
          </w:p>
        </w:tc>
        <w:tc>
          <w:tcPr>
            <w:tcW w:w="1080" w:type="dxa"/>
            <w:noWrap w:val="0"/>
            <w:vAlign w:val="center"/>
          </w:tcPr>
          <w:p w14:paraId="3556C8A2">
            <w:pPr>
              <w:spacing w:line="280" w:lineRule="exact"/>
              <w:ind w:firstLine="0" w:firstLineChars="0"/>
              <w:jc w:val="center"/>
              <w:rPr>
                <w:rFonts w:ascii="Times New Roman" w:hAnsi="Times New Roman" w:eastAsia="宋体" w:cs="Times New Roman"/>
                <w:bCs/>
                <w:sz w:val="21"/>
                <w:szCs w:val="21"/>
              </w:rPr>
            </w:pPr>
            <w:r>
              <w:rPr>
                <w:rFonts w:ascii="Times New Roman" w:hAnsi="Times New Roman" w:eastAsia="宋体" w:cs="Times New Roman"/>
                <w:bCs/>
                <w:sz w:val="21"/>
                <w:szCs w:val="21"/>
              </w:rPr>
              <w:t>280</w:t>
            </w:r>
          </w:p>
        </w:tc>
        <w:tc>
          <w:tcPr>
            <w:tcW w:w="1209" w:type="dxa"/>
            <w:noWrap w:val="0"/>
            <w:vAlign w:val="center"/>
          </w:tcPr>
          <w:p w14:paraId="6E58A7E8">
            <w:pPr>
              <w:spacing w:line="280" w:lineRule="exact"/>
              <w:ind w:firstLine="0" w:firstLineChars="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1000</w:t>
            </w:r>
          </w:p>
        </w:tc>
        <w:tc>
          <w:tcPr>
            <w:tcW w:w="1181" w:type="dxa"/>
            <w:noWrap w:val="0"/>
            <w:vAlign w:val="center"/>
          </w:tcPr>
          <w:p w14:paraId="3B3AC24B">
            <w:pPr>
              <w:spacing w:line="280" w:lineRule="exact"/>
              <w:ind w:firstLine="0" w:firstLineChars="0"/>
              <w:jc w:val="center"/>
              <w:rPr>
                <w:rFonts w:ascii="Times New Roman" w:hAnsi="Times New Roman" w:eastAsia="宋体" w:cs="Times New Roman"/>
                <w:bCs/>
                <w:sz w:val="21"/>
                <w:szCs w:val="21"/>
              </w:rPr>
            </w:pPr>
            <w:r>
              <w:rPr>
                <w:rFonts w:ascii="Times New Roman" w:hAnsi="Times New Roman" w:eastAsia="宋体" w:cs="Times New Roman"/>
                <w:bCs/>
                <w:sz w:val="21"/>
                <w:szCs w:val="21"/>
              </w:rPr>
              <w:t>280</w:t>
            </w:r>
          </w:p>
        </w:tc>
        <w:tc>
          <w:tcPr>
            <w:tcW w:w="1095" w:type="dxa"/>
            <w:noWrap w:val="0"/>
            <w:vAlign w:val="center"/>
          </w:tcPr>
          <w:p w14:paraId="3DF571A0">
            <w:pPr>
              <w:spacing w:line="280" w:lineRule="exact"/>
              <w:ind w:firstLine="0" w:firstLineChars="0"/>
              <w:jc w:val="center"/>
              <w:rPr>
                <w:rFonts w:ascii="Times New Roman" w:hAnsi="Times New Roman" w:eastAsia="宋体" w:cs="Times New Roman"/>
                <w:bCs/>
                <w:sz w:val="21"/>
                <w:szCs w:val="21"/>
              </w:rPr>
            </w:pPr>
            <w:r>
              <w:rPr>
                <w:rFonts w:ascii="Times New Roman" w:hAnsi="Times New Roman" w:eastAsia="宋体" w:cs="Times New Roman"/>
                <w:bCs/>
                <w:sz w:val="21"/>
                <w:szCs w:val="21"/>
              </w:rPr>
              <w:t>900</w:t>
            </w:r>
          </w:p>
        </w:tc>
      </w:tr>
      <w:tr w14:paraId="19C93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93" w:type="dxa"/>
            <w:gridSpan w:val="3"/>
            <w:noWrap w:val="0"/>
            <w:vAlign w:val="center"/>
          </w:tcPr>
          <w:p w14:paraId="1FFA6B89">
            <w:pPr>
              <w:spacing w:line="240" w:lineRule="auto"/>
              <w:ind w:firstLine="0" w:firstLineChars="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渗透系数</w:t>
            </w:r>
            <w:r>
              <w:rPr>
                <w:rFonts w:ascii="Times New Roman" w:hAnsi="Times New Roman" w:eastAsia="宋体" w:cs="Times New Roman"/>
                <w:sz w:val="21"/>
                <w:szCs w:val="21"/>
              </w:rPr>
              <w:t>k</w:t>
            </w:r>
            <w:r>
              <w:rPr>
                <w:rFonts w:ascii="Times New Roman" w:hAnsi="宋体" w:eastAsia="宋体" w:cs="Times New Roman"/>
                <w:bCs/>
                <w:sz w:val="21"/>
                <w:szCs w:val="21"/>
              </w:rPr>
              <w:t>（</w:t>
            </w:r>
            <w:r>
              <w:rPr>
                <w:rFonts w:hint="eastAsia" w:ascii="Times New Roman" w:hAnsi="Times New Roman" w:eastAsia="宋体" w:cs="Times New Roman"/>
                <w:kern w:val="0"/>
                <w:sz w:val="21"/>
                <w:szCs w:val="21"/>
              </w:rPr>
              <w:t>cm</w:t>
            </w:r>
            <w:r>
              <w:rPr>
                <w:rFonts w:ascii="Times New Roman" w:hAnsi="Times New Roman" w:eastAsia="宋体" w:cs="Times New Roman"/>
                <w:kern w:val="0"/>
                <w:sz w:val="21"/>
                <w:szCs w:val="21"/>
              </w:rPr>
              <w:t>/</w:t>
            </w:r>
            <w:r>
              <w:rPr>
                <w:rFonts w:hint="eastAsia" w:ascii="Times New Roman" w:hAnsi="Times New Roman" w:eastAsia="宋体" w:cs="Times New Roman"/>
                <w:kern w:val="0"/>
                <w:sz w:val="21"/>
                <w:szCs w:val="21"/>
              </w:rPr>
              <w:t>s</w:t>
            </w:r>
            <w:r>
              <w:rPr>
                <w:rFonts w:ascii="Times New Roman" w:hAnsi="宋体" w:eastAsia="宋体" w:cs="Times New Roman"/>
                <w:bCs/>
                <w:sz w:val="21"/>
                <w:szCs w:val="21"/>
              </w:rPr>
              <w:t>）</w:t>
            </w:r>
          </w:p>
        </w:tc>
        <w:tc>
          <w:tcPr>
            <w:tcW w:w="913" w:type="dxa"/>
            <w:noWrap w:val="0"/>
            <w:vAlign w:val="center"/>
          </w:tcPr>
          <w:p w14:paraId="4C8BC782">
            <w:pPr>
              <w:spacing w:line="280" w:lineRule="exact"/>
              <w:ind w:firstLine="0" w:firstLineChars="0"/>
              <w:jc w:val="center"/>
              <w:rPr>
                <w:rFonts w:ascii="Times New Roman" w:hAnsi="Times New Roman" w:eastAsia="宋体" w:cs="Times New Roman"/>
                <w:bCs/>
                <w:sz w:val="21"/>
                <w:szCs w:val="21"/>
              </w:rPr>
            </w:pPr>
            <w:r>
              <w:rPr>
                <w:rFonts w:ascii="Times New Roman" w:hAnsi="Times New Roman" w:eastAsia="宋体" w:cs="Times New Roman"/>
                <w:spacing w:val="-20"/>
                <w:sz w:val="21"/>
                <w:szCs w:val="21"/>
              </w:rPr>
              <w:t>7.0×</w:t>
            </w:r>
            <w:r>
              <w:rPr>
                <w:rFonts w:ascii="Times New Roman" w:hAnsi="Times New Roman" w:eastAsia="仿宋_GB2312" w:cs="Times New Roman"/>
                <w:sz w:val="21"/>
                <w:szCs w:val="21"/>
              </w:rPr>
              <w:t>10</w:t>
            </w:r>
            <w:r>
              <w:rPr>
                <w:rFonts w:ascii="Times New Roman" w:hAnsi="Times New Roman" w:eastAsia="仿宋_GB2312" w:cs="Times New Roman"/>
                <w:sz w:val="21"/>
                <w:szCs w:val="21"/>
                <w:vertAlign w:val="superscript"/>
              </w:rPr>
              <w:t>-4</w:t>
            </w:r>
          </w:p>
        </w:tc>
        <w:tc>
          <w:tcPr>
            <w:tcW w:w="887" w:type="dxa"/>
            <w:noWrap w:val="0"/>
            <w:vAlign w:val="center"/>
          </w:tcPr>
          <w:p w14:paraId="724B9D93">
            <w:pPr>
              <w:spacing w:line="280" w:lineRule="exact"/>
              <w:ind w:firstLine="0" w:firstLineChars="0"/>
              <w:rPr>
                <w:rFonts w:ascii="Times New Roman" w:hAnsi="Times New Roman" w:eastAsia="宋体" w:cs="Times New Roman"/>
                <w:bCs/>
                <w:sz w:val="21"/>
                <w:szCs w:val="21"/>
              </w:rPr>
            </w:pPr>
            <w:r>
              <w:rPr>
                <w:rFonts w:ascii="Times New Roman" w:hAnsi="Times New Roman" w:eastAsia="宋体" w:cs="Times New Roman"/>
                <w:spacing w:val="-20"/>
                <w:sz w:val="21"/>
                <w:szCs w:val="21"/>
              </w:rPr>
              <w:t>7.0×</w:t>
            </w:r>
            <w:r>
              <w:rPr>
                <w:rFonts w:ascii="Times New Roman" w:hAnsi="Times New Roman" w:eastAsia="仿宋_GB2312" w:cs="Times New Roman"/>
                <w:sz w:val="21"/>
                <w:szCs w:val="21"/>
              </w:rPr>
              <w:t>10</w:t>
            </w:r>
            <w:r>
              <w:rPr>
                <w:rFonts w:ascii="Times New Roman" w:hAnsi="Times New Roman" w:eastAsia="仿宋_GB2312" w:cs="Times New Roman"/>
                <w:sz w:val="21"/>
                <w:szCs w:val="21"/>
                <w:vertAlign w:val="superscript"/>
              </w:rPr>
              <w:t>-4</w:t>
            </w:r>
          </w:p>
        </w:tc>
        <w:tc>
          <w:tcPr>
            <w:tcW w:w="1080" w:type="dxa"/>
            <w:noWrap w:val="0"/>
            <w:vAlign w:val="center"/>
          </w:tcPr>
          <w:p w14:paraId="4DACCDA1">
            <w:pPr>
              <w:spacing w:line="280" w:lineRule="exact"/>
              <w:ind w:firstLine="0" w:firstLineChars="0"/>
              <w:jc w:val="center"/>
              <w:rPr>
                <w:rFonts w:ascii="Times New Roman" w:hAnsi="Times New Roman" w:eastAsia="宋体" w:cs="Times New Roman"/>
                <w:bCs/>
                <w:sz w:val="21"/>
                <w:szCs w:val="21"/>
              </w:rPr>
            </w:pPr>
            <w:r>
              <w:rPr>
                <w:rFonts w:ascii="Times New Roman" w:hAnsi="Times New Roman" w:eastAsia="仿宋_GB2312" w:cs="Times New Roman"/>
                <w:sz w:val="21"/>
                <w:szCs w:val="21"/>
              </w:rPr>
              <w:t>3.34×10</w:t>
            </w:r>
            <w:r>
              <w:rPr>
                <w:rFonts w:ascii="Times New Roman" w:hAnsi="Times New Roman" w:eastAsia="仿宋_GB2312" w:cs="Times New Roman"/>
                <w:sz w:val="21"/>
                <w:szCs w:val="21"/>
                <w:vertAlign w:val="superscript"/>
              </w:rPr>
              <w:t>-4</w:t>
            </w:r>
          </w:p>
        </w:tc>
        <w:tc>
          <w:tcPr>
            <w:tcW w:w="1209" w:type="dxa"/>
            <w:noWrap w:val="0"/>
            <w:vAlign w:val="center"/>
          </w:tcPr>
          <w:p w14:paraId="643D32F8">
            <w:pPr>
              <w:spacing w:line="280" w:lineRule="exact"/>
              <w:ind w:firstLine="0" w:firstLineChars="0"/>
              <w:jc w:val="center"/>
              <w:rPr>
                <w:rFonts w:ascii="Times New Roman" w:hAnsi="Times New Roman" w:eastAsia="宋体" w:cs="Times New Roman"/>
                <w:bCs/>
                <w:sz w:val="21"/>
                <w:szCs w:val="21"/>
              </w:rPr>
            </w:pPr>
            <w:r>
              <w:rPr>
                <w:rFonts w:ascii="Times New Roman" w:hAnsi="Times New Roman" w:eastAsia="仿宋_GB2312" w:cs="Times New Roman"/>
                <w:sz w:val="21"/>
                <w:szCs w:val="21"/>
              </w:rPr>
              <w:t>1.51×10</w:t>
            </w:r>
            <w:r>
              <w:rPr>
                <w:rFonts w:ascii="Times New Roman" w:hAnsi="Times New Roman" w:eastAsia="仿宋_GB2312" w:cs="Times New Roman"/>
                <w:sz w:val="21"/>
                <w:szCs w:val="21"/>
                <w:vertAlign w:val="superscript"/>
              </w:rPr>
              <w:t>-4</w:t>
            </w:r>
          </w:p>
        </w:tc>
        <w:tc>
          <w:tcPr>
            <w:tcW w:w="1181" w:type="dxa"/>
            <w:noWrap w:val="0"/>
            <w:vAlign w:val="center"/>
          </w:tcPr>
          <w:p w14:paraId="0FBED8FC">
            <w:pPr>
              <w:spacing w:line="280" w:lineRule="exact"/>
              <w:ind w:firstLine="0" w:firstLineChars="0"/>
              <w:jc w:val="center"/>
              <w:rPr>
                <w:rFonts w:ascii="Times New Roman" w:hAnsi="Times New Roman" w:eastAsia="宋体" w:cs="Times New Roman"/>
                <w:bCs/>
                <w:sz w:val="21"/>
                <w:szCs w:val="21"/>
              </w:rPr>
            </w:pPr>
            <w:r>
              <w:rPr>
                <w:rFonts w:ascii="Times New Roman" w:hAnsi="Times New Roman" w:eastAsia="仿宋_GB2312" w:cs="Times New Roman"/>
                <w:sz w:val="21"/>
                <w:szCs w:val="21"/>
              </w:rPr>
              <w:t>1.51×10</w:t>
            </w:r>
            <w:r>
              <w:rPr>
                <w:rFonts w:ascii="Times New Roman" w:hAnsi="Times New Roman" w:eastAsia="仿宋_GB2312" w:cs="Times New Roman"/>
                <w:sz w:val="21"/>
                <w:szCs w:val="21"/>
                <w:vertAlign w:val="superscript"/>
              </w:rPr>
              <w:t>-4</w:t>
            </w:r>
          </w:p>
        </w:tc>
        <w:tc>
          <w:tcPr>
            <w:tcW w:w="1095" w:type="dxa"/>
            <w:noWrap w:val="0"/>
            <w:vAlign w:val="center"/>
          </w:tcPr>
          <w:p w14:paraId="3D92CF6B">
            <w:pPr>
              <w:spacing w:line="280" w:lineRule="exact"/>
              <w:ind w:firstLine="0" w:firstLineChars="0"/>
              <w:jc w:val="center"/>
              <w:rPr>
                <w:rFonts w:ascii="Times New Roman" w:hAnsi="Times New Roman" w:eastAsia="宋体" w:cs="Times New Roman"/>
                <w:bCs/>
                <w:sz w:val="21"/>
                <w:szCs w:val="21"/>
              </w:rPr>
            </w:pPr>
            <w:r>
              <w:rPr>
                <w:rFonts w:ascii="Times New Roman" w:hAnsi="Times New Roman" w:eastAsia="仿宋_GB2312" w:cs="Times New Roman"/>
                <w:sz w:val="21"/>
                <w:szCs w:val="21"/>
              </w:rPr>
              <w:t>2.44×10</w:t>
            </w:r>
            <w:r>
              <w:rPr>
                <w:rFonts w:ascii="Times New Roman" w:hAnsi="Times New Roman" w:eastAsia="仿宋_GB2312" w:cs="Times New Roman"/>
                <w:sz w:val="21"/>
                <w:szCs w:val="21"/>
                <w:vertAlign w:val="superscript"/>
              </w:rPr>
              <w:t>-4</w:t>
            </w:r>
          </w:p>
        </w:tc>
      </w:tr>
      <w:tr w14:paraId="0A472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3" w:type="dxa"/>
            <w:vMerge w:val="restart"/>
            <w:noWrap w:val="0"/>
            <w:vAlign w:val="center"/>
          </w:tcPr>
          <w:p w14:paraId="38239889">
            <w:pPr>
              <w:spacing w:line="280" w:lineRule="exact"/>
              <w:ind w:firstLine="0" w:firstLineChars="0"/>
              <w:jc w:val="center"/>
              <w:rPr>
                <w:rFonts w:ascii="Times New Roman" w:hAnsi="Times New Roman" w:eastAsia="宋体" w:cs="Times New Roman"/>
                <w:bCs/>
                <w:sz w:val="21"/>
                <w:szCs w:val="21"/>
              </w:rPr>
            </w:pPr>
            <w:r>
              <w:rPr>
                <w:rFonts w:ascii="Times New Roman" w:hAnsi="宋体" w:eastAsia="宋体" w:cs="Times New Roman"/>
                <w:bCs/>
                <w:sz w:val="21"/>
                <w:szCs w:val="21"/>
              </w:rPr>
              <w:t>抗</w:t>
            </w:r>
          </w:p>
          <w:p w14:paraId="314F1947">
            <w:pPr>
              <w:spacing w:line="280" w:lineRule="exact"/>
              <w:ind w:firstLine="0" w:firstLineChars="0"/>
              <w:jc w:val="center"/>
              <w:rPr>
                <w:rFonts w:ascii="Times New Roman" w:hAnsi="Times New Roman" w:eastAsia="宋体" w:cs="Times New Roman"/>
                <w:bCs/>
                <w:sz w:val="21"/>
                <w:szCs w:val="21"/>
              </w:rPr>
            </w:pPr>
            <w:r>
              <w:rPr>
                <w:rFonts w:ascii="Times New Roman" w:hAnsi="宋体" w:eastAsia="宋体" w:cs="Times New Roman"/>
                <w:bCs/>
                <w:sz w:val="21"/>
                <w:szCs w:val="21"/>
              </w:rPr>
              <w:t>剪</w:t>
            </w:r>
          </w:p>
          <w:p w14:paraId="13EA74B9">
            <w:pPr>
              <w:spacing w:line="280" w:lineRule="exact"/>
              <w:ind w:firstLine="0" w:firstLineChars="0"/>
              <w:jc w:val="center"/>
              <w:rPr>
                <w:rFonts w:ascii="Times New Roman" w:hAnsi="Times New Roman" w:eastAsia="宋体" w:cs="Times New Roman"/>
                <w:bCs/>
                <w:sz w:val="21"/>
                <w:szCs w:val="21"/>
              </w:rPr>
            </w:pPr>
            <w:r>
              <w:rPr>
                <w:rFonts w:ascii="Times New Roman" w:hAnsi="宋体" w:eastAsia="宋体" w:cs="Times New Roman"/>
                <w:bCs/>
                <w:sz w:val="21"/>
                <w:szCs w:val="21"/>
              </w:rPr>
              <w:t>断</w:t>
            </w:r>
          </w:p>
          <w:p w14:paraId="00382877">
            <w:pPr>
              <w:spacing w:line="280" w:lineRule="exact"/>
              <w:ind w:firstLine="0" w:firstLineChars="0"/>
              <w:jc w:val="center"/>
              <w:rPr>
                <w:rFonts w:ascii="Times New Roman" w:hAnsi="Times New Roman" w:eastAsia="宋体" w:cs="Times New Roman"/>
                <w:bCs/>
                <w:sz w:val="21"/>
                <w:szCs w:val="21"/>
              </w:rPr>
            </w:pPr>
            <w:r>
              <w:rPr>
                <w:rFonts w:ascii="Times New Roman" w:hAnsi="宋体" w:eastAsia="宋体" w:cs="Times New Roman"/>
                <w:bCs/>
                <w:sz w:val="21"/>
                <w:szCs w:val="21"/>
              </w:rPr>
              <w:t>强</w:t>
            </w:r>
          </w:p>
          <w:p w14:paraId="530E2F2F">
            <w:pPr>
              <w:spacing w:line="280" w:lineRule="exact"/>
              <w:ind w:firstLine="0" w:firstLineChars="0"/>
              <w:jc w:val="center"/>
              <w:rPr>
                <w:rFonts w:ascii="Times New Roman" w:hAnsi="Times New Roman" w:eastAsia="宋体" w:cs="Times New Roman"/>
                <w:bCs/>
                <w:sz w:val="21"/>
                <w:szCs w:val="21"/>
              </w:rPr>
            </w:pPr>
            <w:r>
              <w:rPr>
                <w:rFonts w:ascii="Times New Roman" w:hAnsi="宋体" w:eastAsia="宋体" w:cs="Times New Roman"/>
                <w:bCs/>
                <w:sz w:val="21"/>
                <w:szCs w:val="21"/>
              </w:rPr>
              <w:t>度</w:t>
            </w:r>
          </w:p>
        </w:tc>
        <w:tc>
          <w:tcPr>
            <w:tcW w:w="720" w:type="dxa"/>
            <w:vMerge w:val="restart"/>
            <w:noWrap w:val="0"/>
            <w:vAlign w:val="center"/>
          </w:tcPr>
          <w:p w14:paraId="4A8CD106">
            <w:pPr>
              <w:widowControl/>
              <w:spacing w:line="280" w:lineRule="exact"/>
              <w:ind w:firstLine="0" w:firstLineChars="0"/>
              <w:jc w:val="center"/>
              <w:rPr>
                <w:rFonts w:ascii="Times New Roman" w:hAnsi="Times New Roman" w:eastAsia="宋体" w:cs="Times New Roman"/>
                <w:bCs/>
                <w:sz w:val="21"/>
                <w:szCs w:val="21"/>
              </w:rPr>
            </w:pPr>
            <w:r>
              <w:rPr>
                <w:rFonts w:ascii="Times New Roman" w:hAnsi="宋体" w:eastAsia="宋体" w:cs="Times New Roman"/>
                <w:bCs/>
                <w:sz w:val="21"/>
                <w:szCs w:val="21"/>
              </w:rPr>
              <w:t>岩体</w:t>
            </w:r>
          </w:p>
        </w:tc>
        <w:tc>
          <w:tcPr>
            <w:tcW w:w="1440" w:type="dxa"/>
            <w:noWrap w:val="0"/>
            <w:vAlign w:val="center"/>
          </w:tcPr>
          <w:p w14:paraId="65806B0B">
            <w:pPr>
              <w:spacing w:line="280" w:lineRule="exact"/>
              <w:ind w:firstLine="0" w:firstLineChars="0"/>
              <w:jc w:val="center"/>
              <w:rPr>
                <w:rFonts w:hint="eastAsia" w:ascii="Times New Roman" w:hAnsi="宋体" w:eastAsia="宋体" w:cs="Times New Roman"/>
                <w:sz w:val="21"/>
                <w:szCs w:val="21"/>
              </w:rPr>
            </w:pPr>
            <w:r>
              <w:rPr>
                <w:rFonts w:ascii="Times New Roman" w:hAnsi="宋体" w:eastAsia="宋体" w:cs="Times New Roman"/>
                <w:sz w:val="21"/>
                <w:szCs w:val="21"/>
              </w:rPr>
              <w:t>凝聚力</w:t>
            </w:r>
          </w:p>
          <w:p w14:paraId="3555A27F">
            <w:pPr>
              <w:spacing w:line="280" w:lineRule="exact"/>
              <w:ind w:firstLine="0" w:firstLineChars="0"/>
              <w:jc w:val="center"/>
              <w:rPr>
                <w:rFonts w:hint="eastAsia" w:ascii="Times New Roman" w:hAnsi="Times New Roman" w:eastAsia="宋体" w:cs="Times New Roman"/>
                <w:bCs/>
                <w:sz w:val="21"/>
                <w:szCs w:val="21"/>
              </w:rPr>
            </w:pPr>
            <w:r>
              <w:rPr>
                <w:rFonts w:ascii="Times New Roman" w:hAnsi="Times New Roman" w:eastAsia="宋体" w:cs="Times New Roman"/>
                <w:sz w:val="21"/>
                <w:szCs w:val="21"/>
              </w:rPr>
              <w:t>c</w:t>
            </w:r>
            <w:r>
              <w:rPr>
                <w:rFonts w:hint="eastAsia" w:ascii="Times New Roman" w:hAnsi="Times New Roman" w:eastAsia="宋体" w:cs="Times New Roman"/>
                <w:sz w:val="21"/>
                <w:szCs w:val="21"/>
              </w:rPr>
              <w:t>（</w:t>
            </w:r>
            <w:r>
              <w:rPr>
                <w:rFonts w:ascii="Times New Roman" w:hAnsi="Times New Roman" w:eastAsia="宋体" w:cs="Times New Roman"/>
                <w:sz w:val="21"/>
                <w:szCs w:val="21"/>
              </w:rPr>
              <w:t>MPa</w:t>
            </w:r>
            <w:r>
              <w:rPr>
                <w:rFonts w:hint="eastAsia" w:ascii="Times New Roman" w:hAnsi="Times New Roman" w:eastAsia="宋体" w:cs="Times New Roman"/>
                <w:sz w:val="21"/>
                <w:szCs w:val="21"/>
              </w:rPr>
              <w:t>）</w:t>
            </w:r>
          </w:p>
        </w:tc>
        <w:tc>
          <w:tcPr>
            <w:tcW w:w="913" w:type="dxa"/>
            <w:noWrap w:val="0"/>
            <w:vAlign w:val="center"/>
          </w:tcPr>
          <w:p w14:paraId="3E87F19B">
            <w:pPr>
              <w:spacing w:line="280" w:lineRule="exact"/>
              <w:ind w:firstLine="0" w:firstLineChars="0"/>
              <w:jc w:val="center"/>
              <w:rPr>
                <w:rFonts w:hint="eastAsia" w:ascii="Times New Roman" w:hAnsi="Times New Roman" w:eastAsia="宋体" w:cs="Times New Roman"/>
                <w:bCs/>
                <w:sz w:val="21"/>
                <w:szCs w:val="21"/>
              </w:rPr>
            </w:pPr>
            <w:r>
              <w:rPr>
                <w:rFonts w:hint="eastAsia" w:ascii="Times New Roman" w:hAnsi="宋体" w:eastAsia="宋体" w:cs="Times New Roman"/>
                <w:bCs/>
                <w:sz w:val="21"/>
                <w:szCs w:val="21"/>
              </w:rPr>
              <w:t>17</w:t>
            </w:r>
          </w:p>
        </w:tc>
        <w:tc>
          <w:tcPr>
            <w:tcW w:w="887" w:type="dxa"/>
            <w:noWrap w:val="0"/>
            <w:vAlign w:val="center"/>
          </w:tcPr>
          <w:p w14:paraId="0A74175F">
            <w:pPr>
              <w:spacing w:line="280" w:lineRule="exact"/>
              <w:ind w:firstLine="0" w:firstLineChars="0"/>
              <w:jc w:val="center"/>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17</w:t>
            </w:r>
          </w:p>
        </w:tc>
        <w:tc>
          <w:tcPr>
            <w:tcW w:w="1080" w:type="dxa"/>
            <w:noWrap w:val="0"/>
            <w:vAlign w:val="center"/>
          </w:tcPr>
          <w:p w14:paraId="17D438AD">
            <w:pPr>
              <w:spacing w:line="280" w:lineRule="exact"/>
              <w:ind w:firstLine="0" w:firstLineChars="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0.05</w:t>
            </w:r>
          </w:p>
        </w:tc>
        <w:tc>
          <w:tcPr>
            <w:tcW w:w="1209" w:type="dxa"/>
            <w:noWrap w:val="0"/>
            <w:vAlign w:val="center"/>
          </w:tcPr>
          <w:p w14:paraId="7950E441">
            <w:pPr>
              <w:spacing w:line="280" w:lineRule="exact"/>
              <w:ind w:firstLine="0" w:firstLineChars="0"/>
              <w:jc w:val="center"/>
              <w:rPr>
                <w:rFonts w:hint="eastAsia"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3.66</w:t>
            </w:r>
          </w:p>
        </w:tc>
        <w:tc>
          <w:tcPr>
            <w:tcW w:w="1181" w:type="dxa"/>
            <w:noWrap w:val="0"/>
            <w:vAlign w:val="center"/>
          </w:tcPr>
          <w:p w14:paraId="7A2B4956">
            <w:pPr>
              <w:spacing w:line="280" w:lineRule="exact"/>
              <w:ind w:firstLine="0" w:firstLineChars="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0.05</w:t>
            </w:r>
          </w:p>
        </w:tc>
        <w:tc>
          <w:tcPr>
            <w:tcW w:w="1095" w:type="dxa"/>
            <w:noWrap w:val="0"/>
            <w:vAlign w:val="center"/>
          </w:tcPr>
          <w:p w14:paraId="7AE9FA45">
            <w:pPr>
              <w:spacing w:line="280" w:lineRule="exact"/>
              <w:ind w:firstLine="0" w:firstLineChars="0"/>
              <w:jc w:val="center"/>
              <w:rPr>
                <w:rFonts w:hint="eastAsia"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2.41</w:t>
            </w:r>
          </w:p>
        </w:tc>
      </w:tr>
      <w:tr w14:paraId="63627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3" w:type="dxa"/>
            <w:vMerge w:val="continue"/>
            <w:noWrap w:val="0"/>
            <w:vAlign w:val="center"/>
          </w:tcPr>
          <w:p w14:paraId="27BE1DFF">
            <w:pPr>
              <w:spacing w:line="280" w:lineRule="exact"/>
              <w:ind w:firstLine="0" w:firstLineChars="0"/>
              <w:jc w:val="center"/>
              <w:rPr>
                <w:rFonts w:ascii="Times New Roman" w:hAnsi="Times New Roman" w:eastAsia="宋体" w:cs="Times New Roman"/>
                <w:bCs/>
                <w:sz w:val="21"/>
                <w:szCs w:val="21"/>
              </w:rPr>
            </w:pPr>
          </w:p>
        </w:tc>
        <w:tc>
          <w:tcPr>
            <w:tcW w:w="720" w:type="dxa"/>
            <w:vMerge w:val="continue"/>
            <w:noWrap w:val="0"/>
            <w:vAlign w:val="center"/>
          </w:tcPr>
          <w:p w14:paraId="1BB6645D">
            <w:pPr>
              <w:spacing w:line="280" w:lineRule="exact"/>
              <w:ind w:firstLine="0" w:firstLineChars="0"/>
              <w:jc w:val="center"/>
              <w:rPr>
                <w:rFonts w:ascii="Times New Roman" w:hAnsi="Times New Roman" w:eastAsia="宋体" w:cs="Times New Roman"/>
                <w:bCs/>
                <w:sz w:val="21"/>
                <w:szCs w:val="21"/>
              </w:rPr>
            </w:pPr>
          </w:p>
        </w:tc>
        <w:tc>
          <w:tcPr>
            <w:tcW w:w="1440" w:type="dxa"/>
            <w:noWrap w:val="0"/>
            <w:vAlign w:val="center"/>
          </w:tcPr>
          <w:p w14:paraId="6FD41AF2">
            <w:pPr>
              <w:spacing w:line="280" w:lineRule="exact"/>
              <w:ind w:firstLine="0" w:firstLineChars="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内摩擦角</w:t>
            </w:r>
          </w:p>
          <w:p w14:paraId="4C38F4D2">
            <w:pPr>
              <w:spacing w:line="280" w:lineRule="exact"/>
              <w:ind w:firstLine="0" w:firstLineChars="0"/>
              <w:jc w:val="center"/>
              <w:rPr>
                <w:rFonts w:hint="eastAsia" w:ascii="Times New Roman" w:hAnsi="Times New Roman" w:eastAsia="宋体" w:cs="Times New Roman"/>
                <w:bCs/>
                <w:sz w:val="21"/>
                <w:szCs w:val="21"/>
              </w:rPr>
            </w:pPr>
            <w:r>
              <w:rPr>
                <w:rFonts w:ascii="Times New Roman" w:hAnsi="Times New Roman" w:eastAsia="宋体" w:cs="Times New Roman"/>
                <w:sz w:val="21"/>
                <w:szCs w:val="21"/>
              </w:rPr>
              <w:t>Ф</w:t>
            </w:r>
            <w:r>
              <w:rPr>
                <w:rFonts w:hint="eastAsia" w:ascii="Times New Roman" w:hAnsi="Times New Roman" w:eastAsia="宋体" w:cs="Times New Roman"/>
                <w:sz w:val="21"/>
                <w:szCs w:val="21"/>
              </w:rPr>
              <w:t>（</w:t>
            </w:r>
            <w:r>
              <w:rPr>
                <w:rFonts w:ascii="Times New Roman" w:hAnsi="Times New Roman" w:eastAsia="宋体" w:cs="Times New Roman"/>
                <w:sz w:val="21"/>
                <w:szCs w:val="21"/>
              </w:rPr>
              <w:t>°</w:t>
            </w:r>
            <w:r>
              <w:rPr>
                <w:rFonts w:hint="eastAsia" w:ascii="Times New Roman" w:hAnsi="Times New Roman" w:eastAsia="宋体" w:cs="Times New Roman"/>
                <w:sz w:val="21"/>
                <w:szCs w:val="21"/>
              </w:rPr>
              <w:t>）</w:t>
            </w:r>
          </w:p>
        </w:tc>
        <w:tc>
          <w:tcPr>
            <w:tcW w:w="913" w:type="dxa"/>
            <w:noWrap w:val="0"/>
            <w:vAlign w:val="center"/>
          </w:tcPr>
          <w:p w14:paraId="60789A9F">
            <w:pPr>
              <w:spacing w:line="280" w:lineRule="exact"/>
              <w:ind w:firstLine="0" w:firstLineChars="0"/>
              <w:jc w:val="center"/>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10</w:t>
            </w:r>
          </w:p>
        </w:tc>
        <w:tc>
          <w:tcPr>
            <w:tcW w:w="887" w:type="dxa"/>
            <w:noWrap w:val="0"/>
            <w:vAlign w:val="center"/>
          </w:tcPr>
          <w:p w14:paraId="2D50D3A0">
            <w:pPr>
              <w:spacing w:line="280" w:lineRule="exact"/>
              <w:ind w:firstLine="0" w:firstLineChars="0"/>
              <w:jc w:val="center"/>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10</w:t>
            </w:r>
          </w:p>
        </w:tc>
        <w:tc>
          <w:tcPr>
            <w:tcW w:w="1080" w:type="dxa"/>
            <w:noWrap w:val="0"/>
            <w:vAlign w:val="center"/>
          </w:tcPr>
          <w:p w14:paraId="085D37E7">
            <w:pPr>
              <w:spacing w:line="280" w:lineRule="exact"/>
              <w:ind w:firstLine="0" w:firstLineChars="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25</w:t>
            </w:r>
          </w:p>
        </w:tc>
        <w:tc>
          <w:tcPr>
            <w:tcW w:w="1209" w:type="dxa"/>
            <w:noWrap w:val="0"/>
            <w:vAlign w:val="center"/>
          </w:tcPr>
          <w:p w14:paraId="78BF0A48">
            <w:pPr>
              <w:spacing w:line="280" w:lineRule="exact"/>
              <w:ind w:firstLine="0" w:firstLineChars="0"/>
              <w:jc w:val="center"/>
              <w:rPr>
                <w:rFonts w:hint="eastAsia"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w:t>
            </w:r>
            <w:r>
              <w:rPr>
                <w:rFonts w:hint="eastAsia" w:ascii="Times New Roman" w:hAnsi="Times New Roman" w:eastAsia="宋体" w:cs="Times New Roman"/>
                <w:bCs/>
                <w:color w:val="000000"/>
                <w:sz w:val="21"/>
                <w:szCs w:val="21"/>
              </w:rPr>
              <w:t>6.3~41.3</w:t>
            </w:r>
          </w:p>
        </w:tc>
        <w:tc>
          <w:tcPr>
            <w:tcW w:w="1181" w:type="dxa"/>
            <w:noWrap w:val="0"/>
            <w:vAlign w:val="center"/>
          </w:tcPr>
          <w:p w14:paraId="1A8819D2">
            <w:pPr>
              <w:spacing w:line="280" w:lineRule="exact"/>
              <w:ind w:firstLine="0" w:firstLineChars="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25</w:t>
            </w:r>
          </w:p>
        </w:tc>
        <w:tc>
          <w:tcPr>
            <w:tcW w:w="1095" w:type="dxa"/>
            <w:noWrap w:val="0"/>
            <w:vAlign w:val="center"/>
          </w:tcPr>
          <w:p w14:paraId="425DC83A">
            <w:pPr>
              <w:spacing w:line="280" w:lineRule="exact"/>
              <w:ind w:firstLine="0" w:firstLineChars="0"/>
              <w:jc w:val="center"/>
              <w:rPr>
                <w:rFonts w:hint="eastAsia"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w:t>
            </w:r>
            <w:r>
              <w:rPr>
                <w:rFonts w:hint="eastAsia" w:ascii="Times New Roman" w:hAnsi="Times New Roman" w:eastAsia="宋体" w:cs="Times New Roman"/>
                <w:bCs/>
                <w:color w:val="000000"/>
                <w:sz w:val="21"/>
                <w:szCs w:val="21"/>
              </w:rPr>
              <w:t>7.3~43.0</w:t>
            </w:r>
          </w:p>
        </w:tc>
      </w:tr>
      <w:tr w14:paraId="15F48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3" w:type="dxa"/>
            <w:vMerge w:val="continue"/>
            <w:noWrap w:val="0"/>
            <w:vAlign w:val="center"/>
          </w:tcPr>
          <w:p w14:paraId="4C7E730E">
            <w:pPr>
              <w:spacing w:line="280" w:lineRule="exact"/>
              <w:ind w:firstLine="0" w:firstLineChars="0"/>
              <w:jc w:val="center"/>
              <w:rPr>
                <w:rFonts w:ascii="Times New Roman" w:hAnsi="Times New Roman" w:eastAsia="宋体" w:cs="Times New Roman"/>
                <w:bCs/>
                <w:sz w:val="21"/>
                <w:szCs w:val="21"/>
              </w:rPr>
            </w:pPr>
          </w:p>
        </w:tc>
        <w:tc>
          <w:tcPr>
            <w:tcW w:w="720" w:type="dxa"/>
            <w:vMerge w:val="restart"/>
            <w:noWrap w:val="0"/>
            <w:vAlign w:val="center"/>
          </w:tcPr>
          <w:p w14:paraId="1D02F636">
            <w:pPr>
              <w:widowControl/>
              <w:spacing w:line="280" w:lineRule="exact"/>
              <w:ind w:firstLine="0" w:firstLineChars="0"/>
              <w:jc w:val="center"/>
              <w:rPr>
                <w:rFonts w:ascii="Times New Roman" w:hAnsi="Times New Roman" w:eastAsia="宋体" w:cs="Times New Roman"/>
                <w:bCs/>
                <w:sz w:val="21"/>
                <w:szCs w:val="21"/>
              </w:rPr>
            </w:pPr>
            <w:r>
              <w:rPr>
                <w:rFonts w:ascii="Times New Roman" w:hAnsi="宋体" w:eastAsia="宋体" w:cs="Times New Roman"/>
                <w:bCs/>
                <w:sz w:val="21"/>
                <w:szCs w:val="21"/>
              </w:rPr>
              <w:t>混凝土与岩体</w:t>
            </w:r>
          </w:p>
        </w:tc>
        <w:tc>
          <w:tcPr>
            <w:tcW w:w="1440" w:type="dxa"/>
            <w:noWrap w:val="0"/>
            <w:vAlign w:val="center"/>
          </w:tcPr>
          <w:p w14:paraId="271FD7C3">
            <w:pPr>
              <w:spacing w:line="280" w:lineRule="exact"/>
              <w:ind w:firstLine="0" w:firstLineChars="0"/>
              <w:jc w:val="center"/>
              <w:rPr>
                <w:rFonts w:hint="eastAsia" w:ascii="Times New Roman" w:hAnsi="宋体" w:eastAsia="宋体" w:cs="Times New Roman"/>
                <w:sz w:val="21"/>
                <w:szCs w:val="21"/>
              </w:rPr>
            </w:pPr>
            <w:r>
              <w:rPr>
                <w:rFonts w:ascii="Times New Roman" w:hAnsi="宋体" w:eastAsia="宋体" w:cs="Times New Roman"/>
                <w:sz w:val="21"/>
                <w:szCs w:val="21"/>
              </w:rPr>
              <w:t>凝聚力</w:t>
            </w:r>
          </w:p>
          <w:p w14:paraId="0A66F206">
            <w:pPr>
              <w:spacing w:line="280" w:lineRule="exact"/>
              <w:ind w:firstLine="0" w:firstLineChars="0"/>
              <w:jc w:val="center"/>
              <w:rPr>
                <w:rFonts w:hint="eastAsia" w:ascii="Times New Roman" w:hAnsi="Times New Roman" w:eastAsia="宋体" w:cs="Times New Roman"/>
                <w:bCs/>
                <w:sz w:val="21"/>
                <w:szCs w:val="21"/>
              </w:rPr>
            </w:pPr>
            <w:r>
              <w:rPr>
                <w:rFonts w:ascii="Times New Roman" w:hAnsi="Times New Roman" w:eastAsia="宋体" w:cs="Times New Roman"/>
                <w:sz w:val="21"/>
                <w:szCs w:val="21"/>
              </w:rPr>
              <w:t>c</w:t>
            </w:r>
            <w:r>
              <w:rPr>
                <w:rFonts w:hint="eastAsia" w:ascii="Times New Roman" w:hAnsi="Times New Roman" w:eastAsia="宋体" w:cs="Times New Roman"/>
                <w:sz w:val="21"/>
                <w:szCs w:val="21"/>
              </w:rPr>
              <w:t>（</w:t>
            </w:r>
            <w:r>
              <w:rPr>
                <w:rFonts w:ascii="Times New Roman" w:hAnsi="Times New Roman" w:eastAsia="宋体" w:cs="Times New Roman"/>
                <w:sz w:val="21"/>
                <w:szCs w:val="21"/>
              </w:rPr>
              <w:t>M</w:t>
            </w:r>
            <w:r>
              <w:rPr>
                <w:rFonts w:hint="eastAsia" w:ascii="Times New Roman" w:hAnsi="Times New Roman" w:eastAsia="宋体" w:cs="Times New Roman"/>
                <w:sz w:val="21"/>
                <w:szCs w:val="21"/>
              </w:rPr>
              <w:t>P</w:t>
            </w:r>
            <w:r>
              <w:rPr>
                <w:rFonts w:ascii="Times New Roman" w:hAnsi="Times New Roman" w:eastAsia="宋体" w:cs="Times New Roman"/>
                <w:sz w:val="21"/>
                <w:szCs w:val="21"/>
              </w:rPr>
              <w:t>a</w:t>
            </w:r>
            <w:r>
              <w:rPr>
                <w:rFonts w:hint="eastAsia" w:ascii="Times New Roman" w:hAnsi="Times New Roman" w:eastAsia="宋体" w:cs="Times New Roman"/>
                <w:sz w:val="21"/>
                <w:szCs w:val="21"/>
              </w:rPr>
              <w:t>）</w:t>
            </w:r>
          </w:p>
        </w:tc>
        <w:tc>
          <w:tcPr>
            <w:tcW w:w="913" w:type="dxa"/>
            <w:noWrap w:val="0"/>
            <w:vAlign w:val="center"/>
          </w:tcPr>
          <w:p w14:paraId="3A2CBF00">
            <w:pPr>
              <w:spacing w:line="280" w:lineRule="exact"/>
              <w:ind w:firstLine="0" w:firstLineChars="0"/>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887" w:type="dxa"/>
            <w:noWrap w:val="0"/>
            <w:vAlign w:val="center"/>
          </w:tcPr>
          <w:p w14:paraId="5BDE5C46">
            <w:pPr>
              <w:spacing w:line="280" w:lineRule="exact"/>
              <w:ind w:firstLine="0" w:firstLineChars="0"/>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1080" w:type="dxa"/>
            <w:noWrap w:val="0"/>
            <w:vAlign w:val="center"/>
          </w:tcPr>
          <w:p w14:paraId="3BCD3D60">
            <w:pPr>
              <w:spacing w:line="280" w:lineRule="exact"/>
              <w:ind w:firstLine="0" w:firstLineChars="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0.05</w:t>
            </w:r>
          </w:p>
        </w:tc>
        <w:tc>
          <w:tcPr>
            <w:tcW w:w="1209" w:type="dxa"/>
            <w:noWrap w:val="0"/>
            <w:vAlign w:val="center"/>
          </w:tcPr>
          <w:p w14:paraId="6746BC1B">
            <w:pPr>
              <w:spacing w:line="280" w:lineRule="exact"/>
              <w:ind w:firstLine="0" w:firstLineChars="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0.3</w:t>
            </w:r>
          </w:p>
        </w:tc>
        <w:tc>
          <w:tcPr>
            <w:tcW w:w="1181" w:type="dxa"/>
            <w:noWrap w:val="0"/>
            <w:vAlign w:val="center"/>
          </w:tcPr>
          <w:p w14:paraId="417C5FBB">
            <w:pPr>
              <w:spacing w:line="280" w:lineRule="exact"/>
              <w:ind w:firstLine="0" w:firstLineChars="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0.05</w:t>
            </w:r>
          </w:p>
        </w:tc>
        <w:tc>
          <w:tcPr>
            <w:tcW w:w="1095" w:type="dxa"/>
            <w:noWrap w:val="0"/>
            <w:vAlign w:val="center"/>
          </w:tcPr>
          <w:p w14:paraId="07246420">
            <w:pPr>
              <w:spacing w:line="280" w:lineRule="exact"/>
              <w:ind w:firstLine="0" w:firstLineChars="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0.3</w:t>
            </w:r>
          </w:p>
        </w:tc>
      </w:tr>
      <w:tr w14:paraId="47A47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3" w:type="dxa"/>
            <w:vMerge w:val="continue"/>
            <w:noWrap w:val="0"/>
            <w:vAlign w:val="center"/>
          </w:tcPr>
          <w:p w14:paraId="399AB78E">
            <w:pPr>
              <w:spacing w:line="280" w:lineRule="exact"/>
              <w:ind w:firstLine="0" w:firstLineChars="0"/>
              <w:jc w:val="center"/>
              <w:rPr>
                <w:rFonts w:ascii="Times New Roman" w:hAnsi="Times New Roman" w:eastAsia="宋体" w:cs="Times New Roman"/>
                <w:bCs/>
                <w:sz w:val="21"/>
                <w:szCs w:val="21"/>
              </w:rPr>
            </w:pPr>
          </w:p>
        </w:tc>
        <w:tc>
          <w:tcPr>
            <w:tcW w:w="720" w:type="dxa"/>
            <w:vMerge w:val="continue"/>
            <w:noWrap w:val="0"/>
            <w:vAlign w:val="center"/>
          </w:tcPr>
          <w:p w14:paraId="23F95788">
            <w:pPr>
              <w:spacing w:line="280" w:lineRule="exact"/>
              <w:ind w:firstLine="0" w:firstLineChars="0"/>
              <w:jc w:val="center"/>
              <w:rPr>
                <w:rFonts w:ascii="Times New Roman" w:hAnsi="Times New Roman" w:eastAsia="宋体" w:cs="Times New Roman"/>
                <w:bCs/>
                <w:sz w:val="21"/>
                <w:szCs w:val="21"/>
              </w:rPr>
            </w:pPr>
          </w:p>
        </w:tc>
        <w:tc>
          <w:tcPr>
            <w:tcW w:w="1440" w:type="dxa"/>
            <w:noWrap w:val="0"/>
            <w:vAlign w:val="center"/>
          </w:tcPr>
          <w:p w14:paraId="1684EC9B">
            <w:pPr>
              <w:spacing w:line="280" w:lineRule="exact"/>
              <w:ind w:firstLine="0" w:firstLineChars="0"/>
              <w:jc w:val="center"/>
              <w:rPr>
                <w:rFonts w:ascii="Times New Roman" w:hAnsi="Times New Roman" w:eastAsia="宋体" w:cs="Times New Roman"/>
                <w:bCs/>
                <w:sz w:val="21"/>
                <w:szCs w:val="21"/>
              </w:rPr>
            </w:pPr>
            <w:r>
              <w:rPr>
                <w:rFonts w:ascii="Times New Roman" w:hAnsi="宋体" w:eastAsia="宋体" w:cs="Times New Roman"/>
                <w:sz w:val="21"/>
                <w:szCs w:val="21"/>
              </w:rPr>
              <w:t>摩擦系数</w:t>
            </w:r>
            <w:r>
              <w:rPr>
                <w:rFonts w:ascii="Times New Roman" w:hAnsi="Times New Roman" w:eastAsia="宋体" w:cs="Times New Roman"/>
                <w:sz w:val="21"/>
                <w:szCs w:val="21"/>
              </w:rPr>
              <w:t>f</w:t>
            </w:r>
          </w:p>
        </w:tc>
        <w:tc>
          <w:tcPr>
            <w:tcW w:w="913" w:type="dxa"/>
            <w:noWrap w:val="0"/>
            <w:vAlign w:val="center"/>
          </w:tcPr>
          <w:p w14:paraId="1E538CA8">
            <w:pPr>
              <w:spacing w:line="280" w:lineRule="exact"/>
              <w:ind w:firstLine="0" w:firstLineChars="0"/>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887" w:type="dxa"/>
            <w:noWrap w:val="0"/>
            <w:vAlign w:val="center"/>
          </w:tcPr>
          <w:p w14:paraId="55CF9B77">
            <w:pPr>
              <w:spacing w:line="280" w:lineRule="exact"/>
              <w:ind w:firstLine="0" w:firstLineChars="0"/>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1080" w:type="dxa"/>
            <w:noWrap w:val="0"/>
            <w:vAlign w:val="center"/>
          </w:tcPr>
          <w:p w14:paraId="1AA612E1">
            <w:pPr>
              <w:spacing w:line="280" w:lineRule="exact"/>
              <w:ind w:firstLine="0" w:firstLineChars="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0.4</w:t>
            </w:r>
          </w:p>
        </w:tc>
        <w:tc>
          <w:tcPr>
            <w:tcW w:w="1209" w:type="dxa"/>
            <w:noWrap w:val="0"/>
            <w:vAlign w:val="center"/>
          </w:tcPr>
          <w:p w14:paraId="326549A2">
            <w:pPr>
              <w:spacing w:line="280" w:lineRule="exact"/>
              <w:ind w:firstLine="0" w:firstLineChars="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0.6</w:t>
            </w:r>
          </w:p>
        </w:tc>
        <w:tc>
          <w:tcPr>
            <w:tcW w:w="1181" w:type="dxa"/>
            <w:noWrap w:val="0"/>
            <w:vAlign w:val="center"/>
          </w:tcPr>
          <w:p w14:paraId="3ACFD399">
            <w:pPr>
              <w:spacing w:line="280" w:lineRule="exact"/>
              <w:ind w:firstLine="0" w:firstLineChars="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0.4</w:t>
            </w:r>
          </w:p>
        </w:tc>
        <w:tc>
          <w:tcPr>
            <w:tcW w:w="1095" w:type="dxa"/>
            <w:noWrap w:val="0"/>
            <w:vAlign w:val="center"/>
          </w:tcPr>
          <w:p w14:paraId="001631CE">
            <w:pPr>
              <w:spacing w:line="280" w:lineRule="exact"/>
              <w:ind w:firstLine="0" w:firstLineChars="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0.6</w:t>
            </w:r>
          </w:p>
        </w:tc>
      </w:tr>
      <w:tr w14:paraId="38D4F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93" w:type="dxa"/>
            <w:gridSpan w:val="3"/>
            <w:noWrap w:val="0"/>
            <w:vAlign w:val="center"/>
          </w:tcPr>
          <w:p w14:paraId="7BE6BE44">
            <w:pPr>
              <w:spacing w:line="280" w:lineRule="exact"/>
              <w:ind w:firstLine="0" w:firstLineChars="0"/>
              <w:jc w:val="center"/>
              <w:rPr>
                <w:rFonts w:ascii="Times New Roman" w:hAnsi="Times New Roman" w:eastAsia="宋体" w:cs="Times New Roman"/>
                <w:bCs/>
                <w:sz w:val="21"/>
                <w:szCs w:val="21"/>
              </w:rPr>
            </w:pPr>
            <w:r>
              <w:rPr>
                <w:rFonts w:ascii="Times New Roman" w:hAnsi="宋体" w:eastAsia="宋体" w:cs="Times New Roman"/>
                <w:sz w:val="21"/>
                <w:szCs w:val="21"/>
              </w:rPr>
              <w:t>基底摩擦系数</w:t>
            </w:r>
            <w:r>
              <w:rPr>
                <w:rFonts w:ascii="Times New Roman" w:hAnsi="Times New Roman" w:eastAsia="宋体" w:cs="Times New Roman"/>
                <w:sz w:val="21"/>
                <w:szCs w:val="21"/>
              </w:rPr>
              <w:t>f</w:t>
            </w:r>
          </w:p>
        </w:tc>
        <w:tc>
          <w:tcPr>
            <w:tcW w:w="913" w:type="dxa"/>
            <w:noWrap w:val="0"/>
            <w:vAlign w:val="center"/>
          </w:tcPr>
          <w:p w14:paraId="2555E6D6">
            <w:pPr>
              <w:spacing w:line="280" w:lineRule="exact"/>
              <w:ind w:firstLine="0" w:firstLineChars="0"/>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887" w:type="dxa"/>
            <w:noWrap w:val="0"/>
            <w:vAlign w:val="center"/>
          </w:tcPr>
          <w:p w14:paraId="183599D1">
            <w:pPr>
              <w:spacing w:line="280" w:lineRule="exact"/>
              <w:ind w:firstLine="0" w:firstLineChars="0"/>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1080" w:type="dxa"/>
            <w:noWrap w:val="0"/>
            <w:vAlign w:val="center"/>
          </w:tcPr>
          <w:p w14:paraId="6B62D6FF">
            <w:pPr>
              <w:spacing w:line="280" w:lineRule="exact"/>
              <w:ind w:firstLine="0" w:firstLineChars="0"/>
              <w:jc w:val="center"/>
              <w:rPr>
                <w:rFonts w:ascii="Times New Roman" w:hAnsi="Times New Roman" w:eastAsia="宋体" w:cs="Times New Roman"/>
                <w:bCs/>
                <w:sz w:val="21"/>
                <w:szCs w:val="21"/>
              </w:rPr>
            </w:pPr>
            <w:r>
              <w:rPr>
                <w:rFonts w:ascii="Times New Roman" w:hAnsi="Times New Roman" w:eastAsia="宋体" w:cs="Times New Roman"/>
                <w:bCs/>
                <w:sz w:val="21"/>
                <w:szCs w:val="21"/>
              </w:rPr>
              <w:t>0.2</w:t>
            </w:r>
          </w:p>
        </w:tc>
        <w:tc>
          <w:tcPr>
            <w:tcW w:w="1209" w:type="dxa"/>
            <w:noWrap w:val="0"/>
            <w:vAlign w:val="center"/>
          </w:tcPr>
          <w:p w14:paraId="62FE5364">
            <w:pPr>
              <w:spacing w:line="280" w:lineRule="exact"/>
              <w:ind w:firstLine="0" w:firstLineChars="0"/>
              <w:jc w:val="center"/>
              <w:rPr>
                <w:rFonts w:ascii="Times New Roman" w:hAnsi="Times New Roman" w:eastAsia="宋体" w:cs="Times New Roman"/>
                <w:bCs/>
                <w:sz w:val="21"/>
                <w:szCs w:val="21"/>
              </w:rPr>
            </w:pPr>
            <w:r>
              <w:rPr>
                <w:rFonts w:ascii="Times New Roman" w:hAnsi="Times New Roman" w:eastAsia="宋体" w:cs="Times New Roman"/>
                <w:bCs/>
                <w:sz w:val="21"/>
                <w:szCs w:val="21"/>
              </w:rPr>
              <w:t>0.3</w:t>
            </w:r>
          </w:p>
        </w:tc>
        <w:tc>
          <w:tcPr>
            <w:tcW w:w="1181" w:type="dxa"/>
            <w:noWrap w:val="0"/>
            <w:vAlign w:val="center"/>
          </w:tcPr>
          <w:p w14:paraId="0357FC8F">
            <w:pPr>
              <w:spacing w:line="280" w:lineRule="exact"/>
              <w:ind w:firstLine="0" w:firstLineChars="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0.4</w:t>
            </w:r>
          </w:p>
        </w:tc>
        <w:tc>
          <w:tcPr>
            <w:tcW w:w="1095" w:type="dxa"/>
            <w:noWrap w:val="0"/>
            <w:vAlign w:val="center"/>
          </w:tcPr>
          <w:p w14:paraId="778F863A">
            <w:pPr>
              <w:spacing w:line="280" w:lineRule="exact"/>
              <w:ind w:firstLine="0" w:firstLineChars="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0.5</w:t>
            </w:r>
          </w:p>
        </w:tc>
      </w:tr>
    </w:tbl>
    <w:p w14:paraId="0171228C">
      <w:pPr>
        <w:bidi w:val="0"/>
        <w:rPr>
          <w:rFonts w:hint="default"/>
          <w:lang w:val="en-US" w:eastAsia="zh-CN"/>
        </w:rPr>
      </w:pPr>
      <w:r>
        <w:rPr>
          <w:rFonts w:hint="default"/>
          <w:lang w:val="en-US" w:eastAsia="zh-CN"/>
        </w:rPr>
        <w:t>二、坝体的渗流分析</w:t>
      </w:r>
    </w:p>
    <w:p w14:paraId="64834396">
      <w:pPr>
        <w:bidi w:val="0"/>
        <w:rPr>
          <w:sz w:val="28"/>
          <w:szCs w:val="28"/>
        </w:rPr>
      </w:pPr>
      <w:r>
        <w:rPr>
          <w:color w:val="000000"/>
          <w:spacing w:val="-2"/>
          <w:sz w:val="28"/>
          <w:szCs w:val="28"/>
        </w:rPr>
        <w:t>渗流计算采用</w:t>
      </w:r>
      <w:r>
        <w:rPr>
          <w:rFonts w:hint="eastAsia"/>
          <w:color w:val="000000"/>
          <w:spacing w:val="-2"/>
          <w:sz w:val="28"/>
          <w:szCs w:val="28"/>
        </w:rPr>
        <w:t>Auto</w:t>
      </w:r>
      <w:r>
        <w:rPr>
          <w:color w:val="000000"/>
          <w:spacing w:val="-2"/>
          <w:sz w:val="28"/>
          <w:szCs w:val="28"/>
        </w:rPr>
        <w:t>bank</w:t>
      </w:r>
      <w:r>
        <w:rPr>
          <w:rFonts w:hint="eastAsia"/>
          <w:color w:val="000000"/>
          <w:spacing w:val="-2"/>
          <w:sz w:val="28"/>
          <w:szCs w:val="28"/>
        </w:rPr>
        <w:t>7.07</w:t>
      </w:r>
      <w:r>
        <w:rPr>
          <w:color w:val="000000"/>
          <w:spacing w:val="-2"/>
          <w:sz w:val="28"/>
          <w:szCs w:val="28"/>
        </w:rPr>
        <w:t>软件</w:t>
      </w:r>
      <w:r>
        <w:rPr>
          <w:rFonts w:hint="eastAsia"/>
          <w:color w:val="000000"/>
          <w:spacing w:val="-2"/>
          <w:sz w:val="28"/>
          <w:szCs w:val="28"/>
        </w:rPr>
        <w:t>，利用有限元方法进行渗流计算。渗流有限元分析基本方程如下：</w:t>
      </w:r>
      <w:r>
        <w:rPr>
          <w:sz w:val="28"/>
          <w:szCs w:val="28"/>
        </w:rPr>
        <w:object>
          <v:shape id="_x0000_i1025" o:spt="75" type="#_x0000_t75" style="height:22.2pt;width:138pt;" o:ole="t" filled="f" o:preferrelative="t" stroked="f" coordsize="21600,21600">
            <v:path/>
            <v:fill on="f" focussize="0,0"/>
            <v:stroke on="f"/>
            <v:imagedata r:id="rId14" o:title=""/>
            <o:lock v:ext="edit" grouping="f" rotation="f" text="f" aspectratio="t"/>
            <w10:wrap type="none"/>
            <w10:anchorlock/>
          </v:shape>
          <o:OLEObject Type="Embed" ProgID="Equation.3" ShapeID="_x0000_i1025" DrawAspect="Content" ObjectID="_1468075725" r:id="rId13">
            <o:LockedField>false</o:LockedField>
          </o:OLEObject>
        </w:object>
      </w:r>
    </w:p>
    <w:p w14:paraId="2F1C75E3">
      <w:pPr>
        <w:pStyle w:val="9"/>
        <w:spacing w:after="0" w:line="600" w:lineRule="exact"/>
        <w:ind w:firstLine="552" w:firstLineChars="200"/>
        <w:rPr>
          <w:color w:val="000000"/>
          <w:spacing w:val="-2"/>
          <w:szCs w:val="28"/>
        </w:rPr>
      </w:pPr>
      <w:r>
        <w:rPr>
          <w:color w:val="000000"/>
          <w:spacing w:val="-2"/>
          <w:szCs w:val="28"/>
        </w:rPr>
        <w:t>式中：</w:t>
      </w:r>
    </w:p>
    <w:p w14:paraId="79649D94">
      <w:pPr>
        <w:pStyle w:val="9"/>
        <w:spacing w:after="0" w:line="600" w:lineRule="exact"/>
        <w:ind w:firstLine="1104" w:firstLineChars="400"/>
        <w:rPr>
          <w:color w:val="000000"/>
          <w:spacing w:val="-2"/>
          <w:szCs w:val="28"/>
        </w:rPr>
      </w:pPr>
      <w:r>
        <w:rPr>
          <w:color w:val="000000"/>
          <w:spacing w:val="-2"/>
          <w:szCs w:val="28"/>
        </w:rPr>
        <w:t>[K]</w:t>
      </w:r>
      <w:r>
        <w:rPr>
          <w:rFonts w:hint="eastAsia"/>
          <w:color w:val="000000"/>
          <w:spacing w:val="-2"/>
          <w:szCs w:val="28"/>
        </w:rPr>
        <w:t>——</w:t>
      </w:r>
      <w:r>
        <w:rPr>
          <w:color w:val="000000"/>
          <w:spacing w:val="-2"/>
          <w:szCs w:val="28"/>
        </w:rPr>
        <w:t>透水系数矩阵；</w:t>
      </w:r>
    </w:p>
    <w:p w14:paraId="3780EF37">
      <w:pPr>
        <w:pStyle w:val="9"/>
        <w:spacing w:after="0" w:line="600" w:lineRule="exact"/>
        <w:ind w:firstLine="1104" w:firstLineChars="400"/>
        <w:rPr>
          <w:color w:val="000000"/>
          <w:spacing w:val="-2"/>
          <w:szCs w:val="28"/>
        </w:rPr>
      </w:pPr>
      <w:r>
        <w:rPr>
          <w:color w:val="000000"/>
          <w:spacing w:val="-2"/>
          <w:szCs w:val="28"/>
        </w:rPr>
        <w:t>{H}</w:t>
      </w:r>
      <w:r>
        <w:rPr>
          <w:rFonts w:hint="eastAsia"/>
          <w:color w:val="000000"/>
          <w:spacing w:val="-2"/>
          <w:szCs w:val="28"/>
        </w:rPr>
        <w:t>——</w:t>
      </w:r>
      <w:r>
        <w:rPr>
          <w:color w:val="000000"/>
          <w:spacing w:val="-2"/>
          <w:szCs w:val="28"/>
        </w:rPr>
        <w:t>总水头向量；</w:t>
      </w:r>
    </w:p>
    <w:p w14:paraId="09E1BBFC">
      <w:pPr>
        <w:pStyle w:val="9"/>
        <w:spacing w:after="0" w:line="600" w:lineRule="exact"/>
        <w:ind w:firstLine="1104" w:firstLineChars="400"/>
        <w:rPr>
          <w:color w:val="000000"/>
          <w:spacing w:val="-2"/>
          <w:szCs w:val="28"/>
        </w:rPr>
      </w:pPr>
      <w:r>
        <w:rPr>
          <w:color w:val="000000"/>
          <w:spacing w:val="-2"/>
          <w:szCs w:val="28"/>
        </w:rPr>
        <w:t>[M]</w:t>
      </w:r>
      <w:r>
        <w:rPr>
          <w:rFonts w:hint="eastAsia"/>
          <w:color w:val="000000"/>
          <w:spacing w:val="-2"/>
          <w:szCs w:val="28"/>
        </w:rPr>
        <w:t>——</w:t>
      </w:r>
      <w:r>
        <w:rPr>
          <w:color w:val="000000"/>
          <w:spacing w:val="-2"/>
          <w:szCs w:val="28"/>
        </w:rPr>
        <w:t>单元储水量矩阵；</w:t>
      </w:r>
    </w:p>
    <w:p w14:paraId="7A7207A9">
      <w:pPr>
        <w:pStyle w:val="9"/>
        <w:spacing w:after="0" w:line="600" w:lineRule="exact"/>
        <w:ind w:firstLine="1104" w:firstLineChars="400"/>
        <w:rPr>
          <w:rFonts w:hint="eastAsia"/>
          <w:color w:val="000000"/>
          <w:spacing w:val="-2"/>
          <w:szCs w:val="28"/>
        </w:rPr>
      </w:pPr>
      <w:r>
        <w:rPr>
          <w:color w:val="000000"/>
          <w:spacing w:val="-2"/>
          <w:szCs w:val="28"/>
        </w:rPr>
        <w:t>{</w:t>
      </w:r>
      <w:r>
        <w:rPr>
          <w:rFonts w:hint="eastAsia"/>
          <w:color w:val="000000"/>
          <w:spacing w:val="-2"/>
          <w:szCs w:val="28"/>
        </w:rPr>
        <w:t>Q</w:t>
      </w:r>
      <w:r>
        <w:rPr>
          <w:color w:val="000000"/>
          <w:spacing w:val="-2"/>
          <w:szCs w:val="28"/>
        </w:rPr>
        <w:t>}</w:t>
      </w:r>
      <w:r>
        <w:rPr>
          <w:rFonts w:hint="eastAsia"/>
          <w:color w:val="000000"/>
          <w:spacing w:val="-2"/>
          <w:szCs w:val="28"/>
        </w:rPr>
        <w:t>——</w:t>
      </w:r>
      <w:r>
        <w:rPr>
          <w:color w:val="000000"/>
          <w:spacing w:val="-2"/>
          <w:szCs w:val="28"/>
        </w:rPr>
        <w:t>流量向量；</w:t>
      </w:r>
    </w:p>
    <w:p w14:paraId="082F1D31">
      <w:pPr>
        <w:pStyle w:val="9"/>
        <w:spacing w:after="0" w:line="600" w:lineRule="exact"/>
        <w:ind w:firstLine="1104" w:firstLineChars="400"/>
        <w:rPr>
          <w:rFonts w:hint="eastAsia"/>
          <w:color w:val="000000"/>
          <w:spacing w:val="-2"/>
          <w:szCs w:val="28"/>
        </w:rPr>
      </w:pPr>
      <w:r>
        <w:rPr>
          <w:color w:val="000000"/>
          <w:spacing w:val="-2"/>
          <w:szCs w:val="28"/>
        </w:rPr>
        <w:t>t</w:t>
      </w:r>
      <w:r>
        <w:rPr>
          <w:rFonts w:hint="eastAsia"/>
          <w:color w:val="000000"/>
          <w:spacing w:val="-2"/>
          <w:szCs w:val="28"/>
        </w:rPr>
        <w:t>——</w:t>
      </w:r>
      <w:r>
        <w:rPr>
          <w:color w:val="000000"/>
          <w:spacing w:val="-2"/>
          <w:szCs w:val="28"/>
        </w:rPr>
        <w:t>时间</w:t>
      </w:r>
      <w:r>
        <w:rPr>
          <w:rFonts w:hint="eastAsia"/>
          <w:color w:val="000000"/>
          <w:spacing w:val="-2"/>
          <w:szCs w:val="28"/>
        </w:rPr>
        <w:t>。</w:t>
      </w:r>
    </w:p>
    <w:p w14:paraId="6618FDC1">
      <w:pPr>
        <w:ind w:firstLine="552" w:firstLineChars="200"/>
        <w:jc w:val="both"/>
        <w:rPr>
          <w:sz w:val="28"/>
          <w:szCs w:val="28"/>
        </w:rPr>
      </w:pPr>
      <w:r>
        <w:rPr>
          <w:rFonts w:hint="eastAsia"/>
          <w:color w:val="000000"/>
          <w:spacing w:val="-2"/>
          <w:sz w:val="28"/>
          <w:szCs w:val="28"/>
        </w:rPr>
        <w:t>（1）初期坝：最高洪水位条件下（水位标高+84.30m），渗流量</w:t>
      </w:r>
      <w:r>
        <w:rPr>
          <w:rFonts w:hint="eastAsia"/>
          <w:sz w:val="28"/>
          <w:szCs w:val="28"/>
        </w:rPr>
        <w:t>Q</w:t>
      </w:r>
      <w:r>
        <w:rPr>
          <w:rFonts w:hint="eastAsia"/>
          <w:sz w:val="28"/>
          <w:szCs w:val="28"/>
          <w:vertAlign w:val="subscript"/>
        </w:rPr>
        <w:t>进</w:t>
      </w:r>
      <w:r>
        <w:rPr>
          <w:color w:val="000000"/>
          <w:spacing w:val="-2"/>
          <w:sz w:val="28"/>
          <w:szCs w:val="28"/>
        </w:rPr>
        <w:t>=7.58×10</w:t>
      </w:r>
      <w:r>
        <w:rPr>
          <w:sz w:val="28"/>
          <w:szCs w:val="28"/>
          <w:vertAlign w:val="superscript"/>
        </w:rPr>
        <w:t>-6</w:t>
      </w:r>
      <w:r>
        <w:rPr>
          <w:sz w:val="28"/>
          <w:szCs w:val="28"/>
        </w:rPr>
        <w:t>m</w:t>
      </w:r>
      <w:r>
        <w:rPr>
          <w:sz w:val="28"/>
          <w:szCs w:val="28"/>
          <w:vertAlign w:val="superscript"/>
        </w:rPr>
        <w:t>3</w:t>
      </w:r>
      <w:r>
        <w:rPr>
          <w:sz w:val="28"/>
          <w:szCs w:val="28"/>
        </w:rPr>
        <w:t>/s。</w:t>
      </w:r>
    </w:p>
    <w:p w14:paraId="7F044FAC">
      <w:pPr>
        <w:bidi w:val="0"/>
        <w:ind w:left="0" w:leftChars="0" w:firstLine="0" w:firstLineChars="0"/>
        <w:jc w:val="center"/>
        <w:rPr>
          <w:rFonts w:hint="eastAsia" w:eastAsia="宋体"/>
          <w:sz w:val="28"/>
          <w:szCs w:val="28"/>
          <w:lang w:val="en-US" w:eastAsia="zh-CN"/>
        </w:rPr>
      </w:pPr>
      <w:r>
        <w:rPr>
          <w:color w:val="000000"/>
          <w:spacing w:val="-2"/>
          <w:sz w:val="28"/>
          <w:szCs w:val="28"/>
        </w:rPr>
        <w:drawing>
          <wp:inline distT="0" distB="0" distL="114300" distR="114300">
            <wp:extent cx="5715000" cy="1386840"/>
            <wp:effectExtent l="0" t="0" r="0" b="3810"/>
            <wp:docPr id="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
                    <pic:cNvPicPr>
                      <a:picLocks noChangeAspect="1"/>
                    </pic:cNvPicPr>
                  </pic:nvPicPr>
                  <pic:blipFill>
                    <a:blip r:embed="rId15"/>
                    <a:srcRect l="34923" t="1703" b="77867"/>
                    <a:stretch>
                      <a:fillRect/>
                    </a:stretch>
                  </pic:blipFill>
                  <pic:spPr>
                    <a:xfrm>
                      <a:off x="0" y="0"/>
                      <a:ext cx="5715000" cy="1386840"/>
                    </a:xfrm>
                    <a:prstGeom prst="rect">
                      <a:avLst/>
                    </a:prstGeom>
                    <a:noFill/>
                    <a:ln>
                      <a:noFill/>
                    </a:ln>
                  </pic:spPr>
                </pic:pic>
              </a:graphicData>
            </a:graphic>
          </wp:inline>
        </w:drawing>
      </w:r>
    </w:p>
    <w:p w14:paraId="0C7A3D50">
      <w:pPr>
        <w:spacing w:line="600" w:lineRule="exact"/>
        <w:ind w:firstLine="560" w:firstLineChars="200"/>
        <w:jc w:val="center"/>
        <w:rPr>
          <w:rFonts w:hint="eastAsia"/>
          <w:sz w:val="28"/>
          <w:szCs w:val="28"/>
        </w:rPr>
      </w:pPr>
      <w:r>
        <w:rPr>
          <w:rFonts w:hint="eastAsia"/>
          <w:sz w:val="28"/>
          <w:szCs w:val="28"/>
        </w:rPr>
        <w:t>图5</w:t>
      </w:r>
      <w:r>
        <w:rPr>
          <w:rFonts w:hint="eastAsia"/>
          <w:sz w:val="28"/>
          <w:szCs w:val="28"/>
          <w:lang w:val="en-US" w:eastAsia="zh-CN"/>
        </w:rPr>
        <w:t xml:space="preserve">.2-2 </w:t>
      </w:r>
      <w:r>
        <w:rPr>
          <w:rFonts w:hint="eastAsia"/>
          <w:sz w:val="28"/>
          <w:szCs w:val="28"/>
        </w:rPr>
        <w:t>浸润线剖面图</w:t>
      </w:r>
    </w:p>
    <w:p w14:paraId="71EBED7D">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drawing>
          <wp:inline distT="0" distB="0" distL="114300" distR="114300">
            <wp:extent cx="5667375" cy="1495425"/>
            <wp:effectExtent l="0" t="0" r="9525" b="9525"/>
            <wp:docPr id="5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1"/>
                    <pic:cNvPicPr>
                      <a:picLocks noChangeAspect="1"/>
                    </pic:cNvPicPr>
                  </pic:nvPicPr>
                  <pic:blipFill>
                    <a:blip r:embed="rId16"/>
                    <a:stretch>
                      <a:fillRect/>
                    </a:stretch>
                  </pic:blipFill>
                  <pic:spPr>
                    <a:xfrm>
                      <a:off x="0" y="0"/>
                      <a:ext cx="5667375" cy="1495425"/>
                    </a:xfrm>
                    <a:prstGeom prst="rect">
                      <a:avLst/>
                    </a:prstGeom>
                    <a:noFill/>
                    <a:ln>
                      <a:noFill/>
                    </a:ln>
                  </pic:spPr>
                </pic:pic>
              </a:graphicData>
            </a:graphic>
          </wp:inline>
        </w:drawing>
      </w:r>
    </w:p>
    <w:p w14:paraId="198D846E">
      <w:pPr>
        <w:spacing w:line="600" w:lineRule="exact"/>
        <w:ind w:firstLine="560" w:firstLineChars="200"/>
        <w:jc w:val="center"/>
        <w:rPr>
          <w:rFonts w:hint="eastAsia"/>
          <w:sz w:val="28"/>
          <w:szCs w:val="28"/>
        </w:rPr>
      </w:pPr>
      <w:r>
        <w:rPr>
          <w:rFonts w:hint="eastAsia"/>
          <w:sz w:val="28"/>
          <w:szCs w:val="28"/>
        </w:rPr>
        <w:t>图5</w:t>
      </w:r>
      <w:r>
        <w:rPr>
          <w:rFonts w:hint="eastAsia"/>
          <w:sz w:val="28"/>
          <w:szCs w:val="28"/>
          <w:lang w:val="en-US" w:eastAsia="zh-CN"/>
        </w:rPr>
        <w:t xml:space="preserve">.2-3 </w:t>
      </w:r>
      <w:r>
        <w:rPr>
          <w:rFonts w:hint="eastAsia"/>
          <w:sz w:val="28"/>
          <w:szCs w:val="28"/>
        </w:rPr>
        <w:t>水头线剖面图</w:t>
      </w:r>
    </w:p>
    <w:p w14:paraId="7EC0FE65">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drawing>
          <wp:inline distT="0" distB="0" distL="114300" distR="114300">
            <wp:extent cx="5381625" cy="1686560"/>
            <wp:effectExtent l="0" t="0" r="9525" b="8890"/>
            <wp:docPr id="6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2"/>
                    <pic:cNvPicPr>
                      <a:picLocks noChangeAspect="1"/>
                    </pic:cNvPicPr>
                  </pic:nvPicPr>
                  <pic:blipFill>
                    <a:blip r:embed="rId17"/>
                    <a:stretch>
                      <a:fillRect/>
                    </a:stretch>
                  </pic:blipFill>
                  <pic:spPr>
                    <a:xfrm>
                      <a:off x="0" y="0"/>
                      <a:ext cx="5381625" cy="1686560"/>
                    </a:xfrm>
                    <a:prstGeom prst="rect">
                      <a:avLst/>
                    </a:prstGeom>
                    <a:noFill/>
                    <a:ln>
                      <a:noFill/>
                    </a:ln>
                  </pic:spPr>
                </pic:pic>
              </a:graphicData>
            </a:graphic>
          </wp:inline>
        </w:drawing>
      </w:r>
    </w:p>
    <w:p w14:paraId="66174A3F">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rPr>
          <w:rFonts w:hint="eastAsia"/>
          <w:sz w:val="28"/>
          <w:szCs w:val="28"/>
        </w:rPr>
        <w:t>图5</w:t>
      </w:r>
      <w:r>
        <w:rPr>
          <w:rFonts w:hint="eastAsia"/>
          <w:sz w:val="28"/>
          <w:szCs w:val="28"/>
          <w:lang w:val="en-US" w:eastAsia="zh-CN"/>
        </w:rPr>
        <w:t xml:space="preserve">.2-4 </w:t>
      </w:r>
      <w:r>
        <w:rPr>
          <w:rFonts w:hint="eastAsia"/>
          <w:sz w:val="28"/>
          <w:szCs w:val="28"/>
        </w:rPr>
        <w:t>流速矢量图</w:t>
      </w:r>
    </w:p>
    <w:p w14:paraId="30DA94C9">
      <w:pPr>
        <w:keepNext w:val="0"/>
        <w:keepLines w:val="0"/>
        <w:pageBreakBefore w:val="0"/>
        <w:widowControl w:val="0"/>
        <w:kinsoku/>
        <w:wordWrap/>
        <w:overflowPunct/>
        <w:topLinePunct w:val="0"/>
        <w:autoSpaceDE/>
        <w:autoSpaceDN/>
        <w:bidi w:val="0"/>
        <w:adjustRightInd/>
        <w:snapToGrid/>
        <w:spacing w:line="360" w:lineRule="auto"/>
        <w:textAlignment w:val="auto"/>
      </w:pPr>
      <w:r>
        <w:rPr>
          <w:rFonts w:hint="eastAsia"/>
          <w:color w:val="000000"/>
          <w:spacing w:val="-2"/>
          <w:sz w:val="28"/>
          <w:szCs w:val="28"/>
        </w:rPr>
        <w:t>三、坝体抗滑稳定计算</w:t>
      </w:r>
    </w:p>
    <w:p w14:paraId="0B71826E">
      <w:pPr>
        <w:keepNext w:val="0"/>
        <w:keepLines w:val="0"/>
        <w:pageBreakBefore w:val="0"/>
        <w:widowControl w:val="0"/>
        <w:kinsoku/>
        <w:wordWrap/>
        <w:overflowPunct/>
        <w:topLinePunct w:val="0"/>
        <w:autoSpaceDE/>
        <w:autoSpaceDN/>
        <w:bidi w:val="0"/>
        <w:adjustRightInd/>
        <w:snapToGrid/>
        <w:spacing w:line="360" w:lineRule="auto"/>
        <w:ind w:firstLine="552" w:firstLineChars="200"/>
        <w:textAlignment w:val="auto"/>
        <w:rPr>
          <w:color w:val="000000"/>
          <w:spacing w:val="-2"/>
          <w:sz w:val="28"/>
          <w:szCs w:val="28"/>
        </w:rPr>
      </w:pPr>
      <w:r>
        <w:rPr>
          <w:rFonts w:hint="eastAsia"/>
          <w:color w:val="000000"/>
          <w:spacing w:val="-2"/>
          <w:sz w:val="28"/>
          <w:szCs w:val="28"/>
        </w:rPr>
        <w:t>（1）</w:t>
      </w:r>
      <w:r>
        <w:rPr>
          <w:color w:val="000000"/>
          <w:spacing w:val="-2"/>
          <w:sz w:val="28"/>
          <w:szCs w:val="28"/>
        </w:rPr>
        <w:t>采用瑞典圆弧</w:t>
      </w:r>
      <w:r>
        <w:rPr>
          <w:rFonts w:hint="eastAsia"/>
          <w:color w:val="000000"/>
          <w:spacing w:val="-2"/>
          <w:sz w:val="28"/>
          <w:szCs w:val="28"/>
        </w:rPr>
        <w:t>（</w:t>
      </w:r>
      <w:r>
        <w:rPr>
          <w:color w:val="000000"/>
          <w:spacing w:val="-2"/>
          <w:sz w:val="28"/>
          <w:szCs w:val="28"/>
        </w:rPr>
        <w:t>总应力</w:t>
      </w:r>
      <w:r>
        <w:rPr>
          <w:rFonts w:hint="eastAsia"/>
          <w:color w:val="000000"/>
          <w:spacing w:val="-2"/>
          <w:sz w:val="28"/>
          <w:szCs w:val="28"/>
        </w:rPr>
        <w:t>）</w:t>
      </w:r>
      <w:r>
        <w:rPr>
          <w:color w:val="000000"/>
          <w:spacing w:val="-2"/>
          <w:sz w:val="28"/>
          <w:szCs w:val="28"/>
        </w:rPr>
        <w:t>法，将坝体分成条，利用计算机软件计算其最危险滑裂面。公式如下：</w:t>
      </w:r>
    </w:p>
    <w:p w14:paraId="3E8AE4EC">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pPr>
      <w:r>
        <w:rPr>
          <w:position w:val="-68"/>
          <w:sz w:val="24"/>
        </w:rPr>
        <w:object>
          <v:shape id="_x0000_i1026" o:spt="75" type="#_x0000_t75" style="height:58.15pt;width:301.3pt;" o:ole="t" filled="f" o:preferrelative="t" stroked="f" coordsize="21600,21600">
            <v:path/>
            <v:fill on="f" alignshape="1" focussize="0,0"/>
            <v:stroke on="f"/>
            <v:imagedata r:id="rId19" o:title=""/>
            <o:lock v:ext="edit" aspectratio="t"/>
            <w10:wrap type="none"/>
            <w10:anchorlock/>
          </v:shape>
          <o:OLEObject Type="Embed" ProgID="Equation.3" ShapeID="_x0000_i1026" DrawAspect="Content" ObjectID="_1468075726" r:id="rId18">
            <o:LockedField>false</o:LockedField>
          </o:OLEObject>
        </w:object>
      </w:r>
    </w:p>
    <w:p w14:paraId="40495852">
      <w:pPr>
        <w:spacing w:line="600" w:lineRule="exact"/>
        <w:ind w:firstLine="552" w:firstLineChars="200"/>
        <w:rPr>
          <w:color w:val="000000"/>
          <w:spacing w:val="-2"/>
          <w:sz w:val="28"/>
          <w:szCs w:val="28"/>
        </w:rPr>
      </w:pPr>
      <w:r>
        <w:rPr>
          <w:color w:val="000000"/>
          <w:spacing w:val="-2"/>
          <w:sz w:val="28"/>
          <w:szCs w:val="28"/>
        </w:rPr>
        <w:t>式中：</w:t>
      </w:r>
    </w:p>
    <w:p w14:paraId="5A11236C">
      <w:pPr>
        <w:keepNext w:val="0"/>
        <w:keepLines w:val="0"/>
        <w:pageBreakBefore w:val="0"/>
        <w:widowControl w:val="0"/>
        <w:kinsoku/>
        <w:wordWrap/>
        <w:overflowPunct/>
        <w:topLinePunct w:val="0"/>
        <w:autoSpaceDE/>
        <w:autoSpaceDN/>
        <w:bidi w:val="0"/>
        <w:adjustRightInd/>
        <w:snapToGrid/>
        <w:spacing w:line="360" w:lineRule="auto"/>
        <w:ind w:firstLine="1380" w:firstLineChars="500"/>
        <w:textAlignment w:val="auto"/>
        <w:rPr>
          <w:sz w:val="28"/>
          <w:szCs w:val="28"/>
        </w:rPr>
      </w:pPr>
      <w:r>
        <w:rPr>
          <w:color w:val="000000"/>
          <w:spacing w:val="-2"/>
          <w:sz w:val="28"/>
          <w:szCs w:val="28"/>
        </w:rPr>
        <w:object>
          <v:shape id="_x0000_i1027" o:spt="75" type="#_x0000_t75" style="height:18pt;width:15pt;" o:ole="t" filled="f" stroked="f" coordsize="21600,21600">
            <v:path/>
            <v:fill on="f" focussize="0,0"/>
            <v:stroke on="f"/>
            <v:imagedata r:id="rId21" o:title=""/>
            <o:lock v:ext="edit" aspectratio="t"/>
            <w10:wrap type="none"/>
            <w10:anchorlock/>
          </v:shape>
          <o:OLEObject Type="Embed" ProgID="Equation.3" ShapeID="_x0000_i1027" DrawAspect="Content" ObjectID="_1468075727" r:id="rId20">
            <o:LockedField>false</o:LockedField>
          </o:OLEObject>
        </w:object>
      </w:r>
      <w:r>
        <w:rPr>
          <w:color w:val="000000"/>
          <w:spacing w:val="-2"/>
          <w:sz w:val="28"/>
          <w:szCs w:val="28"/>
        </w:rPr>
        <w:t>——滑弧半径；</w:t>
      </w:r>
    </w:p>
    <w:p w14:paraId="42577518">
      <w:pPr>
        <w:keepNext w:val="0"/>
        <w:keepLines w:val="0"/>
        <w:pageBreakBefore w:val="0"/>
        <w:widowControl w:val="0"/>
        <w:kinsoku/>
        <w:wordWrap/>
        <w:overflowPunct/>
        <w:topLinePunct w:val="0"/>
        <w:autoSpaceDE/>
        <w:autoSpaceDN/>
        <w:bidi w:val="0"/>
        <w:adjustRightInd/>
        <w:snapToGrid/>
        <w:spacing w:line="360" w:lineRule="auto"/>
        <w:ind w:firstLine="1400" w:firstLineChars="500"/>
        <w:textAlignment w:val="auto"/>
        <w:rPr>
          <w:sz w:val="28"/>
          <w:szCs w:val="28"/>
        </w:rPr>
      </w:pPr>
      <w:r>
        <w:rPr>
          <w:position w:val="-12"/>
          <w:sz w:val="28"/>
          <w:szCs w:val="28"/>
        </w:rPr>
        <w:object>
          <v:shape id="_x0000_i1028" o:spt="75" type="#_x0000_t75" style="height:18pt;width:21pt;" o:ole="t" filled="f" o:preferrelative="t" stroked="f" coordsize="21600,21600">
            <v:path/>
            <v:fill on="f" alignshape="1" focussize="0,0"/>
            <v:stroke on="f"/>
            <v:imagedata r:id="rId23" o:title=""/>
            <o:lock v:ext="edit" aspectratio="t"/>
            <w10:wrap type="none"/>
            <w10:anchorlock/>
          </v:shape>
          <o:OLEObject Type="Embed" ProgID="Equation.3" ShapeID="_x0000_i1028" DrawAspect="Content" ObjectID="_1468075728" r:id="rId22">
            <o:LockedField>false</o:LockedField>
          </o:OLEObject>
        </w:object>
      </w:r>
      <w:r>
        <w:rPr>
          <w:sz w:val="28"/>
          <w:szCs w:val="28"/>
        </w:rPr>
        <w:t>——</w:t>
      </w:r>
      <w:r>
        <w:rPr>
          <w:rFonts w:hAnsi="宋体"/>
          <w:sz w:val="28"/>
          <w:szCs w:val="28"/>
        </w:rPr>
        <w:t>水平向地震惯性力（</w:t>
      </w:r>
      <w:r>
        <w:rPr>
          <w:position w:val="-14"/>
          <w:sz w:val="28"/>
          <w:szCs w:val="28"/>
        </w:rPr>
        <w:object>
          <v:shape id="_x0000_i1029" o:spt="75" type="#_x0000_t75" style="height:20pt;width:33pt;" o:ole="t" filled="f" o:preferrelative="t" stroked="f" coordsize="21600,21600">
            <v:path/>
            <v:fill on="f" alignshape="1" focussize="0,0"/>
            <v:stroke on="f"/>
            <v:imagedata r:id="rId25" o:title=""/>
            <o:lock v:ext="edit" aspectratio="t"/>
            <w10:wrap type="none"/>
            <w10:anchorlock/>
          </v:shape>
          <o:OLEObject Type="Embed" ProgID="Equation.3" ShapeID="_x0000_i1029" DrawAspect="Content" ObjectID="_1468075729" r:id="rId24">
            <o:LockedField>false</o:LockedField>
          </o:OLEObject>
        </w:object>
      </w:r>
      <w:r>
        <w:rPr>
          <w:rFonts w:hAnsi="宋体"/>
          <w:sz w:val="28"/>
          <w:szCs w:val="28"/>
        </w:rPr>
        <w:t>）对圆心的力矩；</w:t>
      </w:r>
    </w:p>
    <w:p w14:paraId="7680BB23">
      <w:pPr>
        <w:keepNext w:val="0"/>
        <w:keepLines w:val="0"/>
        <w:pageBreakBefore w:val="0"/>
        <w:widowControl w:val="0"/>
        <w:kinsoku/>
        <w:wordWrap/>
        <w:overflowPunct/>
        <w:topLinePunct w:val="0"/>
        <w:autoSpaceDE/>
        <w:autoSpaceDN/>
        <w:bidi w:val="0"/>
        <w:adjustRightInd/>
        <w:snapToGrid/>
        <w:spacing w:line="360" w:lineRule="auto"/>
        <w:ind w:firstLine="1400" w:firstLineChars="500"/>
        <w:textAlignment w:val="auto"/>
        <w:rPr>
          <w:sz w:val="28"/>
          <w:szCs w:val="28"/>
        </w:rPr>
      </w:pPr>
      <w:r>
        <w:rPr>
          <w:position w:val="-14"/>
          <w:sz w:val="28"/>
          <w:szCs w:val="28"/>
        </w:rPr>
        <w:object>
          <v:shape id="_x0000_i1030" o:spt="75" type="#_x0000_t75" style="height:20pt;width:33pt;" o:ole="t" filled="f" o:preferrelative="t" stroked="f" coordsize="21600,21600">
            <v:path/>
            <v:fill on="f" alignshape="1" focussize="0,0"/>
            <v:stroke on="f"/>
            <v:imagedata r:id="rId27" o:title=""/>
            <o:lock v:ext="edit" aspectratio="t"/>
            <w10:wrap type="none"/>
            <w10:anchorlock/>
          </v:shape>
          <o:OLEObject Type="Embed" ProgID="Equation.3" ShapeID="_x0000_i1030" DrawAspect="Content" ObjectID="_1468075730" r:id="rId26">
            <o:LockedField>false</o:LockedField>
          </o:OLEObject>
        </w:object>
      </w:r>
      <w:r>
        <w:rPr>
          <w:sz w:val="28"/>
          <w:szCs w:val="28"/>
        </w:rPr>
        <w:t>——</w:t>
      </w:r>
      <w:r>
        <w:rPr>
          <w:rFonts w:hAnsi="宋体"/>
          <w:sz w:val="28"/>
          <w:szCs w:val="28"/>
        </w:rPr>
        <w:t>某一土条的水平地震惯性力总和；</w:t>
      </w:r>
    </w:p>
    <w:p w14:paraId="11D73B75">
      <w:pPr>
        <w:keepNext w:val="0"/>
        <w:keepLines w:val="0"/>
        <w:pageBreakBefore w:val="0"/>
        <w:widowControl w:val="0"/>
        <w:kinsoku/>
        <w:wordWrap/>
        <w:overflowPunct/>
        <w:topLinePunct w:val="0"/>
        <w:autoSpaceDE/>
        <w:autoSpaceDN/>
        <w:bidi w:val="0"/>
        <w:adjustRightInd/>
        <w:snapToGrid/>
        <w:spacing w:line="360" w:lineRule="auto"/>
        <w:ind w:firstLine="1400" w:firstLineChars="500"/>
        <w:textAlignment w:val="auto"/>
        <w:rPr>
          <w:rFonts w:hint="eastAsia"/>
          <w:sz w:val="28"/>
          <w:szCs w:val="28"/>
        </w:rPr>
      </w:pPr>
      <w:r>
        <w:rPr>
          <w:position w:val="-14"/>
          <w:sz w:val="28"/>
          <w:szCs w:val="28"/>
        </w:rPr>
        <w:object>
          <v:shape id="_x0000_i1031" o:spt="75" type="#_x0000_t75" style="height:20pt;width:33pt;" o:ole="t" filled="f" o:preferrelative="t" stroked="f" coordsize="21600,21600">
            <v:path/>
            <v:fill on="f" alignshape="1" focussize="0,0"/>
            <v:stroke on="f"/>
            <v:imagedata r:id="rId29" o:title=""/>
            <o:lock v:ext="edit" aspectratio="t"/>
            <w10:wrap type="none"/>
            <w10:anchorlock/>
          </v:shape>
          <o:OLEObject Type="Embed" ProgID="Equation.3" ShapeID="_x0000_i1031" DrawAspect="Content" ObjectID="_1468075731" r:id="rId28">
            <o:LockedField>false</o:LockedField>
          </o:OLEObject>
        </w:object>
      </w:r>
      <w:r>
        <w:rPr>
          <w:sz w:val="28"/>
          <w:szCs w:val="28"/>
        </w:rPr>
        <w:t>——</w:t>
      </w:r>
      <w:r>
        <w:rPr>
          <w:rFonts w:hAnsi="宋体"/>
          <w:sz w:val="28"/>
          <w:szCs w:val="28"/>
        </w:rPr>
        <w:t>某一土条的垂直向地震惯性力总和；</w:t>
      </w:r>
    </w:p>
    <w:p w14:paraId="1D6ED5A8">
      <w:pPr>
        <w:keepNext w:val="0"/>
        <w:keepLines w:val="0"/>
        <w:pageBreakBefore w:val="0"/>
        <w:widowControl w:val="0"/>
        <w:kinsoku/>
        <w:wordWrap/>
        <w:overflowPunct/>
        <w:topLinePunct w:val="0"/>
        <w:autoSpaceDE/>
        <w:autoSpaceDN/>
        <w:bidi w:val="0"/>
        <w:adjustRightInd/>
        <w:snapToGrid/>
        <w:spacing w:line="360" w:lineRule="auto"/>
        <w:ind w:firstLine="1400" w:firstLineChars="500"/>
        <w:textAlignment w:val="auto"/>
        <w:rPr>
          <w:sz w:val="28"/>
          <w:szCs w:val="28"/>
        </w:rPr>
      </w:pPr>
      <w:r>
        <w:rPr>
          <w:sz w:val="28"/>
          <w:szCs w:val="28"/>
        </w:rPr>
        <w:t>α——</w:t>
      </w:r>
      <w:r>
        <w:rPr>
          <w:rFonts w:hAnsi="宋体"/>
          <w:sz w:val="28"/>
          <w:szCs w:val="28"/>
        </w:rPr>
        <w:t>土条底面中点处切线与水平线的夹角；</w:t>
      </w:r>
    </w:p>
    <w:p w14:paraId="581B31CD">
      <w:pPr>
        <w:keepNext w:val="0"/>
        <w:keepLines w:val="0"/>
        <w:pageBreakBefore w:val="0"/>
        <w:widowControl w:val="0"/>
        <w:kinsoku/>
        <w:wordWrap/>
        <w:overflowPunct/>
        <w:topLinePunct w:val="0"/>
        <w:autoSpaceDE/>
        <w:autoSpaceDN/>
        <w:bidi w:val="0"/>
        <w:adjustRightInd/>
        <w:snapToGrid/>
        <w:spacing w:line="360" w:lineRule="auto"/>
        <w:ind w:firstLine="1400" w:firstLineChars="500"/>
        <w:textAlignment w:val="auto"/>
        <w:rPr>
          <w:sz w:val="28"/>
          <w:szCs w:val="28"/>
        </w:rPr>
      </w:pPr>
      <w:r>
        <w:rPr>
          <w:sz w:val="28"/>
          <w:szCs w:val="28"/>
        </w:rPr>
        <w:t>∑W</w:t>
      </w:r>
      <w:r>
        <w:rPr>
          <w:sz w:val="28"/>
          <w:szCs w:val="28"/>
          <w:vertAlign w:val="subscript"/>
        </w:rPr>
        <w:t>k</w:t>
      </w:r>
      <w:r>
        <w:rPr>
          <w:sz w:val="28"/>
          <w:szCs w:val="28"/>
        </w:rPr>
        <w:t>——</w:t>
      </w:r>
      <w:r>
        <w:rPr>
          <w:rFonts w:hAnsi="宋体"/>
          <w:sz w:val="28"/>
          <w:szCs w:val="28"/>
        </w:rPr>
        <w:t>计算抗滑力时单位宽度土条的重量；</w:t>
      </w:r>
    </w:p>
    <w:p w14:paraId="22C7BFD8">
      <w:pPr>
        <w:keepNext w:val="0"/>
        <w:keepLines w:val="0"/>
        <w:pageBreakBefore w:val="0"/>
        <w:widowControl w:val="0"/>
        <w:kinsoku/>
        <w:wordWrap/>
        <w:overflowPunct/>
        <w:topLinePunct w:val="0"/>
        <w:autoSpaceDE/>
        <w:autoSpaceDN/>
        <w:bidi w:val="0"/>
        <w:adjustRightInd/>
        <w:snapToGrid/>
        <w:spacing w:line="360" w:lineRule="auto"/>
        <w:ind w:firstLine="1400" w:firstLineChars="500"/>
        <w:textAlignment w:val="auto"/>
        <w:rPr>
          <w:sz w:val="28"/>
          <w:szCs w:val="28"/>
        </w:rPr>
      </w:pPr>
      <w:r>
        <w:rPr>
          <w:sz w:val="28"/>
          <w:szCs w:val="28"/>
        </w:rPr>
        <w:t>∑W</w:t>
      </w:r>
      <w:r>
        <w:rPr>
          <w:sz w:val="28"/>
          <w:szCs w:val="28"/>
          <w:vertAlign w:val="subscript"/>
        </w:rPr>
        <w:t>h</w:t>
      </w:r>
      <w:r>
        <w:rPr>
          <w:sz w:val="28"/>
          <w:szCs w:val="28"/>
        </w:rPr>
        <w:t>——</w:t>
      </w:r>
      <w:r>
        <w:rPr>
          <w:rFonts w:hAnsi="宋体"/>
          <w:sz w:val="28"/>
          <w:szCs w:val="28"/>
        </w:rPr>
        <w:t>计算滑动力单位宽度土条的重量；</w:t>
      </w:r>
    </w:p>
    <w:p w14:paraId="3C2A44A5">
      <w:pPr>
        <w:keepNext w:val="0"/>
        <w:keepLines w:val="0"/>
        <w:pageBreakBefore w:val="0"/>
        <w:widowControl w:val="0"/>
        <w:kinsoku/>
        <w:wordWrap/>
        <w:overflowPunct/>
        <w:topLinePunct w:val="0"/>
        <w:autoSpaceDE/>
        <w:autoSpaceDN/>
        <w:bidi w:val="0"/>
        <w:adjustRightInd/>
        <w:snapToGrid/>
        <w:spacing w:line="360" w:lineRule="auto"/>
        <w:ind w:firstLine="1400" w:firstLineChars="500"/>
        <w:textAlignment w:val="auto"/>
        <w:rPr>
          <w:rFonts w:hint="eastAsia" w:hAnsi="宋体"/>
          <w:sz w:val="28"/>
          <w:szCs w:val="28"/>
        </w:rPr>
      </w:pPr>
      <w:r>
        <w:rPr>
          <w:sz w:val="28"/>
          <w:szCs w:val="28"/>
        </w:rPr>
        <w:t>C</w:t>
      </w:r>
      <w:r>
        <w:rPr>
          <w:rFonts w:hAnsi="宋体"/>
          <w:sz w:val="28"/>
          <w:szCs w:val="28"/>
        </w:rPr>
        <w:t>、</w:t>
      </w:r>
      <w:r>
        <w:rPr>
          <w:sz w:val="28"/>
          <w:szCs w:val="28"/>
        </w:rPr>
        <w:t>φ——</w:t>
      </w:r>
      <w:r>
        <w:rPr>
          <w:rFonts w:hAnsi="宋体"/>
          <w:sz w:val="28"/>
          <w:szCs w:val="28"/>
        </w:rPr>
        <w:t>固结不排水剪应力强度指标。</w:t>
      </w:r>
    </w:p>
    <w:p w14:paraId="52803E15">
      <w:pPr>
        <w:keepNext w:val="0"/>
        <w:keepLines w:val="0"/>
        <w:pageBreakBefore w:val="0"/>
        <w:widowControl w:val="0"/>
        <w:kinsoku/>
        <w:wordWrap/>
        <w:overflowPunct/>
        <w:topLinePunct w:val="0"/>
        <w:autoSpaceDE/>
        <w:autoSpaceDN/>
        <w:bidi w:val="0"/>
        <w:adjustRightInd/>
        <w:snapToGrid/>
        <w:spacing w:line="360" w:lineRule="auto"/>
        <w:ind w:firstLine="1400" w:firstLineChars="500"/>
        <w:textAlignment w:val="auto"/>
        <w:rPr>
          <w:rFonts w:hint="eastAsia" w:hAnsi="宋体"/>
          <w:sz w:val="28"/>
          <w:szCs w:val="28"/>
        </w:rPr>
      </w:pPr>
      <w:r>
        <w:rPr>
          <w:i/>
          <w:sz w:val="28"/>
          <w:szCs w:val="28"/>
        </w:rPr>
        <w:t>Mc</w:t>
      </w:r>
      <w:r>
        <w:rPr>
          <w:sz w:val="28"/>
          <w:szCs w:val="28"/>
        </w:rPr>
        <w:t>/</w:t>
      </w:r>
      <w:r>
        <w:rPr>
          <w:i/>
          <w:sz w:val="28"/>
          <w:szCs w:val="28"/>
        </w:rPr>
        <w:t>R</w:t>
      </w:r>
      <w:r>
        <w:rPr>
          <w:sz w:val="28"/>
          <w:szCs w:val="28"/>
          <w:vertAlign w:val="subscript"/>
        </w:rPr>
        <w:t>0</w:t>
      </w:r>
      <w:r>
        <w:rPr>
          <w:sz w:val="28"/>
          <w:szCs w:val="28"/>
        </w:rPr>
        <w:t>=</w:t>
      </w:r>
      <w:r>
        <w:rPr>
          <w:position w:val="-14"/>
          <w:sz w:val="28"/>
          <w:szCs w:val="28"/>
        </w:rPr>
        <w:object>
          <v:shape id="_x0000_i1032" o:spt="75" type="#_x0000_t75" style="height:20pt;width:33pt;" o:ole="t" filled="f" o:preferrelative="t" stroked="f" coordsize="21600,21600">
            <v:path/>
            <v:fill on="f" alignshape="1" focussize="0,0"/>
            <v:stroke on="f"/>
            <v:imagedata r:id="rId27" o:title=""/>
            <o:lock v:ext="edit" aspectratio="t"/>
            <w10:wrap type="none"/>
            <w10:anchorlock/>
          </v:shape>
          <o:OLEObject Type="Embed" ProgID="Equation.3" ShapeID="_x0000_i1032" DrawAspect="Content" ObjectID="_1468075732" r:id="rId30">
            <o:LockedField>false</o:LockedField>
          </o:OLEObject>
        </w:object>
      </w:r>
      <w:r>
        <w:rPr>
          <w:sz w:val="28"/>
          <w:szCs w:val="28"/>
        </w:rPr>
        <w:t>·cos</w:t>
      </w:r>
      <w:r>
        <w:rPr>
          <w:position w:val="-6"/>
          <w:sz w:val="28"/>
          <w:szCs w:val="28"/>
        </w:rPr>
        <w:object>
          <v:shape id="_x0000_i1033" o:spt="75" type="#_x0000_t75" style="height:11pt;width:12pt;" o:ole="t" filled="f" stroked="f" coordsize="21600,21600">
            <v:path/>
            <v:fill on="f" focussize="0,0"/>
            <v:stroke on="f"/>
            <v:imagedata r:id="rId32" o:title=""/>
            <o:lock v:ext="edit" aspectratio="t"/>
            <w10:wrap type="none"/>
            <w10:anchorlock/>
          </v:shape>
          <o:OLEObject Type="Embed" ProgID="Equation.3" ShapeID="_x0000_i1033" DrawAspect="Content" ObjectID="_1468075733" r:id="rId31">
            <o:LockedField>false</o:LockedField>
          </o:OLEObject>
        </w:object>
      </w:r>
      <w:r>
        <w:rPr>
          <w:sz w:val="28"/>
          <w:szCs w:val="28"/>
        </w:rPr>
        <w:t>-</w:t>
      </w:r>
      <w:r>
        <w:rPr>
          <w:position w:val="-14"/>
          <w:sz w:val="28"/>
          <w:szCs w:val="28"/>
        </w:rPr>
        <w:object>
          <v:shape id="_x0000_i1034" o:spt="75" type="#_x0000_t75" style="height:20pt;width:33pt;" o:ole="t" filled="f" o:preferrelative="t" stroked="f" coordsize="21600,21600">
            <v:path/>
            <v:fill on="f" alignshape="1" focussize="0,0"/>
            <v:stroke on="f"/>
            <v:imagedata r:id="rId27" o:title=""/>
            <o:lock v:ext="edit" aspectratio="t"/>
            <w10:wrap type="none"/>
            <w10:anchorlock/>
          </v:shape>
          <o:OLEObject Type="Embed" ProgID="Equation.3" ShapeID="_x0000_i1034" DrawAspect="Content" ObjectID="_1468075734" r:id="rId33">
            <o:LockedField>false</o:LockedField>
          </o:OLEObject>
        </w:object>
      </w:r>
      <w:r>
        <w:rPr>
          <w:sz w:val="28"/>
          <w:szCs w:val="28"/>
        </w:rPr>
        <w:t>/2</w:t>
      </w:r>
      <w:r>
        <w:rPr>
          <w:i/>
          <w:sz w:val="28"/>
          <w:szCs w:val="28"/>
        </w:rPr>
        <w:t>R</w:t>
      </w:r>
      <w:r>
        <w:rPr>
          <w:sz w:val="28"/>
          <w:szCs w:val="28"/>
          <w:vertAlign w:val="subscript"/>
        </w:rPr>
        <w:t>0</w:t>
      </w:r>
    </w:p>
    <w:p w14:paraId="37DEA4CE">
      <w:pPr>
        <w:bidi w:val="0"/>
      </w:pPr>
      <w:r>
        <w:rPr>
          <w:rFonts w:hint="eastAsia"/>
        </w:rPr>
        <w:t>（2）典型计算剖面的稳定计算简图</w:t>
      </w:r>
    </w:p>
    <w:p w14:paraId="6079060F">
      <w:pPr>
        <w:bidi w:val="0"/>
        <w:ind w:left="0" w:leftChars="0" w:firstLine="0" w:firstLineChars="0"/>
        <w:jc w:val="center"/>
      </w:pPr>
      <w:r>
        <w:drawing>
          <wp:inline distT="0" distB="0" distL="114300" distR="114300">
            <wp:extent cx="5638800" cy="1390650"/>
            <wp:effectExtent l="0" t="0" r="0" b="0"/>
            <wp:docPr id="6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2"/>
                    <pic:cNvPicPr>
                      <a:picLocks noChangeAspect="1"/>
                    </pic:cNvPicPr>
                  </pic:nvPicPr>
                  <pic:blipFill>
                    <a:blip r:embed="rId34"/>
                    <a:stretch>
                      <a:fillRect/>
                    </a:stretch>
                  </pic:blipFill>
                  <pic:spPr>
                    <a:xfrm>
                      <a:off x="0" y="0"/>
                      <a:ext cx="5638800" cy="1390650"/>
                    </a:xfrm>
                    <a:prstGeom prst="rect">
                      <a:avLst/>
                    </a:prstGeom>
                    <a:noFill/>
                    <a:ln>
                      <a:noFill/>
                    </a:ln>
                  </pic:spPr>
                </pic:pic>
              </a:graphicData>
            </a:graphic>
          </wp:inline>
        </w:drawing>
      </w:r>
    </w:p>
    <w:p w14:paraId="3E569AE6">
      <w:pPr>
        <w:bidi w:val="0"/>
        <w:ind w:left="0" w:leftChars="0" w:firstLine="0" w:firstLineChars="0"/>
        <w:jc w:val="center"/>
      </w:pPr>
      <w:r>
        <w:rPr>
          <w:rFonts w:hint="eastAsia"/>
          <w:sz w:val="28"/>
          <w:szCs w:val="28"/>
        </w:rPr>
        <w:t>图5</w:t>
      </w:r>
      <w:r>
        <w:rPr>
          <w:rFonts w:hint="eastAsia"/>
          <w:sz w:val="28"/>
          <w:szCs w:val="28"/>
          <w:lang w:val="en-US" w:eastAsia="zh-CN"/>
        </w:rPr>
        <w:t xml:space="preserve">.2-5 </w:t>
      </w:r>
      <w:r>
        <w:rPr>
          <w:rFonts w:hAnsi="宋体"/>
          <w:sz w:val="28"/>
          <w:szCs w:val="28"/>
        </w:rPr>
        <w:t>稳定计算简图</w:t>
      </w:r>
    </w:p>
    <w:p w14:paraId="3DE752B2">
      <w:pPr>
        <w:bidi w:val="0"/>
        <w:rPr>
          <w:rFonts w:hint="eastAsia"/>
        </w:rPr>
      </w:pPr>
      <w:r>
        <w:rPr>
          <w:rFonts w:hint="eastAsia"/>
        </w:rPr>
        <w:t>（3）稳定计算：运用Autobank7.03稳定计算软件。</w:t>
      </w:r>
    </w:p>
    <w:p w14:paraId="7C253D89">
      <w:pPr>
        <w:bidi w:val="0"/>
        <w:ind w:left="0" w:leftChars="0" w:firstLine="0" w:firstLineChars="0"/>
        <w:jc w:val="center"/>
      </w:pPr>
      <w:r>
        <w:drawing>
          <wp:inline distT="0" distB="0" distL="114300" distR="114300">
            <wp:extent cx="5715000" cy="1584960"/>
            <wp:effectExtent l="0" t="0" r="0" b="15240"/>
            <wp:docPr id="63" name="图片 12" descr="QQ图片2018051815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2" descr="QQ图片20180518150047"/>
                    <pic:cNvPicPr>
                      <a:picLocks noChangeAspect="1"/>
                    </pic:cNvPicPr>
                  </pic:nvPicPr>
                  <pic:blipFill>
                    <a:blip r:embed="rId35"/>
                    <a:stretch>
                      <a:fillRect/>
                    </a:stretch>
                  </pic:blipFill>
                  <pic:spPr>
                    <a:xfrm>
                      <a:off x="0" y="0"/>
                      <a:ext cx="5715000" cy="1584960"/>
                    </a:xfrm>
                    <a:prstGeom prst="rect">
                      <a:avLst/>
                    </a:prstGeom>
                    <a:noFill/>
                    <a:ln>
                      <a:noFill/>
                    </a:ln>
                  </pic:spPr>
                </pic:pic>
              </a:graphicData>
            </a:graphic>
          </wp:inline>
        </w:drawing>
      </w:r>
    </w:p>
    <w:p w14:paraId="405DB02E">
      <w:pPr>
        <w:bidi w:val="0"/>
        <w:ind w:left="0" w:leftChars="0" w:firstLine="0" w:firstLineChars="0"/>
        <w:jc w:val="center"/>
      </w:pPr>
      <w:r>
        <w:rPr>
          <w:rFonts w:hint="eastAsia"/>
          <w:sz w:val="28"/>
          <w:szCs w:val="28"/>
        </w:rPr>
        <w:t>图5</w:t>
      </w:r>
      <w:r>
        <w:rPr>
          <w:rFonts w:hint="eastAsia"/>
          <w:sz w:val="28"/>
          <w:szCs w:val="28"/>
          <w:lang w:val="en-US" w:eastAsia="zh-CN"/>
        </w:rPr>
        <w:t xml:space="preserve">.2-6 </w:t>
      </w:r>
      <w:r>
        <w:rPr>
          <w:rFonts w:hint="eastAsia"/>
          <w:sz w:val="28"/>
          <w:szCs w:val="28"/>
        </w:rPr>
        <w:t>尾矿坝正常运行时，稳定性计算图</w:t>
      </w:r>
    </w:p>
    <w:p w14:paraId="636D1B5C">
      <w:pPr>
        <w:bidi w:val="0"/>
        <w:ind w:left="0" w:leftChars="0" w:firstLine="0" w:firstLineChars="0"/>
        <w:jc w:val="center"/>
      </w:pPr>
      <w:r>
        <w:drawing>
          <wp:inline distT="0" distB="0" distL="114300" distR="114300">
            <wp:extent cx="5715000" cy="1876425"/>
            <wp:effectExtent l="0" t="0" r="0" b="8890"/>
            <wp:docPr id="64" name="图片 13" descr="QQ图片2018051815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3" descr="QQ图片20180518150051"/>
                    <pic:cNvPicPr>
                      <a:picLocks noChangeAspect="1"/>
                    </pic:cNvPicPr>
                  </pic:nvPicPr>
                  <pic:blipFill>
                    <a:blip r:embed="rId36"/>
                    <a:stretch>
                      <a:fillRect/>
                    </a:stretch>
                  </pic:blipFill>
                  <pic:spPr>
                    <a:xfrm>
                      <a:off x="0" y="0"/>
                      <a:ext cx="5715000" cy="1876425"/>
                    </a:xfrm>
                    <a:prstGeom prst="rect">
                      <a:avLst/>
                    </a:prstGeom>
                    <a:noFill/>
                    <a:ln>
                      <a:noFill/>
                    </a:ln>
                  </pic:spPr>
                </pic:pic>
              </a:graphicData>
            </a:graphic>
          </wp:inline>
        </w:drawing>
      </w:r>
    </w:p>
    <w:p w14:paraId="387485CD">
      <w:pPr>
        <w:bidi w:val="0"/>
        <w:ind w:left="0" w:leftChars="0" w:firstLine="0" w:firstLineChars="0"/>
        <w:jc w:val="center"/>
      </w:pPr>
      <w:r>
        <w:rPr>
          <w:rFonts w:hint="eastAsia"/>
          <w:sz w:val="28"/>
          <w:szCs w:val="28"/>
        </w:rPr>
        <w:t>图5</w:t>
      </w:r>
      <w:r>
        <w:rPr>
          <w:rFonts w:hint="eastAsia"/>
          <w:sz w:val="28"/>
          <w:szCs w:val="28"/>
          <w:lang w:val="en-US" w:eastAsia="zh-CN"/>
        </w:rPr>
        <w:t xml:space="preserve">.2-7 </w:t>
      </w:r>
      <w:r>
        <w:rPr>
          <w:rFonts w:hint="eastAsia"/>
        </w:rPr>
        <w:t>尾矿坝最高洪水位运行时，稳定性计算图</w:t>
      </w:r>
    </w:p>
    <w:p w14:paraId="5AF63B08">
      <w:pPr>
        <w:bidi w:val="0"/>
        <w:ind w:left="0" w:leftChars="0" w:firstLine="0" w:firstLineChars="0"/>
        <w:jc w:val="center"/>
      </w:pPr>
      <w:r>
        <w:drawing>
          <wp:inline distT="0" distB="0" distL="114300" distR="114300">
            <wp:extent cx="5715000" cy="1783080"/>
            <wp:effectExtent l="0" t="0" r="0" b="6985"/>
            <wp:docPr id="65" name="图片 14" descr="QQ图片2018051815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4" descr="QQ图片20180518150103"/>
                    <pic:cNvPicPr>
                      <a:picLocks noChangeAspect="1"/>
                    </pic:cNvPicPr>
                  </pic:nvPicPr>
                  <pic:blipFill>
                    <a:blip r:embed="rId37"/>
                    <a:stretch>
                      <a:fillRect/>
                    </a:stretch>
                  </pic:blipFill>
                  <pic:spPr>
                    <a:xfrm>
                      <a:off x="0" y="0"/>
                      <a:ext cx="5715000" cy="1783080"/>
                    </a:xfrm>
                    <a:prstGeom prst="rect">
                      <a:avLst/>
                    </a:prstGeom>
                    <a:noFill/>
                    <a:ln>
                      <a:noFill/>
                    </a:ln>
                  </pic:spPr>
                </pic:pic>
              </a:graphicData>
            </a:graphic>
          </wp:inline>
        </w:drawing>
      </w:r>
    </w:p>
    <w:p w14:paraId="29D224B7">
      <w:pPr>
        <w:bidi w:val="0"/>
        <w:ind w:left="0" w:leftChars="0" w:firstLine="0" w:firstLineChars="0"/>
        <w:jc w:val="center"/>
      </w:pPr>
      <w:r>
        <w:rPr>
          <w:rFonts w:hint="eastAsia"/>
          <w:sz w:val="28"/>
          <w:szCs w:val="28"/>
        </w:rPr>
        <w:t>图5</w:t>
      </w:r>
      <w:r>
        <w:rPr>
          <w:rFonts w:hint="eastAsia"/>
          <w:sz w:val="28"/>
          <w:szCs w:val="28"/>
          <w:lang w:val="en-US" w:eastAsia="zh-CN"/>
        </w:rPr>
        <w:t xml:space="preserve">.2-8 </w:t>
      </w:r>
      <w:r>
        <w:rPr>
          <w:rFonts w:hint="eastAsia"/>
          <w:kern w:val="0"/>
          <w:sz w:val="28"/>
          <w:szCs w:val="28"/>
          <w:lang w:val="zh-CN"/>
        </w:rPr>
        <w:t>尾矿坝特殊运行时，</w:t>
      </w:r>
      <w:r>
        <w:rPr>
          <w:rFonts w:hint="eastAsia"/>
          <w:sz w:val="28"/>
          <w:szCs w:val="28"/>
        </w:rPr>
        <w:t>稳定性计算图</w:t>
      </w:r>
    </w:p>
    <w:p w14:paraId="38143E93">
      <w:pPr>
        <w:bidi w:val="0"/>
        <w:rPr>
          <w:rFonts w:hint="eastAsia"/>
        </w:rPr>
      </w:pPr>
      <w:r>
        <w:rPr>
          <w:rFonts w:hint="eastAsia"/>
        </w:rPr>
        <w:t>（4）尾矿坝坝体稳定性结论</w:t>
      </w:r>
    </w:p>
    <w:p w14:paraId="161DB8ED">
      <w:pPr>
        <w:bidi w:val="0"/>
        <w:ind w:left="0" w:leftChars="0" w:firstLine="0" w:firstLineChars="0"/>
        <w:jc w:val="center"/>
        <w:rPr>
          <w:sz w:val="28"/>
          <w:szCs w:val="28"/>
        </w:rPr>
      </w:pPr>
      <w:r>
        <w:rPr>
          <w:rFonts w:hint="default"/>
          <w:lang w:val="en-US" w:eastAsia="zh-CN"/>
        </w:rPr>
        <w:t>表5</w:t>
      </w:r>
      <w:r>
        <w:rPr>
          <w:rFonts w:hint="eastAsia"/>
          <w:lang w:val="en-US" w:eastAsia="zh-CN"/>
        </w:rPr>
        <w:t>.2</w:t>
      </w:r>
      <w:r>
        <w:rPr>
          <w:rFonts w:hint="default"/>
          <w:lang w:val="en-US" w:eastAsia="zh-CN"/>
        </w:rPr>
        <w:t>-</w:t>
      </w:r>
      <w:r>
        <w:rPr>
          <w:rFonts w:hint="eastAsia"/>
          <w:lang w:val="en-US" w:eastAsia="zh-CN"/>
        </w:rPr>
        <w:t xml:space="preserve">4 </w:t>
      </w:r>
      <w:r>
        <w:rPr>
          <w:sz w:val="28"/>
          <w:szCs w:val="28"/>
        </w:rPr>
        <w:t>稳定计算结果表</w:t>
      </w:r>
    </w:p>
    <w:tbl>
      <w:tblPr>
        <w:tblStyle w:val="20"/>
        <w:tblW w:w="0" w:type="auto"/>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4"/>
        <w:gridCol w:w="2320"/>
        <w:gridCol w:w="2323"/>
        <w:gridCol w:w="1857"/>
      </w:tblGrid>
      <w:tr w14:paraId="75793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2004" w:type="dxa"/>
            <w:noWrap w:val="0"/>
            <w:vAlign w:val="center"/>
          </w:tcPr>
          <w:p w14:paraId="364A418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b/>
                <w:bCs/>
                <w:kern w:val="0"/>
                <w:sz w:val="21"/>
                <w:szCs w:val="21"/>
              </w:rPr>
            </w:pPr>
            <w:r>
              <w:rPr>
                <w:rFonts w:hint="eastAsia" w:ascii="宋体" w:hAnsi="宋体" w:cs="宋体"/>
                <w:b/>
                <w:bCs/>
                <w:kern w:val="0"/>
                <w:sz w:val="21"/>
                <w:szCs w:val="21"/>
              </w:rPr>
              <w:t>计算方法</w:t>
            </w:r>
          </w:p>
        </w:tc>
        <w:tc>
          <w:tcPr>
            <w:tcW w:w="6500" w:type="dxa"/>
            <w:gridSpan w:val="3"/>
            <w:noWrap w:val="0"/>
            <w:vAlign w:val="center"/>
          </w:tcPr>
          <w:p w14:paraId="2216332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b/>
                <w:bCs/>
                <w:kern w:val="0"/>
                <w:sz w:val="21"/>
                <w:szCs w:val="21"/>
              </w:rPr>
            </w:pPr>
            <w:r>
              <w:rPr>
                <w:rFonts w:hint="eastAsia" w:ascii="宋体" w:hAnsi="宋体" w:cs="宋体"/>
                <w:b/>
                <w:bCs/>
                <w:kern w:val="0"/>
                <w:sz w:val="21"/>
                <w:szCs w:val="21"/>
              </w:rPr>
              <w:t>瑞典圆弧法</w:t>
            </w:r>
          </w:p>
        </w:tc>
      </w:tr>
      <w:tr w14:paraId="1C49D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004" w:type="dxa"/>
            <w:noWrap w:val="0"/>
            <w:vAlign w:val="center"/>
          </w:tcPr>
          <w:p w14:paraId="344F5FD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kern w:val="0"/>
                <w:sz w:val="21"/>
                <w:szCs w:val="21"/>
              </w:rPr>
            </w:pPr>
            <w:r>
              <w:rPr>
                <w:rFonts w:hint="eastAsia" w:ascii="宋体" w:hAnsi="宋体" w:cs="宋体"/>
                <w:kern w:val="0"/>
                <w:sz w:val="21"/>
                <w:szCs w:val="21"/>
              </w:rPr>
              <w:t>工作状况</w:t>
            </w:r>
          </w:p>
        </w:tc>
        <w:tc>
          <w:tcPr>
            <w:tcW w:w="2320" w:type="dxa"/>
            <w:noWrap w:val="0"/>
            <w:vAlign w:val="center"/>
          </w:tcPr>
          <w:p w14:paraId="7937C50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kern w:val="0"/>
                <w:sz w:val="21"/>
                <w:szCs w:val="21"/>
              </w:rPr>
            </w:pPr>
            <w:r>
              <w:rPr>
                <w:rFonts w:hint="eastAsia" w:ascii="宋体" w:hAnsi="宋体" w:cs="宋体"/>
                <w:kern w:val="0"/>
                <w:sz w:val="21"/>
                <w:szCs w:val="21"/>
              </w:rPr>
              <w:t>正常运行</w:t>
            </w:r>
          </w:p>
        </w:tc>
        <w:tc>
          <w:tcPr>
            <w:tcW w:w="2323" w:type="dxa"/>
            <w:noWrap w:val="0"/>
            <w:vAlign w:val="center"/>
          </w:tcPr>
          <w:p w14:paraId="705BDDB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kern w:val="0"/>
                <w:sz w:val="21"/>
                <w:szCs w:val="21"/>
              </w:rPr>
            </w:pPr>
            <w:r>
              <w:rPr>
                <w:rFonts w:hint="eastAsia" w:ascii="宋体" w:hAnsi="宋体" w:cs="宋体"/>
                <w:kern w:val="0"/>
                <w:sz w:val="21"/>
                <w:szCs w:val="21"/>
              </w:rPr>
              <w:t>洪水运行</w:t>
            </w:r>
          </w:p>
        </w:tc>
        <w:tc>
          <w:tcPr>
            <w:tcW w:w="1857" w:type="dxa"/>
            <w:noWrap w:val="0"/>
            <w:vAlign w:val="center"/>
          </w:tcPr>
          <w:p w14:paraId="53B81B4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kern w:val="0"/>
                <w:sz w:val="21"/>
                <w:szCs w:val="21"/>
              </w:rPr>
            </w:pPr>
            <w:r>
              <w:rPr>
                <w:rFonts w:hint="eastAsia" w:ascii="宋体" w:hAnsi="宋体" w:cs="宋体"/>
                <w:kern w:val="0"/>
                <w:sz w:val="21"/>
                <w:szCs w:val="21"/>
              </w:rPr>
              <w:t>特殊运行</w:t>
            </w:r>
          </w:p>
        </w:tc>
      </w:tr>
      <w:tr w14:paraId="37F4D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004" w:type="dxa"/>
            <w:noWrap w:val="0"/>
            <w:vAlign w:val="center"/>
          </w:tcPr>
          <w:p w14:paraId="103443D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kern w:val="0"/>
                <w:sz w:val="21"/>
                <w:szCs w:val="21"/>
              </w:rPr>
            </w:pPr>
            <w:r>
              <w:rPr>
                <w:rFonts w:hint="eastAsia" w:ascii="宋体" w:hAnsi="宋体" w:cs="宋体"/>
                <w:kern w:val="0"/>
                <w:sz w:val="21"/>
                <w:szCs w:val="21"/>
              </w:rPr>
              <w:t>计算最小安全系数</w:t>
            </w:r>
          </w:p>
        </w:tc>
        <w:tc>
          <w:tcPr>
            <w:tcW w:w="2320" w:type="dxa"/>
            <w:noWrap w:val="0"/>
            <w:vAlign w:val="center"/>
          </w:tcPr>
          <w:p w14:paraId="6407532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kern w:val="0"/>
                <w:sz w:val="21"/>
                <w:szCs w:val="21"/>
              </w:rPr>
            </w:pPr>
            <w:r>
              <w:rPr>
                <w:rFonts w:hint="eastAsia"/>
                <w:kern w:val="0"/>
                <w:sz w:val="21"/>
                <w:szCs w:val="21"/>
              </w:rPr>
              <w:t>1.792</w:t>
            </w:r>
          </w:p>
        </w:tc>
        <w:tc>
          <w:tcPr>
            <w:tcW w:w="2323" w:type="dxa"/>
            <w:noWrap w:val="0"/>
            <w:vAlign w:val="center"/>
          </w:tcPr>
          <w:p w14:paraId="78E7BFA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kern w:val="0"/>
                <w:sz w:val="21"/>
                <w:szCs w:val="21"/>
              </w:rPr>
            </w:pPr>
            <w:r>
              <w:rPr>
                <w:rFonts w:hint="eastAsia"/>
                <w:kern w:val="0"/>
                <w:sz w:val="21"/>
                <w:szCs w:val="21"/>
              </w:rPr>
              <w:t>1.549</w:t>
            </w:r>
          </w:p>
        </w:tc>
        <w:tc>
          <w:tcPr>
            <w:tcW w:w="1857" w:type="dxa"/>
            <w:noWrap w:val="0"/>
            <w:vAlign w:val="center"/>
          </w:tcPr>
          <w:p w14:paraId="7BCB710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kern w:val="0"/>
                <w:sz w:val="21"/>
                <w:szCs w:val="21"/>
              </w:rPr>
            </w:pPr>
            <w:r>
              <w:rPr>
                <w:rFonts w:hint="eastAsia"/>
                <w:kern w:val="0"/>
                <w:sz w:val="21"/>
                <w:szCs w:val="21"/>
              </w:rPr>
              <w:t>1.523</w:t>
            </w:r>
          </w:p>
        </w:tc>
      </w:tr>
      <w:tr w14:paraId="699CA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004" w:type="dxa"/>
            <w:noWrap w:val="0"/>
            <w:vAlign w:val="center"/>
          </w:tcPr>
          <w:p w14:paraId="4E9A1E9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kern w:val="0"/>
                <w:sz w:val="21"/>
                <w:szCs w:val="21"/>
              </w:rPr>
            </w:pPr>
            <w:r>
              <w:rPr>
                <w:rFonts w:hint="eastAsia" w:ascii="宋体" w:hAnsi="宋体" w:cs="宋体"/>
                <w:kern w:val="0"/>
                <w:sz w:val="21"/>
                <w:szCs w:val="21"/>
              </w:rPr>
              <w:t>规范值</w:t>
            </w:r>
          </w:p>
        </w:tc>
        <w:tc>
          <w:tcPr>
            <w:tcW w:w="2320" w:type="dxa"/>
            <w:noWrap w:val="0"/>
            <w:vAlign w:val="center"/>
          </w:tcPr>
          <w:p w14:paraId="60078BB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kern w:val="0"/>
                <w:sz w:val="21"/>
                <w:szCs w:val="21"/>
              </w:rPr>
            </w:pPr>
            <w:r>
              <w:rPr>
                <w:rFonts w:hint="eastAsia"/>
                <w:kern w:val="0"/>
                <w:sz w:val="21"/>
                <w:szCs w:val="21"/>
              </w:rPr>
              <w:t>1.15</w:t>
            </w:r>
          </w:p>
        </w:tc>
        <w:tc>
          <w:tcPr>
            <w:tcW w:w="2323" w:type="dxa"/>
            <w:noWrap w:val="0"/>
            <w:vAlign w:val="center"/>
          </w:tcPr>
          <w:p w14:paraId="7BD9DE2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kern w:val="0"/>
                <w:sz w:val="21"/>
                <w:szCs w:val="21"/>
              </w:rPr>
            </w:pPr>
            <w:r>
              <w:rPr>
                <w:rFonts w:hint="eastAsia"/>
                <w:kern w:val="0"/>
                <w:sz w:val="21"/>
                <w:szCs w:val="21"/>
              </w:rPr>
              <w:t>1.05</w:t>
            </w:r>
          </w:p>
        </w:tc>
        <w:tc>
          <w:tcPr>
            <w:tcW w:w="1857" w:type="dxa"/>
            <w:noWrap w:val="0"/>
            <w:vAlign w:val="center"/>
          </w:tcPr>
          <w:p w14:paraId="27286C0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kern w:val="0"/>
                <w:sz w:val="21"/>
                <w:szCs w:val="21"/>
              </w:rPr>
            </w:pPr>
            <w:r>
              <w:rPr>
                <w:rFonts w:hint="eastAsia"/>
                <w:kern w:val="0"/>
                <w:sz w:val="21"/>
                <w:szCs w:val="21"/>
              </w:rPr>
              <w:t>1.00</w:t>
            </w:r>
          </w:p>
        </w:tc>
      </w:tr>
    </w:tbl>
    <w:p w14:paraId="5C8C5AEB">
      <w:pPr>
        <w:bidi w:val="0"/>
        <w:rPr>
          <w:rFonts w:hint="eastAsia"/>
        </w:rPr>
      </w:pPr>
      <w:r>
        <w:rPr>
          <w:rFonts w:hint="eastAsia"/>
        </w:rPr>
        <w:t>由表</w:t>
      </w:r>
      <w:r>
        <w:rPr>
          <w:rFonts w:hint="default"/>
          <w:lang w:val="en-US" w:eastAsia="zh-CN"/>
        </w:rPr>
        <w:t>表5</w:t>
      </w:r>
      <w:r>
        <w:rPr>
          <w:rFonts w:hint="eastAsia"/>
          <w:lang w:val="en-US" w:eastAsia="zh-CN"/>
        </w:rPr>
        <w:t>.2</w:t>
      </w:r>
      <w:r>
        <w:rPr>
          <w:rFonts w:hint="default"/>
          <w:lang w:val="en-US" w:eastAsia="zh-CN"/>
        </w:rPr>
        <w:t>-</w:t>
      </w:r>
      <w:r>
        <w:rPr>
          <w:rFonts w:hint="eastAsia"/>
          <w:lang w:val="en-US" w:eastAsia="zh-CN"/>
        </w:rPr>
        <w:t>4</w:t>
      </w:r>
      <w:r>
        <w:rPr>
          <w:rFonts w:hint="eastAsia"/>
        </w:rPr>
        <w:t>可知，3号（氰化渣）尾矿库尾矿坝在三种运行情况下，均满足五等库规范要求，因此坝体是稳定的。</w:t>
      </w:r>
    </w:p>
    <w:p w14:paraId="1F5C2052">
      <w:pPr>
        <w:pStyle w:val="4"/>
        <w:bidi w:val="0"/>
        <w:rPr>
          <w:rFonts w:hint="eastAsia"/>
          <w:color w:val="auto"/>
          <w:lang w:eastAsia="zh-CN"/>
        </w:rPr>
      </w:pPr>
      <w:bookmarkStart w:id="478" w:name="_Toc25380"/>
      <w:bookmarkStart w:id="479" w:name="_Toc21991"/>
      <w:bookmarkStart w:id="480" w:name="_Toc12946"/>
      <w:bookmarkStart w:id="481" w:name="_Toc21619"/>
      <w:r>
        <w:rPr>
          <w:rFonts w:hint="eastAsia"/>
          <w:color w:val="auto"/>
          <w:lang w:eastAsia="zh-CN"/>
        </w:rPr>
        <w:t>5.2.3</w:t>
      </w:r>
      <w:r>
        <w:rPr>
          <w:rFonts w:hint="eastAsia"/>
          <w:color w:val="auto"/>
          <w:lang w:val="en-US" w:eastAsia="zh-CN"/>
        </w:rPr>
        <w:t xml:space="preserve"> </w:t>
      </w:r>
      <w:r>
        <w:rPr>
          <w:rFonts w:hint="eastAsia"/>
          <w:color w:val="auto"/>
          <w:lang w:eastAsia="zh-CN"/>
        </w:rPr>
        <w:t>评价单元小结</w:t>
      </w:r>
      <w:bookmarkEnd w:id="477"/>
      <w:bookmarkEnd w:id="478"/>
      <w:bookmarkEnd w:id="479"/>
      <w:bookmarkEnd w:id="480"/>
      <w:bookmarkEnd w:id="481"/>
    </w:p>
    <w:p w14:paraId="327CB539">
      <w:pPr>
        <w:rPr>
          <w:rFonts w:hint="eastAsia"/>
          <w:color w:val="auto"/>
          <w:lang w:eastAsia="zh-CN"/>
        </w:rPr>
      </w:pPr>
      <w:r>
        <w:rPr>
          <w:rFonts w:hint="eastAsia"/>
          <w:color w:val="auto"/>
          <w:lang w:val="en-US" w:eastAsia="zh-CN"/>
        </w:rPr>
        <w:t xml:space="preserve">1. </w:t>
      </w:r>
      <w:r>
        <w:rPr>
          <w:rFonts w:hint="eastAsia"/>
          <w:color w:val="auto"/>
          <w:lang w:eastAsia="zh-CN"/>
        </w:rPr>
        <w:t>经现场检查，</w:t>
      </w:r>
      <w:r>
        <w:rPr>
          <w:rFonts w:hint="eastAsia"/>
        </w:rPr>
        <w:t>三号（氰化渣）尾矿库</w:t>
      </w:r>
      <w:r>
        <w:rPr>
          <w:rFonts w:hint="eastAsia"/>
          <w:color w:val="auto"/>
          <w:lang w:eastAsia="zh-CN"/>
        </w:rPr>
        <w:t>的外形尺寸（坝顶高程、马道高程，坝顶、马道宽度，上下游坡坡比等）符合设计要求，各坝</w:t>
      </w:r>
      <w:r>
        <w:rPr>
          <w:rFonts w:hint="eastAsia"/>
          <w:color w:val="auto"/>
          <w:lang w:val="en-US" w:eastAsia="zh-CN"/>
        </w:rPr>
        <w:t>体</w:t>
      </w:r>
      <w:r>
        <w:rPr>
          <w:rFonts w:hint="eastAsia"/>
          <w:color w:val="auto"/>
          <w:lang w:eastAsia="zh-CN"/>
        </w:rPr>
        <w:t>均无位移、沉陷、滑坡及裂缝、渗透水、沼泽化等现象。</w:t>
      </w:r>
    </w:p>
    <w:p w14:paraId="76D8C31F">
      <w:pPr>
        <w:rPr>
          <w:rFonts w:hint="eastAsia"/>
          <w:color w:val="auto"/>
          <w:lang w:eastAsia="zh-CN"/>
        </w:rPr>
      </w:pPr>
      <w:r>
        <w:rPr>
          <w:rFonts w:hint="eastAsia"/>
          <w:color w:val="auto"/>
          <w:lang w:val="en-US" w:eastAsia="zh-CN"/>
        </w:rPr>
        <w:t xml:space="preserve">2. </w:t>
      </w:r>
      <w:r>
        <w:rPr>
          <w:rFonts w:hint="eastAsia"/>
          <w:color w:val="auto"/>
          <w:lang w:eastAsia="zh-CN"/>
        </w:rPr>
        <w:t>通过尾矿坝稳定分析计算来看</w:t>
      </w:r>
      <w:r>
        <w:rPr>
          <w:color w:val="000000"/>
          <w:sz w:val="28"/>
          <w:szCs w:val="28"/>
        </w:rPr>
        <w:t>，尾矿</w:t>
      </w:r>
      <w:r>
        <w:rPr>
          <w:rFonts w:hint="eastAsia"/>
          <w:color w:val="000000"/>
          <w:sz w:val="28"/>
          <w:szCs w:val="28"/>
        </w:rPr>
        <w:t>坝体</w:t>
      </w:r>
      <w:r>
        <w:rPr>
          <w:color w:val="000000"/>
          <w:sz w:val="28"/>
          <w:szCs w:val="28"/>
        </w:rPr>
        <w:t>处在稳定状态。</w:t>
      </w:r>
    </w:p>
    <w:p w14:paraId="0724B326">
      <w:pPr>
        <w:rPr>
          <w:rFonts w:hint="eastAsia"/>
          <w:color w:val="auto"/>
          <w:lang w:eastAsia="zh-CN"/>
        </w:rPr>
      </w:pPr>
      <w:r>
        <w:rPr>
          <w:rFonts w:hint="eastAsia"/>
          <w:color w:val="auto"/>
          <w:lang w:val="en-US" w:eastAsia="zh-CN"/>
        </w:rPr>
        <w:t xml:space="preserve">3. </w:t>
      </w:r>
      <w:r>
        <w:rPr>
          <w:rFonts w:hint="eastAsia"/>
          <w:color w:val="auto"/>
          <w:lang w:eastAsia="zh-CN"/>
        </w:rPr>
        <w:t>经采用安全检查表法评判，尾矿坝体单元应得分</w:t>
      </w:r>
      <w:r>
        <w:rPr>
          <w:rFonts w:hint="eastAsia"/>
          <w:color w:val="auto"/>
          <w:lang w:val="en-US" w:eastAsia="zh-CN"/>
        </w:rPr>
        <w:t>60</w:t>
      </w:r>
      <w:r>
        <w:rPr>
          <w:rFonts w:hint="eastAsia"/>
          <w:color w:val="auto"/>
          <w:lang w:eastAsia="zh-CN"/>
        </w:rPr>
        <w:t>分，实际得分</w:t>
      </w:r>
      <w:r>
        <w:rPr>
          <w:rFonts w:hint="eastAsia"/>
          <w:color w:val="auto"/>
          <w:lang w:val="en-US" w:eastAsia="zh-CN"/>
        </w:rPr>
        <w:t>56</w:t>
      </w:r>
      <w:r>
        <w:rPr>
          <w:rFonts w:hint="eastAsia"/>
          <w:color w:val="auto"/>
          <w:lang w:eastAsia="zh-CN"/>
        </w:rPr>
        <w:t>分，得分率为</w:t>
      </w:r>
      <w:r>
        <w:rPr>
          <w:rFonts w:hint="eastAsia"/>
          <w:color w:val="auto"/>
          <w:lang w:val="en-US" w:eastAsia="zh-CN"/>
        </w:rPr>
        <w:t>93.33</w:t>
      </w:r>
      <w:r>
        <w:rPr>
          <w:rFonts w:hint="eastAsia"/>
          <w:color w:val="auto"/>
          <w:lang w:eastAsia="zh-CN"/>
        </w:rPr>
        <w:t>%，尾矿坝体单元符合安全要求。</w:t>
      </w:r>
    </w:p>
    <w:p w14:paraId="454DF785">
      <w:pPr>
        <w:pStyle w:val="3"/>
        <w:bidi w:val="0"/>
        <w:rPr>
          <w:rFonts w:hint="eastAsia"/>
          <w:color w:val="auto"/>
          <w:lang w:eastAsia="zh-CN"/>
        </w:rPr>
      </w:pPr>
      <w:bookmarkStart w:id="482" w:name="_Toc7081"/>
      <w:bookmarkStart w:id="483" w:name="_Toc29404"/>
      <w:bookmarkStart w:id="484" w:name="_Toc9686"/>
      <w:bookmarkStart w:id="485" w:name="_Toc589"/>
      <w:bookmarkStart w:id="486" w:name="_Toc16029"/>
      <w:r>
        <w:rPr>
          <w:rFonts w:hint="eastAsia"/>
          <w:color w:val="auto"/>
          <w:lang w:eastAsia="zh-CN"/>
        </w:rPr>
        <w:t>5.3</w:t>
      </w:r>
      <w:r>
        <w:rPr>
          <w:rFonts w:hint="eastAsia"/>
          <w:color w:val="auto"/>
          <w:lang w:val="en-US" w:eastAsia="zh-CN"/>
        </w:rPr>
        <w:t xml:space="preserve"> </w:t>
      </w:r>
      <w:r>
        <w:rPr>
          <w:rFonts w:hint="eastAsia"/>
          <w:color w:val="auto"/>
          <w:lang w:eastAsia="zh-CN"/>
        </w:rPr>
        <w:t>防排洪系统单元</w:t>
      </w:r>
      <w:bookmarkEnd w:id="482"/>
      <w:bookmarkEnd w:id="483"/>
      <w:bookmarkEnd w:id="484"/>
      <w:bookmarkEnd w:id="485"/>
      <w:bookmarkEnd w:id="486"/>
    </w:p>
    <w:p w14:paraId="40E56842">
      <w:pPr>
        <w:pStyle w:val="4"/>
        <w:bidi w:val="0"/>
        <w:rPr>
          <w:rFonts w:hint="eastAsia"/>
          <w:color w:val="auto"/>
          <w:lang w:eastAsia="zh-CN"/>
        </w:rPr>
      </w:pPr>
      <w:bookmarkStart w:id="487" w:name="_Toc5679"/>
      <w:bookmarkStart w:id="488" w:name="_Toc30295"/>
      <w:bookmarkStart w:id="489" w:name="_Toc29776"/>
      <w:bookmarkStart w:id="490" w:name="_Toc8204"/>
      <w:bookmarkStart w:id="491" w:name="_Toc19143"/>
      <w:r>
        <w:rPr>
          <w:rFonts w:hint="eastAsia"/>
          <w:color w:val="auto"/>
          <w:lang w:eastAsia="zh-CN"/>
        </w:rPr>
        <w:t>5.3.1</w:t>
      </w:r>
      <w:r>
        <w:rPr>
          <w:rFonts w:hint="eastAsia"/>
          <w:color w:val="auto"/>
          <w:lang w:val="en-US" w:eastAsia="zh-CN"/>
        </w:rPr>
        <w:t xml:space="preserve"> </w:t>
      </w:r>
      <w:r>
        <w:rPr>
          <w:rFonts w:hint="eastAsia"/>
          <w:color w:val="auto"/>
          <w:lang w:eastAsia="zh-CN"/>
        </w:rPr>
        <w:t>安全检查表评价</w:t>
      </w:r>
      <w:bookmarkEnd w:id="487"/>
      <w:bookmarkEnd w:id="488"/>
      <w:bookmarkEnd w:id="489"/>
      <w:bookmarkEnd w:id="490"/>
      <w:bookmarkEnd w:id="491"/>
    </w:p>
    <w:p w14:paraId="6F1FE872">
      <w:pPr>
        <w:rPr>
          <w:rFonts w:hint="eastAsia"/>
          <w:color w:val="auto"/>
          <w:lang w:eastAsia="zh-CN"/>
        </w:rPr>
      </w:pPr>
      <w:r>
        <w:rPr>
          <w:rFonts w:hint="eastAsia"/>
          <w:color w:val="auto"/>
          <w:lang w:eastAsia="zh-CN"/>
        </w:rPr>
        <w:t>运用《江西省尾矿库安全检查表》，对</w:t>
      </w:r>
      <w:r>
        <w:rPr>
          <w:rFonts w:hint="eastAsia"/>
        </w:rPr>
        <w:t>三号（氰化渣）尾矿库</w:t>
      </w:r>
      <w:r>
        <w:rPr>
          <w:rFonts w:hint="eastAsia"/>
          <w:color w:val="auto"/>
          <w:lang w:eastAsia="zh-CN"/>
        </w:rPr>
        <w:t>防排洪系统单元进行评判，具体见表5</w:t>
      </w:r>
      <w:r>
        <w:rPr>
          <w:rFonts w:hint="eastAsia"/>
          <w:color w:val="auto"/>
          <w:lang w:val="en-US" w:eastAsia="zh-CN"/>
        </w:rPr>
        <w:t>.3</w:t>
      </w:r>
      <w:r>
        <w:rPr>
          <w:rFonts w:hint="eastAsia"/>
          <w:color w:val="auto"/>
          <w:lang w:eastAsia="zh-CN"/>
        </w:rPr>
        <w:t>-</w:t>
      </w:r>
      <w:r>
        <w:rPr>
          <w:rFonts w:hint="eastAsia"/>
          <w:color w:val="auto"/>
          <w:lang w:val="en-US" w:eastAsia="zh-CN"/>
        </w:rPr>
        <w:t>1</w:t>
      </w:r>
      <w:r>
        <w:rPr>
          <w:rFonts w:hint="eastAsia"/>
          <w:color w:val="auto"/>
          <w:lang w:eastAsia="zh-CN"/>
        </w:rPr>
        <w:t>。</w:t>
      </w:r>
    </w:p>
    <w:p w14:paraId="5764E2AA">
      <w:pPr>
        <w:ind w:left="0" w:leftChars="0" w:firstLine="0" w:firstLineChars="0"/>
        <w:jc w:val="center"/>
        <w:rPr>
          <w:rFonts w:hint="eastAsia"/>
          <w:color w:val="auto"/>
          <w:lang w:eastAsia="zh-CN"/>
        </w:rPr>
      </w:pPr>
      <w:r>
        <w:rPr>
          <w:rFonts w:hint="eastAsia"/>
          <w:color w:val="auto"/>
          <w:lang w:eastAsia="zh-CN"/>
        </w:rPr>
        <w:t>表5</w:t>
      </w:r>
      <w:r>
        <w:rPr>
          <w:rFonts w:hint="eastAsia"/>
          <w:color w:val="auto"/>
          <w:lang w:val="en-US" w:eastAsia="zh-CN"/>
        </w:rPr>
        <w:t>.3</w:t>
      </w:r>
      <w:r>
        <w:rPr>
          <w:rFonts w:hint="eastAsia"/>
          <w:color w:val="auto"/>
          <w:lang w:eastAsia="zh-CN"/>
        </w:rPr>
        <w:t>-</w:t>
      </w:r>
      <w:r>
        <w:rPr>
          <w:rFonts w:hint="eastAsia"/>
          <w:color w:val="auto"/>
          <w:lang w:val="en-US" w:eastAsia="zh-CN"/>
        </w:rPr>
        <w:t xml:space="preserve">1 </w:t>
      </w:r>
      <w:r>
        <w:rPr>
          <w:rFonts w:hint="eastAsia"/>
          <w:color w:val="auto"/>
          <w:lang w:eastAsia="zh-CN"/>
        </w:rPr>
        <w:t>防排洪系统单元安全检查表</w:t>
      </w:r>
    </w:p>
    <w:tbl>
      <w:tblPr>
        <w:tblStyle w:val="20"/>
        <w:tblW w:w="50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580"/>
        <w:gridCol w:w="3282"/>
        <w:gridCol w:w="1685"/>
        <w:gridCol w:w="899"/>
        <w:gridCol w:w="658"/>
        <w:gridCol w:w="649"/>
        <w:gridCol w:w="824"/>
        <w:gridCol w:w="537"/>
      </w:tblGrid>
      <w:tr w14:paraId="036F9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454" w:hRule="atLeast"/>
          <w:jc w:val="center"/>
        </w:trPr>
        <w:tc>
          <w:tcPr>
            <w:tcW w:w="318" w:type="pct"/>
            <w:noWrap w:val="0"/>
            <w:vAlign w:val="center"/>
          </w:tcPr>
          <w:p w14:paraId="37FC0FB2">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项目</w:t>
            </w:r>
          </w:p>
        </w:tc>
        <w:tc>
          <w:tcPr>
            <w:tcW w:w="1800" w:type="pct"/>
            <w:noWrap w:val="0"/>
            <w:vAlign w:val="center"/>
          </w:tcPr>
          <w:p w14:paraId="01B0F595">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检查内容</w:t>
            </w:r>
          </w:p>
        </w:tc>
        <w:tc>
          <w:tcPr>
            <w:tcW w:w="924" w:type="pct"/>
            <w:noWrap w:val="0"/>
            <w:vAlign w:val="center"/>
          </w:tcPr>
          <w:p w14:paraId="4EE429A1">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检查依据</w:t>
            </w:r>
          </w:p>
        </w:tc>
        <w:tc>
          <w:tcPr>
            <w:tcW w:w="493" w:type="pct"/>
            <w:noWrap w:val="0"/>
            <w:vAlign w:val="center"/>
          </w:tcPr>
          <w:p w14:paraId="730E32D8">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检查方法</w:t>
            </w:r>
          </w:p>
          <w:p w14:paraId="7144398E">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bCs/>
                <w:color w:val="auto"/>
                <w:kern w:val="0"/>
                <w:sz w:val="21"/>
                <w:szCs w:val="21"/>
                <w:lang w:val="zh-CN"/>
              </w:rPr>
            </w:pPr>
            <w:r>
              <w:rPr>
                <w:rFonts w:hint="default" w:ascii="Times New Roman" w:hAnsi="Times New Roman" w:eastAsia="宋体" w:cs="Times New Roman"/>
                <w:bCs/>
                <w:color w:val="auto"/>
                <w:sz w:val="21"/>
                <w:szCs w:val="21"/>
              </w:rPr>
              <w:t>及地点</w:t>
            </w:r>
          </w:p>
        </w:tc>
        <w:tc>
          <w:tcPr>
            <w:tcW w:w="361" w:type="pct"/>
            <w:noWrap w:val="0"/>
            <w:vAlign w:val="center"/>
          </w:tcPr>
          <w:p w14:paraId="54F6E7D1">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检查</w:t>
            </w:r>
          </w:p>
          <w:p w14:paraId="6651AA1C">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bCs/>
                <w:color w:val="auto"/>
                <w:kern w:val="0"/>
                <w:sz w:val="21"/>
                <w:szCs w:val="21"/>
                <w:lang w:val="zh-CN"/>
              </w:rPr>
            </w:pPr>
            <w:r>
              <w:rPr>
                <w:rFonts w:hint="default" w:ascii="Times New Roman" w:hAnsi="Times New Roman" w:eastAsia="宋体" w:cs="Times New Roman"/>
                <w:bCs/>
                <w:color w:val="auto"/>
                <w:sz w:val="21"/>
                <w:szCs w:val="21"/>
              </w:rPr>
              <w:t>记录</w:t>
            </w:r>
          </w:p>
        </w:tc>
        <w:tc>
          <w:tcPr>
            <w:tcW w:w="356" w:type="pct"/>
            <w:noWrap w:val="0"/>
            <w:vAlign w:val="center"/>
          </w:tcPr>
          <w:p w14:paraId="6405176C">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bCs/>
                <w:color w:val="auto"/>
                <w:kern w:val="0"/>
                <w:sz w:val="21"/>
                <w:szCs w:val="21"/>
                <w:lang w:val="zh-CN"/>
              </w:rPr>
            </w:pPr>
            <w:r>
              <w:rPr>
                <w:rFonts w:hint="default" w:ascii="Times New Roman" w:hAnsi="Times New Roman" w:eastAsia="宋体" w:cs="Times New Roman"/>
                <w:bCs/>
                <w:color w:val="auto"/>
                <w:kern w:val="0"/>
                <w:sz w:val="21"/>
                <w:szCs w:val="21"/>
                <w:lang w:val="zh-CN"/>
              </w:rPr>
              <w:t>标准</w:t>
            </w:r>
          </w:p>
          <w:p w14:paraId="6A9D7039">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bCs/>
                <w:color w:val="auto"/>
                <w:kern w:val="0"/>
                <w:sz w:val="21"/>
                <w:szCs w:val="21"/>
                <w:lang w:val="zh-CN"/>
              </w:rPr>
            </w:pPr>
            <w:r>
              <w:rPr>
                <w:rFonts w:hint="default" w:ascii="Times New Roman" w:hAnsi="Times New Roman" w:eastAsia="宋体" w:cs="Times New Roman"/>
                <w:bCs/>
                <w:color w:val="auto"/>
                <w:kern w:val="0"/>
                <w:sz w:val="21"/>
                <w:szCs w:val="21"/>
                <w:lang w:val="zh-CN"/>
              </w:rPr>
              <w:t>分值</w:t>
            </w:r>
          </w:p>
        </w:tc>
        <w:tc>
          <w:tcPr>
            <w:tcW w:w="452" w:type="pct"/>
            <w:noWrap w:val="0"/>
            <w:vAlign w:val="center"/>
          </w:tcPr>
          <w:p w14:paraId="4F9E8FC0">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bCs/>
                <w:color w:val="auto"/>
                <w:kern w:val="0"/>
                <w:sz w:val="21"/>
                <w:szCs w:val="21"/>
                <w:lang w:val="zh-CN"/>
              </w:rPr>
            </w:pPr>
            <w:r>
              <w:rPr>
                <w:rFonts w:hint="default" w:ascii="Times New Roman" w:hAnsi="Times New Roman" w:eastAsia="宋体" w:cs="Times New Roman"/>
                <w:bCs/>
                <w:color w:val="auto"/>
                <w:kern w:val="0"/>
                <w:sz w:val="21"/>
                <w:szCs w:val="21"/>
                <w:lang w:val="zh-CN"/>
              </w:rPr>
              <w:t>评分</w:t>
            </w:r>
          </w:p>
          <w:p w14:paraId="4E43E3BA">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bCs/>
                <w:color w:val="auto"/>
                <w:kern w:val="0"/>
                <w:sz w:val="21"/>
                <w:szCs w:val="21"/>
                <w:lang w:val="zh-CN"/>
              </w:rPr>
            </w:pPr>
            <w:r>
              <w:rPr>
                <w:rFonts w:hint="default" w:ascii="Times New Roman" w:hAnsi="Times New Roman" w:eastAsia="宋体" w:cs="Times New Roman"/>
                <w:bCs/>
                <w:color w:val="auto"/>
                <w:kern w:val="0"/>
                <w:sz w:val="21"/>
                <w:szCs w:val="21"/>
                <w:lang w:val="zh-CN"/>
              </w:rPr>
              <w:t>标准</w:t>
            </w:r>
          </w:p>
        </w:tc>
        <w:tc>
          <w:tcPr>
            <w:tcW w:w="294" w:type="pct"/>
            <w:noWrap w:val="0"/>
            <w:vAlign w:val="center"/>
          </w:tcPr>
          <w:p w14:paraId="21A6CC77">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bCs/>
                <w:color w:val="auto"/>
                <w:kern w:val="0"/>
                <w:sz w:val="21"/>
                <w:szCs w:val="21"/>
                <w:lang w:val="zh-CN"/>
              </w:rPr>
            </w:pPr>
            <w:r>
              <w:rPr>
                <w:rFonts w:hint="default" w:ascii="Times New Roman" w:hAnsi="Times New Roman" w:eastAsia="宋体" w:cs="Times New Roman"/>
                <w:bCs/>
                <w:color w:val="auto"/>
                <w:kern w:val="0"/>
                <w:sz w:val="21"/>
                <w:szCs w:val="21"/>
                <w:lang w:val="zh-CN"/>
              </w:rPr>
              <w:t>得分</w:t>
            </w:r>
          </w:p>
        </w:tc>
      </w:tr>
      <w:tr w14:paraId="37A89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454" w:hRule="atLeast"/>
          <w:jc w:val="center"/>
        </w:trPr>
        <w:tc>
          <w:tcPr>
            <w:tcW w:w="318" w:type="pct"/>
            <w:vMerge w:val="restart"/>
            <w:noWrap w:val="0"/>
            <w:vAlign w:val="center"/>
          </w:tcPr>
          <w:p w14:paraId="17105875">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p>
          <w:p w14:paraId="36E4CA4E">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防洪</w:t>
            </w:r>
          </w:p>
          <w:p w14:paraId="2E03AAE1">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排水</w:t>
            </w:r>
          </w:p>
          <w:p w14:paraId="72E14E61">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1800" w:type="pct"/>
            <w:noWrap w:val="0"/>
            <w:vAlign w:val="center"/>
          </w:tcPr>
          <w:p w14:paraId="066E6DBD">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1.调洪库容与安全超高、最小干滩长度</w:t>
            </w:r>
            <w:r>
              <w:rPr>
                <w:rFonts w:hint="eastAsia" w:ascii="Times New Roman" w:hAnsi="Times New Roman" w:eastAsia="宋体" w:cs="Times New Roman"/>
                <w:color w:val="auto"/>
                <w:kern w:val="0"/>
                <w:sz w:val="21"/>
                <w:szCs w:val="21"/>
                <w:lang w:val="zh-CN"/>
              </w:rPr>
              <w:t>。</w:t>
            </w:r>
          </w:p>
          <w:p w14:paraId="40CFBA2B">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1.1当尾矿库调洪库库容严重不足，在设计洪水位时，安全超高和最小干滩长度都不满足设计要求，将可能出现洪水漫顶。</w:t>
            </w:r>
          </w:p>
        </w:tc>
        <w:tc>
          <w:tcPr>
            <w:tcW w:w="924" w:type="pct"/>
            <w:noWrap w:val="0"/>
            <w:vAlign w:val="center"/>
          </w:tcPr>
          <w:p w14:paraId="03CB64C2">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《尾矿库安全规程》第6.9.3条</w:t>
            </w:r>
          </w:p>
        </w:tc>
        <w:tc>
          <w:tcPr>
            <w:tcW w:w="493" w:type="pct"/>
            <w:noWrap w:val="0"/>
            <w:vAlign w:val="center"/>
          </w:tcPr>
          <w:p w14:paraId="07078E82">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对照设计查现场、</w:t>
            </w:r>
          </w:p>
          <w:p w14:paraId="1668A84B">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图纸</w:t>
            </w:r>
          </w:p>
        </w:tc>
        <w:tc>
          <w:tcPr>
            <w:tcW w:w="361" w:type="pct"/>
            <w:noWrap w:val="0"/>
            <w:vAlign w:val="center"/>
          </w:tcPr>
          <w:p w14:paraId="17F4FB8A">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满足设计要求</w:t>
            </w:r>
          </w:p>
        </w:tc>
        <w:tc>
          <w:tcPr>
            <w:tcW w:w="356" w:type="pct"/>
            <w:noWrap w:val="0"/>
            <w:vAlign w:val="center"/>
          </w:tcPr>
          <w:p w14:paraId="577DDD20">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重大</w:t>
            </w:r>
          </w:p>
          <w:p w14:paraId="2C102798">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险情</w:t>
            </w:r>
          </w:p>
        </w:tc>
        <w:tc>
          <w:tcPr>
            <w:tcW w:w="452" w:type="pct"/>
            <w:noWrap w:val="0"/>
            <w:vAlign w:val="center"/>
          </w:tcPr>
          <w:p w14:paraId="6CD14E14">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294" w:type="pct"/>
            <w:noWrap w:val="0"/>
            <w:vAlign w:val="center"/>
          </w:tcPr>
          <w:p w14:paraId="55AF6D58">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w:t>
            </w:r>
          </w:p>
        </w:tc>
      </w:tr>
      <w:tr w14:paraId="24060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454" w:hRule="atLeast"/>
          <w:jc w:val="center"/>
        </w:trPr>
        <w:tc>
          <w:tcPr>
            <w:tcW w:w="318" w:type="pct"/>
            <w:vMerge w:val="continue"/>
            <w:noWrap w:val="0"/>
            <w:vAlign w:val="center"/>
          </w:tcPr>
          <w:p w14:paraId="2103BDC7">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1800" w:type="pct"/>
            <w:noWrap w:val="0"/>
            <w:vAlign w:val="center"/>
          </w:tcPr>
          <w:p w14:paraId="0DC26D8B">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1.2当尾矿库调洪库库容不足，在设计洪水位时安全超高和最小干滩长度均不满足设计要求。</w:t>
            </w:r>
          </w:p>
        </w:tc>
        <w:tc>
          <w:tcPr>
            <w:tcW w:w="924" w:type="pct"/>
            <w:noWrap w:val="0"/>
            <w:vAlign w:val="center"/>
          </w:tcPr>
          <w:p w14:paraId="251F7A4B">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《尾矿库安全规程》第6.9.2条</w:t>
            </w:r>
          </w:p>
        </w:tc>
        <w:tc>
          <w:tcPr>
            <w:tcW w:w="493" w:type="pct"/>
            <w:vMerge w:val="restart"/>
            <w:noWrap w:val="0"/>
            <w:vAlign w:val="center"/>
          </w:tcPr>
          <w:p w14:paraId="6D8BBC3A">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对照设计</w:t>
            </w:r>
          </w:p>
          <w:p w14:paraId="6CF6851B">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查现场</w:t>
            </w:r>
          </w:p>
        </w:tc>
        <w:tc>
          <w:tcPr>
            <w:tcW w:w="361" w:type="pct"/>
            <w:noWrap w:val="0"/>
            <w:vAlign w:val="center"/>
          </w:tcPr>
          <w:p w14:paraId="2E9230D8">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满足设计要求</w:t>
            </w:r>
          </w:p>
        </w:tc>
        <w:tc>
          <w:tcPr>
            <w:tcW w:w="356" w:type="pct"/>
            <w:noWrap w:val="0"/>
            <w:vAlign w:val="center"/>
          </w:tcPr>
          <w:p w14:paraId="05ED5F67">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重大</w:t>
            </w:r>
          </w:p>
          <w:p w14:paraId="4949A823">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隐患</w:t>
            </w:r>
          </w:p>
        </w:tc>
        <w:tc>
          <w:tcPr>
            <w:tcW w:w="452" w:type="pct"/>
            <w:noWrap w:val="0"/>
            <w:vAlign w:val="center"/>
          </w:tcPr>
          <w:p w14:paraId="37EFA79F">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294" w:type="pct"/>
            <w:noWrap w:val="0"/>
            <w:vAlign w:val="center"/>
          </w:tcPr>
          <w:p w14:paraId="3A294A8F">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w:t>
            </w:r>
          </w:p>
        </w:tc>
      </w:tr>
      <w:tr w14:paraId="7E944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454" w:hRule="atLeast"/>
          <w:jc w:val="center"/>
        </w:trPr>
        <w:tc>
          <w:tcPr>
            <w:tcW w:w="318" w:type="pct"/>
            <w:vMerge w:val="continue"/>
            <w:noWrap w:val="0"/>
            <w:vAlign w:val="center"/>
          </w:tcPr>
          <w:p w14:paraId="6F965AB5">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1800" w:type="pct"/>
            <w:noWrap w:val="0"/>
            <w:vAlign w:val="center"/>
          </w:tcPr>
          <w:p w14:paraId="71A41980">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1.3当尾矿库调洪库库容不足，在设计洪水位时不能同时满足设计规定的安全超高和最小干滩长度要求。</w:t>
            </w:r>
          </w:p>
        </w:tc>
        <w:tc>
          <w:tcPr>
            <w:tcW w:w="924" w:type="pct"/>
            <w:noWrap w:val="0"/>
            <w:vAlign w:val="center"/>
          </w:tcPr>
          <w:p w14:paraId="5354515A">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《尾矿库安全规程》第6.9.1条</w:t>
            </w:r>
          </w:p>
        </w:tc>
        <w:tc>
          <w:tcPr>
            <w:tcW w:w="493" w:type="pct"/>
            <w:vMerge w:val="continue"/>
            <w:noWrap w:val="0"/>
            <w:vAlign w:val="center"/>
          </w:tcPr>
          <w:p w14:paraId="6134DD5B">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361" w:type="pct"/>
            <w:noWrap w:val="0"/>
            <w:vAlign w:val="center"/>
          </w:tcPr>
          <w:p w14:paraId="787F3D61">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满足设计要求</w:t>
            </w:r>
          </w:p>
        </w:tc>
        <w:tc>
          <w:tcPr>
            <w:tcW w:w="356" w:type="pct"/>
            <w:noWrap w:val="0"/>
            <w:vAlign w:val="center"/>
          </w:tcPr>
          <w:p w14:paraId="70CD8DE0">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一般</w:t>
            </w:r>
          </w:p>
          <w:p w14:paraId="3015CA6C">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隐患</w:t>
            </w:r>
          </w:p>
        </w:tc>
        <w:tc>
          <w:tcPr>
            <w:tcW w:w="452" w:type="pct"/>
            <w:noWrap w:val="0"/>
            <w:vAlign w:val="center"/>
          </w:tcPr>
          <w:p w14:paraId="3561623A">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294" w:type="pct"/>
            <w:noWrap w:val="0"/>
            <w:vAlign w:val="center"/>
          </w:tcPr>
          <w:p w14:paraId="01C4D5A6">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w:t>
            </w:r>
          </w:p>
        </w:tc>
      </w:tr>
      <w:tr w14:paraId="07113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454" w:hRule="atLeast"/>
          <w:jc w:val="center"/>
        </w:trPr>
        <w:tc>
          <w:tcPr>
            <w:tcW w:w="318" w:type="pct"/>
            <w:vMerge w:val="continue"/>
            <w:noWrap w:val="0"/>
            <w:vAlign w:val="center"/>
          </w:tcPr>
          <w:p w14:paraId="43626372">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1800" w:type="pct"/>
            <w:noWrap w:val="0"/>
            <w:vAlign w:val="center"/>
          </w:tcPr>
          <w:p w14:paraId="4BA5CA7E">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2.排洪系统</w:t>
            </w:r>
          </w:p>
          <w:p w14:paraId="3FC02ABD">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2.1尾矿库防洪能力低于设计能力（排洪、排水构筑物结构尺寸低于设计要求）</w:t>
            </w:r>
          </w:p>
          <w:p w14:paraId="76B1987C">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2.2排洪系统严重堵塞或坍塌，不能排水或排水能力急剧下降。</w:t>
            </w:r>
          </w:p>
          <w:p w14:paraId="0640A18B">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2.3排水井显著倾斜，有倒塌的迹象。</w:t>
            </w:r>
          </w:p>
        </w:tc>
        <w:tc>
          <w:tcPr>
            <w:tcW w:w="924" w:type="pct"/>
            <w:noWrap w:val="0"/>
            <w:vAlign w:val="center"/>
          </w:tcPr>
          <w:p w14:paraId="0267D5B8">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《尾矿库安全规程》第6.9.3条</w:t>
            </w:r>
          </w:p>
        </w:tc>
        <w:tc>
          <w:tcPr>
            <w:tcW w:w="493" w:type="pct"/>
            <w:vMerge w:val="continue"/>
            <w:noWrap w:val="0"/>
            <w:vAlign w:val="center"/>
          </w:tcPr>
          <w:p w14:paraId="0A870052">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361" w:type="pct"/>
            <w:noWrap w:val="0"/>
            <w:vAlign w:val="center"/>
          </w:tcPr>
          <w:p w14:paraId="0087AD4A">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排洪系统符合设计，运行良好</w:t>
            </w:r>
          </w:p>
        </w:tc>
        <w:tc>
          <w:tcPr>
            <w:tcW w:w="356" w:type="pct"/>
            <w:noWrap w:val="0"/>
            <w:vAlign w:val="center"/>
          </w:tcPr>
          <w:p w14:paraId="23B711D9">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重大</w:t>
            </w:r>
          </w:p>
          <w:p w14:paraId="50121C80">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险情</w:t>
            </w:r>
          </w:p>
        </w:tc>
        <w:tc>
          <w:tcPr>
            <w:tcW w:w="452" w:type="pct"/>
            <w:noWrap w:val="0"/>
            <w:vAlign w:val="center"/>
          </w:tcPr>
          <w:p w14:paraId="51CBF529">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有1项符合，就为重大险情</w:t>
            </w:r>
          </w:p>
        </w:tc>
        <w:tc>
          <w:tcPr>
            <w:tcW w:w="294" w:type="pct"/>
            <w:noWrap w:val="0"/>
            <w:vAlign w:val="center"/>
          </w:tcPr>
          <w:p w14:paraId="1961D6EA">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w:t>
            </w:r>
          </w:p>
        </w:tc>
      </w:tr>
      <w:tr w14:paraId="14EE7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454" w:hRule="atLeast"/>
          <w:jc w:val="center"/>
        </w:trPr>
        <w:tc>
          <w:tcPr>
            <w:tcW w:w="318" w:type="pct"/>
            <w:vMerge w:val="continue"/>
            <w:noWrap w:val="0"/>
            <w:vAlign w:val="center"/>
          </w:tcPr>
          <w:p w14:paraId="4626A1F5">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1800" w:type="pct"/>
            <w:noWrap w:val="0"/>
            <w:vAlign w:val="center"/>
          </w:tcPr>
          <w:p w14:paraId="6C0877E6">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2.4排洪系统部分堵塞或坍塌，排水能力有所降低，达不到设计要求。</w:t>
            </w:r>
          </w:p>
          <w:p w14:paraId="157CEF87">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2.5排水井有所倾斜。</w:t>
            </w:r>
          </w:p>
        </w:tc>
        <w:tc>
          <w:tcPr>
            <w:tcW w:w="924" w:type="pct"/>
            <w:noWrap w:val="0"/>
            <w:vAlign w:val="center"/>
          </w:tcPr>
          <w:p w14:paraId="3B2DFF17">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《尾矿库安全规程》第6.9.2条</w:t>
            </w:r>
          </w:p>
        </w:tc>
        <w:tc>
          <w:tcPr>
            <w:tcW w:w="493" w:type="pct"/>
            <w:vMerge w:val="restart"/>
            <w:noWrap w:val="0"/>
            <w:vAlign w:val="center"/>
          </w:tcPr>
          <w:p w14:paraId="03EA7122">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361" w:type="pct"/>
            <w:noWrap w:val="0"/>
            <w:vAlign w:val="center"/>
          </w:tcPr>
          <w:p w14:paraId="65C587D9">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排洪</w:t>
            </w:r>
          </w:p>
          <w:p w14:paraId="25593859">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系统</w:t>
            </w:r>
          </w:p>
          <w:p w14:paraId="73244685">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完好</w:t>
            </w:r>
          </w:p>
        </w:tc>
        <w:tc>
          <w:tcPr>
            <w:tcW w:w="356" w:type="pct"/>
            <w:noWrap w:val="0"/>
            <w:vAlign w:val="center"/>
          </w:tcPr>
          <w:p w14:paraId="7B490A1E">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重大</w:t>
            </w:r>
          </w:p>
          <w:p w14:paraId="4D7F1423">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隐患</w:t>
            </w:r>
          </w:p>
        </w:tc>
        <w:tc>
          <w:tcPr>
            <w:tcW w:w="452" w:type="pct"/>
            <w:noWrap w:val="0"/>
            <w:vAlign w:val="center"/>
          </w:tcPr>
          <w:p w14:paraId="69DD5AF2">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有1项符合，就为重大隐患</w:t>
            </w:r>
          </w:p>
        </w:tc>
        <w:tc>
          <w:tcPr>
            <w:tcW w:w="294" w:type="pct"/>
            <w:noWrap w:val="0"/>
            <w:vAlign w:val="center"/>
          </w:tcPr>
          <w:p w14:paraId="45567F5E">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w:t>
            </w:r>
          </w:p>
        </w:tc>
      </w:tr>
      <w:tr w14:paraId="2C366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454" w:hRule="atLeast"/>
          <w:jc w:val="center"/>
        </w:trPr>
        <w:tc>
          <w:tcPr>
            <w:tcW w:w="318" w:type="pct"/>
            <w:vMerge w:val="continue"/>
            <w:noWrap w:val="0"/>
            <w:vAlign w:val="center"/>
          </w:tcPr>
          <w:p w14:paraId="12AA329C">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1800" w:type="pct"/>
            <w:noWrap w:val="0"/>
            <w:vAlign w:val="center"/>
          </w:tcPr>
          <w:p w14:paraId="4E0CB89E">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2.6排水系统出现不影响安全使用的裂缝、腐蚀或磨损。</w:t>
            </w:r>
          </w:p>
        </w:tc>
        <w:tc>
          <w:tcPr>
            <w:tcW w:w="924" w:type="pct"/>
            <w:noWrap w:val="0"/>
            <w:vAlign w:val="center"/>
          </w:tcPr>
          <w:p w14:paraId="317E813B">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《尾矿库安全规程》第6.9.1条</w:t>
            </w:r>
          </w:p>
        </w:tc>
        <w:tc>
          <w:tcPr>
            <w:tcW w:w="493" w:type="pct"/>
            <w:vMerge w:val="continue"/>
            <w:noWrap w:val="0"/>
            <w:vAlign w:val="center"/>
          </w:tcPr>
          <w:p w14:paraId="4C799D27">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361" w:type="pct"/>
            <w:noWrap w:val="0"/>
            <w:vAlign w:val="center"/>
          </w:tcPr>
          <w:p w14:paraId="1FD0F74F">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排洪</w:t>
            </w:r>
          </w:p>
          <w:p w14:paraId="70C450C1">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系统</w:t>
            </w:r>
          </w:p>
          <w:p w14:paraId="79662BA1">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完好</w:t>
            </w:r>
          </w:p>
        </w:tc>
        <w:tc>
          <w:tcPr>
            <w:tcW w:w="356" w:type="pct"/>
            <w:noWrap w:val="0"/>
            <w:vAlign w:val="center"/>
          </w:tcPr>
          <w:p w14:paraId="5D0758EA">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一般</w:t>
            </w:r>
          </w:p>
          <w:p w14:paraId="5E8A897B">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隐患</w:t>
            </w:r>
          </w:p>
        </w:tc>
        <w:tc>
          <w:tcPr>
            <w:tcW w:w="452" w:type="pct"/>
            <w:noWrap w:val="0"/>
            <w:vAlign w:val="center"/>
          </w:tcPr>
          <w:p w14:paraId="7FD37864">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294" w:type="pct"/>
            <w:noWrap w:val="0"/>
            <w:vAlign w:val="center"/>
          </w:tcPr>
          <w:p w14:paraId="27282AC4">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w:t>
            </w:r>
          </w:p>
        </w:tc>
      </w:tr>
      <w:tr w14:paraId="0708E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207" w:hRule="atLeast"/>
          <w:jc w:val="center"/>
        </w:trPr>
        <w:tc>
          <w:tcPr>
            <w:tcW w:w="318" w:type="pct"/>
            <w:vMerge w:val="continue"/>
            <w:noWrap w:val="0"/>
            <w:vAlign w:val="center"/>
          </w:tcPr>
          <w:p w14:paraId="539ECCC4">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1800" w:type="pct"/>
            <w:noWrap w:val="0"/>
            <w:vAlign w:val="center"/>
          </w:tcPr>
          <w:p w14:paraId="152A88E2">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3.1库内应在适当地点设置清晰醒目的水位观测标尺，并标明正常运行水位和警戒水位。</w:t>
            </w:r>
          </w:p>
        </w:tc>
        <w:tc>
          <w:tcPr>
            <w:tcW w:w="924" w:type="pct"/>
            <w:noWrap w:val="0"/>
            <w:vAlign w:val="center"/>
          </w:tcPr>
          <w:p w14:paraId="125A2585">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w:t>
            </w:r>
            <w:bookmarkStart w:id="492" w:name="_Toc254855236"/>
            <w:bookmarkStart w:id="493" w:name="_Toc242431498"/>
            <w:bookmarkStart w:id="494" w:name="_Toc241681168"/>
            <w:bookmarkStart w:id="495" w:name="_Toc215331725"/>
            <w:bookmarkStart w:id="496" w:name="_Toc217919923"/>
            <w:bookmarkStart w:id="497" w:name="_Toc217808581"/>
            <w:bookmarkStart w:id="498" w:name="_Toc217808842"/>
            <w:bookmarkStart w:id="499" w:name="_Toc217992854"/>
            <w:bookmarkStart w:id="500" w:name="_Toc234211588"/>
            <w:bookmarkStart w:id="501" w:name="_Toc234632459"/>
            <w:bookmarkStart w:id="502" w:name="_Toc254857127"/>
            <w:bookmarkStart w:id="503" w:name="_Toc216088241"/>
            <w:bookmarkStart w:id="504" w:name="_Toc243102931"/>
            <w:r>
              <w:rPr>
                <w:rFonts w:hint="default" w:ascii="Times New Roman" w:hAnsi="Times New Roman" w:eastAsia="宋体" w:cs="Times New Roman"/>
                <w:color w:val="auto"/>
                <w:kern w:val="0"/>
                <w:sz w:val="21"/>
                <w:szCs w:val="21"/>
                <w:lang w:val="zh-CN"/>
              </w:rPr>
              <w:t>尾矿库安全监测技术规范</w:t>
            </w:r>
            <w:bookmarkEnd w:id="492"/>
            <w:bookmarkEnd w:id="493"/>
            <w:bookmarkEnd w:id="494"/>
            <w:bookmarkEnd w:id="495"/>
            <w:bookmarkEnd w:id="496"/>
            <w:bookmarkEnd w:id="497"/>
            <w:bookmarkEnd w:id="498"/>
            <w:bookmarkEnd w:id="499"/>
            <w:bookmarkEnd w:id="500"/>
            <w:bookmarkEnd w:id="501"/>
            <w:bookmarkEnd w:id="502"/>
            <w:bookmarkEnd w:id="503"/>
            <w:bookmarkEnd w:id="504"/>
            <w:r>
              <w:rPr>
                <w:rFonts w:hint="default" w:ascii="Times New Roman" w:hAnsi="Times New Roman" w:eastAsia="宋体" w:cs="Times New Roman"/>
                <w:color w:val="auto"/>
                <w:kern w:val="0"/>
                <w:sz w:val="21"/>
                <w:szCs w:val="21"/>
                <w:lang w:val="zh-CN"/>
              </w:rPr>
              <w:t>》第8.2.1条，《尾矿库安全规程》第5.5.4、6.4.5条</w:t>
            </w:r>
          </w:p>
        </w:tc>
        <w:tc>
          <w:tcPr>
            <w:tcW w:w="493" w:type="pct"/>
            <w:noWrap w:val="0"/>
            <w:vAlign w:val="center"/>
          </w:tcPr>
          <w:p w14:paraId="2ABC4843">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查现场</w:t>
            </w:r>
          </w:p>
        </w:tc>
        <w:tc>
          <w:tcPr>
            <w:tcW w:w="361" w:type="pct"/>
            <w:noWrap w:val="0"/>
            <w:vAlign w:val="center"/>
          </w:tcPr>
          <w:p w14:paraId="73326E4F">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eastAsia" w:ascii="Times New Roman" w:hAnsi="Times New Roman" w:eastAsia="宋体" w:cs="Times New Roman"/>
                <w:color w:val="auto"/>
                <w:kern w:val="0"/>
                <w:sz w:val="21"/>
                <w:szCs w:val="21"/>
                <w:lang w:val="zh-CN" w:eastAsia="zh-CN"/>
              </w:rPr>
            </w:pPr>
            <w:r>
              <w:rPr>
                <w:rFonts w:hint="eastAsia" w:cs="Times New Roman"/>
                <w:color w:val="auto"/>
                <w:kern w:val="0"/>
                <w:sz w:val="21"/>
                <w:szCs w:val="21"/>
                <w:lang w:val="en-US" w:eastAsia="zh-CN"/>
              </w:rPr>
              <w:t>未标明正常运行水位和警戒水位</w:t>
            </w:r>
          </w:p>
        </w:tc>
        <w:tc>
          <w:tcPr>
            <w:tcW w:w="356" w:type="pct"/>
            <w:noWrap w:val="0"/>
            <w:vAlign w:val="center"/>
          </w:tcPr>
          <w:p w14:paraId="02521F7E">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2</w:t>
            </w:r>
          </w:p>
        </w:tc>
        <w:tc>
          <w:tcPr>
            <w:tcW w:w="452" w:type="pct"/>
            <w:noWrap w:val="0"/>
            <w:vAlign w:val="center"/>
          </w:tcPr>
          <w:p w14:paraId="2BE1F894">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缺1项</w:t>
            </w:r>
          </w:p>
          <w:p w14:paraId="5765626A">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扣1分</w:t>
            </w:r>
          </w:p>
        </w:tc>
        <w:tc>
          <w:tcPr>
            <w:tcW w:w="294" w:type="pct"/>
            <w:noWrap w:val="0"/>
            <w:vAlign w:val="center"/>
          </w:tcPr>
          <w:p w14:paraId="519C6A1D">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eastAsia="zh-CN"/>
              </w:rPr>
            </w:pPr>
            <w:r>
              <w:rPr>
                <w:rFonts w:hint="eastAsia" w:cs="Times New Roman"/>
                <w:color w:val="auto"/>
                <w:kern w:val="0"/>
                <w:sz w:val="21"/>
                <w:szCs w:val="21"/>
                <w:lang w:val="en-US" w:eastAsia="zh-CN"/>
              </w:rPr>
              <w:t>0</w:t>
            </w:r>
          </w:p>
        </w:tc>
      </w:tr>
      <w:tr w14:paraId="66D18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454" w:hRule="atLeast"/>
          <w:jc w:val="center"/>
        </w:trPr>
        <w:tc>
          <w:tcPr>
            <w:tcW w:w="318" w:type="pct"/>
            <w:vMerge w:val="continue"/>
            <w:noWrap w:val="0"/>
            <w:vAlign w:val="center"/>
          </w:tcPr>
          <w:p w14:paraId="1E3EF2E5">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1800" w:type="pct"/>
            <w:noWrap w:val="0"/>
            <w:vAlign w:val="center"/>
          </w:tcPr>
          <w:p w14:paraId="5095E1B1">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3.2尾矿库水边线应与坝轴线基本保持平行。</w:t>
            </w:r>
          </w:p>
        </w:tc>
        <w:tc>
          <w:tcPr>
            <w:tcW w:w="924" w:type="pct"/>
            <w:noWrap w:val="0"/>
            <w:vAlign w:val="center"/>
          </w:tcPr>
          <w:p w14:paraId="43F4A02B">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《尾矿库安全生产标准化评分办法》</w:t>
            </w:r>
          </w:p>
        </w:tc>
        <w:tc>
          <w:tcPr>
            <w:tcW w:w="493" w:type="pct"/>
            <w:noWrap w:val="0"/>
            <w:vAlign w:val="center"/>
          </w:tcPr>
          <w:p w14:paraId="4F32AB96">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查现场</w:t>
            </w:r>
          </w:p>
        </w:tc>
        <w:tc>
          <w:tcPr>
            <w:tcW w:w="361" w:type="pct"/>
            <w:noWrap w:val="0"/>
            <w:vAlign w:val="center"/>
          </w:tcPr>
          <w:p w14:paraId="23BCCC1D">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符合</w:t>
            </w:r>
          </w:p>
        </w:tc>
        <w:tc>
          <w:tcPr>
            <w:tcW w:w="356" w:type="pct"/>
            <w:noWrap w:val="0"/>
            <w:vAlign w:val="center"/>
          </w:tcPr>
          <w:p w14:paraId="7200E0B7">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3</w:t>
            </w:r>
          </w:p>
        </w:tc>
        <w:tc>
          <w:tcPr>
            <w:tcW w:w="452" w:type="pct"/>
            <w:noWrap w:val="0"/>
            <w:vAlign w:val="center"/>
          </w:tcPr>
          <w:p w14:paraId="13278AF3">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不符合</w:t>
            </w:r>
          </w:p>
          <w:p w14:paraId="6AE897F9">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不得分</w:t>
            </w:r>
          </w:p>
        </w:tc>
        <w:tc>
          <w:tcPr>
            <w:tcW w:w="294" w:type="pct"/>
            <w:noWrap w:val="0"/>
            <w:vAlign w:val="center"/>
          </w:tcPr>
          <w:p w14:paraId="7DD33B6F">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eastAsia="zh-CN"/>
              </w:rPr>
            </w:pPr>
            <w:r>
              <w:rPr>
                <w:rFonts w:hint="eastAsia" w:cs="Times New Roman"/>
                <w:color w:val="auto"/>
                <w:kern w:val="0"/>
                <w:sz w:val="21"/>
                <w:szCs w:val="21"/>
                <w:lang w:val="en-US" w:eastAsia="zh-CN"/>
              </w:rPr>
              <w:t>3</w:t>
            </w:r>
          </w:p>
        </w:tc>
      </w:tr>
      <w:tr w14:paraId="52512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454" w:hRule="atLeast"/>
          <w:jc w:val="center"/>
        </w:trPr>
        <w:tc>
          <w:tcPr>
            <w:tcW w:w="318" w:type="pct"/>
            <w:vMerge w:val="continue"/>
            <w:noWrap w:val="0"/>
            <w:vAlign w:val="center"/>
          </w:tcPr>
          <w:p w14:paraId="5DD7C614">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1800" w:type="pct"/>
            <w:noWrap w:val="0"/>
            <w:vAlign w:val="center"/>
          </w:tcPr>
          <w:p w14:paraId="560A5897">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3.3应疏浚库区内截洪沟、坝面排水沟及下游排洪（渠）道；</w:t>
            </w:r>
          </w:p>
          <w:p w14:paraId="58DFBB5C">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3.4按设计确定的排洪底坎高程，将排洪底坎以上1.5倍调洪高度内的档板全部打开；</w:t>
            </w:r>
          </w:p>
          <w:p w14:paraId="55CB1D34">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3.5清除排洪口前水面漂浮物；</w:t>
            </w:r>
          </w:p>
        </w:tc>
        <w:tc>
          <w:tcPr>
            <w:tcW w:w="924" w:type="pct"/>
            <w:noWrap w:val="0"/>
            <w:vAlign w:val="center"/>
          </w:tcPr>
          <w:p w14:paraId="2DCB28D6">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《尾矿库安全规程》第6.4.3条</w:t>
            </w:r>
          </w:p>
        </w:tc>
        <w:tc>
          <w:tcPr>
            <w:tcW w:w="493" w:type="pct"/>
            <w:noWrap w:val="0"/>
            <w:vAlign w:val="center"/>
          </w:tcPr>
          <w:p w14:paraId="7EB02ED3">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查现场</w:t>
            </w:r>
          </w:p>
        </w:tc>
        <w:tc>
          <w:tcPr>
            <w:tcW w:w="361" w:type="pct"/>
            <w:noWrap w:val="0"/>
            <w:vAlign w:val="center"/>
          </w:tcPr>
          <w:p w14:paraId="55FFD18E">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符合</w:t>
            </w:r>
          </w:p>
        </w:tc>
        <w:tc>
          <w:tcPr>
            <w:tcW w:w="356" w:type="pct"/>
            <w:noWrap w:val="0"/>
            <w:vAlign w:val="center"/>
          </w:tcPr>
          <w:p w14:paraId="45D47D31">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6</w:t>
            </w:r>
          </w:p>
        </w:tc>
        <w:tc>
          <w:tcPr>
            <w:tcW w:w="452" w:type="pct"/>
            <w:noWrap w:val="0"/>
            <w:vAlign w:val="center"/>
          </w:tcPr>
          <w:p w14:paraId="2BB07BF6">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1项不符合扣2分</w:t>
            </w:r>
          </w:p>
        </w:tc>
        <w:tc>
          <w:tcPr>
            <w:tcW w:w="294" w:type="pct"/>
            <w:noWrap w:val="0"/>
            <w:vAlign w:val="center"/>
          </w:tcPr>
          <w:p w14:paraId="4018FDB2">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6</w:t>
            </w:r>
          </w:p>
        </w:tc>
      </w:tr>
      <w:tr w14:paraId="6AFAE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454" w:hRule="atLeast"/>
          <w:jc w:val="center"/>
        </w:trPr>
        <w:tc>
          <w:tcPr>
            <w:tcW w:w="318" w:type="pct"/>
            <w:vMerge w:val="continue"/>
            <w:noWrap w:val="0"/>
            <w:vAlign w:val="center"/>
          </w:tcPr>
          <w:p w14:paraId="4E920CF4">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1800" w:type="pct"/>
            <w:noWrap w:val="0"/>
            <w:vAlign w:val="center"/>
          </w:tcPr>
          <w:p w14:paraId="7162BC57">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3.6应备足抗洪抢险所需物资，落实应急救援措施；</w:t>
            </w:r>
          </w:p>
          <w:p w14:paraId="5DFC897F">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3.7应确保上坝道路、通讯、供电及照明线路可靠和畅通；</w:t>
            </w:r>
          </w:p>
          <w:p w14:paraId="336A4801">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3.8及时了解和掌握汛期水情和气象预报情况。</w:t>
            </w:r>
          </w:p>
        </w:tc>
        <w:tc>
          <w:tcPr>
            <w:tcW w:w="924" w:type="pct"/>
            <w:noWrap w:val="0"/>
            <w:vAlign w:val="center"/>
          </w:tcPr>
          <w:p w14:paraId="60EF746C">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《尾矿库安全规程》第6.1.10、9.7.2、9.7.4、10.8条</w:t>
            </w:r>
          </w:p>
        </w:tc>
        <w:tc>
          <w:tcPr>
            <w:tcW w:w="493" w:type="pct"/>
            <w:noWrap w:val="0"/>
            <w:vAlign w:val="center"/>
          </w:tcPr>
          <w:p w14:paraId="26CC870F">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查现场</w:t>
            </w:r>
          </w:p>
          <w:p w14:paraId="0210398D">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和记录</w:t>
            </w:r>
          </w:p>
        </w:tc>
        <w:tc>
          <w:tcPr>
            <w:tcW w:w="361" w:type="pct"/>
            <w:noWrap w:val="0"/>
            <w:vAlign w:val="center"/>
          </w:tcPr>
          <w:p w14:paraId="12AEE11C">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物资</w:t>
            </w:r>
          </w:p>
          <w:p w14:paraId="6F785DFC">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eastAsia" w:ascii="Times New Roman" w:hAnsi="Times New Roman" w:eastAsia="宋体" w:cs="Times New Roman"/>
                <w:color w:val="auto"/>
                <w:kern w:val="0"/>
                <w:sz w:val="21"/>
                <w:szCs w:val="21"/>
                <w:lang w:val="zh-CN" w:eastAsia="zh-CN"/>
              </w:rPr>
            </w:pPr>
            <w:r>
              <w:rPr>
                <w:rFonts w:hint="eastAsia" w:ascii="Times New Roman" w:hAnsi="Times New Roman" w:eastAsia="宋体" w:cs="Times New Roman"/>
                <w:color w:val="auto"/>
                <w:kern w:val="0"/>
                <w:sz w:val="21"/>
                <w:szCs w:val="21"/>
                <w:lang w:val="en-US" w:eastAsia="zh-CN"/>
              </w:rPr>
              <w:t>偏少</w:t>
            </w:r>
          </w:p>
        </w:tc>
        <w:tc>
          <w:tcPr>
            <w:tcW w:w="356" w:type="pct"/>
            <w:noWrap w:val="0"/>
            <w:vAlign w:val="center"/>
          </w:tcPr>
          <w:p w14:paraId="343E4749">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7</w:t>
            </w:r>
          </w:p>
        </w:tc>
        <w:tc>
          <w:tcPr>
            <w:tcW w:w="452" w:type="pct"/>
            <w:noWrap w:val="0"/>
            <w:vAlign w:val="center"/>
          </w:tcPr>
          <w:p w14:paraId="54210633">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不达要求前2项有1项扣3分，后1项扣1分</w:t>
            </w:r>
          </w:p>
        </w:tc>
        <w:tc>
          <w:tcPr>
            <w:tcW w:w="294" w:type="pct"/>
            <w:noWrap w:val="0"/>
            <w:vAlign w:val="center"/>
          </w:tcPr>
          <w:p w14:paraId="3E7BCB1E">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eastAsia="zh-CN"/>
              </w:rPr>
            </w:pPr>
            <w:r>
              <w:rPr>
                <w:rFonts w:hint="eastAsia" w:cs="Times New Roman"/>
                <w:color w:val="auto"/>
                <w:kern w:val="0"/>
                <w:sz w:val="21"/>
                <w:szCs w:val="21"/>
                <w:lang w:val="en-US" w:eastAsia="zh-CN"/>
              </w:rPr>
              <w:t>4</w:t>
            </w:r>
          </w:p>
        </w:tc>
      </w:tr>
      <w:tr w14:paraId="0C87A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454" w:hRule="atLeast"/>
          <w:jc w:val="center"/>
        </w:trPr>
        <w:tc>
          <w:tcPr>
            <w:tcW w:w="318" w:type="pct"/>
            <w:vMerge w:val="continue"/>
            <w:noWrap w:val="0"/>
            <w:vAlign w:val="center"/>
          </w:tcPr>
          <w:p w14:paraId="71189E12">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1800" w:type="pct"/>
            <w:noWrap w:val="0"/>
            <w:vAlign w:val="center"/>
          </w:tcPr>
          <w:p w14:paraId="135FA070">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3.9不得在尾矿滩面设置泄洪口。</w:t>
            </w:r>
          </w:p>
        </w:tc>
        <w:tc>
          <w:tcPr>
            <w:tcW w:w="924" w:type="pct"/>
            <w:noWrap w:val="0"/>
            <w:vAlign w:val="center"/>
          </w:tcPr>
          <w:p w14:paraId="60DBCFB0">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《冶金矿山尾矿设施管理规程》第4.3.5条</w:t>
            </w:r>
          </w:p>
        </w:tc>
        <w:tc>
          <w:tcPr>
            <w:tcW w:w="493" w:type="pct"/>
            <w:noWrap w:val="0"/>
            <w:vAlign w:val="center"/>
          </w:tcPr>
          <w:p w14:paraId="3DF23C88">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查现场</w:t>
            </w:r>
          </w:p>
        </w:tc>
        <w:tc>
          <w:tcPr>
            <w:tcW w:w="361" w:type="pct"/>
            <w:noWrap w:val="0"/>
            <w:vAlign w:val="center"/>
          </w:tcPr>
          <w:p w14:paraId="53B450FC">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无此</w:t>
            </w:r>
          </w:p>
          <w:p w14:paraId="4977B0DE">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现象</w:t>
            </w:r>
          </w:p>
        </w:tc>
        <w:tc>
          <w:tcPr>
            <w:tcW w:w="356" w:type="pct"/>
            <w:noWrap w:val="0"/>
            <w:vAlign w:val="center"/>
          </w:tcPr>
          <w:p w14:paraId="2E3D530D">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7</w:t>
            </w:r>
          </w:p>
        </w:tc>
        <w:tc>
          <w:tcPr>
            <w:tcW w:w="452" w:type="pct"/>
            <w:vMerge w:val="restart"/>
            <w:noWrap w:val="0"/>
            <w:vAlign w:val="center"/>
          </w:tcPr>
          <w:p w14:paraId="1F7F4550">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不符合</w:t>
            </w:r>
          </w:p>
          <w:p w14:paraId="00D14F0F">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不得分</w:t>
            </w:r>
          </w:p>
        </w:tc>
        <w:tc>
          <w:tcPr>
            <w:tcW w:w="294" w:type="pct"/>
            <w:noWrap w:val="0"/>
            <w:vAlign w:val="center"/>
          </w:tcPr>
          <w:p w14:paraId="3EB1A718">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7</w:t>
            </w:r>
          </w:p>
        </w:tc>
      </w:tr>
      <w:tr w14:paraId="7B268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454" w:hRule="atLeast"/>
          <w:jc w:val="center"/>
        </w:trPr>
        <w:tc>
          <w:tcPr>
            <w:tcW w:w="318" w:type="pct"/>
            <w:vMerge w:val="continue"/>
            <w:noWrap w:val="0"/>
            <w:vAlign w:val="center"/>
          </w:tcPr>
          <w:p w14:paraId="08C2F910">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1800" w:type="pct"/>
            <w:noWrap w:val="0"/>
            <w:vAlign w:val="center"/>
          </w:tcPr>
          <w:p w14:paraId="2D3ED41F">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3.10尾矿库排水构筑物停止使用后，是否按照设计要求进行封堵。</w:t>
            </w:r>
          </w:p>
        </w:tc>
        <w:tc>
          <w:tcPr>
            <w:tcW w:w="924" w:type="pct"/>
            <w:noWrap w:val="0"/>
            <w:vAlign w:val="center"/>
          </w:tcPr>
          <w:p w14:paraId="4FB7C9ED">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《尾矿库安全规程》第6.4.8条</w:t>
            </w:r>
          </w:p>
        </w:tc>
        <w:tc>
          <w:tcPr>
            <w:tcW w:w="493" w:type="pct"/>
            <w:noWrap w:val="0"/>
            <w:vAlign w:val="center"/>
          </w:tcPr>
          <w:p w14:paraId="08CD7886">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rPr>
              <w:t>查设尾矿库工程档案和现场</w:t>
            </w:r>
          </w:p>
        </w:tc>
        <w:tc>
          <w:tcPr>
            <w:tcW w:w="361" w:type="pct"/>
            <w:noWrap w:val="0"/>
            <w:vAlign w:val="center"/>
          </w:tcPr>
          <w:p w14:paraId="54AD8FBE">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已按设计要求进行封堵</w:t>
            </w:r>
          </w:p>
        </w:tc>
        <w:tc>
          <w:tcPr>
            <w:tcW w:w="356" w:type="pct"/>
            <w:noWrap w:val="0"/>
            <w:vAlign w:val="center"/>
          </w:tcPr>
          <w:p w14:paraId="3749C8DB">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5</w:t>
            </w:r>
          </w:p>
        </w:tc>
        <w:tc>
          <w:tcPr>
            <w:tcW w:w="452" w:type="pct"/>
            <w:vMerge w:val="continue"/>
            <w:noWrap w:val="0"/>
            <w:vAlign w:val="center"/>
          </w:tcPr>
          <w:p w14:paraId="21757AB7">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294" w:type="pct"/>
            <w:noWrap w:val="0"/>
            <w:vAlign w:val="center"/>
          </w:tcPr>
          <w:p w14:paraId="76E5E90E">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eastAsia="zh-CN"/>
              </w:rPr>
            </w:pPr>
            <w:r>
              <w:rPr>
                <w:rFonts w:hint="eastAsia" w:ascii="Times New Roman" w:hAnsi="Times New Roman" w:eastAsia="宋体" w:cs="Times New Roman"/>
                <w:color w:val="auto"/>
                <w:kern w:val="0"/>
                <w:sz w:val="21"/>
                <w:szCs w:val="21"/>
                <w:lang w:val="en-US" w:eastAsia="zh-CN"/>
              </w:rPr>
              <w:t>5</w:t>
            </w:r>
          </w:p>
        </w:tc>
      </w:tr>
      <w:tr w14:paraId="1D963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454" w:hRule="atLeast"/>
          <w:jc w:val="center"/>
        </w:trPr>
        <w:tc>
          <w:tcPr>
            <w:tcW w:w="318" w:type="pct"/>
            <w:vMerge w:val="continue"/>
            <w:noWrap w:val="0"/>
            <w:vAlign w:val="center"/>
          </w:tcPr>
          <w:p w14:paraId="687044D7">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1800" w:type="pct"/>
            <w:noWrap w:val="0"/>
            <w:vAlign w:val="center"/>
          </w:tcPr>
          <w:p w14:paraId="2435CC9D">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3.12排水系统是否有变形、位移、损坏现象。</w:t>
            </w:r>
          </w:p>
        </w:tc>
        <w:tc>
          <w:tcPr>
            <w:tcW w:w="924" w:type="pct"/>
            <w:noWrap w:val="0"/>
            <w:vAlign w:val="center"/>
          </w:tcPr>
          <w:p w14:paraId="4106B950">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《尾矿库安全规程》第9.2.5条</w:t>
            </w:r>
          </w:p>
        </w:tc>
        <w:tc>
          <w:tcPr>
            <w:tcW w:w="493" w:type="pct"/>
            <w:noWrap w:val="0"/>
            <w:vAlign w:val="center"/>
          </w:tcPr>
          <w:p w14:paraId="278153E3">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rPr>
              <w:t>查现场</w:t>
            </w:r>
          </w:p>
        </w:tc>
        <w:tc>
          <w:tcPr>
            <w:tcW w:w="361" w:type="pct"/>
            <w:noWrap w:val="0"/>
            <w:vAlign w:val="center"/>
          </w:tcPr>
          <w:p w14:paraId="7F6A2892">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完好</w:t>
            </w:r>
          </w:p>
        </w:tc>
        <w:tc>
          <w:tcPr>
            <w:tcW w:w="356" w:type="pct"/>
            <w:noWrap w:val="0"/>
            <w:vAlign w:val="center"/>
          </w:tcPr>
          <w:p w14:paraId="709F1224">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7</w:t>
            </w:r>
          </w:p>
        </w:tc>
        <w:tc>
          <w:tcPr>
            <w:tcW w:w="452" w:type="pct"/>
            <w:vMerge w:val="continue"/>
            <w:noWrap w:val="0"/>
            <w:vAlign w:val="center"/>
          </w:tcPr>
          <w:p w14:paraId="058A1BDD">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294" w:type="pct"/>
            <w:noWrap w:val="0"/>
            <w:vAlign w:val="center"/>
          </w:tcPr>
          <w:p w14:paraId="272A04BE">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7</w:t>
            </w:r>
          </w:p>
        </w:tc>
      </w:tr>
      <w:tr w14:paraId="3FBF1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454" w:hRule="atLeast"/>
          <w:jc w:val="center"/>
        </w:trPr>
        <w:tc>
          <w:tcPr>
            <w:tcW w:w="318" w:type="pct"/>
            <w:vMerge w:val="continue"/>
            <w:noWrap w:val="0"/>
            <w:vAlign w:val="center"/>
          </w:tcPr>
          <w:p w14:paraId="7FF4A48B">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1800" w:type="pct"/>
            <w:noWrap w:val="0"/>
            <w:vAlign w:val="center"/>
          </w:tcPr>
          <w:p w14:paraId="2ABC7038">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left"/>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spacing w:val="4"/>
                <w:kern w:val="0"/>
                <w:sz w:val="21"/>
                <w:szCs w:val="21"/>
              </w:rPr>
              <w:t>3.13未经技术论证，不得用常规子坝拦洪。</w:t>
            </w:r>
          </w:p>
        </w:tc>
        <w:tc>
          <w:tcPr>
            <w:tcW w:w="924" w:type="pct"/>
            <w:noWrap w:val="0"/>
            <w:vAlign w:val="center"/>
          </w:tcPr>
          <w:p w14:paraId="77B91891">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《尾矿库安全规程》第6.4.3条</w:t>
            </w:r>
          </w:p>
        </w:tc>
        <w:tc>
          <w:tcPr>
            <w:tcW w:w="493" w:type="pct"/>
            <w:noWrap w:val="0"/>
            <w:vAlign w:val="center"/>
          </w:tcPr>
          <w:p w14:paraId="776F6064">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对照设计、现场检查</w:t>
            </w:r>
          </w:p>
        </w:tc>
        <w:tc>
          <w:tcPr>
            <w:tcW w:w="361" w:type="pct"/>
            <w:noWrap w:val="0"/>
            <w:vAlign w:val="center"/>
          </w:tcPr>
          <w:p w14:paraId="75024631">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无此现象</w:t>
            </w:r>
          </w:p>
        </w:tc>
        <w:tc>
          <w:tcPr>
            <w:tcW w:w="356" w:type="pct"/>
            <w:noWrap w:val="0"/>
            <w:vAlign w:val="center"/>
          </w:tcPr>
          <w:p w14:paraId="4419570D">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4</w:t>
            </w:r>
          </w:p>
        </w:tc>
        <w:tc>
          <w:tcPr>
            <w:tcW w:w="452" w:type="pct"/>
            <w:noWrap w:val="0"/>
            <w:vAlign w:val="center"/>
          </w:tcPr>
          <w:p w14:paraId="5CAD597B">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294" w:type="pct"/>
            <w:noWrap w:val="0"/>
            <w:vAlign w:val="center"/>
          </w:tcPr>
          <w:p w14:paraId="19E0A198">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eastAsia" w:ascii="Times New Roman" w:hAnsi="Times New Roman" w:eastAsia="宋体" w:cs="Times New Roman"/>
                <w:color w:val="auto"/>
                <w:kern w:val="0"/>
                <w:sz w:val="21"/>
                <w:szCs w:val="21"/>
                <w:lang w:val="zh-CN" w:eastAsia="zh-CN"/>
              </w:rPr>
            </w:pPr>
            <w:r>
              <w:rPr>
                <w:rFonts w:hint="eastAsia" w:ascii="Times New Roman" w:hAnsi="Times New Roman" w:eastAsia="宋体" w:cs="Times New Roman"/>
                <w:color w:val="auto"/>
                <w:kern w:val="0"/>
                <w:sz w:val="21"/>
                <w:szCs w:val="21"/>
                <w:lang w:val="en-US" w:eastAsia="zh-CN"/>
              </w:rPr>
              <w:t>4</w:t>
            </w:r>
          </w:p>
        </w:tc>
      </w:tr>
      <w:tr w14:paraId="088AA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90" w:hRule="atLeast"/>
          <w:jc w:val="center"/>
        </w:trPr>
        <w:tc>
          <w:tcPr>
            <w:tcW w:w="2118" w:type="pct"/>
            <w:gridSpan w:val="2"/>
            <w:noWrap w:val="0"/>
            <w:vAlign w:val="center"/>
          </w:tcPr>
          <w:p w14:paraId="6E78FF20">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小计</w:t>
            </w:r>
          </w:p>
        </w:tc>
        <w:tc>
          <w:tcPr>
            <w:tcW w:w="924" w:type="pct"/>
            <w:noWrap w:val="0"/>
            <w:vAlign w:val="center"/>
          </w:tcPr>
          <w:p w14:paraId="08D4A387">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sz w:val="21"/>
                <w:szCs w:val="21"/>
              </w:rPr>
            </w:pPr>
          </w:p>
        </w:tc>
        <w:tc>
          <w:tcPr>
            <w:tcW w:w="493" w:type="pct"/>
            <w:noWrap w:val="0"/>
            <w:vAlign w:val="center"/>
          </w:tcPr>
          <w:p w14:paraId="7C30DAD9">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361" w:type="pct"/>
            <w:noWrap w:val="0"/>
            <w:vAlign w:val="center"/>
          </w:tcPr>
          <w:p w14:paraId="25456B9F">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356" w:type="pct"/>
            <w:noWrap w:val="0"/>
            <w:vAlign w:val="center"/>
          </w:tcPr>
          <w:p w14:paraId="64EB04C9">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41</w:t>
            </w:r>
          </w:p>
        </w:tc>
        <w:tc>
          <w:tcPr>
            <w:tcW w:w="452" w:type="pct"/>
            <w:noWrap w:val="0"/>
            <w:vAlign w:val="center"/>
          </w:tcPr>
          <w:p w14:paraId="68658843">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zh-CN"/>
              </w:rPr>
            </w:pPr>
          </w:p>
        </w:tc>
        <w:tc>
          <w:tcPr>
            <w:tcW w:w="294" w:type="pct"/>
            <w:noWrap w:val="0"/>
            <w:vAlign w:val="center"/>
          </w:tcPr>
          <w:p w14:paraId="6BDAD2FB">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36</w:t>
            </w:r>
          </w:p>
        </w:tc>
      </w:tr>
    </w:tbl>
    <w:p w14:paraId="2832338B">
      <w:pPr>
        <w:pStyle w:val="4"/>
        <w:bidi w:val="0"/>
        <w:rPr>
          <w:rFonts w:hint="default"/>
          <w:color w:val="auto"/>
          <w:lang w:val="en-US" w:eastAsia="zh-CN"/>
        </w:rPr>
      </w:pPr>
      <w:bookmarkStart w:id="505" w:name="_Toc29442"/>
      <w:bookmarkStart w:id="506" w:name="_Toc10677"/>
      <w:bookmarkStart w:id="507" w:name="_Toc29308"/>
      <w:bookmarkStart w:id="508" w:name="_Toc13516"/>
      <w:bookmarkStart w:id="509" w:name="_Toc29504"/>
      <w:r>
        <w:rPr>
          <w:rFonts w:hint="default"/>
          <w:color w:val="auto"/>
          <w:lang w:val="en-US" w:eastAsia="zh-CN"/>
        </w:rPr>
        <w:t>5.3.2 尾矿库调洪演算</w:t>
      </w:r>
      <w:bookmarkEnd w:id="505"/>
      <w:bookmarkEnd w:id="506"/>
      <w:bookmarkEnd w:id="507"/>
      <w:bookmarkEnd w:id="508"/>
      <w:bookmarkEnd w:id="509"/>
    </w:p>
    <w:p w14:paraId="2EA5ED48">
      <w:pPr>
        <w:rPr>
          <w:rFonts w:hint="default"/>
          <w:color w:val="auto"/>
          <w:lang w:val="en-US" w:eastAsia="zh-CN"/>
        </w:rPr>
      </w:pPr>
      <w:r>
        <w:rPr>
          <w:rFonts w:hint="default"/>
          <w:color w:val="auto"/>
          <w:lang w:val="en-US" w:eastAsia="zh-CN"/>
        </w:rPr>
        <w:t>本节内容主要摘自《</w:t>
      </w:r>
      <w:r>
        <w:rPr>
          <w:rFonts w:hint="eastAsia"/>
          <w:color w:val="auto"/>
          <w:lang w:val="en-US" w:eastAsia="zh-CN"/>
        </w:rPr>
        <w:t>江西三和金业有限公司三号（氰化渣）尾矿库调洪演算</w:t>
      </w:r>
      <w:r>
        <w:rPr>
          <w:rFonts w:hint="default"/>
          <w:color w:val="auto"/>
          <w:lang w:val="en-US" w:eastAsia="zh-CN"/>
        </w:rPr>
        <w:t>》</w:t>
      </w:r>
      <w:r>
        <w:rPr>
          <w:rFonts w:hint="default"/>
          <w:b w:val="0"/>
          <w:bCs w:val="0"/>
          <w:color w:val="auto"/>
          <w:lang w:val="en-US" w:eastAsia="zh-CN"/>
        </w:rPr>
        <w:t>（中图设计有限公司，202</w:t>
      </w:r>
      <w:r>
        <w:rPr>
          <w:rFonts w:hint="eastAsia"/>
          <w:b w:val="0"/>
          <w:bCs w:val="0"/>
          <w:color w:val="auto"/>
          <w:lang w:val="en-US" w:eastAsia="zh-CN"/>
        </w:rPr>
        <w:t>5</w:t>
      </w:r>
      <w:r>
        <w:rPr>
          <w:rFonts w:hint="default"/>
          <w:b w:val="0"/>
          <w:bCs w:val="0"/>
          <w:color w:val="auto"/>
          <w:lang w:val="en-US" w:eastAsia="zh-CN"/>
        </w:rPr>
        <w:t>年</w:t>
      </w:r>
      <w:r>
        <w:rPr>
          <w:rFonts w:hint="eastAsia"/>
          <w:b w:val="0"/>
          <w:bCs w:val="0"/>
          <w:color w:val="auto"/>
          <w:lang w:val="en-US" w:eastAsia="zh-CN"/>
        </w:rPr>
        <w:t>3</w:t>
      </w:r>
      <w:r>
        <w:rPr>
          <w:rFonts w:hint="default"/>
          <w:b w:val="0"/>
          <w:bCs w:val="0"/>
          <w:color w:val="auto"/>
          <w:lang w:val="en-US" w:eastAsia="zh-CN"/>
        </w:rPr>
        <w:t>月）</w:t>
      </w:r>
      <w:r>
        <w:rPr>
          <w:rFonts w:hint="default"/>
          <w:color w:val="auto"/>
          <w:lang w:val="en-US" w:eastAsia="zh-CN"/>
        </w:rPr>
        <w:t>。</w:t>
      </w:r>
    </w:p>
    <w:p w14:paraId="073D454F">
      <w:pPr>
        <w:numPr>
          <w:ilvl w:val="0"/>
          <w:numId w:val="0"/>
        </w:numPr>
        <w:ind w:firstLine="560" w:firstLineChars="200"/>
        <w:rPr>
          <w:rFonts w:hint="default"/>
          <w:color w:val="auto"/>
          <w:lang w:val="en-US" w:eastAsia="zh-CN"/>
        </w:rPr>
      </w:pPr>
      <w:bookmarkStart w:id="510" w:name="_Toc10541"/>
      <w:bookmarkStart w:id="511" w:name="_Toc20256"/>
      <w:bookmarkStart w:id="512" w:name="_Toc7647"/>
      <w:r>
        <w:rPr>
          <w:rFonts w:hint="eastAsia"/>
          <w:color w:val="auto"/>
          <w:lang w:val="en-US" w:eastAsia="zh-CN"/>
        </w:rPr>
        <w:t>一、</w:t>
      </w:r>
      <w:r>
        <w:rPr>
          <w:rFonts w:hint="default"/>
          <w:color w:val="auto"/>
          <w:lang w:val="en-US" w:eastAsia="zh-CN"/>
        </w:rPr>
        <w:t>排水斜槽</w:t>
      </w:r>
      <w:r>
        <w:rPr>
          <w:rFonts w:hint="default" w:ascii="Times New Roman" w:hAnsi="Times New Roman" w:cs="Times New Roman"/>
          <w:color w:val="auto"/>
          <w:lang w:val="en-US" w:eastAsia="zh-CN"/>
        </w:rPr>
        <w:t>～</w:t>
      </w:r>
      <w:r>
        <w:rPr>
          <w:rFonts w:hint="default"/>
          <w:color w:val="auto"/>
          <w:lang w:val="en-US" w:eastAsia="zh-CN"/>
        </w:rPr>
        <w:t>排水方涵泄流能力计算</w:t>
      </w:r>
    </w:p>
    <w:p w14:paraId="4F4A3813">
      <w:pPr>
        <w:bidi w:val="0"/>
        <w:rPr>
          <w:rFonts w:hint="eastAsia"/>
          <w:color w:val="auto"/>
          <w:lang w:val="en-US" w:eastAsia="zh-CN"/>
        </w:rPr>
      </w:pPr>
      <w:r>
        <w:rPr>
          <w:rFonts w:hint="default"/>
          <w:color w:val="auto"/>
          <w:lang w:val="en-US" w:eastAsia="zh-CN"/>
        </w:rPr>
        <w:t>斜槽</w:t>
      </w:r>
      <w:r>
        <w:rPr>
          <w:rFonts w:hint="default" w:ascii="Times New Roman" w:hAnsi="Times New Roman" w:cs="Times New Roman"/>
          <w:color w:val="auto"/>
          <w:lang w:val="en-US" w:eastAsia="zh-CN"/>
        </w:rPr>
        <w:t>～</w:t>
      </w:r>
      <w:r>
        <w:rPr>
          <w:rFonts w:hint="default"/>
          <w:color w:val="auto"/>
          <w:lang w:val="en-US" w:eastAsia="zh-CN"/>
        </w:rPr>
        <w:t>方涵式排水系统的工作状态，随泄流水头的大小而异。当斜槽水头较低时，为自由泄流</w:t>
      </w:r>
      <w:r>
        <w:rPr>
          <w:rFonts w:hint="eastAsia"/>
          <w:color w:val="auto"/>
          <w:lang w:val="en-US" w:eastAsia="zh-CN"/>
        </w:rPr>
        <w:t>；</w:t>
      </w:r>
      <w:r>
        <w:rPr>
          <w:rFonts w:hint="default"/>
          <w:color w:val="auto"/>
          <w:lang w:val="en-US" w:eastAsia="zh-CN"/>
        </w:rPr>
        <w:t>由水位以下的斜槽侧壁和斜槽盖板上缘泄流</w:t>
      </w:r>
      <w:r>
        <w:rPr>
          <w:rFonts w:hint="eastAsia"/>
          <w:color w:val="auto"/>
          <w:lang w:val="en-US" w:eastAsia="zh-CN"/>
        </w:rPr>
        <w:t>；</w:t>
      </w:r>
      <w:r>
        <w:rPr>
          <w:rFonts w:hint="default"/>
          <w:color w:val="auto"/>
          <w:lang w:val="en-US" w:eastAsia="zh-CN"/>
        </w:rPr>
        <w:t>当水位升高到斜槽入口被淹没时，泄流量受斜槽断面控制，成为半压力流</w:t>
      </w:r>
      <w:r>
        <w:rPr>
          <w:rFonts w:hint="eastAsia"/>
          <w:color w:val="auto"/>
          <w:lang w:val="en-US" w:eastAsia="zh-CN"/>
        </w:rPr>
        <w:t>；</w:t>
      </w:r>
      <w:r>
        <w:rPr>
          <w:rFonts w:hint="default"/>
          <w:color w:val="auto"/>
          <w:lang w:val="en-US" w:eastAsia="zh-CN"/>
        </w:rPr>
        <w:t>当水位继续升高，排水斜槽与排水管均呈满管流时，即为压力流。各种流态的泄流量按以下公式计算</w:t>
      </w:r>
      <w:r>
        <w:rPr>
          <w:rFonts w:hint="eastAsia"/>
          <w:color w:val="auto"/>
          <w:lang w:val="en-US" w:eastAsia="zh-CN"/>
        </w:rPr>
        <w:t>：</w:t>
      </w:r>
    </w:p>
    <w:p w14:paraId="28C17FC3">
      <w:pPr>
        <w:bidi w:val="0"/>
        <w:rPr>
          <w:rFonts w:hint="default"/>
          <w:color w:val="auto"/>
          <w:lang w:val="en-US" w:eastAsia="zh-CN"/>
        </w:rPr>
      </w:pPr>
      <w:r>
        <w:rPr>
          <w:rFonts w:hint="default"/>
          <w:color w:val="auto"/>
          <w:lang w:val="en-US" w:eastAsia="zh-CN"/>
        </w:rPr>
        <w:t>①自由泄流</w:t>
      </w:r>
    </w:p>
    <w:p w14:paraId="0AAA760F">
      <w:pPr>
        <w:bidi w:val="0"/>
        <w:rPr>
          <w:rFonts w:hint="default"/>
          <w:color w:val="auto"/>
          <w:lang w:val="en-US" w:eastAsia="zh-CN"/>
        </w:rPr>
      </w:pPr>
      <w:r>
        <w:rPr>
          <w:rFonts w:hint="default"/>
          <w:color w:val="auto"/>
          <w:lang w:val="en-US" w:eastAsia="zh-CN"/>
        </w:rPr>
        <w:t>水位未超过盖板上沿最高点时</w:t>
      </w:r>
      <w:r>
        <w:rPr>
          <w:rFonts w:hint="eastAsia"/>
          <w:color w:val="auto"/>
          <w:lang w:val="en-US" w:eastAsia="zh-CN"/>
        </w:rPr>
        <w:t>：</w:t>
      </w:r>
    </w:p>
    <w:p w14:paraId="7F332AF7">
      <w:pPr>
        <w:bidi w:val="0"/>
        <w:ind w:left="0" w:leftChars="0" w:firstLine="0" w:firstLineChars="0"/>
        <w:jc w:val="center"/>
        <w:rPr>
          <w:rFonts w:hint="default"/>
          <w:color w:val="auto"/>
          <w:lang w:val="en-US" w:eastAsia="zh-CN"/>
        </w:rPr>
      </w:pPr>
      <w:r>
        <w:drawing>
          <wp:inline distT="0" distB="0" distL="114300" distR="114300">
            <wp:extent cx="4319905" cy="492125"/>
            <wp:effectExtent l="0" t="0" r="4445" b="317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38"/>
                    <a:stretch>
                      <a:fillRect/>
                    </a:stretch>
                  </pic:blipFill>
                  <pic:spPr>
                    <a:xfrm>
                      <a:off x="0" y="0"/>
                      <a:ext cx="4319905" cy="492125"/>
                    </a:xfrm>
                    <a:prstGeom prst="rect">
                      <a:avLst/>
                    </a:prstGeom>
                    <a:noFill/>
                    <a:ln>
                      <a:noFill/>
                    </a:ln>
                  </pic:spPr>
                </pic:pic>
              </a:graphicData>
            </a:graphic>
          </wp:inline>
        </w:drawing>
      </w:r>
    </w:p>
    <w:p w14:paraId="4795A348">
      <w:pPr>
        <w:bidi w:val="0"/>
        <w:rPr>
          <w:rFonts w:hint="default"/>
          <w:color w:val="auto"/>
          <w:lang w:val="en-US" w:eastAsia="zh-CN"/>
        </w:rPr>
      </w:pPr>
      <w:r>
        <w:rPr>
          <w:rFonts w:hint="default"/>
          <w:color w:val="auto"/>
          <w:lang w:val="en-US" w:eastAsia="zh-CN"/>
        </w:rPr>
        <w:t>水位超过盖板上沿最高点时</w:t>
      </w:r>
      <w:r>
        <w:rPr>
          <w:rFonts w:hint="eastAsia"/>
          <w:color w:val="auto"/>
          <w:lang w:val="en-US" w:eastAsia="zh-CN"/>
        </w:rPr>
        <w:t>：</w:t>
      </w:r>
    </w:p>
    <w:p w14:paraId="1A4EDA4E">
      <w:pPr>
        <w:bidi w:val="0"/>
        <w:ind w:left="0" w:leftChars="0" w:firstLine="0" w:firstLineChars="0"/>
        <w:jc w:val="center"/>
        <w:rPr>
          <w:rFonts w:hint="default"/>
          <w:color w:val="auto"/>
          <w:lang w:val="en-US" w:eastAsia="zh-CN"/>
        </w:rPr>
      </w:pPr>
      <w:r>
        <w:drawing>
          <wp:inline distT="0" distB="0" distL="114300" distR="114300">
            <wp:extent cx="4319905" cy="445135"/>
            <wp:effectExtent l="0" t="0" r="4445" b="1206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39"/>
                    <a:stretch>
                      <a:fillRect/>
                    </a:stretch>
                  </pic:blipFill>
                  <pic:spPr>
                    <a:xfrm>
                      <a:off x="0" y="0"/>
                      <a:ext cx="4319905" cy="445135"/>
                    </a:xfrm>
                    <a:prstGeom prst="rect">
                      <a:avLst/>
                    </a:prstGeom>
                    <a:noFill/>
                    <a:ln>
                      <a:noFill/>
                    </a:ln>
                  </pic:spPr>
                </pic:pic>
              </a:graphicData>
            </a:graphic>
          </wp:inline>
        </w:drawing>
      </w:r>
    </w:p>
    <w:p w14:paraId="02F41D73">
      <w:pPr>
        <w:bidi w:val="0"/>
        <w:rPr>
          <w:rFonts w:hint="default"/>
          <w:color w:val="auto"/>
          <w:lang w:val="en-US" w:eastAsia="zh-CN"/>
        </w:rPr>
      </w:pPr>
      <w:r>
        <w:rPr>
          <w:rFonts w:hint="default"/>
          <w:color w:val="auto"/>
          <w:lang w:val="en-US" w:eastAsia="zh-CN"/>
        </w:rPr>
        <w:t>②半压力流：</w:t>
      </w:r>
    </w:p>
    <w:p w14:paraId="6185028F">
      <w:pPr>
        <w:bidi w:val="0"/>
        <w:ind w:left="0" w:leftChars="0" w:firstLine="0" w:firstLineChars="0"/>
        <w:jc w:val="center"/>
        <w:rPr>
          <w:rFonts w:hint="default"/>
          <w:color w:val="auto"/>
          <w:lang w:val="en-US" w:eastAsia="zh-CN"/>
        </w:rPr>
      </w:pPr>
      <w:r>
        <w:drawing>
          <wp:inline distT="0" distB="0" distL="114300" distR="114300">
            <wp:extent cx="1634490" cy="446405"/>
            <wp:effectExtent l="0" t="0" r="3810" b="1079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40"/>
                    <a:stretch>
                      <a:fillRect/>
                    </a:stretch>
                  </pic:blipFill>
                  <pic:spPr>
                    <a:xfrm>
                      <a:off x="0" y="0"/>
                      <a:ext cx="1634490" cy="446405"/>
                    </a:xfrm>
                    <a:prstGeom prst="rect">
                      <a:avLst/>
                    </a:prstGeom>
                    <a:noFill/>
                    <a:ln>
                      <a:noFill/>
                    </a:ln>
                  </pic:spPr>
                </pic:pic>
              </a:graphicData>
            </a:graphic>
          </wp:inline>
        </w:drawing>
      </w:r>
    </w:p>
    <w:p w14:paraId="1F641A35">
      <w:pPr>
        <w:bidi w:val="0"/>
        <w:rPr>
          <w:rFonts w:hint="default"/>
          <w:color w:val="auto"/>
          <w:lang w:val="en-US" w:eastAsia="zh-CN"/>
        </w:rPr>
      </w:pPr>
      <w:r>
        <w:rPr>
          <w:rFonts w:hint="default"/>
          <w:color w:val="auto"/>
          <w:lang w:val="en-US" w:eastAsia="zh-CN"/>
        </w:rPr>
        <w:t>③压力流：</w:t>
      </w:r>
    </w:p>
    <w:p w14:paraId="73FFFE2D">
      <w:pPr>
        <w:bidi w:val="0"/>
        <w:ind w:left="0" w:leftChars="0" w:firstLine="0" w:firstLineChars="0"/>
        <w:jc w:val="center"/>
        <w:rPr>
          <w:rFonts w:hint="default"/>
          <w:color w:val="auto"/>
          <w:lang w:val="en-US" w:eastAsia="zh-CN"/>
        </w:rPr>
      </w:pPr>
      <w:r>
        <w:drawing>
          <wp:inline distT="0" distB="0" distL="114300" distR="114300">
            <wp:extent cx="1277620" cy="446405"/>
            <wp:effectExtent l="0" t="0" r="17780" b="1079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41"/>
                    <a:stretch>
                      <a:fillRect/>
                    </a:stretch>
                  </pic:blipFill>
                  <pic:spPr>
                    <a:xfrm>
                      <a:off x="0" y="0"/>
                      <a:ext cx="1277620" cy="446405"/>
                    </a:xfrm>
                    <a:prstGeom prst="rect">
                      <a:avLst/>
                    </a:prstGeom>
                    <a:noFill/>
                    <a:ln>
                      <a:noFill/>
                    </a:ln>
                  </pic:spPr>
                </pic:pic>
              </a:graphicData>
            </a:graphic>
          </wp:inline>
        </w:drawing>
      </w:r>
    </w:p>
    <w:p w14:paraId="1185A246">
      <w:pPr>
        <w:bidi w:val="0"/>
        <w:rPr>
          <w:rFonts w:hint="default"/>
          <w:color w:val="auto"/>
          <w:lang w:val="en-US" w:eastAsia="zh-CN"/>
        </w:rPr>
      </w:pPr>
      <w:r>
        <w:rPr>
          <w:rFonts w:hint="default"/>
          <w:color w:val="auto"/>
          <w:lang w:val="en-US" w:eastAsia="zh-CN"/>
        </w:rPr>
        <w:t>式中：</w:t>
      </w:r>
    </w:p>
    <w:p w14:paraId="63659BCD">
      <w:pPr>
        <w:bidi w:val="0"/>
        <w:rPr>
          <w:rFonts w:hint="default"/>
          <w:color w:val="auto"/>
          <w:lang w:val="en-US" w:eastAsia="zh-CN"/>
        </w:rPr>
      </w:pPr>
      <w:r>
        <w:rPr>
          <w:rFonts w:hint="default"/>
          <w:color w:val="auto"/>
          <w:lang w:val="en-US" w:eastAsia="zh-CN"/>
        </w:rPr>
        <w:t>H</w:t>
      </w:r>
      <w:r>
        <w:rPr>
          <w:rFonts w:hint="default"/>
          <w:color w:val="auto"/>
          <w:vertAlign w:val="subscript"/>
          <w:lang w:val="en-US" w:eastAsia="zh-CN"/>
        </w:rPr>
        <w:t>S</w:t>
      </w:r>
      <w:r>
        <w:rPr>
          <w:rFonts w:hint="default"/>
          <w:color w:val="auto"/>
          <w:lang w:val="en-US" w:eastAsia="zh-CN"/>
        </w:rPr>
        <w:t>——自由泄流水头，m，自斜槽侧壁过水部分的最低点起算；</w:t>
      </w:r>
    </w:p>
    <w:p w14:paraId="0559649A">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H</w:t>
      </w:r>
      <w:r>
        <w:rPr>
          <w:rFonts w:hint="eastAsia" w:ascii="Times New Roman" w:hAnsi="Times New Roman" w:eastAsia="宋体" w:cs="Times New Roman"/>
          <w:color w:val="auto"/>
          <w:vertAlign w:val="subscript"/>
          <w:lang w:val="en-US" w:eastAsia="zh-CN"/>
        </w:rPr>
        <w:t>t</w:t>
      </w:r>
      <w:r>
        <w:rPr>
          <w:rFonts w:hint="eastAsia" w:ascii="Times New Roman" w:hAnsi="Times New Roman" w:eastAsia="宋体" w:cs="Times New Roman"/>
          <w:color w:val="auto"/>
          <w:lang w:val="en-US" w:eastAsia="zh-CN"/>
        </w:rPr>
        <w:t>——自由泄流水头，m，自斜槽盖板上缘最高点起算；</w:t>
      </w:r>
    </w:p>
    <w:p w14:paraId="117FD08D">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H</w:t>
      </w:r>
      <w:r>
        <w:rPr>
          <w:rFonts w:hint="eastAsia" w:ascii="Times New Roman" w:hAnsi="Times New Roman" w:eastAsia="宋体" w:cs="Times New Roman"/>
          <w:color w:val="auto"/>
          <w:vertAlign w:val="subscript"/>
          <w:lang w:val="en-US" w:eastAsia="zh-CN"/>
        </w:rPr>
        <w:t>b</w:t>
      </w:r>
      <w:r>
        <w:rPr>
          <w:rFonts w:hint="eastAsia" w:ascii="Times New Roman" w:hAnsi="Times New Roman" w:eastAsia="宋体" w:cs="Times New Roman"/>
          <w:color w:val="auto"/>
          <w:lang w:val="en-US" w:eastAsia="zh-CN"/>
        </w:rPr>
        <w:t>——半压力流水头，m，自库水位至斜槽中心高差；</w:t>
      </w:r>
    </w:p>
    <w:p w14:paraId="7AD8D58B">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H</w:t>
      </w:r>
      <w:r>
        <w:rPr>
          <w:rFonts w:hint="eastAsia" w:ascii="Times New Roman" w:hAnsi="Times New Roman" w:eastAsia="宋体" w:cs="Times New Roman"/>
          <w:color w:val="auto"/>
          <w:vertAlign w:val="subscript"/>
          <w:lang w:val="en-US" w:eastAsia="zh-CN"/>
        </w:rPr>
        <w:t>y</w:t>
      </w:r>
      <w:r>
        <w:rPr>
          <w:rFonts w:hint="eastAsia" w:ascii="Times New Roman" w:hAnsi="Times New Roman" w:eastAsia="宋体" w:cs="Times New Roman"/>
          <w:color w:val="auto"/>
          <w:lang w:val="en-US" w:eastAsia="zh-CN"/>
        </w:rPr>
        <w:t>——压力流水头，m，自库水位至斜槽下游出口中心高差；当下游淹没时，为库水位至下游水位高差；</w:t>
      </w:r>
    </w:p>
    <w:p w14:paraId="1BB5C1A5">
      <w:pPr>
        <w:bidi w:val="0"/>
        <w:rPr>
          <w:rFonts w:hint="default"/>
          <w:lang w:val="en-US"/>
        </w:rPr>
      </w:pPr>
      <w:r>
        <w:rPr>
          <w:rFonts w:hint="eastAsia" w:ascii="Times New Roman" w:hAnsi="Times New Roman" w:eastAsia="宋体" w:cs="Times New Roman"/>
          <w:color w:val="auto"/>
          <w:lang w:val="en-US" w:eastAsia="zh-CN"/>
        </w:rPr>
        <w:t>b——梯形堰底宽，m</w:t>
      </w:r>
      <w:r>
        <w:rPr>
          <w:rFonts w:hint="eastAsia" w:ascii="宋体" w:hAnsi="宋体" w:eastAsia="宋体" w:cs="宋体"/>
          <w:color w:val="000000"/>
          <w:kern w:val="0"/>
          <w:sz w:val="28"/>
          <w:szCs w:val="28"/>
          <w:lang w:val="en-US" w:eastAsia="zh-CN" w:bidi="ar"/>
        </w:rPr>
        <w:t>，</w:t>
      </w:r>
      <m:oMath>
        <m:r>
          <m:rPr/>
          <w:rPr>
            <w:rFonts w:hint="default" w:ascii="Cambria Math" w:hAnsi="Cambria Math" w:eastAsia="宋体" w:cs="宋体"/>
            <w:color w:val="000000"/>
            <w:kern w:val="0"/>
            <w:sz w:val="28"/>
            <w:szCs w:val="28"/>
            <w:lang w:val="en-US" w:eastAsia="zh-CN" w:bidi="ar"/>
          </w:rPr>
          <m:t>b=</m:t>
        </m:r>
        <m:sSub>
          <m:sSubPr>
            <m:ctrlPr>
              <w:rPr>
                <w:rFonts w:hint="default" w:ascii="Cambria Math" w:hAnsi="Cambria Math" w:eastAsia="宋体" w:cs="宋体"/>
                <w:i/>
                <w:color w:val="000000"/>
                <w:kern w:val="0"/>
                <w:sz w:val="28"/>
                <w:szCs w:val="28"/>
                <w:lang w:val="en-US" w:eastAsia="zh-CN" w:bidi="ar"/>
              </w:rPr>
            </m:ctrlPr>
          </m:sSubPr>
          <m:e>
            <m:r>
              <m:rPr/>
              <w:rPr>
                <w:rFonts w:hint="default" w:ascii="Cambria Math" w:hAnsi="Cambria Math" w:eastAsia="宋体" w:cs="宋体"/>
                <w:color w:val="000000"/>
                <w:kern w:val="0"/>
                <w:sz w:val="28"/>
                <w:szCs w:val="28"/>
                <w:lang w:val="en-US" w:eastAsia="zh-CN" w:bidi="ar"/>
              </w:rPr>
              <m:t>b</m:t>
            </m:r>
            <m:ctrlPr>
              <w:rPr>
                <w:rFonts w:hint="default" w:ascii="Cambria Math" w:hAnsi="Cambria Math" w:eastAsia="宋体" w:cs="宋体"/>
                <w:i/>
                <w:color w:val="000000"/>
                <w:kern w:val="0"/>
                <w:sz w:val="28"/>
                <w:szCs w:val="28"/>
                <w:lang w:val="en-US" w:eastAsia="zh-CN" w:bidi="ar"/>
              </w:rPr>
            </m:ctrlPr>
          </m:e>
          <m:sub>
            <m:r>
              <m:rPr/>
              <w:rPr>
                <w:rFonts w:hint="default" w:ascii="Cambria Math" w:hAnsi="Cambria Math" w:eastAsia="宋体" w:cs="宋体"/>
                <w:color w:val="000000"/>
                <w:kern w:val="0"/>
                <w:sz w:val="28"/>
                <w:szCs w:val="28"/>
                <w:lang w:val="en-US" w:eastAsia="zh-CN" w:bidi="ar"/>
              </w:rPr>
              <m:t>1</m:t>
            </m:r>
            <m:ctrlPr>
              <w:rPr>
                <w:rFonts w:hint="default" w:ascii="Cambria Math" w:hAnsi="Cambria Math" w:eastAsia="宋体" w:cs="宋体"/>
                <w:i/>
                <w:color w:val="000000"/>
                <w:kern w:val="0"/>
                <w:sz w:val="28"/>
                <w:szCs w:val="28"/>
                <w:lang w:val="en-US" w:eastAsia="zh-CN" w:bidi="ar"/>
              </w:rPr>
            </m:ctrlPr>
          </m:sub>
        </m:sSub>
        <m:r>
          <m:rPr/>
          <w:rPr>
            <w:rFonts w:hint="default" w:ascii="Cambria Math" w:hAnsi="Cambria Math" w:eastAsia="宋体" w:cs="宋体"/>
            <w:color w:val="000000"/>
            <w:kern w:val="0"/>
            <w:sz w:val="28"/>
            <w:szCs w:val="28"/>
            <w:lang w:val="en-US" w:eastAsia="zh-CN" w:bidi="ar"/>
          </w:rPr>
          <m:t>+</m:t>
        </m:r>
        <m:f>
          <m:fPr>
            <m:ctrlPr>
              <w:rPr>
                <w:rFonts w:hint="default" w:ascii="Cambria Math" w:hAnsi="Cambria Math" w:eastAsia="宋体" w:cs="宋体"/>
                <w:i/>
                <w:color w:val="000000"/>
                <w:kern w:val="0"/>
                <w:sz w:val="28"/>
                <w:szCs w:val="28"/>
                <w:lang w:val="en-US" w:eastAsia="zh-CN" w:bidi="ar"/>
              </w:rPr>
            </m:ctrlPr>
          </m:fPr>
          <m:num>
            <m:r>
              <m:rPr/>
              <w:rPr>
                <w:rFonts w:hint="default" w:ascii="Cambria Math" w:hAnsi="Cambria Math" w:eastAsia="宋体" w:cs="宋体"/>
                <w:color w:val="000000"/>
                <w:kern w:val="0"/>
                <w:sz w:val="28"/>
                <w:szCs w:val="28"/>
                <w:lang w:val="en-US" w:eastAsia="zh-CN" w:bidi="ar"/>
              </w:rPr>
              <m:t>2h</m:t>
            </m:r>
            <m:ctrlPr>
              <w:rPr>
                <w:rFonts w:hint="default" w:ascii="Cambria Math" w:hAnsi="Cambria Math" w:eastAsia="宋体" w:cs="宋体"/>
                <w:i/>
                <w:color w:val="000000"/>
                <w:kern w:val="0"/>
                <w:sz w:val="28"/>
                <w:szCs w:val="28"/>
                <w:lang w:val="en-US" w:eastAsia="zh-CN" w:bidi="ar"/>
              </w:rPr>
            </m:ctrlPr>
          </m:num>
          <m:den>
            <m:r>
              <m:rPr/>
              <w:rPr>
                <w:rFonts w:hint="default" w:ascii="Cambria Math" w:hAnsi="Cambria Math" w:eastAsia="宋体" w:cs="宋体"/>
                <w:color w:val="000000"/>
                <w:kern w:val="0"/>
                <w:sz w:val="28"/>
                <w:szCs w:val="28"/>
                <w:lang w:val="en-US" w:eastAsia="zh-CN" w:bidi="ar"/>
              </w:rPr>
              <m:t>sin</m:t>
            </m:r>
            <m:r>
              <m:rPr/>
              <w:rPr>
                <w:rFonts w:ascii="Cambria Math" w:hAnsi="Cambria Math" w:cs="宋体"/>
                <w:color w:val="000000"/>
                <w:kern w:val="0"/>
                <w:sz w:val="28"/>
                <w:szCs w:val="28"/>
                <w:lang w:val="en-US" w:bidi="ar"/>
              </w:rPr>
              <m:t>β</m:t>
            </m:r>
            <m:ctrlPr>
              <w:rPr>
                <w:rFonts w:hint="default" w:ascii="Cambria Math" w:hAnsi="Cambria Math" w:eastAsia="宋体" w:cs="宋体"/>
                <w:i/>
                <w:color w:val="000000"/>
                <w:kern w:val="0"/>
                <w:sz w:val="28"/>
                <w:szCs w:val="28"/>
                <w:lang w:val="en-US" w:eastAsia="zh-CN" w:bidi="ar"/>
              </w:rPr>
            </m:ctrlPr>
          </m:den>
        </m:f>
      </m:oMath>
    </w:p>
    <w:p w14:paraId="703706B7">
      <w:pPr>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h——平盖板厚度或拱形盖板外缘拱高，m；</w:t>
      </w:r>
    </w:p>
    <w:p w14:paraId="01BB0B4D">
      <w:pPr>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b</w:t>
      </w:r>
      <w:r>
        <w:rPr>
          <w:rFonts w:hint="eastAsia" w:ascii="Times New Roman" w:hAnsi="Times New Roman" w:eastAsia="宋体" w:cs="Times New Roman"/>
          <w:color w:val="auto"/>
          <w:vertAlign w:val="subscript"/>
          <w:lang w:val="en-US" w:eastAsia="zh-CN"/>
        </w:rPr>
        <w:t>1</w:t>
      </w:r>
      <w:r>
        <w:rPr>
          <w:rFonts w:hint="eastAsia" w:ascii="Times New Roman" w:hAnsi="Times New Roman" w:eastAsia="宋体" w:cs="Times New Roman"/>
          <w:color w:val="auto"/>
          <w:lang w:val="en-US" w:eastAsia="zh-CN"/>
        </w:rPr>
        <w:t>——斜槽净宽度，m；</w:t>
      </w:r>
    </w:p>
    <w:p w14:paraId="6D79B7C5">
      <w:pPr>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β——斜槽倾角；</w:t>
      </w:r>
    </w:p>
    <w:p w14:paraId="50607FDA">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bscript"/>
          <w:lang w:val="en-US" w:eastAsia="zh-CN"/>
        </w:rPr>
        <w:t>1</w:t>
      </w:r>
      <w:r>
        <w:rPr>
          <w:rFonts w:hint="eastAsia" w:ascii="Times New Roman" w:hAnsi="Times New Roman" w:eastAsia="宋体" w:cs="Times New Roman"/>
          <w:color w:val="auto"/>
          <w:lang w:val="en-US" w:eastAsia="zh-CN"/>
        </w:rPr>
        <w:t>——堰流流量系数；</w:t>
      </w:r>
    </w:p>
    <w:p w14:paraId="199A1C30">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bscript"/>
          <w:lang w:val="en-US" w:eastAsia="zh-CN"/>
        </w:rPr>
        <w:t>2</w:t>
      </w:r>
      <w:r>
        <w:rPr>
          <w:rFonts w:hint="eastAsia" w:ascii="Times New Roman" w:hAnsi="Times New Roman" w:eastAsia="宋体" w:cs="Times New Roman"/>
          <w:color w:val="auto"/>
          <w:lang w:val="en-US" w:eastAsia="zh-CN"/>
        </w:rPr>
        <w:t>——孔口流量系数，平盖板斜槽m</w:t>
      </w:r>
      <w:r>
        <w:rPr>
          <w:rFonts w:hint="eastAsia" w:ascii="Times New Roman" w:hAnsi="Times New Roman" w:eastAsia="宋体" w:cs="Times New Roman"/>
          <w:color w:val="auto"/>
          <w:vertAlign w:val="subscript"/>
          <w:lang w:val="en-US" w:eastAsia="zh-CN"/>
        </w:rPr>
        <w:t>2</w:t>
      </w:r>
      <w:r>
        <w:rPr>
          <w:rFonts w:hint="eastAsia" w:ascii="Times New Roman" w:hAnsi="Times New Roman" w:eastAsia="宋体" w:cs="Times New Roman"/>
          <w:color w:val="auto"/>
          <w:lang w:val="en-US" w:eastAsia="zh-CN"/>
        </w:rPr>
        <w:t>=0.52，拱形盖板斜槽m</w:t>
      </w:r>
      <w:r>
        <w:rPr>
          <w:rFonts w:hint="eastAsia" w:ascii="Times New Roman" w:hAnsi="Times New Roman" w:eastAsia="宋体" w:cs="Times New Roman"/>
          <w:color w:val="auto"/>
          <w:vertAlign w:val="subscript"/>
          <w:lang w:val="en-US" w:eastAsia="zh-CN"/>
        </w:rPr>
        <w:t>2</w:t>
      </w:r>
      <w:r>
        <w:rPr>
          <w:rFonts w:hint="eastAsia" w:ascii="Times New Roman" w:hAnsi="Times New Roman" w:eastAsia="宋体" w:cs="Times New Roman"/>
          <w:color w:val="auto"/>
          <w:lang w:val="en-US" w:eastAsia="zh-CN"/>
        </w:rPr>
        <w:t>=0.55；</w:t>
      </w:r>
    </w:p>
    <w:p w14:paraId="0A4FFCFB">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p——堰高，m；</w:t>
      </w:r>
    </w:p>
    <w:p w14:paraId="0816E13C">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σn——淹没系数，按h</w:t>
      </w:r>
      <w:r>
        <w:rPr>
          <w:rFonts w:hint="eastAsia" w:ascii="Times New Roman" w:hAnsi="Times New Roman" w:eastAsia="宋体" w:cs="Times New Roman"/>
          <w:color w:val="auto"/>
          <w:vertAlign w:val="subscript"/>
          <w:lang w:val="en-US" w:eastAsia="zh-CN"/>
        </w:rPr>
        <w:t>n</w:t>
      </w:r>
      <w:r>
        <w:rPr>
          <w:rFonts w:hint="eastAsia" w:ascii="Times New Roman" w:hAnsi="Times New Roman" w:eastAsia="宋体" w:cs="Times New Roman"/>
          <w:color w:val="auto"/>
          <w:lang w:val="en-US" w:eastAsia="zh-CN"/>
        </w:rPr>
        <w:t>/H确定；</w:t>
      </w:r>
    </w:p>
    <w:p w14:paraId="56C80F59">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hn——斜槽进水断面处，槽内水深高出溢流沿最低点高度，m；</w:t>
      </w:r>
    </w:p>
    <w:p w14:paraId="6256B5A4">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H——斜槽进水断面处两侧三角形堰的泄流水头，m；</w:t>
      </w:r>
    </w:p>
    <w:p w14:paraId="0F2859A9">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ω</w:t>
      </w:r>
      <w:r>
        <w:rPr>
          <w:rFonts w:hint="eastAsia" w:ascii="Times New Roman" w:hAnsi="Times New Roman" w:eastAsia="宋体" w:cs="Times New Roman"/>
          <w:color w:val="auto"/>
          <w:vertAlign w:val="subscript"/>
          <w:lang w:val="en-US" w:eastAsia="zh-CN"/>
        </w:rPr>
        <w:t>x</w:t>
      </w:r>
      <w:r>
        <w:rPr>
          <w:rFonts w:hint="eastAsia" w:ascii="Times New Roman" w:hAnsi="Times New Roman" w:eastAsia="宋体" w:cs="Times New Roman"/>
          <w:color w:val="auto"/>
          <w:lang w:val="en-US" w:eastAsia="zh-CN"/>
        </w:rPr>
        <w:t>——斜槽断面面积，m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val="en-US" w:eastAsia="zh-CN"/>
        </w:rPr>
        <w:t>；</w:t>
      </w:r>
    </w:p>
    <w:p w14:paraId="4D8F9EBD">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ω</w:t>
      </w:r>
      <w:r>
        <w:rPr>
          <w:rFonts w:hint="eastAsia" w:ascii="Times New Roman" w:hAnsi="Times New Roman" w:eastAsia="宋体" w:cs="Times New Roman"/>
          <w:color w:val="auto"/>
          <w:vertAlign w:val="subscript"/>
          <w:lang w:val="en-US" w:eastAsia="zh-CN"/>
        </w:rPr>
        <w:t>g</w:t>
      </w:r>
      <w:r>
        <w:rPr>
          <w:rFonts w:hint="eastAsia" w:ascii="Times New Roman" w:hAnsi="Times New Roman" w:eastAsia="宋体" w:cs="Times New Roman"/>
          <w:color w:val="auto"/>
          <w:lang w:val="en-US" w:eastAsia="zh-CN"/>
        </w:rPr>
        <w:t>——排水方涵断面面积，m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val="en-US" w:eastAsia="zh-CN"/>
        </w:rPr>
        <w:t>；</w:t>
      </w:r>
    </w:p>
    <w:p w14:paraId="05FCF8F3">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ω</w:t>
      </w:r>
      <w:r>
        <w:rPr>
          <w:rFonts w:hint="eastAsia" w:ascii="Times New Roman" w:hAnsi="Times New Roman" w:eastAsia="宋体" w:cs="Times New Roman"/>
          <w:color w:val="auto"/>
          <w:vertAlign w:val="subscript"/>
          <w:lang w:val="en-US" w:eastAsia="zh-CN"/>
        </w:rPr>
        <w:t>c</w:t>
      </w:r>
      <w:r>
        <w:rPr>
          <w:rFonts w:hint="eastAsia" w:ascii="Times New Roman" w:hAnsi="Times New Roman" w:eastAsia="宋体" w:cs="Times New Roman"/>
          <w:color w:val="auto"/>
          <w:lang w:val="en-US" w:eastAsia="zh-CN"/>
        </w:rPr>
        <w:t>——排水方涵出口断面面积，m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val="en-US" w:eastAsia="zh-CN"/>
        </w:rPr>
        <w:t>；</w:t>
      </w:r>
    </w:p>
    <w:p w14:paraId="650A9DE4">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ξ</w:t>
      </w:r>
      <w:r>
        <w:rPr>
          <w:rFonts w:hint="eastAsia" w:ascii="Times New Roman" w:hAnsi="Times New Roman" w:eastAsia="宋体" w:cs="Times New Roman"/>
          <w:color w:val="auto"/>
          <w:vertAlign w:val="subscript"/>
          <w:lang w:val="en-US" w:eastAsia="zh-CN"/>
        </w:rPr>
        <w:t>1</w:t>
      </w:r>
      <w:r>
        <w:rPr>
          <w:rFonts w:hint="eastAsia" w:ascii="Times New Roman" w:hAnsi="Times New Roman" w:eastAsia="宋体" w:cs="Times New Roman"/>
          <w:color w:val="auto"/>
          <w:lang w:val="en-US" w:eastAsia="zh-CN"/>
        </w:rPr>
        <w:t>——排水斜槽末端局部水头损失，槽与方涵相同断面直接连接时，按转角考虑，取ξ1=ξ4，当用井连接时，按水流断面突然扩大考虑，查有关表格。</w:t>
      </w:r>
    </w:p>
    <w:p w14:paraId="0F18CD7C">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ξ</w:t>
      </w:r>
      <w:r>
        <w:rPr>
          <w:rFonts w:hint="eastAsia" w:ascii="Times New Roman" w:hAnsi="Times New Roman" w:eastAsia="宋体" w:cs="Times New Roman"/>
          <w:color w:val="auto"/>
          <w:vertAlign w:val="subscript"/>
          <w:lang w:val="en-US" w:eastAsia="zh-CN"/>
        </w:rPr>
        <w:t>2</w:t>
      </w:r>
      <w:r>
        <w:rPr>
          <w:rFonts w:hint="eastAsia" w:ascii="Times New Roman" w:hAnsi="Times New Roman" w:eastAsia="宋体" w:cs="Times New Roman"/>
          <w:color w:val="auto"/>
          <w:lang w:val="en-US" w:eastAsia="zh-CN"/>
        </w:rPr>
        <w:t>——排水方涵入口局部水头损失系数，槽与方涵相同断面直接连接时，ξ</w:t>
      </w:r>
      <w:r>
        <w:rPr>
          <w:rFonts w:hint="eastAsia" w:ascii="Times New Roman" w:hAnsi="Times New Roman" w:eastAsia="宋体" w:cs="Times New Roman"/>
          <w:color w:val="auto"/>
          <w:vertAlign w:val="subscript"/>
          <w:lang w:val="en-US" w:eastAsia="zh-CN"/>
        </w:rPr>
        <w:t>2</w:t>
      </w:r>
      <w:r>
        <w:rPr>
          <w:rFonts w:hint="eastAsia" w:ascii="Times New Roman" w:hAnsi="Times New Roman" w:eastAsia="宋体" w:cs="Times New Roman"/>
          <w:color w:val="auto"/>
          <w:lang w:val="en-US" w:eastAsia="zh-CN"/>
        </w:rPr>
        <w:t>=0；当用井连接时，按水流断面突然缩小考虑，查有关表格。</w:t>
      </w:r>
    </w:p>
    <w:p w14:paraId="027B2DAE">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ξ</w:t>
      </w:r>
      <w:r>
        <w:rPr>
          <w:rFonts w:hint="eastAsia" w:ascii="Times New Roman" w:hAnsi="Times New Roman" w:eastAsia="宋体" w:cs="Times New Roman"/>
          <w:color w:val="auto"/>
          <w:vertAlign w:val="subscript"/>
          <w:lang w:val="en-US" w:eastAsia="zh-CN"/>
        </w:rPr>
        <w:t>3</w:t>
      </w:r>
      <w:r>
        <w:rPr>
          <w:rFonts w:hint="eastAsia" w:ascii="Times New Roman" w:hAnsi="Times New Roman" w:eastAsia="宋体" w:cs="Times New Roman"/>
          <w:color w:val="auto"/>
          <w:lang w:val="en-US" w:eastAsia="zh-CN"/>
        </w:rPr>
        <w:t>——排水方涵断面变化的局部水头损失系数；</w:t>
      </w:r>
    </w:p>
    <w:p w14:paraId="6FF286ED">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ξ</w:t>
      </w:r>
      <w:r>
        <w:rPr>
          <w:rFonts w:hint="eastAsia" w:ascii="Times New Roman" w:hAnsi="Times New Roman" w:eastAsia="宋体" w:cs="Times New Roman"/>
          <w:color w:val="auto"/>
          <w:vertAlign w:val="subscript"/>
          <w:lang w:val="en-US" w:eastAsia="zh-CN"/>
        </w:rPr>
        <w:t>4</w:t>
      </w:r>
      <w:r>
        <w:rPr>
          <w:rFonts w:hint="eastAsia" w:ascii="Times New Roman" w:hAnsi="Times New Roman" w:eastAsia="宋体" w:cs="Times New Roman"/>
          <w:color w:val="auto"/>
          <w:lang w:val="en-US" w:eastAsia="zh-CN"/>
        </w:rPr>
        <w:t>——排水方涵转角的局部水头损失系数；</w:t>
      </w:r>
    </w:p>
    <w:p w14:paraId="7001E96C">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R</w:t>
      </w:r>
      <w:r>
        <w:rPr>
          <w:rFonts w:hint="eastAsia" w:ascii="Times New Roman" w:hAnsi="Times New Roman" w:eastAsia="宋体" w:cs="Times New Roman"/>
          <w:color w:val="auto"/>
          <w:vertAlign w:val="subscript"/>
          <w:lang w:val="en-US" w:eastAsia="zh-CN"/>
        </w:rPr>
        <w:t>x</w:t>
      </w:r>
      <w:r>
        <w:rPr>
          <w:rFonts w:hint="eastAsia" w:ascii="Times New Roman" w:hAnsi="Times New Roman" w:eastAsia="宋体" w:cs="Times New Roman"/>
          <w:color w:val="auto"/>
          <w:lang w:val="en-US" w:eastAsia="zh-CN"/>
        </w:rPr>
        <w:t>、C</w:t>
      </w:r>
      <w:r>
        <w:rPr>
          <w:rFonts w:hint="eastAsia" w:ascii="Times New Roman" w:hAnsi="Times New Roman" w:eastAsia="宋体" w:cs="Times New Roman"/>
          <w:color w:val="auto"/>
          <w:vertAlign w:val="subscript"/>
          <w:lang w:val="en-US" w:eastAsia="zh-CN"/>
        </w:rPr>
        <w:t>x</w:t>
      </w:r>
      <w:r>
        <w:rPr>
          <w:rFonts w:hint="eastAsia" w:ascii="Times New Roman" w:hAnsi="Times New Roman" w:eastAsia="宋体" w:cs="Times New Roman"/>
          <w:color w:val="auto"/>
          <w:lang w:val="en-US" w:eastAsia="zh-CN"/>
        </w:rPr>
        <w:t>、l——斜槽的水力半径、谢才系数、长度；</w:t>
      </w:r>
    </w:p>
    <w:p w14:paraId="52B47994">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R</w:t>
      </w:r>
      <w:r>
        <w:rPr>
          <w:rFonts w:hint="eastAsia" w:ascii="Times New Roman" w:hAnsi="Times New Roman" w:eastAsia="宋体" w:cs="Times New Roman"/>
          <w:color w:val="auto"/>
          <w:vertAlign w:val="subscript"/>
          <w:lang w:val="en-US" w:eastAsia="zh-CN"/>
        </w:rPr>
        <w:t>g</w:t>
      </w:r>
      <w:r>
        <w:rPr>
          <w:rFonts w:hint="eastAsia" w:ascii="Times New Roman" w:hAnsi="Times New Roman" w:eastAsia="宋体" w:cs="Times New Roman"/>
          <w:color w:val="auto"/>
          <w:lang w:val="en-US" w:eastAsia="zh-CN"/>
        </w:rPr>
        <w:t>、C</w:t>
      </w:r>
      <w:r>
        <w:rPr>
          <w:rFonts w:hint="eastAsia" w:ascii="Times New Roman" w:hAnsi="Times New Roman" w:eastAsia="宋体" w:cs="Times New Roman"/>
          <w:color w:val="auto"/>
          <w:vertAlign w:val="subscript"/>
          <w:lang w:val="en-US" w:eastAsia="zh-CN"/>
        </w:rPr>
        <w:t>g</w:t>
      </w:r>
      <w:r>
        <w:rPr>
          <w:rFonts w:hint="eastAsia" w:ascii="Times New Roman" w:hAnsi="Times New Roman" w:eastAsia="宋体" w:cs="Times New Roman"/>
          <w:color w:val="auto"/>
          <w:lang w:val="en-US" w:eastAsia="zh-CN"/>
        </w:rPr>
        <w:t>、L——排水方涵的水力半径、谢才系数、长度；</w:t>
      </w:r>
    </w:p>
    <w:p w14:paraId="48787859">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p</w:t>
      </w:r>
      <w:r>
        <w:rPr>
          <w:rFonts w:hint="eastAsia" w:ascii="Times New Roman" w:hAnsi="Times New Roman" w:eastAsia="宋体" w:cs="Times New Roman"/>
          <w:color w:val="auto"/>
          <w:vertAlign w:val="subscript"/>
          <w:lang w:val="en-US" w:eastAsia="zh-CN"/>
        </w:rPr>
        <w:t>1</w:t>
      </w:r>
      <w:r>
        <w:rPr>
          <w:rFonts w:hint="eastAsia" w:ascii="Times New Roman" w:hAnsi="Times New Roman" w:eastAsia="宋体" w:cs="Times New Roman"/>
          <w:color w:val="auto"/>
          <w:lang w:val="en-US" w:eastAsia="zh-CN"/>
        </w:rPr>
        <w:t>=ω</w:t>
      </w:r>
      <w:r>
        <w:rPr>
          <w:rFonts w:hint="eastAsia" w:ascii="Times New Roman" w:hAnsi="Times New Roman" w:eastAsia="宋体" w:cs="Times New Roman"/>
          <w:color w:val="auto"/>
          <w:vertAlign w:val="subscript"/>
          <w:lang w:val="en-US" w:eastAsia="zh-CN"/>
        </w:rPr>
        <w:t>c</w:t>
      </w:r>
      <w:r>
        <w:rPr>
          <w:rFonts w:hint="eastAsia" w:ascii="Times New Roman" w:hAnsi="Times New Roman" w:eastAsia="宋体" w:cs="Times New Roman"/>
          <w:color w:val="auto"/>
          <w:lang w:val="en-US" w:eastAsia="zh-CN"/>
        </w:rPr>
        <w:t>/ω</w:t>
      </w:r>
      <w:r>
        <w:rPr>
          <w:rFonts w:hint="eastAsia" w:ascii="Times New Roman" w:hAnsi="Times New Roman" w:eastAsia="宋体" w:cs="Times New Roman"/>
          <w:color w:val="auto"/>
          <w:vertAlign w:val="subscript"/>
          <w:lang w:val="en-US" w:eastAsia="zh-CN"/>
        </w:rPr>
        <w:t>x</w:t>
      </w:r>
      <w:r>
        <w:rPr>
          <w:rFonts w:hint="eastAsia" w:ascii="Times New Roman" w:hAnsi="Times New Roman" w:eastAsia="宋体" w:cs="Times New Roman"/>
          <w:color w:val="auto"/>
          <w:lang w:val="en-US" w:eastAsia="zh-CN"/>
        </w:rPr>
        <w:t>；</w:t>
      </w:r>
    </w:p>
    <w:p w14:paraId="248AE17E">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p</w:t>
      </w:r>
      <w:r>
        <w:rPr>
          <w:rFonts w:hint="eastAsia" w:ascii="Times New Roman" w:hAnsi="Times New Roman" w:eastAsia="宋体" w:cs="Times New Roman"/>
          <w:color w:val="auto"/>
          <w:vertAlign w:val="subscript"/>
          <w:lang w:val="en-US" w:eastAsia="zh-CN"/>
        </w:rPr>
        <w:t>2</w:t>
      </w:r>
      <w:r>
        <w:rPr>
          <w:rFonts w:hint="eastAsia" w:ascii="Times New Roman" w:hAnsi="Times New Roman" w:eastAsia="宋体" w:cs="Times New Roman"/>
          <w:color w:val="auto"/>
          <w:lang w:val="en-US" w:eastAsia="zh-CN"/>
        </w:rPr>
        <w:t>=ω</w:t>
      </w:r>
      <w:r>
        <w:rPr>
          <w:rFonts w:hint="eastAsia" w:ascii="Times New Roman" w:hAnsi="Times New Roman" w:eastAsia="宋体" w:cs="Times New Roman"/>
          <w:color w:val="auto"/>
          <w:vertAlign w:val="subscript"/>
          <w:lang w:val="en-US" w:eastAsia="zh-CN"/>
        </w:rPr>
        <w:t>c</w:t>
      </w:r>
      <w:r>
        <w:rPr>
          <w:rFonts w:hint="eastAsia" w:ascii="Times New Roman" w:hAnsi="Times New Roman" w:eastAsia="宋体" w:cs="Times New Roman"/>
          <w:color w:val="auto"/>
          <w:lang w:val="en-US" w:eastAsia="zh-CN"/>
        </w:rPr>
        <w:t>/ω</w:t>
      </w:r>
      <w:r>
        <w:rPr>
          <w:rFonts w:hint="eastAsia" w:ascii="Times New Roman" w:hAnsi="Times New Roman" w:eastAsia="宋体" w:cs="Times New Roman"/>
          <w:color w:val="auto"/>
          <w:vertAlign w:val="subscript"/>
          <w:lang w:val="en-US" w:eastAsia="zh-CN"/>
        </w:rPr>
        <w:t>g</w:t>
      </w:r>
      <w:r>
        <w:rPr>
          <w:rFonts w:hint="eastAsia" w:ascii="Times New Roman" w:hAnsi="Times New Roman" w:eastAsia="宋体" w:cs="Times New Roman"/>
          <w:color w:val="auto"/>
          <w:lang w:val="en-US" w:eastAsia="zh-CN"/>
        </w:rPr>
        <w:t>。</w:t>
      </w:r>
    </w:p>
    <w:p w14:paraId="65C46E75">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依据以上公式，三号（氰化渣）尾矿库现处于初期运行阶段，排水斜槽～排水方涵泄流能力计算结果如下图：</w:t>
      </w:r>
    </w:p>
    <w:p w14:paraId="357DE357">
      <w:pPr>
        <w:keepNext w:val="0"/>
        <w:keepLines w:val="0"/>
        <w:widowControl/>
        <w:suppressLineNumbers w:val="0"/>
        <w:ind w:left="0" w:leftChars="0" w:firstLine="0" w:firstLineChars="0"/>
        <w:jc w:val="center"/>
      </w:pPr>
      <w:r>
        <w:drawing>
          <wp:inline distT="0" distB="0" distL="114300" distR="114300">
            <wp:extent cx="5759450" cy="2616200"/>
            <wp:effectExtent l="0" t="0" r="12700" b="1270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42"/>
                    <a:stretch>
                      <a:fillRect/>
                    </a:stretch>
                  </pic:blipFill>
                  <pic:spPr>
                    <a:xfrm>
                      <a:off x="0" y="0"/>
                      <a:ext cx="5759450" cy="2616200"/>
                    </a:xfrm>
                    <a:prstGeom prst="rect">
                      <a:avLst/>
                    </a:prstGeom>
                    <a:noFill/>
                    <a:ln>
                      <a:noFill/>
                    </a:ln>
                  </pic:spPr>
                </pic:pic>
              </a:graphicData>
            </a:graphic>
          </wp:inline>
        </w:drawing>
      </w:r>
    </w:p>
    <w:p w14:paraId="62296FA9">
      <w:pPr>
        <w:keepNext w:val="0"/>
        <w:keepLines w:val="0"/>
        <w:widowControl/>
        <w:suppressLineNumbers w:val="0"/>
        <w:ind w:left="0" w:leftChars="0" w:firstLine="0" w:firstLineChars="0"/>
        <w:jc w:val="center"/>
        <w:rPr>
          <w:rFonts w:hint="eastAsia"/>
          <w:lang w:val="en-US" w:eastAsia="zh-CN"/>
        </w:rPr>
      </w:pPr>
      <w:r>
        <w:rPr>
          <w:rFonts w:hint="eastAsia"/>
          <w:lang w:val="en-US" w:eastAsia="zh-CN"/>
        </w:rPr>
        <w:t>图5.3-1 初期运行时，排水斜槽～排水方涵泄流能力</w:t>
      </w:r>
    </w:p>
    <w:p w14:paraId="2E053496">
      <w:pPr>
        <w:bidi w:val="0"/>
        <w:rPr>
          <w:rFonts w:hint="default"/>
          <w:lang w:val="en-US" w:eastAsia="zh-CN"/>
        </w:rPr>
      </w:pPr>
      <w:r>
        <w:rPr>
          <w:rFonts w:hint="eastAsia"/>
          <w:lang w:val="en-US" w:eastAsia="zh-CN"/>
        </w:rPr>
        <w:t>二、</w:t>
      </w:r>
      <w:r>
        <w:rPr>
          <w:rFonts w:hint="default"/>
          <w:lang w:val="en-US" w:eastAsia="zh-CN"/>
        </w:rPr>
        <w:t>调洪演算计算</w:t>
      </w:r>
    </w:p>
    <w:p w14:paraId="086F3868">
      <w:pPr>
        <w:keepNext w:val="0"/>
        <w:keepLines w:val="0"/>
        <w:widowControl/>
        <w:suppressLineNumbers w:val="0"/>
        <w:jc w:val="left"/>
      </w:pPr>
      <w:r>
        <w:rPr>
          <w:rFonts w:hint="eastAsia"/>
        </w:rPr>
        <w:t>①调洪库容表</w:t>
      </w:r>
    </w:p>
    <w:p w14:paraId="66EAD76F">
      <w:pPr>
        <w:bidi w:val="0"/>
        <w:ind w:left="0" w:leftChars="0" w:firstLine="0" w:firstLineChars="0"/>
        <w:jc w:val="center"/>
      </w:pPr>
      <w:r>
        <w:rPr>
          <w:rFonts w:hint="eastAsia"/>
          <w:lang w:val="en-US" w:eastAsia="zh-CN"/>
        </w:rPr>
        <w:t>表5.3-2 初期调洪库容表</w:t>
      </w:r>
    </w:p>
    <w:p w14:paraId="0E8C194D">
      <w:pPr>
        <w:keepNext w:val="0"/>
        <w:keepLines w:val="0"/>
        <w:widowControl/>
        <w:suppressLineNumbers w:val="0"/>
        <w:ind w:left="0" w:leftChars="0" w:firstLine="0" w:firstLineChars="0"/>
        <w:jc w:val="center"/>
      </w:pPr>
      <w:r>
        <w:drawing>
          <wp:inline distT="0" distB="0" distL="114300" distR="114300">
            <wp:extent cx="5039995" cy="1049020"/>
            <wp:effectExtent l="0" t="0" r="8255" b="1778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43"/>
                    <a:stretch>
                      <a:fillRect/>
                    </a:stretch>
                  </pic:blipFill>
                  <pic:spPr>
                    <a:xfrm>
                      <a:off x="0" y="0"/>
                      <a:ext cx="5039995" cy="1049020"/>
                    </a:xfrm>
                    <a:prstGeom prst="rect">
                      <a:avLst/>
                    </a:prstGeom>
                    <a:noFill/>
                    <a:ln>
                      <a:noFill/>
                    </a:ln>
                  </pic:spPr>
                </pic:pic>
              </a:graphicData>
            </a:graphic>
          </wp:inline>
        </w:drawing>
      </w:r>
    </w:p>
    <w:p w14:paraId="33D6132F">
      <w:pPr>
        <w:keepNext w:val="0"/>
        <w:keepLines w:val="0"/>
        <w:widowControl/>
        <w:suppressLineNumbers w:val="0"/>
        <w:ind w:left="0" w:leftChars="0" w:firstLine="0" w:firstLineChars="0"/>
        <w:jc w:val="center"/>
      </w:pPr>
      <w:r>
        <w:drawing>
          <wp:inline distT="0" distB="0" distL="114300" distR="114300">
            <wp:extent cx="5760085" cy="2559050"/>
            <wp:effectExtent l="0" t="0" r="12065" b="1270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44"/>
                    <a:stretch>
                      <a:fillRect/>
                    </a:stretch>
                  </pic:blipFill>
                  <pic:spPr>
                    <a:xfrm>
                      <a:off x="0" y="0"/>
                      <a:ext cx="5760085" cy="2559050"/>
                    </a:xfrm>
                    <a:prstGeom prst="rect">
                      <a:avLst/>
                    </a:prstGeom>
                    <a:noFill/>
                    <a:ln>
                      <a:noFill/>
                    </a:ln>
                  </pic:spPr>
                </pic:pic>
              </a:graphicData>
            </a:graphic>
          </wp:inline>
        </w:drawing>
      </w:r>
    </w:p>
    <w:p w14:paraId="4949553C">
      <w:pPr>
        <w:keepNext w:val="0"/>
        <w:keepLines w:val="0"/>
        <w:widowControl/>
        <w:suppressLineNumbers w:val="0"/>
        <w:ind w:left="0" w:leftChars="0" w:firstLine="0" w:firstLineChars="0"/>
        <w:jc w:val="center"/>
        <w:rPr>
          <w:rFonts w:hint="eastAsia"/>
          <w:lang w:val="en-US" w:eastAsia="zh-CN"/>
        </w:rPr>
      </w:pPr>
      <w:r>
        <w:rPr>
          <w:rFonts w:hint="eastAsia"/>
          <w:lang w:val="en-US" w:eastAsia="zh-CN"/>
        </w:rPr>
        <w:t>图5.3-2 初期调洪库容曲线图</w:t>
      </w:r>
    </w:p>
    <w:p w14:paraId="2B94719A">
      <w:pPr>
        <w:keepNext w:val="0"/>
        <w:keepLines w:val="0"/>
        <w:widowControl/>
        <w:suppressLineNumbers w:val="0"/>
        <w:jc w:val="left"/>
      </w:pPr>
      <w:r>
        <w:rPr>
          <w:rFonts w:hint="eastAsia" w:ascii="宋体" w:hAnsi="宋体" w:eastAsia="宋体" w:cs="宋体"/>
          <w:color w:val="000000"/>
          <w:kern w:val="0"/>
          <w:sz w:val="28"/>
          <w:szCs w:val="28"/>
          <w:lang w:val="en-US" w:eastAsia="zh-CN" w:bidi="ar"/>
        </w:rPr>
        <w:t>②洪水过程线</w:t>
      </w:r>
    </w:p>
    <w:p w14:paraId="3E9940FB">
      <w:pPr>
        <w:bidi w:val="0"/>
        <w:ind w:left="0" w:leftChars="0" w:firstLine="0" w:firstLineChars="0"/>
        <w:jc w:val="center"/>
      </w:pPr>
      <w:r>
        <w:drawing>
          <wp:inline distT="0" distB="0" distL="114300" distR="114300">
            <wp:extent cx="5039995" cy="2493010"/>
            <wp:effectExtent l="0" t="0" r="8255" b="254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45"/>
                    <a:stretch>
                      <a:fillRect/>
                    </a:stretch>
                  </pic:blipFill>
                  <pic:spPr>
                    <a:xfrm>
                      <a:off x="0" y="0"/>
                      <a:ext cx="5039995" cy="2493010"/>
                    </a:xfrm>
                    <a:prstGeom prst="rect">
                      <a:avLst/>
                    </a:prstGeom>
                    <a:noFill/>
                    <a:ln>
                      <a:noFill/>
                    </a:ln>
                  </pic:spPr>
                </pic:pic>
              </a:graphicData>
            </a:graphic>
          </wp:inline>
        </w:drawing>
      </w:r>
    </w:p>
    <w:p w14:paraId="357C49E4">
      <w:pPr>
        <w:bidi w:val="0"/>
        <w:ind w:left="0" w:leftChars="0" w:firstLine="0" w:firstLineChars="0"/>
        <w:jc w:val="center"/>
        <w:rPr>
          <w:rFonts w:hint="eastAsia"/>
        </w:rPr>
      </w:pPr>
      <w:r>
        <w:rPr>
          <w:rFonts w:hint="eastAsia"/>
          <w:lang w:val="en-US" w:eastAsia="zh-CN"/>
        </w:rPr>
        <w:t xml:space="preserve">图5.3-3 </w:t>
      </w:r>
      <w:r>
        <w:rPr>
          <w:rFonts w:hint="eastAsia"/>
        </w:rPr>
        <w:t>洪水过程线</w:t>
      </w:r>
    </w:p>
    <w:p w14:paraId="57772539">
      <w:pPr>
        <w:keepNext w:val="0"/>
        <w:keepLines w:val="0"/>
        <w:widowControl/>
        <w:suppressLineNumbers w:val="0"/>
        <w:jc w:val="both"/>
      </w:pPr>
      <w:r>
        <w:rPr>
          <w:rFonts w:hint="eastAsia" w:ascii="宋体" w:hAnsi="宋体" w:eastAsia="宋体" w:cs="宋体"/>
          <w:color w:val="000000"/>
          <w:kern w:val="0"/>
          <w:sz w:val="28"/>
          <w:szCs w:val="28"/>
          <w:lang w:val="en-US" w:eastAsia="zh-CN" w:bidi="ar"/>
        </w:rPr>
        <w:t>③辅助曲线</w:t>
      </w:r>
      <w:r>
        <w:drawing>
          <wp:inline distT="0" distB="0" distL="114300" distR="114300">
            <wp:extent cx="986155" cy="360045"/>
            <wp:effectExtent l="0" t="0" r="4445" b="1905"/>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46"/>
                    <a:srcRect l="1850"/>
                    <a:stretch>
                      <a:fillRect/>
                    </a:stretch>
                  </pic:blipFill>
                  <pic:spPr>
                    <a:xfrm>
                      <a:off x="0" y="0"/>
                      <a:ext cx="986155" cy="360045"/>
                    </a:xfrm>
                    <a:prstGeom prst="rect">
                      <a:avLst/>
                    </a:prstGeom>
                    <a:noFill/>
                    <a:ln>
                      <a:noFill/>
                    </a:ln>
                  </pic:spPr>
                </pic:pic>
              </a:graphicData>
            </a:graphic>
          </wp:inline>
        </w:drawing>
      </w:r>
    </w:p>
    <w:p w14:paraId="6B544398">
      <w:pPr>
        <w:bidi w:val="0"/>
        <w:ind w:left="0" w:leftChars="0" w:firstLine="0" w:firstLineChars="0"/>
        <w:jc w:val="center"/>
        <w:rPr>
          <w:rFonts w:hint="eastAsia"/>
          <w:lang w:val="en-US" w:eastAsia="zh-CN"/>
        </w:rPr>
      </w:pPr>
      <w:r>
        <w:drawing>
          <wp:inline distT="0" distB="0" distL="114300" distR="114300">
            <wp:extent cx="5039995" cy="2122170"/>
            <wp:effectExtent l="0" t="0" r="8255" b="11430"/>
            <wp:docPr id="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pic:cNvPicPr>
                      <a:picLocks noChangeAspect="1"/>
                    </pic:cNvPicPr>
                  </pic:nvPicPr>
                  <pic:blipFill>
                    <a:blip r:embed="rId47"/>
                    <a:stretch>
                      <a:fillRect/>
                    </a:stretch>
                  </pic:blipFill>
                  <pic:spPr>
                    <a:xfrm>
                      <a:off x="0" y="0"/>
                      <a:ext cx="5039995" cy="2122170"/>
                    </a:xfrm>
                    <a:prstGeom prst="rect">
                      <a:avLst/>
                    </a:prstGeom>
                    <a:noFill/>
                    <a:ln>
                      <a:noFill/>
                    </a:ln>
                  </pic:spPr>
                </pic:pic>
              </a:graphicData>
            </a:graphic>
          </wp:inline>
        </w:drawing>
      </w:r>
    </w:p>
    <w:p w14:paraId="7197B039">
      <w:pPr>
        <w:bidi w:val="0"/>
        <w:ind w:left="0" w:leftChars="0" w:firstLine="0" w:firstLineChars="0"/>
        <w:jc w:val="center"/>
        <w:rPr>
          <w:rFonts w:hint="eastAsia"/>
        </w:rPr>
      </w:pPr>
      <w:r>
        <w:rPr>
          <w:rFonts w:hint="eastAsia"/>
          <w:lang w:val="en-US" w:eastAsia="zh-CN"/>
        </w:rPr>
        <w:t xml:space="preserve">图5.3-4 </w:t>
      </w:r>
      <w:r>
        <w:rPr>
          <w:rFonts w:hint="eastAsia"/>
        </w:rPr>
        <w:t>初期运行时，辅助曲线图</w:t>
      </w:r>
    </w:p>
    <w:p w14:paraId="6CADF978">
      <w:pPr>
        <w:bidi w:val="0"/>
        <w:rPr>
          <w:rFonts w:hint="eastAsia"/>
        </w:rPr>
      </w:pPr>
      <w:r>
        <w:rPr>
          <w:rFonts w:hint="eastAsia"/>
        </w:rPr>
        <w:t>④水量平衡法调洪演算计算表</w:t>
      </w:r>
    </w:p>
    <w:p w14:paraId="4E57B161">
      <w:pPr>
        <w:bidi w:val="0"/>
        <w:ind w:left="0" w:leftChars="0" w:firstLine="0" w:firstLineChars="0"/>
        <w:jc w:val="center"/>
        <w:rPr>
          <w:rFonts w:hint="eastAsia"/>
        </w:rPr>
      </w:pPr>
      <w:r>
        <w:rPr>
          <w:rFonts w:hint="eastAsia"/>
          <w:lang w:val="en-US" w:eastAsia="zh-CN"/>
        </w:rPr>
        <w:t xml:space="preserve">表5.3-3 </w:t>
      </w:r>
      <w:r>
        <w:rPr>
          <w:rFonts w:hint="eastAsia"/>
        </w:rPr>
        <w:t>初期运行时，水量平衡表</w:t>
      </w:r>
    </w:p>
    <w:p w14:paraId="7B6816BC">
      <w:pPr>
        <w:bidi w:val="0"/>
        <w:ind w:left="0" w:leftChars="0" w:firstLine="0" w:firstLineChars="0"/>
        <w:jc w:val="center"/>
      </w:pPr>
      <w:r>
        <w:drawing>
          <wp:inline distT="0" distB="0" distL="114300" distR="114300">
            <wp:extent cx="5760085" cy="1886585"/>
            <wp:effectExtent l="0" t="0" r="12065" b="18415"/>
            <wp:docPr id="4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
                    <pic:cNvPicPr>
                      <a:picLocks noChangeAspect="1"/>
                    </pic:cNvPicPr>
                  </pic:nvPicPr>
                  <pic:blipFill>
                    <a:blip r:embed="rId48"/>
                    <a:stretch>
                      <a:fillRect/>
                    </a:stretch>
                  </pic:blipFill>
                  <pic:spPr>
                    <a:xfrm>
                      <a:off x="0" y="0"/>
                      <a:ext cx="5760085" cy="1886585"/>
                    </a:xfrm>
                    <a:prstGeom prst="rect">
                      <a:avLst/>
                    </a:prstGeom>
                    <a:noFill/>
                    <a:ln>
                      <a:noFill/>
                    </a:ln>
                  </pic:spPr>
                </pic:pic>
              </a:graphicData>
            </a:graphic>
          </wp:inline>
        </w:drawing>
      </w:r>
    </w:p>
    <w:p w14:paraId="1260F2D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pPr>
      <w:r>
        <w:drawing>
          <wp:inline distT="0" distB="0" distL="114300" distR="114300">
            <wp:extent cx="5760085" cy="4665980"/>
            <wp:effectExtent l="0" t="0" r="12065" b="1270"/>
            <wp:docPr id="4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5"/>
                    <pic:cNvPicPr>
                      <a:picLocks noChangeAspect="1"/>
                    </pic:cNvPicPr>
                  </pic:nvPicPr>
                  <pic:blipFill>
                    <a:blip r:embed="rId49"/>
                    <a:stretch>
                      <a:fillRect/>
                    </a:stretch>
                  </pic:blipFill>
                  <pic:spPr>
                    <a:xfrm>
                      <a:off x="0" y="0"/>
                      <a:ext cx="5760085" cy="4665980"/>
                    </a:xfrm>
                    <a:prstGeom prst="rect">
                      <a:avLst/>
                    </a:prstGeom>
                    <a:noFill/>
                    <a:ln>
                      <a:noFill/>
                    </a:ln>
                  </pic:spPr>
                </pic:pic>
              </a:graphicData>
            </a:graphic>
          </wp:inline>
        </w:drawing>
      </w:r>
    </w:p>
    <w:p w14:paraId="7096A54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pPr>
      <w:r>
        <w:drawing>
          <wp:inline distT="0" distB="0" distL="114300" distR="114300">
            <wp:extent cx="5760085" cy="3782060"/>
            <wp:effectExtent l="0" t="0" r="12065" b="8890"/>
            <wp:docPr id="4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
                    <pic:cNvPicPr>
                      <a:picLocks noChangeAspect="1"/>
                    </pic:cNvPicPr>
                  </pic:nvPicPr>
                  <pic:blipFill>
                    <a:blip r:embed="rId50"/>
                    <a:srcRect t="7252"/>
                    <a:stretch>
                      <a:fillRect/>
                    </a:stretch>
                  </pic:blipFill>
                  <pic:spPr>
                    <a:xfrm>
                      <a:off x="0" y="0"/>
                      <a:ext cx="5760085" cy="3782060"/>
                    </a:xfrm>
                    <a:prstGeom prst="rect">
                      <a:avLst/>
                    </a:prstGeom>
                    <a:noFill/>
                    <a:ln>
                      <a:noFill/>
                    </a:ln>
                  </pic:spPr>
                </pic:pic>
              </a:graphicData>
            </a:graphic>
          </wp:inline>
        </w:drawing>
      </w:r>
    </w:p>
    <w:p w14:paraId="12BFF33F">
      <w:pPr>
        <w:keepNext w:val="0"/>
        <w:keepLines w:val="0"/>
        <w:widowControl/>
        <w:suppressLineNumbers w:val="0"/>
        <w:ind w:left="0" w:leftChars="0" w:firstLine="0" w:firstLineChars="0"/>
        <w:jc w:val="center"/>
      </w:pPr>
      <w:r>
        <w:drawing>
          <wp:inline distT="0" distB="0" distL="114300" distR="114300">
            <wp:extent cx="5760085" cy="2061845"/>
            <wp:effectExtent l="0" t="0" r="12065" b="14605"/>
            <wp:docPr id="4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7"/>
                    <pic:cNvPicPr>
                      <a:picLocks noChangeAspect="1"/>
                    </pic:cNvPicPr>
                  </pic:nvPicPr>
                  <pic:blipFill>
                    <a:blip r:embed="rId51"/>
                    <a:stretch>
                      <a:fillRect/>
                    </a:stretch>
                  </pic:blipFill>
                  <pic:spPr>
                    <a:xfrm>
                      <a:off x="0" y="0"/>
                      <a:ext cx="5760085" cy="2061845"/>
                    </a:xfrm>
                    <a:prstGeom prst="rect">
                      <a:avLst/>
                    </a:prstGeom>
                    <a:noFill/>
                    <a:ln>
                      <a:noFill/>
                    </a:ln>
                  </pic:spPr>
                </pic:pic>
              </a:graphicData>
            </a:graphic>
          </wp:inline>
        </w:drawing>
      </w:r>
    </w:p>
    <w:p w14:paraId="02DB7B80">
      <w:pPr>
        <w:bidi w:val="0"/>
        <w:ind w:left="0" w:leftChars="0" w:firstLine="0" w:firstLineChars="0"/>
        <w:jc w:val="center"/>
      </w:pPr>
      <w:r>
        <w:drawing>
          <wp:inline distT="0" distB="0" distL="114300" distR="114300">
            <wp:extent cx="5760085" cy="2898140"/>
            <wp:effectExtent l="0" t="0" r="12065" b="16510"/>
            <wp:docPr id="4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8"/>
                    <pic:cNvPicPr>
                      <a:picLocks noChangeAspect="1"/>
                    </pic:cNvPicPr>
                  </pic:nvPicPr>
                  <pic:blipFill>
                    <a:blip r:embed="rId52"/>
                    <a:stretch>
                      <a:fillRect/>
                    </a:stretch>
                  </pic:blipFill>
                  <pic:spPr>
                    <a:xfrm>
                      <a:off x="0" y="0"/>
                      <a:ext cx="5760085" cy="2898140"/>
                    </a:xfrm>
                    <a:prstGeom prst="rect">
                      <a:avLst/>
                    </a:prstGeom>
                    <a:noFill/>
                    <a:ln>
                      <a:noFill/>
                    </a:ln>
                  </pic:spPr>
                </pic:pic>
              </a:graphicData>
            </a:graphic>
          </wp:inline>
        </w:drawing>
      </w:r>
    </w:p>
    <w:p w14:paraId="5C620DA1">
      <w:pPr>
        <w:bidi w:val="0"/>
        <w:ind w:left="0" w:leftChars="0" w:firstLine="0" w:firstLineChars="0"/>
        <w:jc w:val="center"/>
      </w:pPr>
      <w:r>
        <w:rPr>
          <w:rFonts w:hint="eastAsia"/>
          <w:lang w:val="en-US" w:eastAsia="zh-CN"/>
        </w:rPr>
        <w:t xml:space="preserve">图5.3-5 </w:t>
      </w:r>
      <w:r>
        <w:rPr>
          <w:rFonts w:hint="eastAsia"/>
        </w:rPr>
        <w:t>洪水过程线与泄流曲线图</w:t>
      </w:r>
    </w:p>
    <w:p w14:paraId="35E5ED06">
      <w:pPr>
        <w:keepNext w:val="0"/>
        <w:keepLines w:val="0"/>
        <w:widowControl/>
        <w:suppressLineNumbers w:val="0"/>
        <w:jc w:val="left"/>
        <w:rPr>
          <w:rFonts w:hint="eastAsia" w:eastAsia="宋体"/>
          <w:lang w:val="en-US" w:eastAsia="zh-CN"/>
        </w:rPr>
      </w:pPr>
      <w:r>
        <w:rPr>
          <w:rFonts w:hint="eastAsia"/>
          <w:lang w:val="en-US" w:eastAsia="zh-CN"/>
        </w:rPr>
        <w:t>三、结论</w:t>
      </w:r>
    </w:p>
    <w:p w14:paraId="3958D690">
      <w:pPr>
        <w:bidi w:val="0"/>
        <w:rPr>
          <w:rFonts w:hint="default"/>
          <w:color w:val="auto"/>
          <w:lang w:val="en-US" w:eastAsia="zh-CN"/>
        </w:rPr>
      </w:pPr>
      <w:r>
        <w:rPr>
          <w:rFonts w:hint="default"/>
          <w:color w:val="auto"/>
          <w:lang w:val="en-US" w:eastAsia="zh-CN"/>
        </w:rPr>
        <w:t>从《水量平衡法调洪演算计算表》及《洪水过程线与泄流曲线图》中可知</w:t>
      </w:r>
      <w:r>
        <w:rPr>
          <w:rFonts w:hint="eastAsia"/>
          <w:color w:val="auto"/>
          <w:lang w:val="en-US" w:eastAsia="zh-CN"/>
        </w:rPr>
        <w:t>：</w:t>
      </w:r>
      <w:r>
        <w:rPr>
          <w:rFonts w:hint="default"/>
          <w:color w:val="auto"/>
          <w:lang w:val="en-US" w:eastAsia="zh-CN"/>
        </w:rPr>
        <w:t>三号</w:t>
      </w:r>
      <w:r>
        <w:rPr>
          <w:rFonts w:hint="eastAsia"/>
          <w:color w:val="auto"/>
          <w:lang w:val="en-US" w:eastAsia="zh-CN"/>
        </w:rPr>
        <w:t>（</w:t>
      </w:r>
      <w:r>
        <w:rPr>
          <w:rFonts w:hint="default"/>
          <w:color w:val="auto"/>
          <w:lang w:val="en-US" w:eastAsia="zh-CN"/>
        </w:rPr>
        <w:t>氰化渣</w:t>
      </w:r>
      <w:r>
        <w:rPr>
          <w:rFonts w:hint="eastAsia"/>
          <w:color w:val="auto"/>
          <w:lang w:val="en-US" w:eastAsia="zh-CN"/>
        </w:rPr>
        <w:t>）</w:t>
      </w:r>
      <w:r>
        <w:rPr>
          <w:rFonts w:hint="default"/>
          <w:color w:val="auto"/>
          <w:lang w:val="en-US" w:eastAsia="zh-CN"/>
        </w:rPr>
        <w:t>尾矿库运行初期最大泄流量为3.2m</w:t>
      </w:r>
      <w:r>
        <w:rPr>
          <w:rFonts w:hint="eastAsia"/>
          <w:color w:val="auto"/>
          <w:vertAlign w:val="superscript"/>
          <w:lang w:val="en-US" w:eastAsia="zh-CN"/>
        </w:rPr>
        <w:t>3</w:t>
      </w:r>
      <w:r>
        <w:rPr>
          <w:rFonts w:hint="default"/>
          <w:color w:val="auto"/>
          <w:lang w:val="en-US" w:eastAsia="zh-CN"/>
        </w:rPr>
        <w:t>/s，此时所需调洪库容为1419.0m</w:t>
      </w:r>
      <w:r>
        <w:rPr>
          <w:rFonts w:hint="eastAsia"/>
          <w:color w:val="auto"/>
          <w:vertAlign w:val="superscript"/>
          <w:lang w:val="en-US" w:eastAsia="zh-CN"/>
        </w:rPr>
        <w:t>3</w:t>
      </w:r>
      <w:r>
        <w:rPr>
          <w:rFonts w:hint="eastAsia"/>
          <w:color w:val="auto"/>
          <w:lang w:val="en-US" w:eastAsia="zh-CN"/>
        </w:rPr>
        <w:t>（</w:t>
      </w:r>
      <w:r>
        <w:rPr>
          <w:rFonts w:hint="eastAsia"/>
          <w:lang w:val="en-US" w:eastAsia="zh-CN"/>
        </w:rPr>
        <w:t>图5.3-2</w:t>
      </w:r>
      <w:r>
        <w:rPr>
          <w:rFonts w:hint="default"/>
          <w:color w:val="auto"/>
          <w:lang w:val="en-US" w:eastAsia="zh-CN"/>
        </w:rPr>
        <w:t>初期调洪库容曲线图</w:t>
      </w:r>
      <w:r>
        <w:rPr>
          <w:rFonts w:hint="eastAsia"/>
          <w:color w:val="auto"/>
          <w:lang w:val="en-US" w:eastAsia="zh-CN"/>
        </w:rPr>
        <w:t>）</w:t>
      </w:r>
      <w:r>
        <w:rPr>
          <w:rFonts w:hint="default"/>
          <w:color w:val="auto"/>
          <w:lang w:val="en-US" w:eastAsia="zh-CN"/>
        </w:rPr>
        <w:t>，查调洪库容曲线得</w:t>
      </w:r>
      <w:r>
        <w:rPr>
          <w:rFonts w:hint="eastAsia"/>
          <w:color w:val="auto"/>
          <w:lang w:val="en-US" w:eastAsia="zh-CN"/>
        </w:rPr>
        <w:t>：</w:t>
      </w:r>
      <w:r>
        <w:rPr>
          <w:rFonts w:hint="default"/>
          <w:color w:val="auto"/>
          <w:lang w:val="en-US" w:eastAsia="zh-CN"/>
        </w:rPr>
        <w:t>此时库水位标高为+84.30m</w:t>
      </w:r>
      <w:r>
        <w:rPr>
          <w:rFonts w:hint="eastAsia"/>
          <w:color w:val="auto"/>
          <w:lang w:val="en-US" w:eastAsia="zh-CN"/>
        </w:rPr>
        <w:t>（</w:t>
      </w:r>
      <w:r>
        <w:rPr>
          <w:rFonts w:hint="default"/>
          <w:color w:val="auto"/>
          <w:lang w:val="en-US" w:eastAsia="zh-CN"/>
        </w:rPr>
        <w:t>尾矿库初期坝顶标高为+85.00m</w:t>
      </w:r>
      <w:r>
        <w:rPr>
          <w:rFonts w:hint="eastAsia"/>
          <w:color w:val="auto"/>
          <w:lang w:val="en-US" w:eastAsia="zh-CN"/>
        </w:rPr>
        <w:t>）</w:t>
      </w:r>
      <w:r>
        <w:rPr>
          <w:rFonts w:hint="default"/>
          <w:color w:val="auto"/>
          <w:lang w:val="en-US" w:eastAsia="zh-CN"/>
        </w:rPr>
        <w:t>，大于规范中五等库安全超高0.4m的要求。尾矿库调洪库容远大于排洪系统运行时所需的调洪库容，故排洪系统满足100年一遇洪水排放要求。</w:t>
      </w:r>
    </w:p>
    <w:p w14:paraId="51E5BFBA">
      <w:pPr>
        <w:keepNext/>
        <w:keepLines/>
        <w:widowControl w:val="0"/>
        <w:bidi w:val="0"/>
        <w:spacing w:beforeLines="0" w:beforeAutospacing="0" w:afterLines="0" w:afterAutospacing="0" w:line="360" w:lineRule="auto"/>
        <w:ind w:left="560" w:leftChars="200" w:firstLine="0" w:firstLineChars="0"/>
        <w:jc w:val="both"/>
        <w:outlineLvl w:val="2"/>
        <w:rPr>
          <w:rFonts w:hint="eastAsia" w:ascii="Times New Roman" w:hAnsi="Times New Roman" w:eastAsia="黑体" w:cs="Times New Roman"/>
          <w:b/>
          <w:color w:val="auto"/>
          <w:kern w:val="2"/>
          <w:sz w:val="28"/>
          <w:szCs w:val="24"/>
          <w:lang w:val="en-US" w:eastAsia="zh-CN" w:bidi="ar-SA"/>
        </w:rPr>
      </w:pPr>
      <w:bookmarkStart w:id="513" w:name="_Toc20276"/>
      <w:bookmarkStart w:id="514" w:name="_Toc30108"/>
      <w:bookmarkStart w:id="515" w:name="_Toc22749"/>
      <w:bookmarkStart w:id="516" w:name="_Toc6568"/>
      <w:r>
        <w:rPr>
          <w:rFonts w:hint="eastAsia" w:ascii="Times New Roman" w:hAnsi="Times New Roman" w:eastAsia="黑体" w:cs="Times New Roman"/>
          <w:b/>
          <w:color w:val="auto"/>
          <w:kern w:val="2"/>
          <w:sz w:val="28"/>
          <w:szCs w:val="24"/>
          <w:lang w:val="en-US" w:eastAsia="zh-CN" w:bidi="ar-SA"/>
        </w:rPr>
        <w:t>5.3.3 评价单元小结</w:t>
      </w:r>
      <w:bookmarkEnd w:id="510"/>
      <w:bookmarkEnd w:id="511"/>
      <w:bookmarkEnd w:id="512"/>
      <w:bookmarkEnd w:id="513"/>
      <w:bookmarkEnd w:id="514"/>
      <w:bookmarkEnd w:id="515"/>
      <w:bookmarkEnd w:id="516"/>
    </w:p>
    <w:p w14:paraId="4DE6B8A0">
      <w:pPr>
        <w:bidi w:val="0"/>
        <w:rPr>
          <w:rFonts w:hint="default"/>
          <w:color w:val="auto"/>
          <w:lang w:val="en-US" w:eastAsia="zh-CN"/>
        </w:rPr>
      </w:pPr>
      <w:r>
        <w:rPr>
          <w:rFonts w:hint="default"/>
          <w:color w:val="auto"/>
          <w:lang w:val="en-US" w:eastAsia="zh-CN"/>
        </w:rPr>
        <w:t>（1）经现场检查，三号</w:t>
      </w:r>
      <w:r>
        <w:rPr>
          <w:rFonts w:hint="eastAsia"/>
          <w:color w:val="auto"/>
          <w:lang w:val="en-US" w:eastAsia="zh-CN"/>
        </w:rPr>
        <w:t>（</w:t>
      </w:r>
      <w:r>
        <w:rPr>
          <w:rFonts w:hint="default"/>
          <w:color w:val="auto"/>
          <w:lang w:val="en-US" w:eastAsia="zh-CN"/>
        </w:rPr>
        <w:t>氰化渣</w:t>
      </w:r>
      <w:r>
        <w:rPr>
          <w:rFonts w:hint="eastAsia"/>
          <w:color w:val="auto"/>
          <w:lang w:val="en-US" w:eastAsia="zh-CN"/>
        </w:rPr>
        <w:t>）</w:t>
      </w:r>
      <w:r>
        <w:rPr>
          <w:rFonts w:hint="default"/>
          <w:color w:val="auto"/>
          <w:lang w:val="en-US" w:eastAsia="zh-CN"/>
        </w:rPr>
        <w:t>尾矿库排</w:t>
      </w:r>
      <w:r>
        <w:rPr>
          <w:rFonts w:hint="eastAsia"/>
          <w:color w:val="auto"/>
          <w:lang w:val="en-US" w:eastAsia="zh-CN"/>
        </w:rPr>
        <w:t>洪</w:t>
      </w:r>
      <w:r>
        <w:rPr>
          <w:rFonts w:hint="default"/>
          <w:color w:val="auto"/>
          <w:lang w:val="en-US" w:eastAsia="zh-CN"/>
        </w:rPr>
        <w:t>构筑物的结构强度、断面尺寸均符合设计要求，且运行状况良好，</w:t>
      </w:r>
      <w:r>
        <w:rPr>
          <w:rFonts w:hint="eastAsia"/>
          <w:color w:val="auto"/>
          <w:lang w:val="en-US" w:eastAsia="zh-CN"/>
        </w:rPr>
        <w:t>排洪构筑物</w:t>
      </w:r>
      <w:r>
        <w:rPr>
          <w:rFonts w:hint="default"/>
          <w:color w:val="auto"/>
          <w:lang w:val="en-US" w:eastAsia="zh-CN"/>
        </w:rPr>
        <w:t>无变形、裂缝、脱落、倾斜、坍塌等现象。</w:t>
      </w:r>
    </w:p>
    <w:p w14:paraId="0C74C852">
      <w:pPr>
        <w:bidi w:val="0"/>
        <w:rPr>
          <w:rFonts w:hint="default"/>
          <w:color w:val="auto"/>
          <w:lang w:val="en-US" w:eastAsia="zh-CN"/>
        </w:rPr>
      </w:pPr>
      <w:r>
        <w:rPr>
          <w:rFonts w:hint="default"/>
          <w:color w:val="auto"/>
          <w:lang w:val="en-US" w:eastAsia="zh-CN"/>
        </w:rPr>
        <w:t>（2）经洪水复核，三号</w:t>
      </w:r>
      <w:r>
        <w:rPr>
          <w:rFonts w:hint="eastAsia"/>
          <w:color w:val="auto"/>
          <w:lang w:val="en-US" w:eastAsia="zh-CN"/>
        </w:rPr>
        <w:t>（</w:t>
      </w:r>
      <w:r>
        <w:rPr>
          <w:rFonts w:hint="default"/>
          <w:color w:val="auto"/>
          <w:lang w:val="en-US" w:eastAsia="zh-CN"/>
        </w:rPr>
        <w:t>氰化渣</w:t>
      </w:r>
      <w:r>
        <w:rPr>
          <w:rFonts w:hint="eastAsia"/>
          <w:color w:val="auto"/>
          <w:lang w:val="en-US" w:eastAsia="zh-CN"/>
        </w:rPr>
        <w:t>）</w:t>
      </w:r>
      <w:r>
        <w:rPr>
          <w:rFonts w:hint="default"/>
          <w:color w:val="auto"/>
          <w:lang w:val="en-US" w:eastAsia="zh-CN"/>
        </w:rPr>
        <w:t>尾矿库防排洪系统能满足</w:t>
      </w:r>
      <w:r>
        <w:rPr>
          <w:rFonts w:hint="eastAsia"/>
          <w:color w:val="auto"/>
          <w:lang w:val="en-US" w:eastAsia="zh-CN"/>
        </w:rPr>
        <w:t>100</w:t>
      </w:r>
      <w:r>
        <w:rPr>
          <w:rFonts w:hint="default"/>
          <w:color w:val="auto"/>
          <w:lang w:val="en-US" w:eastAsia="zh-CN"/>
        </w:rPr>
        <w:t>年一遇的洪水泄流要求。</w:t>
      </w:r>
    </w:p>
    <w:p w14:paraId="71BD84E8">
      <w:pPr>
        <w:bidi w:val="0"/>
        <w:rPr>
          <w:rFonts w:hint="default"/>
          <w:color w:val="auto"/>
          <w:lang w:val="en-US" w:eastAsia="zh-CN"/>
        </w:rPr>
      </w:pPr>
      <w:r>
        <w:rPr>
          <w:rFonts w:hint="default"/>
          <w:color w:val="auto"/>
          <w:lang w:val="en-US" w:eastAsia="zh-CN"/>
        </w:rPr>
        <w:t>（3）经采用安全检查表法评判，防洪排水单元应得分</w:t>
      </w:r>
      <w:r>
        <w:rPr>
          <w:rFonts w:hint="eastAsia"/>
          <w:color w:val="auto"/>
          <w:lang w:val="en-US" w:eastAsia="zh-CN"/>
        </w:rPr>
        <w:t>41</w:t>
      </w:r>
      <w:r>
        <w:rPr>
          <w:rFonts w:hint="default"/>
          <w:color w:val="auto"/>
          <w:lang w:val="en-US" w:eastAsia="zh-CN"/>
        </w:rPr>
        <w:t>分，实际得分</w:t>
      </w:r>
      <w:r>
        <w:rPr>
          <w:rFonts w:hint="eastAsia"/>
          <w:color w:val="auto"/>
          <w:lang w:val="en-US" w:eastAsia="zh-CN"/>
        </w:rPr>
        <w:t>36</w:t>
      </w:r>
      <w:r>
        <w:rPr>
          <w:rFonts w:hint="default"/>
          <w:color w:val="auto"/>
          <w:lang w:val="en-US" w:eastAsia="zh-CN"/>
        </w:rPr>
        <w:t>分，得分率</w:t>
      </w:r>
      <w:r>
        <w:rPr>
          <w:rFonts w:hint="eastAsia"/>
          <w:color w:val="auto"/>
          <w:lang w:val="en-US" w:eastAsia="zh-CN"/>
        </w:rPr>
        <w:t>87.80</w:t>
      </w:r>
      <w:r>
        <w:rPr>
          <w:rFonts w:hint="default"/>
          <w:color w:val="auto"/>
          <w:lang w:val="en-US" w:eastAsia="zh-CN"/>
        </w:rPr>
        <w:t>%，防排洪系统单元符合安全要求。</w:t>
      </w:r>
    </w:p>
    <w:p w14:paraId="2FAD5769">
      <w:pPr>
        <w:bidi w:val="0"/>
        <w:rPr>
          <w:rFonts w:hint="default"/>
          <w:color w:val="auto"/>
          <w:lang w:val="en-US" w:eastAsia="zh-CN"/>
        </w:rPr>
      </w:pPr>
      <w:r>
        <w:rPr>
          <w:rFonts w:hint="default"/>
          <w:color w:val="auto"/>
          <w:lang w:val="en-US" w:eastAsia="zh-CN"/>
        </w:rPr>
        <w:t>（4）</w:t>
      </w:r>
      <w:r>
        <w:rPr>
          <w:rFonts w:hint="eastAsia"/>
        </w:rPr>
        <w:t>江西三和金业有限公司</w:t>
      </w:r>
      <w:r>
        <w:rPr>
          <w:rFonts w:hint="eastAsia"/>
          <w:color w:val="auto"/>
          <w:lang w:val="en-US" w:eastAsia="zh-CN"/>
        </w:rPr>
        <w:t>应加强尾矿库管理，在库内水位标尺上标示正常水位和警戒水位，还</w:t>
      </w:r>
      <w:r>
        <w:rPr>
          <w:rFonts w:hint="default"/>
          <w:color w:val="auto"/>
          <w:lang w:val="en-US" w:eastAsia="zh-CN"/>
        </w:rPr>
        <w:t>应配足备齐应急抢险所需的应急物资、及时了解和掌握汛期水情和气象预报情况。</w:t>
      </w:r>
    </w:p>
    <w:p w14:paraId="0759B383">
      <w:pPr>
        <w:keepNext/>
        <w:keepLines/>
        <w:widowControl w:val="0"/>
        <w:bidi w:val="0"/>
        <w:spacing w:beforeLines="0" w:beforeAutospacing="0" w:afterLines="0" w:afterAutospacing="0" w:line="360" w:lineRule="auto"/>
        <w:ind w:left="280" w:leftChars="100" w:firstLine="0" w:firstLineChars="0"/>
        <w:jc w:val="both"/>
        <w:outlineLvl w:val="1"/>
        <w:rPr>
          <w:rFonts w:hint="eastAsia" w:ascii="Times New Roman" w:hAnsi="Times New Roman" w:eastAsia="黑体" w:cs="Times New Roman"/>
          <w:b/>
          <w:color w:val="auto"/>
          <w:kern w:val="2"/>
          <w:sz w:val="30"/>
          <w:szCs w:val="24"/>
          <w:lang w:val="en-US" w:eastAsia="zh-CN" w:bidi="ar-SA"/>
        </w:rPr>
      </w:pPr>
      <w:bookmarkStart w:id="517" w:name="_Toc1312"/>
      <w:bookmarkStart w:id="518" w:name="_Toc3795"/>
      <w:bookmarkStart w:id="519" w:name="_Toc25235"/>
      <w:bookmarkStart w:id="520" w:name="_Toc22250"/>
      <w:bookmarkStart w:id="521" w:name="_Toc31711"/>
      <w:bookmarkStart w:id="522" w:name="_Toc6929"/>
      <w:bookmarkStart w:id="523" w:name="_Toc16886"/>
      <w:r>
        <w:rPr>
          <w:rFonts w:hint="eastAsia" w:ascii="Times New Roman" w:hAnsi="Times New Roman" w:eastAsia="黑体" w:cs="Times New Roman"/>
          <w:b/>
          <w:color w:val="auto"/>
          <w:kern w:val="2"/>
          <w:sz w:val="30"/>
          <w:szCs w:val="24"/>
          <w:lang w:val="en-US" w:eastAsia="zh-CN" w:bidi="ar-SA"/>
        </w:rPr>
        <w:t>5.4 安全监测设施单元</w:t>
      </w:r>
      <w:bookmarkEnd w:id="517"/>
      <w:bookmarkEnd w:id="518"/>
      <w:bookmarkEnd w:id="519"/>
      <w:bookmarkEnd w:id="520"/>
      <w:bookmarkEnd w:id="521"/>
      <w:bookmarkEnd w:id="522"/>
      <w:bookmarkEnd w:id="523"/>
    </w:p>
    <w:p w14:paraId="2FE32AC4">
      <w:pPr>
        <w:keepNext/>
        <w:keepLines/>
        <w:widowControl w:val="0"/>
        <w:bidi w:val="0"/>
        <w:spacing w:beforeLines="0" w:beforeAutospacing="0" w:afterLines="0" w:afterAutospacing="0" w:line="360" w:lineRule="auto"/>
        <w:ind w:left="560" w:leftChars="200" w:firstLine="0" w:firstLineChars="0"/>
        <w:jc w:val="both"/>
        <w:outlineLvl w:val="2"/>
        <w:rPr>
          <w:rFonts w:hint="eastAsia" w:ascii="Times New Roman" w:hAnsi="Times New Roman" w:eastAsia="黑体" w:cs="Times New Roman"/>
          <w:b/>
          <w:color w:val="auto"/>
          <w:kern w:val="2"/>
          <w:sz w:val="28"/>
          <w:szCs w:val="24"/>
          <w:lang w:val="en-US" w:eastAsia="zh-CN" w:bidi="ar-SA"/>
        </w:rPr>
      </w:pPr>
      <w:bookmarkStart w:id="524" w:name="_Toc20546"/>
      <w:bookmarkStart w:id="525" w:name="_Toc14096"/>
      <w:bookmarkStart w:id="526" w:name="_Toc23328"/>
      <w:bookmarkStart w:id="527" w:name="_Toc2234"/>
      <w:bookmarkStart w:id="528" w:name="_Toc24983"/>
      <w:bookmarkStart w:id="529" w:name="_Toc4557"/>
      <w:bookmarkStart w:id="530" w:name="_Toc1148"/>
      <w:r>
        <w:rPr>
          <w:rFonts w:hint="eastAsia" w:ascii="Times New Roman" w:hAnsi="Times New Roman" w:eastAsia="黑体" w:cs="Times New Roman"/>
          <w:b/>
          <w:color w:val="auto"/>
          <w:kern w:val="2"/>
          <w:sz w:val="28"/>
          <w:szCs w:val="24"/>
          <w:lang w:val="en-US" w:eastAsia="zh-CN" w:bidi="ar-SA"/>
        </w:rPr>
        <w:t>5.4.1 安全检查法评价</w:t>
      </w:r>
      <w:bookmarkEnd w:id="524"/>
      <w:bookmarkEnd w:id="525"/>
      <w:bookmarkEnd w:id="526"/>
      <w:bookmarkEnd w:id="527"/>
      <w:bookmarkEnd w:id="528"/>
      <w:bookmarkEnd w:id="529"/>
      <w:bookmarkEnd w:id="530"/>
    </w:p>
    <w:p w14:paraId="501AF6A4">
      <w:pPr>
        <w:bidi w:val="0"/>
        <w:rPr>
          <w:rFonts w:hint="default"/>
          <w:strike w:val="0"/>
          <w:dstrike w:val="0"/>
          <w:color w:val="auto"/>
          <w:lang w:val="en-US" w:eastAsia="zh-CN"/>
        </w:rPr>
      </w:pPr>
      <w:r>
        <w:rPr>
          <w:rFonts w:hint="default"/>
          <w:color w:val="auto"/>
          <w:lang w:val="en-US" w:eastAsia="zh-CN"/>
        </w:rPr>
        <w:t>经评价组评价人员现场安全检查，三号</w:t>
      </w:r>
      <w:r>
        <w:rPr>
          <w:rFonts w:hint="eastAsia"/>
          <w:color w:val="auto"/>
          <w:lang w:val="en-US" w:eastAsia="zh-CN"/>
        </w:rPr>
        <w:t>（</w:t>
      </w:r>
      <w:r>
        <w:rPr>
          <w:rFonts w:hint="default"/>
          <w:color w:val="auto"/>
          <w:lang w:val="en-US" w:eastAsia="zh-CN"/>
        </w:rPr>
        <w:t>氰化渣</w:t>
      </w:r>
      <w:r>
        <w:rPr>
          <w:rFonts w:hint="eastAsia"/>
          <w:color w:val="auto"/>
          <w:lang w:val="en-US" w:eastAsia="zh-CN"/>
        </w:rPr>
        <w:t>）</w:t>
      </w:r>
      <w:r>
        <w:rPr>
          <w:rFonts w:hint="default"/>
          <w:color w:val="auto"/>
          <w:lang w:val="en-US" w:eastAsia="zh-CN"/>
        </w:rPr>
        <w:t>尾矿库安全监测设施既有传统的人工安全监测设施，也有自动的在线监测设施，且设置位置、数量与设计相符，观测频率和精度符合规定要求。三号</w:t>
      </w:r>
      <w:r>
        <w:rPr>
          <w:rFonts w:hint="eastAsia"/>
          <w:color w:val="auto"/>
          <w:lang w:val="en-US" w:eastAsia="zh-CN"/>
        </w:rPr>
        <w:t>（</w:t>
      </w:r>
      <w:r>
        <w:rPr>
          <w:rFonts w:hint="default"/>
          <w:color w:val="auto"/>
          <w:lang w:val="en-US" w:eastAsia="zh-CN"/>
        </w:rPr>
        <w:t>氰化渣</w:t>
      </w:r>
      <w:r>
        <w:rPr>
          <w:rFonts w:hint="eastAsia"/>
          <w:color w:val="auto"/>
          <w:lang w:val="en-US" w:eastAsia="zh-CN"/>
        </w:rPr>
        <w:t>）</w:t>
      </w:r>
      <w:r>
        <w:rPr>
          <w:rFonts w:hint="default"/>
          <w:color w:val="auto"/>
          <w:lang w:val="en-US" w:eastAsia="zh-CN"/>
        </w:rPr>
        <w:t>尾矿库在线安全监测预警系统接入了省级尾矿库安全生产风险监测预警平台，实现了数据共享、互联互通。坝体人工安全监测设施以及在线监测设施运行状况均正常，</w:t>
      </w:r>
      <w:r>
        <w:rPr>
          <w:rFonts w:hint="eastAsia"/>
        </w:rPr>
        <w:t>江西三和金业有限公司</w:t>
      </w:r>
      <w:r>
        <w:rPr>
          <w:rFonts w:hint="default"/>
          <w:strike w:val="0"/>
          <w:dstrike w:val="0"/>
          <w:color w:val="auto"/>
          <w:lang w:val="en-US" w:eastAsia="zh-CN"/>
        </w:rPr>
        <w:t>已按要求进行了坝体位移沉降、浸润线、库水位观测，保留有坝体位移沉降、浸润线、库水位观测记录，从坝体位移沉降、浸润线观测记录来看，坝体已固结、稳定，观测值变化、波动偏小，浸润线水位随暴雨、枯水季节有所波动，变化很小，浸润线埋深在</w:t>
      </w:r>
      <w:r>
        <w:rPr>
          <w:rFonts w:hint="eastAsia"/>
          <w:strike w:val="0"/>
          <w:dstrike w:val="0"/>
          <w:color w:val="auto"/>
          <w:lang w:val="en-US" w:eastAsia="zh-CN"/>
        </w:rPr>
        <w:t>5.18</w:t>
      </w:r>
      <w:r>
        <w:rPr>
          <w:rFonts w:hint="default"/>
          <w:strike w:val="0"/>
          <w:dstrike w:val="0"/>
          <w:color w:val="auto"/>
          <w:lang w:val="en-US" w:eastAsia="zh-CN"/>
        </w:rPr>
        <w:t>m～</w:t>
      </w:r>
      <w:r>
        <w:rPr>
          <w:rFonts w:hint="eastAsia"/>
          <w:strike w:val="0"/>
          <w:dstrike w:val="0"/>
          <w:color w:val="auto"/>
          <w:lang w:val="en-US" w:eastAsia="zh-CN"/>
        </w:rPr>
        <w:t>5.65</w:t>
      </w:r>
      <w:r>
        <w:rPr>
          <w:rFonts w:hint="default"/>
          <w:strike w:val="0"/>
          <w:dstrike w:val="0"/>
          <w:color w:val="auto"/>
          <w:lang w:val="en-US" w:eastAsia="zh-CN"/>
        </w:rPr>
        <w:t>m之间，符合规范值要求。</w:t>
      </w:r>
    </w:p>
    <w:p w14:paraId="7113E62C">
      <w:pPr>
        <w:keepNext/>
        <w:keepLines/>
        <w:widowControl w:val="0"/>
        <w:bidi w:val="0"/>
        <w:spacing w:beforeLines="0" w:beforeAutospacing="0" w:afterLines="0" w:afterAutospacing="0" w:line="360" w:lineRule="auto"/>
        <w:ind w:left="280" w:leftChars="100" w:firstLine="0" w:firstLineChars="0"/>
        <w:jc w:val="both"/>
        <w:outlineLvl w:val="1"/>
        <w:rPr>
          <w:rFonts w:hint="eastAsia" w:ascii="Times New Roman" w:hAnsi="Times New Roman" w:eastAsia="黑体" w:cs="Times New Roman"/>
          <w:b/>
          <w:color w:val="auto"/>
          <w:kern w:val="2"/>
          <w:sz w:val="30"/>
          <w:szCs w:val="24"/>
          <w:lang w:val="en-US" w:eastAsia="zh-CN" w:bidi="ar-SA"/>
        </w:rPr>
      </w:pPr>
      <w:bookmarkStart w:id="531" w:name="_Toc11011"/>
      <w:bookmarkStart w:id="532" w:name="_Toc9883"/>
      <w:bookmarkStart w:id="533" w:name="_Toc22212"/>
      <w:bookmarkStart w:id="534" w:name="_Toc16771"/>
      <w:bookmarkStart w:id="535" w:name="_Toc29968"/>
      <w:bookmarkStart w:id="536" w:name="_Toc3626"/>
      <w:bookmarkStart w:id="537" w:name="_Toc2771"/>
      <w:r>
        <w:rPr>
          <w:rFonts w:hint="eastAsia" w:ascii="Times New Roman" w:hAnsi="Times New Roman" w:eastAsia="黑体" w:cs="Times New Roman"/>
          <w:b/>
          <w:color w:val="auto"/>
          <w:kern w:val="2"/>
          <w:sz w:val="30"/>
          <w:szCs w:val="24"/>
          <w:lang w:val="en-US" w:eastAsia="zh-CN" w:bidi="ar-SA"/>
        </w:rPr>
        <w:t>5.5 库区环境单元</w:t>
      </w:r>
      <w:bookmarkEnd w:id="531"/>
      <w:bookmarkEnd w:id="532"/>
      <w:bookmarkEnd w:id="533"/>
      <w:bookmarkEnd w:id="534"/>
      <w:bookmarkEnd w:id="535"/>
      <w:bookmarkEnd w:id="536"/>
      <w:bookmarkEnd w:id="537"/>
    </w:p>
    <w:p w14:paraId="1D7B2120">
      <w:pPr>
        <w:keepNext/>
        <w:keepLines/>
        <w:widowControl w:val="0"/>
        <w:bidi w:val="0"/>
        <w:spacing w:beforeLines="0" w:beforeAutospacing="0" w:afterLines="0" w:afterAutospacing="0" w:line="360" w:lineRule="auto"/>
        <w:ind w:left="560" w:leftChars="200" w:firstLine="0" w:firstLineChars="0"/>
        <w:jc w:val="both"/>
        <w:outlineLvl w:val="2"/>
        <w:rPr>
          <w:rFonts w:hint="eastAsia" w:ascii="Times New Roman" w:hAnsi="Times New Roman" w:eastAsia="黑体" w:cs="Times New Roman"/>
          <w:b/>
          <w:color w:val="auto"/>
          <w:kern w:val="2"/>
          <w:sz w:val="28"/>
          <w:szCs w:val="24"/>
          <w:lang w:val="en-US" w:eastAsia="zh-CN" w:bidi="ar-SA"/>
        </w:rPr>
      </w:pPr>
      <w:bookmarkStart w:id="538" w:name="_Toc18464"/>
      <w:bookmarkStart w:id="539" w:name="_Toc21200"/>
      <w:bookmarkStart w:id="540" w:name="_Toc29385"/>
      <w:bookmarkStart w:id="541" w:name="_Toc32638"/>
      <w:bookmarkStart w:id="542" w:name="_Toc12107"/>
      <w:bookmarkStart w:id="543" w:name="_Toc23871"/>
      <w:bookmarkStart w:id="544" w:name="_Toc32183"/>
      <w:r>
        <w:rPr>
          <w:rFonts w:hint="eastAsia" w:ascii="Times New Roman" w:hAnsi="Times New Roman" w:eastAsia="黑体" w:cs="Times New Roman"/>
          <w:b/>
          <w:color w:val="auto"/>
          <w:kern w:val="2"/>
          <w:sz w:val="28"/>
          <w:szCs w:val="24"/>
          <w:lang w:val="en-US" w:eastAsia="zh-CN" w:bidi="ar-SA"/>
        </w:rPr>
        <w:t>5.5.1 安全检查表评价</w:t>
      </w:r>
      <w:bookmarkEnd w:id="538"/>
      <w:bookmarkEnd w:id="539"/>
      <w:bookmarkEnd w:id="540"/>
      <w:bookmarkEnd w:id="541"/>
      <w:bookmarkEnd w:id="542"/>
      <w:bookmarkEnd w:id="543"/>
      <w:bookmarkEnd w:id="544"/>
    </w:p>
    <w:p w14:paraId="15D15A1C">
      <w:pPr>
        <w:bidi w:val="0"/>
        <w:rPr>
          <w:rFonts w:hint="default"/>
          <w:color w:val="auto"/>
          <w:lang w:val="en-US" w:eastAsia="zh-CN"/>
        </w:rPr>
      </w:pPr>
      <w:r>
        <w:rPr>
          <w:rFonts w:hint="default"/>
          <w:color w:val="auto"/>
          <w:lang w:val="en-US" w:eastAsia="zh-CN"/>
        </w:rPr>
        <w:t>运用《江西省尾矿库安全检查表》，对三号</w:t>
      </w:r>
      <w:r>
        <w:rPr>
          <w:rFonts w:hint="eastAsia"/>
          <w:color w:val="auto"/>
          <w:lang w:val="en-US" w:eastAsia="zh-CN"/>
        </w:rPr>
        <w:t>（</w:t>
      </w:r>
      <w:r>
        <w:rPr>
          <w:rFonts w:hint="default"/>
          <w:color w:val="auto"/>
          <w:lang w:val="en-US" w:eastAsia="zh-CN"/>
        </w:rPr>
        <w:t>氰化渣</w:t>
      </w:r>
      <w:r>
        <w:rPr>
          <w:rFonts w:hint="eastAsia"/>
          <w:color w:val="auto"/>
          <w:lang w:val="en-US" w:eastAsia="zh-CN"/>
        </w:rPr>
        <w:t>）</w:t>
      </w:r>
      <w:r>
        <w:rPr>
          <w:rFonts w:hint="default"/>
          <w:color w:val="auto"/>
          <w:lang w:val="en-US" w:eastAsia="zh-CN"/>
        </w:rPr>
        <w:t>尾矿库库区环境单元进行评判，具体见表5</w:t>
      </w:r>
      <w:r>
        <w:rPr>
          <w:rFonts w:hint="eastAsia"/>
          <w:color w:val="auto"/>
          <w:lang w:val="en-US" w:eastAsia="zh-CN"/>
        </w:rPr>
        <w:t>.5</w:t>
      </w:r>
      <w:r>
        <w:rPr>
          <w:rFonts w:hint="default"/>
          <w:color w:val="auto"/>
          <w:lang w:val="en-US" w:eastAsia="zh-CN"/>
        </w:rPr>
        <w:t>-1。</w:t>
      </w:r>
    </w:p>
    <w:p w14:paraId="7A8DE3B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lang w:eastAsia="zh-CN"/>
        </w:rPr>
      </w:pPr>
    </w:p>
    <w:p w14:paraId="578A906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lang w:eastAsia="zh-CN"/>
        </w:rPr>
      </w:pPr>
    </w:p>
    <w:p w14:paraId="60E3FE1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表</w:t>
      </w:r>
      <w:r>
        <w:rPr>
          <w:rFonts w:hint="default"/>
          <w:color w:val="auto"/>
          <w:lang w:val="en-US" w:eastAsia="zh-CN"/>
        </w:rPr>
        <w:t>5</w:t>
      </w:r>
      <w:r>
        <w:rPr>
          <w:rFonts w:hint="eastAsia"/>
          <w:color w:val="auto"/>
          <w:lang w:val="en-US" w:eastAsia="zh-CN"/>
        </w:rPr>
        <w:t>.5</w:t>
      </w:r>
      <w:r>
        <w:rPr>
          <w:rFonts w:hint="default"/>
          <w:color w:val="auto"/>
          <w:lang w:val="en-US" w:eastAsia="zh-CN"/>
        </w:rPr>
        <w:t>-1</w:t>
      </w:r>
      <w:r>
        <w:rPr>
          <w:rFonts w:hint="eastAsia"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lang w:eastAsia="zh-CN"/>
        </w:rPr>
        <w:t>库区环境单元安全检查表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833"/>
        <w:gridCol w:w="2458"/>
        <w:gridCol w:w="1177"/>
        <w:gridCol w:w="948"/>
        <w:gridCol w:w="1075"/>
        <w:gridCol w:w="902"/>
        <w:gridCol w:w="705"/>
        <w:gridCol w:w="994"/>
      </w:tblGrid>
      <w:tr w14:paraId="01AD8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9" w:hRule="atLeast"/>
          <w:jc w:val="center"/>
        </w:trPr>
        <w:tc>
          <w:tcPr>
            <w:tcW w:w="458" w:type="pct"/>
            <w:noWrap w:val="0"/>
            <w:vAlign w:val="center"/>
          </w:tcPr>
          <w:p w14:paraId="03C6A312">
            <w:pPr>
              <w:autoSpaceDE w:val="0"/>
              <w:autoSpaceDN w:val="0"/>
              <w:adjustRightInd w:val="0"/>
              <w:spacing w:line="220" w:lineRule="exact"/>
              <w:ind w:firstLine="0" w:firstLineChars="0"/>
              <w:jc w:val="center"/>
              <w:rPr>
                <w:rFonts w:ascii="Times New Roman" w:hAnsi="Times New Roman" w:eastAsia="宋体" w:cs="Times New Roman"/>
                <w:bCs/>
                <w:color w:val="auto"/>
                <w:kern w:val="0"/>
                <w:sz w:val="21"/>
                <w:szCs w:val="21"/>
                <w:lang w:val="zh-CN"/>
              </w:rPr>
            </w:pPr>
            <w:r>
              <w:rPr>
                <w:rFonts w:ascii="Times New Roman" w:hAnsi="Times New Roman" w:eastAsia="宋体" w:cs="Times New Roman"/>
                <w:bCs/>
                <w:color w:val="auto"/>
                <w:kern w:val="0"/>
                <w:sz w:val="21"/>
                <w:szCs w:val="21"/>
                <w:lang w:val="zh-CN"/>
              </w:rPr>
              <w:t>项目</w:t>
            </w:r>
          </w:p>
        </w:tc>
        <w:tc>
          <w:tcPr>
            <w:tcW w:w="1351" w:type="pct"/>
            <w:noWrap w:val="0"/>
            <w:vAlign w:val="center"/>
          </w:tcPr>
          <w:p w14:paraId="44BA9D5D">
            <w:pPr>
              <w:autoSpaceDE w:val="0"/>
              <w:autoSpaceDN w:val="0"/>
              <w:adjustRightInd w:val="0"/>
              <w:spacing w:line="220" w:lineRule="exact"/>
              <w:ind w:firstLine="0" w:firstLineChars="0"/>
              <w:jc w:val="center"/>
              <w:rPr>
                <w:rFonts w:ascii="Times New Roman" w:hAnsi="Times New Roman" w:eastAsia="宋体" w:cs="Times New Roman"/>
                <w:bCs/>
                <w:color w:val="auto"/>
                <w:kern w:val="0"/>
                <w:sz w:val="21"/>
                <w:szCs w:val="21"/>
                <w:lang w:val="zh-CN"/>
              </w:rPr>
            </w:pPr>
            <w:r>
              <w:rPr>
                <w:rFonts w:ascii="Times New Roman" w:hAnsi="Times New Roman" w:eastAsia="宋体" w:cs="Times New Roman"/>
                <w:bCs/>
                <w:color w:val="auto"/>
                <w:spacing w:val="4"/>
                <w:kern w:val="0"/>
                <w:sz w:val="21"/>
                <w:szCs w:val="21"/>
              </w:rPr>
              <w:t>检查内容</w:t>
            </w:r>
          </w:p>
        </w:tc>
        <w:tc>
          <w:tcPr>
            <w:tcW w:w="647" w:type="pct"/>
            <w:noWrap w:val="0"/>
            <w:vAlign w:val="center"/>
          </w:tcPr>
          <w:p w14:paraId="33E50ED5">
            <w:pPr>
              <w:autoSpaceDE w:val="0"/>
              <w:autoSpaceDN w:val="0"/>
              <w:adjustRightInd w:val="0"/>
              <w:spacing w:line="220" w:lineRule="exact"/>
              <w:ind w:firstLine="0" w:firstLineChars="0"/>
              <w:jc w:val="center"/>
              <w:rPr>
                <w:rFonts w:ascii="Times New Roman" w:hAnsi="Times New Roman" w:eastAsia="宋体" w:cs="Times New Roman"/>
                <w:bCs/>
                <w:color w:val="auto"/>
                <w:kern w:val="0"/>
                <w:sz w:val="21"/>
                <w:szCs w:val="21"/>
                <w:lang w:val="zh-CN"/>
              </w:rPr>
            </w:pPr>
            <w:r>
              <w:rPr>
                <w:rFonts w:ascii="Times New Roman" w:hAnsi="Times New Roman" w:eastAsia="宋体" w:cs="Times New Roman"/>
                <w:bCs/>
                <w:color w:val="auto"/>
                <w:sz w:val="21"/>
                <w:szCs w:val="21"/>
              </w:rPr>
              <w:t>检查依据</w:t>
            </w:r>
          </w:p>
        </w:tc>
        <w:tc>
          <w:tcPr>
            <w:tcW w:w="521" w:type="pct"/>
            <w:noWrap w:val="0"/>
            <w:vAlign w:val="center"/>
          </w:tcPr>
          <w:p w14:paraId="7AC47836">
            <w:pPr>
              <w:autoSpaceDE w:val="0"/>
              <w:autoSpaceDN w:val="0"/>
              <w:adjustRightInd w:val="0"/>
              <w:spacing w:line="220" w:lineRule="exact"/>
              <w:ind w:firstLine="0" w:firstLineChars="0"/>
              <w:jc w:val="center"/>
              <w:rPr>
                <w:rFonts w:ascii="Times New Roman" w:hAnsi="Times New Roman" w:eastAsia="宋体" w:cs="Times New Roman"/>
                <w:bCs/>
                <w:color w:val="auto"/>
                <w:kern w:val="0"/>
                <w:sz w:val="21"/>
                <w:szCs w:val="21"/>
                <w:lang w:val="zh-CN"/>
              </w:rPr>
            </w:pPr>
            <w:r>
              <w:rPr>
                <w:rFonts w:ascii="Times New Roman" w:hAnsi="Times New Roman" w:eastAsia="宋体" w:cs="Times New Roman"/>
                <w:bCs/>
                <w:color w:val="auto"/>
                <w:sz w:val="21"/>
                <w:szCs w:val="21"/>
              </w:rPr>
              <w:t>检查方法及地点</w:t>
            </w:r>
          </w:p>
        </w:tc>
        <w:tc>
          <w:tcPr>
            <w:tcW w:w="591" w:type="pct"/>
            <w:noWrap w:val="0"/>
            <w:vAlign w:val="center"/>
          </w:tcPr>
          <w:p w14:paraId="0D20CED9">
            <w:pPr>
              <w:autoSpaceDE w:val="0"/>
              <w:autoSpaceDN w:val="0"/>
              <w:adjustRightInd w:val="0"/>
              <w:spacing w:line="220" w:lineRule="exact"/>
              <w:ind w:firstLine="0" w:firstLineChars="0"/>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检查</w:t>
            </w:r>
          </w:p>
          <w:p w14:paraId="08F6DA9F">
            <w:pPr>
              <w:autoSpaceDE w:val="0"/>
              <w:autoSpaceDN w:val="0"/>
              <w:adjustRightInd w:val="0"/>
              <w:spacing w:line="220" w:lineRule="exact"/>
              <w:ind w:firstLine="0" w:firstLineChars="0"/>
              <w:jc w:val="center"/>
              <w:rPr>
                <w:rFonts w:ascii="Times New Roman" w:hAnsi="Times New Roman" w:eastAsia="宋体" w:cs="Times New Roman"/>
                <w:bCs/>
                <w:color w:val="auto"/>
                <w:kern w:val="0"/>
                <w:sz w:val="21"/>
                <w:szCs w:val="21"/>
                <w:lang w:val="zh-CN"/>
              </w:rPr>
            </w:pPr>
            <w:r>
              <w:rPr>
                <w:rFonts w:ascii="Times New Roman" w:hAnsi="Times New Roman" w:eastAsia="宋体" w:cs="Times New Roman"/>
                <w:bCs/>
                <w:color w:val="auto"/>
                <w:sz w:val="21"/>
                <w:szCs w:val="21"/>
              </w:rPr>
              <w:t>记录</w:t>
            </w:r>
          </w:p>
        </w:tc>
        <w:tc>
          <w:tcPr>
            <w:tcW w:w="496" w:type="pct"/>
            <w:noWrap w:val="0"/>
            <w:vAlign w:val="center"/>
          </w:tcPr>
          <w:p w14:paraId="79157FF0">
            <w:pPr>
              <w:autoSpaceDE w:val="0"/>
              <w:autoSpaceDN w:val="0"/>
              <w:adjustRightInd w:val="0"/>
              <w:spacing w:line="220" w:lineRule="exact"/>
              <w:ind w:firstLine="0" w:firstLineChars="0"/>
              <w:jc w:val="center"/>
              <w:rPr>
                <w:rFonts w:ascii="Times New Roman" w:hAnsi="Times New Roman" w:eastAsia="宋体" w:cs="Times New Roman"/>
                <w:bCs/>
                <w:color w:val="auto"/>
                <w:kern w:val="0"/>
                <w:sz w:val="21"/>
                <w:szCs w:val="21"/>
                <w:lang w:val="zh-CN"/>
              </w:rPr>
            </w:pPr>
            <w:r>
              <w:rPr>
                <w:rFonts w:ascii="Times New Roman" w:hAnsi="Times New Roman" w:eastAsia="宋体" w:cs="Times New Roman"/>
                <w:bCs/>
                <w:color w:val="auto"/>
                <w:kern w:val="0"/>
                <w:sz w:val="21"/>
                <w:szCs w:val="21"/>
                <w:lang w:val="zh-CN"/>
              </w:rPr>
              <w:t>标准</w:t>
            </w:r>
          </w:p>
          <w:p w14:paraId="7DDFF7DA">
            <w:pPr>
              <w:autoSpaceDE w:val="0"/>
              <w:autoSpaceDN w:val="0"/>
              <w:adjustRightInd w:val="0"/>
              <w:spacing w:line="220" w:lineRule="exact"/>
              <w:ind w:firstLine="0" w:firstLineChars="0"/>
              <w:jc w:val="center"/>
              <w:rPr>
                <w:rFonts w:ascii="Times New Roman" w:hAnsi="Times New Roman" w:eastAsia="宋体" w:cs="Times New Roman"/>
                <w:bCs/>
                <w:color w:val="auto"/>
                <w:kern w:val="0"/>
                <w:sz w:val="21"/>
                <w:szCs w:val="21"/>
                <w:lang w:val="zh-CN"/>
              </w:rPr>
            </w:pPr>
            <w:r>
              <w:rPr>
                <w:rFonts w:ascii="Times New Roman" w:hAnsi="Times New Roman" w:eastAsia="宋体" w:cs="Times New Roman"/>
                <w:bCs/>
                <w:color w:val="auto"/>
                <w:kern w:val="0"/>
                <w:sz w:val="21"/>
                <w:szCs w:val="21"/>
                <w:lang w:val="zh-CN"/>
              </w:rPr>
              <w:t>分值</w:t>
            </w:r>
          </w:p>
        </w:tc>
        <w:tc>
          <w:tcPr>
            <w:tcW w:w="387" w:type="pct"/>
            <w:noWrap w:val="0"/>
            <w:vAlign w:val="center"/>
          </w:tcPr>
          <w:p w14:paraId="13284907">
            <w:pPr>
              <w:autoSpaceDE w:val="0"/>
              <w:autoSpaceDN w:val="0"/>
              <w:adjustRightInd w:val="0"/>
              <w:spacing w:line="220" w:lineRule="exact"/>
              <w:ind w:firstLine="0" w:firstLineChars="0"/>
              <w:jc w:val="center"/>
              <w:rPr>
                <w:rFonts w:hint="eastAsia" w:ascii="Times New Roman" w:hAnsi="Times New Roman" w:eastAsia="宋体" w:cs="Times New Roman"/>
                <w:bCs/>
                <w:color w:val="auto"/>
                <w:kern w:val="0"/>
                <w:sz w:val="21"/>
                <w:szCs w:val="21"/>
                <w:lang w:val="zh-CN"/>
              </w:rPr>
            </w:pPr>
            <w:r>
              <w:rPr>
                <w:rFonts w:ascii="Times New Roman" w:hAnsi="Times New Roman" w:eastAsia="宋体" w:cs="Times New Roman"/>
                <w:bCs/>
                <w:color w:val="auto"/>
                <w:kern w:val="0"/>
                <w:sz w:val="21"/>
                <w:szCs w:val="21"/>
                <w:lang w:val="zh-CN"/>
              </w:rPr>
              <w:t>评分</w:t>
            </w:r>
          </w:p>
          <w:p w14:paraId="7B3DB353">
            <w:pPr>
              <w:autoSpaceDE w:val="0"/>
              <w:autoSpaceDN w:val="0"/>
              <w:adjustRightInd w:val="0"/>
              <w:spacing w:line="220" w:lineRule="exact"/>
              <w:ind w:firstLine="0" w:firstLineChars="0"/>
              <w:jc w:val="center"/>
              <w:rPr>
                <w:rFonts w:ascii="Times New Roman" w:hAnsi="Times New Roman" w:eastAsia="宋体" w:cs="Times New Roman"/>
                <w:bCs/>
                <w:color w:val="auto"/>
                <w:kern w:val="0"/>
                <w:sz w:val="21"/>
                <w:szCs w:val="21"/>
                <w:lang w:val="zh-CN"/>
              </w:rPr>
            </w:pPr>
            <w:r>
              <w:rPr>
                <w:rFonts w:ascii="Times New Roman" w:hAnsi="Times New Roman" w:eastAsia="宋体" w:cs="Times New Roman"/>
                <w:bCs/>
                <w:color w:val="auto"/>
                <w:kern w:val="0"/>
                <w:sz w:val="21"/>
                <w:szCs w:val="21"/>
                <w:lang w:val="zh-CN"/>
              </w:rPr>
              <w:t>标准</w:t>
            </w:r>
          </w:p>
        </w:tc>
        <w:tc>
          <w:tcPr>
            <w:tcW w:w="546" w:type="pct"/>
            <w:noWrap w:val="0"/>
            <w:vAlign w:val="center"/>
          </w:tcPr>
          <w:p w14:paraId="2E30035A">
            <w:pPr>
              <w:autoSpaceDE w:val="0"/>
              <w:autoSpaceDN w:val="0"/>
              <w:adjustRightInd w:val="0"/>
              <w:spacing w:line="220" w:lineRule="exact"/>
              <w:ind w:firstLine="0" w:firstLineChars="0"/>
              <w:jc w:val="center"/>
              <w:rPr>
                <w:rFonts w:ascii="Times New Roman" w:hAnsi="Times New Roman" w:eastAsia="宋体" w:cs="Times New Roman"/>
                <w:bCs/>
                <w:color w:val="auto"/>
                <w:kern w:val="0"/>
                <w:sz w:val="21"/>
                <w:szCs w:val="21"/>
                <w:lang w:val="zh-CN"/>
              </w:rPr>
            </w:pPr>
            <w:r>
              <w:rPr>
                <w:rFonts w:ascii="Times New Roman" w:hAnsi="Times New Roman" w:eastAsia="宋体" w:cs="Times New Roman"/>
                <w:bCs/>
                <w:color w:val="auto"/>
                <w:kern w:val="0"/>
                <w:sz w:val="21"/>
                <w:szCs w:val="21"/>
                <w:lang w:val="zh-CN"/>
              </w:rPr>
              <w:t>得分</w:t>
            </w:r>
          </w:p>
        </w:tc>
      </w:tr>
      <w:tr w14:paraId="7801A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52" w:hRule="atLeast"/>
          <w:jc w:val="center"/>
        </w:trPr>
        <w:tc>
          <w:tcPr>
            <w:tcW w:w="458" w:type="pct"/>
            <w:vMerge w:val="restart"/>
            <w:noWrap w:val="0"/>
            <w:vAlign w:val="center"/>
          </w:tcPr>
          <w:p w14:paraId="3BBF87BF">
            <w:pPr>
              <w:autoSpaceDE w:val="0"/>
              <w:autoSpaceDN w:val="0"/>
              <w:adjustRightInd w:val="0"/>
              <w:spacing w:line="240" w:lineRule="exact"/>
              <w:ind w:firstLine="0" w:firstLineChars="0"/>
              <w:jc w:val="center"/>
              <w:rPr>
                <w:rFonts w:ascii="Times New Roman" w:hAnsi="Times New Roman" w:eastAsia="宋体" w:cs="Times New Roman"/>
                <w:color w:val="auto"/>
                <w:kern w:val="0"/>
                <w:sz w:val="21"/>
                <w:szCs w:val="21"/>
                <w:lang w:val="zh-CN"/>
              </w:rPr>
            </w:pPr>
            <w:r>
              <w:rPr>
                <w:rFonts w:ascii="Times New Roman" w:hAnsi="Times New Roman" w:eastAsia="宋体" w:cs="Times New Roman"/>
                <w:color w:val="auto"/>
                <w:kern w:val="0"/>
                <w:sz w:val="21"/>
                <w:szCs w:val="21"/>
                <w:lang w:val="zh-CN"/>
              </w:rPr>
              <w:t>库区</w:t>
            </w:r>
          </w:p>
          <w:p w14:paraId="3780381D">
            <w:pPr>
              <w:autoSpaceDE w:val="0"/>
              <w:autoSpaceDN w:val="0"/>
              <w:adjustRightInd w:val="0"/>
              <w:spacing w:line="240" w:lineRule="exact"/>
              <w:ind w:firstLine="0" w:firstLineChars="0"/>
              <w:jc w:val="center"/>
              <w:rPr>
                <w:rFonts w:ascii="Times New Roman" w:hAnsi="Times New Roman" w:eastAsia="宋体" w:cs="Times New Roman"/>
                <w:color w:val="auto"/>
                <w:kern w:val="0"/>
                <w:sz w:val="21"/>
                <w:szCs w:val="21"/>
                <w:lang w:val="zh-CN"/>
              </w:rPr>
            </w:pPr>
            <w:r>
              <w:rPr>
                <w:rFonts w:ascii="Times New Roman" w:hAnsi="Times New Roman" w:eastAsia="宋体" w:cs="Times New Roman"/>
                <w:color w:val="auto"/>
                <w:kern w:val="0"/>
                <w:sz w:val="21"/>
                <w:szCs w:val="21"/>
                <w:lang w:val="zh-CN"/>
              </w:rPr>
              <w:t>安全</w:t>
            </w:r>
          </w:p>
        </w:tc>
        <w:tc>
          <w:tcPr>
            <w:tcW w:w="1351" w:type="pct"/>
            <w:noWrap w:val="0"/>
            <w:vAlign w:val="top"/>
          </w:tcPr>
          <w:p w14:paraId="5392AFA1">
            <w:pPr>
              <w:autoSpaceDE w:val="0"/>
              <w:autoSpaceDN w:val="0"/>
              <w:adjustRightInd w:val="0"/>
              <w:spacing w:line="240" w:lineRule="exact"/>
              <w:ind w:firstLine="0" w:firstLineChars="0"/>
              <w:rPr>
                <w:rFonts w:ascii="Times New Roman" w:hAnsi="Times New Roman" w:eastAsia="宋体" w:cs="Times New Roman"/>
                <w:color w:val="auto"/>
                <w:kern w:val="0"/>
                <w:sz w:val="21"/>
                <w:szCs w:val="21"/>
                <w:lang w:val="zh-CN"/>
              </w:rPr>
            </w:pPr>
            <w:r>
              <w:rPr>
                <w:rFonts w:ascii="Times New Roman" w:hAnsi="Times New Roman" w:eastAsia="宋体" w:cs="Times New Roman"/>
                <w:color w:val="auto"/>
                <w:kern w:val="0"/>
                <w:sz w:val="21"/>
                <w:szCs w:val="21"/>
                <w:lang w:val="zh-CN"/>
              </w:rPr>
              <w:t>1.1周边山体失稳，随时有可能滑动、坍塌影响尾矿库安全。</w:t>
            </w:r>
          </w:p>
        </w:tc>
        <w:tc>
          <w:tcPr>
            <w:tcW w:w="647" w:type="pct"/>
            <w:noWrap w:val="0"/>
            <w:vAlign w:val="center"/>
          </w:tcPr>
          <w:p w14:paraId="14D3DDD7">
            <w:pPr>
              <w:autoSpaceDE w:val="0"/>
              <w:autoSpaceDN w:val="0"/>
              <w:adjustRightInd w:val="0"/>
              <w:spacing w:line="240" w:lineRule="exact"/>
              <w:ind w:firstLine="0" w:firstLineChars="0"/>
              <w:jc w:val="center"/>
              <w:rPr>
                <w:rFonts w:ascii="Times New Roman" w:hAnsi="Times New Roman" w:eastAsia="宋体" w:cs="Times New Roman"/>
                <w:color w:val="auto"/>
                <w:kern w:val="0"/>
                <w:sz w:val="21"/>
                <w:szCs w:val="21"/>
                <w:lang w:val="zh-CN"/>
              </w:rPr>
            </w:pPr>
            <w:r>
              <w:rPr>
                <w:rFonts w:hint="eastAsia" w:ascii="Times New Roman" w:hAnsi="Times New Roman" w:eastAsia="宋体" w:cs="Times New Roman"/>
                <w:color w:val="auto"/>
                <w:sz w:val="21"/>
                <w:szCs w:val="21"/>
              </w:rPr>
              <w:t>《尾矿库安全规程》第9.5.2条</w:t>
            </w:r>
          </w:p>
        </w:tc>
        <w:tc>
          <w:tcPr>
            <w:tcW w:w="521" w:type="pct"/>
            <w:vMerge w:val="restart"/>
            <w:noWrap w:val="0"/>
            <w:vAlign w:val="center"/>
          </w:tcPr>
          <w:p w14:paraId="6CD82220">
            <w:pPr>
              <w:autoSpaceDE w:val="0"/>
              <w:autoSpaceDN w:val="0"/>
              <w:adjustRightInd w:val="0"/>
              <w:spacing w:line="240" w:lineRule="exact"/>
              <w:ind w:firstLine="0" w:firstLineChars="0"/>
              <w:jc w:val="center"/>
              <w:rPr>
                <w:rFonts w:ascii="Times New Roman" w:hAnsi="Times New Roman" w:eastAsia="宋体" w:cs="Times New Roman"/>
                <w:color w:val="auto"/>
                <w:kern w:val="0"/>
                <w:sz w:val="21"/>
                <w:szCs w:val="21"/>
                <w:lang w:val="zh-CN"/>
              </w:rPr>
            </w:pPr>
            <w:r>
              <w:rPr>
                <w:rFonts w:ascii="Times New Roman" w:hAnsi="Times New Roman" w:eastAsia="宋体" w:cs="Times New Roman"/>
                <w:color w:val="auto"/>
                <w:kern w:val="0"/>
                <w:sz w:val="21"/>
                <w:szCs w:val="21"/>
                <w:lang w:val="zh-CN"/>
              </w:rPr>
              <w:t>查现场</w:t>
            </w:r>
          </w:p>
        </w:tc>
        <w:tc>
          <w:tcPr>
            <w:tcW w:w="591" w:type="pct"/>
            <w:noWrap w:val="0"/>
            <w:vAlign w:val="center"/>
          </w:tcPr>
          <w:p w14:paraId="218609DA">
            <w:pPr>
              <w:autoSpaceDE w:val="0"/>
              <w:autoSpaceDN w:val="0"/>
              <w:adjustRightInd w:val="0"/>
              <w:spacing w:line="240" w:lineRule="exact"/>
              <w:ind w:firstLine="0" w:firstLineChars="0"/>
              <w:jc w:val="center"/>
              <w:rPr>
                <w:rFonts w:ascii="Times New Roman" w:hAnsi="Times New Roman" w:eastAsia="宋体" w:cs="Times New Roman"/>
                <w:color w:val="auto"/>
                <w:kern w:val="0"/>
                <w:sz w:val="21"/>
                <w:szCs w:val="21"/>
                <w:lang w:val="zh-CN"/>
              </w:rPr>
            </w:pPr>
            <w:r>
              <w:rPr>
                <w:rFonts w:ascii="Times New Roman" w:hAnsi="Times New Roman" w:eastAsia="宋体" w:cs="Times New Roman"/>
                <w:color w:val="auto"/>
                <w:kern w:val="0"/>
                <w:sz w:val="21"/>
                <w:szCs w:val="21"/>
                <w:lang w:val="zh-CN"/>
              </w:rPr>
              <w:t>周边山体较稳定</w:t>
            </w:r>
          </w:p>
        </w:tc>
        <w:tc>
          <w:tcPr>
            <w:tcW w:w="496" w:type="pct"/>
            <w:noWrap w:val="0"/>
            <w:vAlign w:val="center"/>
          </w:tcPr>
          <w:p w14:paraId="692E527F">
            <w:pPr>
              <w:autoSpaceDE w:val="0"/>
              <w:autoSpaceDN w:val="0"/>
              <w:adjustRightInd w:val="0"/>
              <w:spacing w:line="240" w:lineRule="exact"/>
              <w:ind w:firstLine="0" w:firstLineChars="0"/>
              <w:jc w:val="center"/>
              <w:rPr>
                <w:rFonts w:ascii="Times New Roman" w:hAnsi="Times New Roman" w:eastAsia="宋体" w:cs="Times New Roman"/>
                <w:color w:val="auto"/>
                <w:kern w:val="0"/>
                <w:sz w:val="21"/>
                <w:szCs w:val="21"/>
                <w:lang w:val="zh-CN"/>
              </w:rPr>
            </w:pPr>
            <w:r>
              <w:rPr>
                <w:rFonts w:ascii="Times New Roman" w:hAnsi="Times New Roman" w:eastAsia="宋体" w:cs="Times New Roman"/>
                <w:color w:val="auto"/>
                <w:kern w:val="0"/>
                <w:sz w:val="21"/>
                <w:szCs w:val="21"/>
                <w:lang w:val="zh-CN"/>
              </w:rPr>
              <w:t>病库</w:t>
            </w:r>
          </w:p>
        </w:tc>
        <w:tc>
          <w:tcPr>
            <w:tcW w:w="387" w:type="pct"/>
            <w:noWrap w:val="0"/>
            <w:vAlign w:val="center"/>
          </w:tcPr>
          <w:p w14:paraId="4F5F84F9">
            <w:pPr>
              <w:autoSpaceDE w:val="0"/>
              <w:autoSpaceDN w:val="0"/>
              <w:adjustRightInd w:val="0"/>
              <w:spacing w:line="240" w:lineRule="exact"/>
              <w:ind w:firstLine="0" w:firstLineChars="0"/>
              <w:jc w:val="center"/>
              <w:rPr>
                <w:rFonts w:ascii="Times New Roman" w:hAnsi="Times New Roman" w:eastAsia="宋体" w:cs="Times New Roman"/>
                <w:color w:val="auto"/>
                <w:kern w:val="0"/>
                <w:sz w:val="21"/>
                <w:szCs w:val="21"/>
                <w:lang w:val="zh-CN"/>
              </w:rPr>
            </w:pPr>
          </w:p>
        </w:tc>
        <w:tc>
          <w:tcPr>
            <w:tcW w:w="546" w:type="pct"/>
            <w:noWrap w:val="0"/>
            <w:vAlign w:val="center"/>
          </w:tcPr>
          <w:p w14:paraId="665BCEFB">
            <w:pPr>
              <w:autoSpaceDE w:val="0"/>
              <w:autoSpaceDN w:val="0"/>
              <w:adjustRightInd w:val="0"/>
              <w:spacing w:line="240" w:lineRule="exact"/>
              <w:ind w:firstLine="0" w:firstLineChars="0"/>
              <w:jc w:val="center"/>
              <w:rPr>
                <w:rFonts w:ascii="Times New Roman" w:hAnsi="Times New Roman" w:eastAsia="宋体" w:cs="Times New Roman"/>
                <w:color w:val="auto"/>
                <w:kern w:val="0"/>
                <w:sz w:val="21"/>
                <w:szCs w:val="21"/>
                <w:lang w:val="zh-CN"/>
              </w:rPr>
            </w:pPr>
            <w:r>
              <w:rPr>
                <w:rFonts w:ascii="Times New Roman" w:hAnsi="Times New Roman" w:eastAsia="宋体" w:cs="Times New Roman"/>
                <w:color w:val="auto"/>
                <w:kern w:val="0"/>
                <w:sz w:val="21"/>
                <w:szCs w:val="21"/>
                <w:lang w:val="zh-CN"/>
              </w:rPr>
              <w:t>满足</w:t>
            </w:r>
          </w:p>
          <w:p w14:paraId="55B317E2">
            <w:pPr>
              <w:autoSpaceDE w:val="0"/>
              <w:autoSpaceDN w:val="0"/>
              <w:adjustRightInd w:val="0"/>
              <w:spacing w:line="240" w:lineRule="exact"/>
              <w:ind w:firstLine="0" w:firstLineChars="0"/>
              <w:jc w:val="center"/>
              <w:rPr>
                <w:rFonts w:ascii="Times New Roman" w:hAnsi="Times New Roman" w:eastAsia="宋体" w:cs="Times New Roman"/>
                <w:color w:val="auto"/>
                <w:kern w:val="0"/>
                <w:sz w:val="21"/>
                <w:szCs w:val="21"/>
                <w:lang w:val="zh-CN"/>
              </w:rPr>
            </w:pPr>
            <w:r>
              <w:rPr>
                <w:rFonts w:ascii="Times New Roman" w:hAnsi="Times New Roman" w:eastAsia="宋体" w:cs="Times New Roman"/>
                <w:color w:val="auto"/>
                <w:kern w:val="0"/>
                <w:sz w:val="21"/>
                <w:szCs w:val="21"/>
                <w:lang w:val="zh-CN"/>
              </w:rPr>
              <w:t>要求</w:t>
            </w:r>
          </w:p>
        </w:tc>
      </w:tr>
      <w:tr w14:paraId="71640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96" w:hRule="atLeast"/>
          <w:jc w:val="center"/>
        </w:trPr>
        <w:tc>
          <w:tcPr>
            <w:tcW w:w="458" w:type="pct"/>
            <w:vMerge w:val="continue"/>
            <w:noWrap w:val="0"/>
            <w:vAlign w:val="center"/>
          </w:tcPr>
          <w:p w14:paraId="3663A18A">
            <w:pPr>
              <w:autoSpaceDE w:val="0"/>
              <w:autoSpaceDN w:val="0"/>
              <w:adjustRightInd w:val="0"/>
              <w:spacing w:line="240" w:lineRule="exact"/>
              <w:ind w:firstLine="0" w:firstLineChars="0"/>
              <w:jc w:val="center"/>
              <w:rPr>
                <w:rFonts w:ascii="Times New Roman" w:hAnsi="Times New Roman" w:eastAsia="宋体" w:cs="Times New Roman"/>
                <w:color w:val="auto"/>
                <w:kern w:val="0"/>
                <w:sz w:val="21"/>
                <w:szCs w:val="21"/>
                <w:lang w:val="zh-CN"/>
              </w:rPr>
            </w:pPr>
          </w:p>
        </w:tc>
        <w:tc>
          <w:tcPr>
            <w:tcW w:w="1351" w:type="pct"/>
            <w:noWrap w:val="0"/>
            <w:vAlign w:val="top"/>
          </w:tcPr>
          <w:p w14:paraId="3CEEAC14">
            <w:pPr>
              <w:autoSpaceDE w:val="0"/>
              <w:autoSpaceDN w:val="0"/>
              <w:adjustRightInd w:val="0"/>
              <w:spacing w:line="240" w:lineRule="exact"/>
              <w:ind w:firstLine="0" w:firstLineChars="0"/>
              <w:rPr>
                <w:rFonts w:ascii="Times New Roman" w:hAnsi="Times New Roman" w:eastAsia="宋体" w:cs="Times New Roman"/>
                <w:color w:val="auto"/>
                <w:kern w:val="0"/>
                <w:sz w:val="21"/>
                <w:szCs w:val="21"/>
                <w:lang w:val="zh-CN"/>
              </w:rPr>
            </w:pPr>
            <w:r>
              <w:rPr>
                <w:rFonts w:ascii="Times New Roman" w:hAnsi="Times New Roman" w:eastAsia="宋体" w:cs="Times New Roman"/>
                <w:color w:val="auto"/>
                <w:kern w:val="0"/>
                <w:sz w:val="21"/>
                <w:szCs w:val="21"/>
                <w:lang w:val="zh-CN"/>
              </w:rPr>
              <w:t>1.2库区是否存在违章爆破、采石和建筑；违章进行尾矿回采、取水；外来尾矿、废石、废水和废弃物排入、放牧和开垦和炸鱼等危害尾矿库安全的活动。</w:t>
            </w:r>
          </w:p>
        </w:tc>
        <w:tc>
          <w:tcPr>
            <w:tcW w:w="647" w:type="pct"/>
            <w:noWrap w:val="0"/>
            <w:vAlign w:val="center"/>
          </w:tcPr>
          <w:p w14:paraId="6F260A04">
            <w:pPr>
              <w:autoSpaceDE w:val="0"/>
              <w:autoSpaceDN w:val="0"/>
              <w:adjustRightInd w:val="0"/>
              <w:spacing w:line="240" w:lineRule="exact"/>
              <w:ind w:firstLine="0" w:firstLineChars="0"/>
              <w:jc w:val="center"/>
              <w:rPr>
                <w:rFonts w:ascii="Times New Roman" w:hAnsi="Times New Roman" w:eastAsia="宋体" w:cs="Times New Roman"/>
                <w:color w:val="auto"/>
                <w:kern w:val="0"/>
                <w:sz w:val="21"/>
                <w:szCs w:val="21"/>
                <w:lang w:val="zh-CN"/>
              </w:rPr>
            </w:pPr>
            <w:r>
              <w:rPr>
                <w:rFonts w:hint="eastAsia" w:ascii="Times New Roman" w:hAnsi="Times New Roman" w:eastAsia="宋体" w:cs="Times New Roman"/>
                <w:color w:val="auto"/>
                <w:sz w:val="21"/>
                <w:szCs w:val="21"/>
              </w:rPr>
              <w:t>《尾矿库安全规程》第9.5.3条</w:t>
            </w:r>
          </w:p>
        </w:tc>
        <w:tc>
          <w:tcPr>
            <w:tcW w:w="521" w:type="pct"/>
            <w:vMerge w:val="continue"/>
            <w:noWrap w:val="0"/>
            <w:vAlign w:val="center"/>
          </w:tcPr>
          <w:p w14:paraId="10552035">
            <w:pPr>
              <w:autoSpaceDE w:val="0"/>
              <w:autoSpaceDN w:val="0"/>
              <w:adjustRightInd w:val="0"/>
              <w:spacing w:line="240" w:lineRule="exact"/>
              <w:ind w:firstLine="0" w:firstLineChars="0"/>
              <w:jc w:val="center"/>
              <w:rPr>
                <w:rFonts w:ascii="Times New Roman" w:hAnsi="Times New Roman" w:eastAsia="宋体" w:cs="Times New Roman"/>
                <w:color w:val="auto"/>
                <w:kern w:val="0"/>
                <w:sz w:val="21"/>
                <w:szCs w:val="21"/>
                <w:lang w:val="zh-CN"/>
              </w:rPr>
            </w:pPr>
          </w:p>
        </w:tc>
        <w:tc>
          <w:tcPr>
            <w:tcW w:w="591" w:type="pct"/>
            <w:noWrap w:val="0"/>
            <w:vAlign w:val="center"/>
          </w:tcPr>
          <w:p w14:paraId="71A8D5F6">
            <w:pPr>
              <w:autoSpaceDE w:val="0"/>
              <w:autoSpaceDN w:val="0"/>
              <w:adjustRightInd w:val="0"/>
              <w:spacing w:line="240" w:lineRule="exact"/>
              <w:ind w:firstLine="0" w:firstLineChars="0"/>
              <w:jc w:val="center"/>
              <w:rPr>
                <w:rFonts w:hint="eastAsia" w:ascii="Times New Roman" w:hAnsi="Times New Roman" w:eastAsia="宋体" w:cs="Times New Roman"/>
                <w:color w:val="auto"/>
                <w:kern w:val="0"/>
                <w:sz w:val="21"/>
                <w:szCs w:val="21"/>
                <w:lang w:val="zh-CN"/>
              </w:rPr>
            </w:pPr>
            <w:r>
              <w:rPr>
                <w:rFonts w:hint="eastAsia" w:ascii="Times New Roman" w:hAnsi="Times New Roman" w:eastAsia="宋体" w:cs="Times New Roman"/>
                <w:color w:val="auto"/>
                <w:kern w:val="0"/>
                <w:sz w:val="21"/>
                <w:szCs w:val="21"/>
                <w:lang w:val="zh-CN"/>
              </w:rPr>
              <w:t>符合</w:t>
            </w:r>
          </w:p>
        </w:tc>
        <w:tc>
          <w:tcPr>
            <w:tcW w:w="496" w:type="pct"/>
            <w:noWrap w:val="0"/>
            <w:vAlign w:val="center"/>
          </w:tcPr>
          <w:p w14:paraId="5A7139E2">
            <w:pPr>
              <w:autoSpaceDE w:val="0"/>
              <w:autoSpaceDN w:val="0"/>
              <w:adjustRightInd w:val="0"/>
              <w:spacing w:line="240" w:lineRule="exact"/>
              <w:ind w:firstLine="0" w:firstLineChars="0"/>
              <w:jc w:val="center"/>
              <w:rPr>
                <w:rFonts w:ascii="Times New Roman" w:hAnsi="Times New Roman" w:eastAsia="宋体" w:cs="Times New Roman"/>
                <w:color w:val="auto"/>
                <w:kern w:val="0"/>
                <w:sz w:val="21"/>
                <w:szCs w:val="21"/>
                <w:lang w:val="zh-CN"/>
              </w:rPr>
            </w:pPr>
            <w:r>
              <w:rPr>
                <w:rFonts w:ascii="Times New Roman" w:hAnsi="Times New Roman" w:eastAsia="宋体" w:cs="Times New Roman"/>
                <w:color w:val="auto"/>
                <w:kern w:val="0"/>
                <w:sz w:val="21"/>
                <w:szCs w:val="21"/>
                <w:lang w:val="zh-CN"/>
              </w:rPr>
              <w:t>7</w:t>
            </w:r>
          </w:p>
        </w:tc>
        <w:tc>
          <w:tcPr>
            <w:tcW w:w="387" w:type="pct"/>
            <w:noWrap w:val="0"/>
            <w:vAlign w:val="center"/>
          </w:tcPr>
          <w:p w14:paraId="43E93505">
            <w:pPr>
              <w:autoSpaceDE w:val="0"/>
              <w:autoSpaceDN w:val="0"/>
              <w:adjustRightInd w:val="0"/>
              <w:spacing w:line="240" w:lineRule="exact"/>
              <w:ind w:firstLine="0" w:firstLineChars="0"/>
              <w:jc w:val="center"/>
              <w:rPr>
                <w:rFonts w:ascii="Times New Roman" w:hAnsi="Times New Roman" w:eastAsia="宋体" w:cs="Times New Roman"/>
                <w:color w:val="auto"/>
                <w:kern w:val="0"/>
                <w:sz w:val="21"/>
                <w:szCs w:val="21"/>
                <w:lang w:val="zh-CN"/>
              </w:rPr>
            </w:pPr>
            <w:r>
              <w:rPr>
                <w:rFonts w:ascii="Times New Roman" w:hAnsi="Times New Roman" w:eastAsia="宋体" w:cs="Times New Roman"/>
                <w:color w:val="auto"/>
                <w:kern w:val="0"/>
                <w:sz w:val="21"/>
                <w:szCs w:val="21"/>
                <w:lang w:val="zh-CN"/>
              </w:rPr>
              <w:t>不符合不得分</w:t>
            </w:r>
          </w:p>
        </w:tc>
        <w:tc>
          <w:tcPr>
            <w:tcW w:w="546" w:type="pct"/>
            <w:noWrap w:val="0"/>
            <w:vAlign w:val="center"/>
          </w:tcPr>
          <w:p w14:paraId="68FA4736">
            <w:pPr>
              <w:autoSpaceDE w:val="0"/>
              <w:autoSpaceDN w:val="0"/>
              <w:adjustRightInd w:val="0"/>
              <w:spacing w:line="240" w:lineRule="exact"/>
              <w:ind w:firstLine="0" w:firstLineChars="0"/>
              <w:jc w:val="center"/>
              <w:rPr>
                <w:rFonts w:hint="eastAsia" w:ascii="Times New Roman" w:hAnsi="Times New Roman" w:eastAsia="宋体" w:cs="Times New Roman"/>
                <w:color w:val="auto"/>
                <w:kern w:val="0"/>
                <w:sz w:val="21"/>
                <w:szCs w:val="21"/>
                <w:lang w:val="zh-CN" w:eastAsia="zh-CN"/>
              </w:rPr>
            </w:pPr>
            <w:r>
              <w:rPr>
                <w:rFonts w:hint="eastAsia" w:cs="Times New Roman"/>
                <w:color w:val="auto"/>
                <w:kern w:val="0"/>
                <w:sz w:val="21"/>
                <w:szCs w:val="21"/>
                <w:lang w:val="en-US" w:eastAsia="zh-CN"/>
              </w:rPr>
              <w:t>7</w:t>
            </w:r>
          </w:p>
        </w:tc>
      </w:tr>
      <w:tr w14:paraId="22AA1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4" w:hRule="atLeast"/>
          <w:jc w:val="center"/>
        </w:trPr>
        <w:tc>
          <w:tcPr>
            <w:tcW w:w="458" w:type="pct"/>
            <w:noWrap w:val="0"/>
            <w:vAlign w:val="center"/>
          </w:tcPr>
          <w:p w14:paraId="4A325BED">
            <w:pPr>
              <w:autoSpaceDE w:val="0"/>
              <w:autoSpaceDN w:val="0"/>
              <w:adjustRightInd w:val="0"/>
              <w:spacing w:line="240" w:lineRule="exact"/>
              <w:ind w:firstLine="0" w:firstLineChars="0"/>
              <w:jc w:val="center"/>
              <w:rPr>
                <w:rFonts w:ascii="Times New Roman" w:hAnsi="Times New Roman" w:eastAsia="宋体" w:cs="Times New Roman"/>
                <w:color w:val="auto"/>
                <w:kern w:val="0"/>
                <w:sz w:val="21"/>
                <w:szCs w:val="21"/>
                <w:lang w:val="zh-CN"/>
              </w:rPr>
            </w:pPr>
            <w:r>
              <w:rPr>
                <w:rFonts w:ascii="Times New Roman" w:hAnsi="Times New Roman" w:eastAsia="宋体" w:cs="Times New Roman"/>
                <w:color w:val="auto"/>
                <w:kern w:val="0"/>
                <w:sz w:val="21"/>
                <w:szCs w:val="21"/>
                <w:lang w:val="zh-CN"/>
              </w:rPr>
              <w:t>小计</w:t>
            </w:r>
          </w:p>
        </w:tc>
        <w:tc>
          <w:tcPr>
            <w:tcW w:w="1351" w:type="pct"/>
            <w:noWrap w:val="0"/>
            <w:vAlign w:val="top"/>
          </w:tcPr>
          <w:p w14:paraId="4E3A4DBC">
            <w:pPr>
              <w:autoSpaceDE w:val="0"/>
              <w:autoSpaceDN w:val="0"/>
              <w:adjustRightInd w:val="0"/>
              <w:spacing w:line="240" w:lineRule="exact"/>
              <w:ind w:firstLine="0" w:firstLineChars="0"/>
              <w:rPr>
                <w:rFonts w:ascii="Times New Roman" w:hAnsi="Times New Roman" w:eastAsia="宋体" w:cs="Times New Roman"/>
                <w:color w:val="auto"/>
                <w:kern w:val="0"/>
                <w:sz w:val="21"/>
                <w:szCs w:val="21"/>
                <w:lang w:val="zh-CN"/>
              </w:rPr>
            </w:pPr>
          </w:p>
        </w:tc>
        <w:tc>
          <w:tcPr>
            <w:tcW w:w="647" w:type="pct"/>
            <w:noWrap w:val="0"/>
            <w:vAlign w:val="center"/>
          </w:tcPr>
          <w:p w14:paraId="10448163">
            <w:pPr>
              <w:autoSpaceDE w:val="0"/>
              <w:autoSpaceDN w:val="0"/>
              <w:adjustRightInd w:val="0"/>
              <w:spacing w:line="240" w:lineRule="exact"/>
              <w:ind w:firstLine="0" w:firstLineChars="0"/>
              <w:jc w:val="center"/>
              <w:rPr>
                <w:rFonts w:ascii="Times New Roman" w:hAnsi="Times New Roman" w:eastAsia="宋体" w:cs="Times New Roman"/>
                <w:color w:val="auto"/>
                <w:sz w:val="21"/>
                <w:szCs w:val="21"/>
              </w:rPr>
            </w:pPr>
          </w:p>
        </w:tc>
        <w:tc>
          <w:tcPr>
            <w:tcW w:w="521" w:type="pct"/>
            <w:noWrap w:val="0"/>
            <w:vAlign w:val="center"/>
          </w:tcPr>
          <w:p w14:paraId="19A2C2A0">
            <w:pPr>
              <w:autoSpaceDE w:val="0"/>
              <w:autoSpaceDN w:val="0"/>
              <w:adjustRightInd w:val="0"/>
              <w:spacing w:line="240" w:lineRule="exact"/>
              <w:ind w:firstLine="0" w:firstLineChars="0"/>
              <w:jc w:val="center"/>
              <w:rPr>
                <w:rFonts w:ascii="Times New Roman" w:hAnsi="Times New Roman" w:eastAsia="宋体" w:cs="Times New Roman"/>
                <w:color w:val="auto"/>
                <w:kern w:val="0"/>
                <w:sz w:val="21"/>
                <w:szCs w:val="21"/>
                <w:lang w:val="zh-CN"/>
              </w:rPr>
            </w:pPr>
          </w:p>
        </w:tc>
        <w:tc>
          <w:tcPr>
            <w:tcW w:w="591" w:type="pct"/>
            <w:noWrap w:val="0"/>
            <w:vAlign w:val="center"/>
          </w:tcPr>
          <w:p w14:paraId="35381F54">
            <w:pPr>
              <w:autoSpaceDE w:val="0"/>
              <w:autoSpaceDN w:val="0"/>
              <w:adjustRightInd w:val="0"/>
              <w:spacing w:line="240" w:lineRule="exact"/>
              <w:ind w:firstLine="0" w:firstLineChars="0"/>
              <w:jc w:val="center"/>
              <w:rPr>
                <w:rFonts w:ascii="Times New Roman" w:hAnsi="Times New Roman" w:eastAsia="宋体" w:cs="Times New Roman"/>
                <w:color w:val="auto"/>
                <w:kern w:val="0"/>
                <w:sz w:val="21"/>
                <w:szCs w:val="21"/>
                <w:lang w:val="zh-CN"/>
              </w:rPr>
            </w:pPr>
          </w:p>
        </w:tc>
        <w:tc>
          <w:tcPr>
            <w:tcW w:w="496" w:type="pct"/>
            <w:noWrap w:val="0"/>
            <w:vAlign w:val="center"/>
          </w:tcPr>
          <w:p w14:paraId="6FB5098D">
            <w:pPr>
              <w:autoSpaceDE w:val="0"/>
              <w:autoSpaceDN w:val="0"/>
              <w:adjustRightInd w:val="0"/>
              <w:spacing w:line="240" w:lineRule="exact"/>
              <w:ind w:firstLine="0" w:firstLineChars="0"/>
              <w:jc w:val="center"/>
              <w:rPr>
                <w:rFonts w:ascii="Times New Roman" w:hAnsi="Times New Roman" w:eastAsia="宋体" w:cs="Times New Roman"/>
                <w:color w:val="auto"/>
                <w:kern w:val="0"/>
                <w:sz w:val="21"/>
                <w:szCs w:val="21"/>
                <w:lang w:val="zh-CN"/>
              </w:rPr>
            </w:pPr>
            <w:r>
              <w:rPr>
                <w:rFonts w:ascii="Times New Roman" w:hAnsi="Times New Roman" w:eastAsia="宋体" w:cs="Times New Roman"/>
                <w:color w:val="auto"/>
                <w:kern w:val="0"/>
                <w:sz w:val="21"/>
                <w:szCs w:val="21"/>
                <w:lang w:val="zh-CN"/>
              </w:rPr>
              <w:t>7</w:t>
            </w:r>
          </w:p>
        </w:tc>
        <w:tc>
          <w:tcPr>
            <w:tcW w:w="387" w:type="pct"/>
            <w:noWrap w:val="0"/>
            <w:vAlign w:val="center"/>
          </w:tcPr>
          <w:p w14:paraId="79948EFC">
            <w:pPr>
              <w:autoSpaceDE w:val="0"/>
              <w:autoSpaceDN w:val="0"/>
              <w:adjustRightInd w:val="0"/>
              <w:spacing w:line="240" w:lineRule="exact"/>
              <w:ind w:firstLine="0" w:firstLineChars="0"/>
              <w:jc w:val="center"/>
              <w:rPr>
                <w:rFonts w:ascii="Times New Roman" w:hAnsi="Times New Roman" w:eastAsia="宋体" w:cs="Times New Roman"/>
                <w:color w:val="auto"/>
                <w:kern w:val="0"/>
                <w:sz w:val="21"/>
                <w:szCs w:val="21"/>
                <w:lang w:val="zh-CN"/>
              </w:rPr>
            </w:pPr>
          </w:p>
        </w:tc>
        <w:tc>
          <w:tcPr>
            <w:tcW w:w="546" w:type="pct"/>
            <w:noWrap w:val="0"/>
            <w:vAlign w:val="center"/>
          </w:tcPr>
          <w:p w14:paraId="17296ABC">
            <w:pPr>
              <w:autoSpaceDE w:val="0"/>
              <w:autoSpaceDN w:val="0"/>
              <w:adjustRightInd w:val="0"/>
              <w:spacing w:line="240" w:lineRule="exact"/>
              <w:ind w:firstLine="0" w:firstLineChars="0"/>
              <w:jc w:val="center"/>
              <w:rPr>
                <w:rFonts w:hint="eastAsia" w:ascii="Times New Roman" w:hAnsi="Times New Roman" w:eastAsia="宋体" w:cs="Times New Roman"/>
                <w:color w:val="auto"/>
                <w:kern w:val="0"/>
                <w:sz w:val="21"/>
                <w:szCs w:val="21"/>
                <w:lang w:val="zh-CN" w:eastAsia="zh-CN"/>
              </w:rPr>
            </w:pPr>
            <w:r>
              <w:rPr>
                <w:rFonts w:hint="eastAsia" w:cs="Times New Roman"/>
                <w:color w:val="auto"/>
                <w:kern w:val="0"/>
                <w:sz w:val="21"/>
                <w:szCs w:val="21"/>
                <w:lang w:val="en-US" w:eastAsia="zh-CN"/>
              </w:rPr>
              <w:t>7</w:t>
            </w:r>
          </w:p>
        </w:tc>
      </w:tr>
    </w:tbl>
    <w:p w14:paraId="41A8386B">
      <w:pPr>
        <w:keepNext/>
        <w:keepLines/>
        <w:widowControl w:val="0"/>
        <w:bidi w:val="0"/>
        <w:spacing w:beforeLines="0" w:beforeAutospacing="0" w:afterLines="0" w:afterAutospacing="0" w:line="360" w:lineRule="auto"/>
        <w:ind w:left="560" w:leftChars="200" w:firstLine="0" w:firstLineChars="0"/>
        <w:jc w:val="both"/>
        <w:outlineLvl w:val="2"/>
        <w:rPr>
          <w:rFonts w:hint="eastAsia" w:ascii="Times New Roman" w:hAnsi="Times New Roman" w:eastAsia="黑体" w:cs="Times New Roman"/>
          <w:b/>
          <w:color w:val="auto"/>
          <w:kern w:val="2"/>
          <w:sz w:val="28"/>
          <w:szCs w:val="24"/>
          <w:lang w:val="en-US" w:eastAsia="zh-CN" w:bidi="ar-SA"/>
        </w:rPr>
      </w:pPr>
      <w:bookmarkStart w:id="545" w:name="_Toc2311"/>
      <w:bookmarkStart w:id="546" w:name="_Toc30902"/>
      <w:bookmarkStart w:id="547" w:name="_Toc1340"/>
      <w:bookmarkStart w:id="548" w:name="_Toc14300"/>
      <w:bookmarkStart w:id="549" w:name="_Toc23077"/>
      <w:bookmarkStart w:id="550" w:name="_Toc8121"/>
      <w:bookmarkStart w:id="551" w:name="_Toc26516"/>
      <w:r>
        <w:rPr>
          <w:rFonts w:hint="eastAsia" w:ascii="Times New Roman" w:hAnsi="Times New Roman" w:eastAsia="黑体" w:cs="Times New Roman"/>
          <w:b/>
          <w:color w:val="auto"/>
          <w:kern w:val="2"/>
          <w:sz w:val="28"/>
          <w:szCs w:val="24"/>
          <w:lang w:val="en-US" w:eastAsia="zh-CN" w:bidi="ar-SA"/>
        </w:rPr>
        <w:t>5.5.2 评价单元小结</w:t>
      </w:r>
      <w:bookmarkEnd w:id="545"/>
      <w:bookmarkEnd w:id="546"/>
      <w:bookmarkEnd w:id="547"/>
      <w:bookmarkEnd w:id="548"/>
      <w:bookmarkEnd w:id="549"/>
      <w:bookmarkEnd w:id="550"/>
      <w:bookmarkEnd w:id="551"/>
    </w:p>
    <w:p w14:paraId="1D7001D3">
      <w:pPr>
        <w:bidi w:val="0"/>
        <w:rPr>
          <w:rFonts w:hint="eastAsia"/>
          <w:color w:val="auto"/>
          <w:lang w:eastAsia="zh-CN"/>
        </w:rPr>
      </w:pPr>
      <w:r>
        <w:rPr>
          <w:rFonts w:hint="eastAsia"/>
          <w:color w:val="auto"/>
          <w:lang w:eastAsia="zh-CN"/>
        </w:rPr>
        <w:t>（1）经现场检查，</w:t>
      </w:r>
      <w:r>
        <w:rPr>
          <w:rFonts w:hint="default"/>
          <w:color w:val="auto"/>
          <w:lang w:val="en-US" w:eastAsia="zh-CN"/>
        </w:rPr>
        <w:t>三号</w:t>
      </w:r>
      <w:r>
        <w:rPr>
          <w:rFonts w:hint="eastAsia"/>
          <w:color w:val="auto"/>
          <w:lang w:val="en-US" w:eastAsia="zh-CN"/>
        </w:rPr>
        <w:t>（</w:t>
      </w:r>
      <w:r>
        <w:rPr>
          <w:rFonts w:hint="default"/>
          <w:color w:val="auto"/>
          <w:lang w:val="en-US" w:eastAsia="zh-CN"/>
        </w:rPr>
        <w:t>氰化渣</w:t>
      </w:r>
      <w:r>
        <w:rPr>
          <w:rFonts w:hint="eastAsia"/>
          <w:color w:val="auto"/>
          <w:lang w:val="en-US" w:eastAsia="zh-CN"/>
        </w:rPr>
        <w:t>）</w:t>
      </w:r>
      <w:r>
        <w:rPr>
          <w:rFonts w:hint="default"/>
          <w:color w:val="auto"/>
          <w:lang w:val="en-US" w:eastAsia="zh-CN"/>
        </w:rPr>
        <w:t>尾矿库</w:t>
      </w:r>
      <w:r>
        <w:rPr>
          <w:rFonts w:hint="eastAsia"/>
          <w:color w:val="auto"/>
          <w:lang w:eastAsia="zh-CN"/>
        </w:rPr>
        <w:t>周边山体稳定，无滑动、坍塌等影响尾矿库安全情况，不存在违章爆破、采石、取水以及外来尾矿、废石、废水和废弃物排入、放牧和开垦和炸鱼等危害尾矿库安全的活动，尾矿库周边环境、安全状况良好。</w:t>
      </w:r>
    </w:p>
    <w:p w14:paraId="58C7D8DC">
      <w:pPr>
        <w:bidi w:val="0"/>
        <w:rPr>
          <w:rFonts w:hint="eastAsia"/>
          <w:color w:val="auto"/>
          <w:lang w:eastAsia="zh-CN"/>
        </w:rPr>
      </w:pPr>
      <w:r>
        <w:rPr>
          <w:rFonts w:hint="eastAsia"/>
          <w:color w:val="auto"/>
          <w:lang w:eastAsia="zh-CN"/>
        </w:rPr>
        <w:t>（2）经采用安全检查表法评判，</w:t>
      </w:r>
      <w:r>
        <w:rPr>
          <w:rFonts w:hint="default"/>
          <w:color w:val="auto"/>
          <w:lang w:val="en-US" w:eastAsia="zh-CN"/>
        </w:rPr>
        <w:t>三号</w:t>
      </w:r>
      <w:r>
        <w:rPr>
          <w:rFonts w:hint="eastAsia"/>
          <w:color w:val="auto"/>
          <w:lang w:val="en-US" w:eastAsia="zh-CN"/>
        </w:rPr>
        <w:t>（</w:t>
      </w:r>
      <w:r>
        <w:rPr>
          <w:rFonts w:hint="default"/>
          <w:color w:val="auto"/>
          <w:lang w:val="en-US" w:eastAsia="zh-CN"/>
        </w:rPr>
        <w:t>氰化渣</w:t>
      </w:r>
      <w:r>
        <w:rPr>
          <w:rFonts w:hint="eastAsia"/>
          <w:color w:val="auto"/>
          <w:lang w:val="en-US" w:eastAsia="zh-CN"/>
        </w:rPr>
        <w:t>）</w:t>
      </w:r>
      <w:r>
        <w:rPr>
          <w:rFonts w:hint="default"/>
          <w:color w:val="auto"/>
          <w:lang w:val="en-US" w:eastAsia="zh-CN"/>
        </w:rPr>
        <w:t>尾矿库</w:t>
      </w:r>
      <w:r>
        <w:rPr>
          <w:rFonts w:hint="eastAsia"/>
          <w:color w:val="auto"/>
          <w:lang w:eastAsia="zh-CN"/>
        </w:rPr>
        <w:t>库区环境单元应得分7分，实际得分7分，得分率为100%，库区环境单元符合安全要求。</w:t>
      </w:r>
    </w:p>
    <w:p w14:paraId="5B464384">
      <w:pPr>
        <w:keepNext/>
        <w:keepLines/>
        <w:widowControl w:val="0"/>
        <w:bidi w:val="0"/>
        <w:spacing w:beforeLines="0" w:beforeAutospacing="0" w:afterLines="0" w:afterAutospacing="0" w:line="360" w:lineRule="auto"/>
        <w:ind w:left="280" w:leftChars="100" w:firstLine="0" w:firstLineChars="0"/>
        <w:jc w:val="both"/>
        <w:outlineLvl w:val="1"/>
        <w:rPr>
          <w:rFonts w:hint="default" w:ascii="Times New Roman" w:hAnsi="Times New Roman" w:eastAsia="黑体" w:cs="Times New Roman"/>
          <w:b/>
          <w:color w:val="auto"/>
          <w:kern w:val="2"/>
          <w:sz w:val="30"/>
          <w:szCs w:val="24"/>
          <w:lang w:val="en-US" w:eastAsia="zh-CN" w:bidi="ar-SA"/>
        </w:rPr>
      </w:pPr>
      <w:bookmarkStart w:id="552" w:name="_Toc27355"/>
      <w:bookmarkStart w:id="553" w:name="_Toc30974"/>
      <w:bookmarkStart w:id="554" w:name="_Toc4475"/>
      <w:bookmarkStart w:id="555" w:name="_Toc12428"/>
      <w:bookmarkStart w:id="556" w:name="_Toc28165"/>
      <w:bookmarkStart w:id="557" w:name="_Toc25175"/>
      <w:bookmarkStart w:id="558" w:name="_Toc4929"/>
      <w:r>
        <w:rPr>
          <w:rFonts w:hint="eastAsia" w:ascii="Times New Roman" w:hAnsi="Times New Roman" w:eastAsia="黑体" w:cs="Times New Roman"/>
          <w:b/>
          <w:color w:val="auto"/>
          <w:kern w:val="2"/>
          <w:sz w:val="30"/>
          <w:szCs w:val="24"/>
          <w:lang w:val="en-US" w:eastAsia="zh-CN" w:bidi="ar-SA"/>
        </w:rPr>
        <w:t xml:space="preserve">5.6 </w:t>
      </w:r>
      <w:r>
        <w:rPr>
          <w:rFonts w:hint="default" w:ascii="Times New Roman" w:hAnsi="Times New Roman" w:eastAsia="黑体" w:cs="Times New Roman"/>
          <w:b/>
          <w:color w:val="auto"/>
          <w:kern w:val="2"/>
          <w:sz w:val="30"/>
          <w:szCs w:val="24"/>
          <w:lang w:val="en-US" w:eastAsia="zh-CN" w:bidi="ar-SA"/>
        </w:rPr>
        <w:t>辅助设施单元</w:t>
      </w:r>
      <w:bookmarkEnd w:id="552"/>
      <w:bookmarkEnd w:id="553"/>
      <w:bookmarkEnd w:id="554"/>
      <w:bookmarkEnd w:id="555"/>
      <w:bookmarkEnd w:id="556"/>
      <w:bookmarkEnd w:id="557"/>
      <w:bookmarkEnd w:id="558"/>
    </w:p>
    <w:p w14:paraId="3A0274B3">
      <w:pPr>
        <w:keepNext/>
        <w:keepLines/>
        <w:widowControl w:val="0"/>
        <w:bidi w:val="0"/>
        <w:spacing w:beforeLines="0" w:beforeAutospacing="0" w:afterLines="0" w:afterAutospacing="0" w:line="360" w:lineRule="auto"/>
        <w:ind w:left="560" w:leftChars="200" w:firstLine="0" w:firstLineChars="0"/>
        <w:jc w:val="both"/>
        <w:outlineLvl w:val="2"/>
        <w:rPr>
          <w:rFonts w:hint="default" w:ascii="Times New Roman" w:hAnsi="Times New Roman" w:eastAsia="黑体" w:cs="Times New Roman"/>
          <w:b/>
          <w:color w:val="auto"/>
          <w:kern w:val="2"/>
          <w:sz w:val="28"/>
          <w:szCs w:val="24"/>
          <w:lang w:val="en-US" w:eastAsia="zh-CN" w:bidi="ar-SA"/>
        </w:rPr>
      </w:pPr>
      <w:bookmarkStart w:id="559" w:name="_Toc1490"/>
      <w:bookmarkStart w:id="560" w:name="_Toc16059"/>
      <w:bookmarkStart w:id="561" w:name="_Toc5757"/>
      <w:bookmarkStart w:id="562" w:name="_Toc18475"/>
      <w:bookmarkStart w:id="563" w:name="_Toc475"/>
      <w:bookmarkStart w:id="564" w:name="_Toc3586"/>
      <w:bookmarkStart w:id="565" w:name="_Toc8815"/>
      <w:r>
        <w:rPr>
          <w:rFonts w:hint="default" w:ascii="Times New Roman" w:hAnsi="Times New Roman" w:eastAsia="黑体" w:cs="Times New Roman"/>
          <w:b/>
          <w:color w:val="auto"/>
          <w:kern w:val="2"/>
          <w:sz w:val="28"/>
          <w:szCs w:val="24"/>
          <w:lang w:val="en-US" w:eastAsia="zh-CN" w:bidi="ar-SA"/>
        </w:rPr>
        <w:t>5.</w:t>
      </w:r>
      <w:r>
        <w:rPr>
          <w:rFonts w:hint="eastAsia" w:ascii="Times New Roman" w:hAnsi="Times New Roman" w:eastAsia="黑体" w:cs="Times New Roman"/>
          <w:b/>
          <w:color w:val="auto"/>
          <w:kern w:val="2"/>
          <w:sz w:val="28"/>
          <w:szCs w:val="24"/>
          <w:lang w:val="en-US" w:eastAsia="zh-CN" w:bidi="ar-SA"/>
        </w:rPr>
        <w:t>6</w:t>
      </w:r>
      <w:r>
        <w:rPr>
          <w:rFonts w:hint="default" w:ascii="Times New Roman" w:hAnsi="Times New Roman" w:eastAsia="黑体" w:cs="Times New Roman"/>
          <w:b/>
          <w:color w:val="auto"/>
          <w:kern w:val="2"/>
          <w:sz w:val="28"/>
          <w:szCs w:val="24"/>
          <w:lang w:val="en-US" w:eastAsia="zh-CN" w:bidi="ar-SA"/>
        </w:rPr>
        <w:t>.1 安全检查法评价</w:t>
      </w:r>
      <w:bookmarkEnd w:id="559"/>
      <w:bookmarkEnd w:id="560"/>
      <w:bookmarkEnd w:id="561"/>
      <w:bookmarkEnd w:id="562"/>
      <w:bookmarkEnd w:id="563"/>
      <w:bookmarkEnd w:id="564"/>
      <w:bookmarkEnd w:id="565"/>
    </w:p>
    <w:p w14:paraId="3A7BBFF2">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（1）经现场踏勘，目前库区内有巡查道路可直达坝顶及排水斜槽等处，巡查道路畅通无阻。</w:t>
      </w:r>
    </w:p>
    <w:p w14:paraId="26A22777">
      <w:pPr>
        <w:bidi w:val="0"/>
        <w:rPr>
          <w:rFonts w:hint="default"/>
          <w:color w:val="auto"/>
          <w:lang w:val="en-US" w:eastAsia="zh-CN"/>
        </w:rPr>
      </w:pPr>
      <w:r>
        <w:rPr>
          <w:rFonts w:hint="default"/>
          <w:color w:val="auto"/>
          <w:lang w:val="en-US" w:eastAsia="zh-CN"/>
        </w:rPr>
        <w:t>（2）经现场踏勘，尾矿库的信号较为良好，尾矿管理人员和</w:t>
      </w:r>
      <w:r>
        <w:rPr>
          <w:rFonts w:hint="eastAsia"/>
          <w:color w:val="auto"/>
          <w:lang w:val="en-US" w:eastAsia="zh-CN"/>
        </w:rPr>
        <w:t>尾矿工</w:t>
      </w:r>
      <w:r>
        <w:rPr>
          <w:rFonts w:hint="default"/>
          <w:color w:val="auto"/>
          <w:lang w:val="en-US" w:eastAsia="zh-CN"/>
        </w:rPr>
        <w:t>已配备手机进行通讯。</w:t>
      </w:r>
    </w:p>
    <w:p w14:paraId="33F746E2">
      <w:pPr>
        <w:bidi w:val="0"/>
        <w:rPr>
          <w:rFonts w:hint="default"/>
          <w:color w:val="auto"/>
          <w:lang w:val="en-US" w:eastAsia="zh-CN"/>
        </w:rPr>
      </w:pPr>
      <w:r>
        <w:rPr>
          <w:rFonts w:hint="eastAsia" w:ascii="Times New Roman" w:eastAsia="宋体"/>
          <w:color w:val="auto"/>
          <w:lang w:val="en-US" w:eastAsia="zh-CN"/>
        </w:rPr>
        <w:t>（3）经现场踏勘，</w:t>
      </w:r>
      <w:r>
        <w:rPr>
          <w:rFonts w:hint="default"/>
          <w:color w:val="auto"/>
          <w:lang w:val="en-US" w:eastAsia="zh-CN"/>
        </w:rPr>
        <w:t>在尾矿</w:t>
      </w:r>
      <w:r>
        <w:rPr>
          <w:rFonts w:hint="eastAsia"/>
          <w:color w:val="auto"/>
          <w:lang w:val="en-US" w:eastAsia="zh-CN"/>
        </w:rPr>
        <w:t>坝坝顶</w:t>
      </w:r>
      <w:r>
        <w:rPr>
          <w:rFonts w:hint="default"/>
          <w:color w:val="auto"/>
          <w:lang w:val="en-US" w:eastAsia="zh-CN"/>
        </w:rPr>
        <w:t>已设有照明设施。</w:t>
      </w:r>
    </w:p>
    <w:p w14:paraId="22203104">
      <w:pPr>
        <w:rPr>
          <w:rFonts w:hint="default" w:ascii="Times New Roman" w:hAnsi="Times New Roman" w:eastAsia="宋体" w:cs="Times New Roman"/>
          <w:color w:val="auto"/>
          <w:lang w:val="en-US" w:eastAsia="zh-CN"/>
        </w:rPr>
      </w:pPr>
      <w:r>
        <w:rPr>
          <w:rFonts w:hint="eastAsia" w:ascii="Times New Roman" w:eastAsia="宋体"/>
          <w:color w:val="auto"/>
          <w:lang w:val="en-US" w:eastAsia="zh-CN"/>
        </w:rPr>
        <w:t>（4）经现场踏勘，</w:t>
      </w:r>
      <w:r>
        <w:rPr>
          <w:rFonts w:hint="default" w:ascii="Times New Roman" w:hAnsi="Times New Roman" w:eastAsia="宋体" w:cs="Times New Roman"/>
          <w:color w:val="auto"/>
          <w:lang w:val="en-US" w:eastAsia="zh-CN"/>
        </w:rPr>
        <w:t>三和金业在初期坝下游约100.0m设有尾矿输送二级泵站，并建有尾矿库管理值班室和应急物资库</w:t>
      </w:r>
      <w:r>
        <w:rPr>
          <w:rFonts w:hint="eastAsia" w:cs="Times New Roman"/>
          <w:color w:val="auto"/>
          <w:lang w:val="en-US" w:eastAsia="zh-CN"/>
        </w:rPr>
        <w:t>，应急物资库配备了相应数量的土工布、编织袋、铁锹、锄头、救生衣、救生圈、应急灯等应急物资。</w:t>
      </w:r>
    </w:p>
    <w:p w14:paraId="357FBC09">
      <w:pPr>
        <w:bidi w:val="0"/>
        <w:rPr>
          <w:rFonts w:hint="default"/>
          <w:color w:val="auto"/>
          <w:lang w:val="en-US" w:eastAsia="zh-CN"/>
        </w:rPr>
      </w:pPr>
      <w:r>
        <w:rPr>
          <w:rFonts w:hint="eastAsia" w:ascii="Times New Roman" w:eastAsia="宋体"/>
          <w:color w:val="auto"/>
          <w:lang w:val="en-US" w:eastAsia="zh-CN"/>
        </w:rPr>
        <w:t>（5）经现场踏勘，</w:t>
      </w:r>
      <w:r>
        <w:rPr>
          <w:rFonts w:hint="eastAsia"/>
          <w:color w:val="auto"/>
          <w:lang w:eastAsia="zh-CN"/>
        </w:rPr>
        <w:t>三号（氰化渣）尾矿库适当地点张贴有尾矿库安全运行牌、在库内适当地点树立有安全警示牌</w:t>
      </w:r>
      <w:r>
        <w:rPr>
          <w:rFonts w:hint="default" w:ascii="Times New Roman" w:hAnsi="Times New Roman" w:eastAsia="宋体" w:cs="Times New Roman"/>
          <w:color w:val="auto"/>
          <w:lang w:val="en-US" w:eastAsia="zh-CN"/>
        </w:rPr>
        <w:t>。</w:t>
      </w:r>
    </w:p>
    <w:p w14:paraId="2029C4E2">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综上所述，</w:t>
      </w:r>
      <w:r>
        <w:rPr>
          <w:rFonts w:hint="eastAsia"/>
          <w:color w:val="auto"/>
          <w:lang w:eastAsia="zh-CN"/>
        </w:rPr>
        <w:t>三号（氰化渣）尾矿库</w:t>
      </w:r>
      <w:r>
        <w:rPr>
          <w:rFonts w:hint="default" w:ascii="Times New Roman" w:hAnsi="Times New Roman" w:eastAsia="宋体" w:cs="Times New Roman"/>
          <w:color w:val="auto"/>
          <w:lang w:val="en-US" w:eastAsia="zh-CN"/>
        </w:rPr>
        <w:t>现场管理较为规范，辅助设施符合规程规范规定。</w:t>
      </w:r>
    </w:p>
    <w:p w14:paraId="55733C4A">
      <w:pPr>
        <w:rPr>
          <w:rFonts w:hint="default" w:ascii="Times New Roman" w:hAnsi="Times New Roman" w:eastAsia="宋体" w:cs="Times New Roman"/>
          <w:color w:val="auto"/>
          <w:lang w:val="en-US" w:eastAsia="zh-CN"/>
        </w:rPr>
      </w:pPr>
      <w:r>
        <w:rPr>
          <w:rFonts w:hint="eastAsia"/>
          <w:color w:val="auto"/>
        </w:rPr>
        <w:t>江西三和金业有限公</w:t>
      </w:r>
      <w:r>
        <w:rPr>
          <w:rFonts w:hint="default" w:ascii="Times New Roman" w:hAnsi="Times New Roman" w:eastAsia="宋体" w:cs="Times New Roman"/>
          <w:color w:val="auto"/>
          <w:lang w:val="en-US" w:eastAsia="zh-CN"/>
        </w:rPr>
        <w:t>应加大尾矿库检查道路、安全标志、照明设施以及通讯系统的日常维护管理，确保道路畅通无阻、安全标志显眼醒目、照明设施以及通讯系统正常有效。及时更新各类应急物资，确保数量种类齐全有效。</w:t>
      </w:r>
    </w:p>
    <w:p w14:paraId="4D9794CD">
      <w:pPr>
        <w:keepNext/>
        <w:keepLines/>
        <w:widowControl w:val="0"/>
        <w:bidi w:val="0"/>
        <w:spacing w:beforeLines="0" w:beforeAutospacing="0" w:afterLines="0" w:afterAutospacing="0" w:line="360" w:lineRule="auto"/>
        <w:ind w:left="280" w:leftChars="100" w:firstLine="0" w:firstLineChars="0"/>
        <w:jc w:val="both"/>
        <w:outlineLvl w:val="1"/>
        <w:rPr>
          <w:rFonts w:hint="eastAsia" w:ascii="Times New Roman" w:hAnsi="Times New Roman" w:eastAsia="黑体" w:cs="Times New Roman"/>
          <w:b/>
          <w:color w:val="auto"/>
          <w:kern w:val="2"/>
          <w:sz w:val="30"/>
          <w:szCs w:val="24"/>
          <w:lang w:val="en-US" w:eastAsia="zh-CN" w:bidi="ar-SA"/>
        </w:rPr>
      </w:pPr>
      <w:bookmarkStart w:id="566" w:name="_Toc16082"/>
      <w:bookmarkStart w:id="567" w:name="_Toc4745"/>
      <w:bookmarkStart w:id="568" w:name="_Toc3191"/>
      <w:bookmarkStart w:id="569" w:name="_Toc25654"/>
      <w:bookmarkStart w:id="570" w:name="_Toc10941"/>
      <w:bookmarkStart w:id="571" w:name="_Toc6185"/>
      <w:bookmarkStart w:id="572" w:name="_Toc24038"/>
      <w:r>
        <w:rPr>
          <w:rFonts w:hint="eastAsia" w:ascii="Times New Roman" w:hAnsi="Times New Roman" w:eastAsia="黑体" w:cs="Times New Roman"/>
          <w:b/>
          <w:color w:val="auto"/>
          <w:kern w:val="2"/>
          <w:sz w:val="30"/>
          <w:szCs w:val="24"/>
          <w:lang w:val="en-US" w:eastAsia="zh-CN" w:bidi="ar-SA"/>
        </w:rPr>
        <w:t>5.7 综合安全评价</w:t>
      </w:r>
      <w:bookmarkEnd w:id="566"/>
      <w:bookmarkEnd w:id="567"/>
      <w:bookmarkEnd w:id="568"/>
      <w:bookmarkEnd w:id="569"/>
      <w:bookmarkEnd w:id="570"/>
      <w:bookmarkEnd w:id="571"/>
      <w:bookmarkEnd w:id="572"/>
    </w:p>
    <w:p w14:paraId="4674ED53">
      <w:pPr>
        <w:keepNext/>
        <w:keepLines/>
        <w:widowControl w:val="0"/>
        <w:bidi w:val="0"/>
        <w:spacing w:beforeLines="0" w:beforeAutospacing="0" w:afterLines="0" w:afterAutospacing="0" w:line="360" w:lineRule="auto"/>
        <w:ind w:left="560" w:leftChars="200" w:firstLine="0" w:firstLineChars="0"/>
        <w:jc w:val="both"/>
        <w:outlineLvl w:val="2"/>
        <w:rPr>
          <w:rFonts w:hint="eastAsia" w:ascii="Times New Roman" w:hAnsi="Times New Roman" w:eastAsia="黑体" w:cs="Times New Roman"/>
          <w:b/>
          <w:color w:val="auto"/>
          <w:kern w:val="2"/>
          <w:sz w:val="28"/>
          <w:szCs w:val="24"/>
          <w:lang w:val="en-US" w:eastAsia="zh-CN" w:bidi="ar-SA"/>
        </w:rPr>
      </w:pPr>
      <w:bookmarkStart w:id="573" w:name="_Toc17787"/>
      <w:bookmarkStart w:id="574" w:name="_Toc12679"/>
      <w:bookmarkStart w:id="575" w:name="_Toc28152"/>
      <w:bookmarkStart w:id="576" w:name="_Toc25084"/>
      <w:bookmarkStart w:id="577" w:name="_Toc22735"/>
      <w:bookmarkStart w:id="578" w:name="_Toc128"/>
      <w:bookmarkStart w:id="579" w:name="_Toc28045"/>
      <w:r>
        <w:rPr>
          <w:rFonts w:hint="eastAsia" w:ascii="Times New Roman" w:hAnsi="Times New Roman" w:eastAsia="黑体" w:cs="Times New Roman"/>
          <w:b/>
          <w:color w:val="auto"/>
          <w:kern w:val="2"/>
          <w:sz w:val="28"/>
          <w:szCs w:val="24"/>
          <w:lang w:val="en-US" w:eastAsia="zh-CN" w:bidi="ar-SA"/>
        </w:rPr>
        <w:t>5.7.1 概述</w:t>
      </w:r>
      <w:bookmarkEnd w:id="573"/>
      <w:bookmarkEnd w:id="574"/>
      <w:bookmarkEnd w:id="575"/>
      <w:bookmarkEnd w:id="576"/>
      <w:bookmarkEnd w:id="577"/>
      <w:bookmarkEnd w:id="578"/>
      <w:bookmarkEnd w:id="579"/>
    </w:p>
    <w:p w14:paraId="4BDECF4F">
      <w:pPr>
        <w:bidi w:val="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本节采用安全检查表分析法对尾矿库的综合安全状况进行评价，该检查表对尾矿库系统状况的安全综合情况进行检查，并对各项检查内容赋予了分值，依据尾矿库所得分值，将尾矿库分成四个安全等级，以此来确定尾矿库的安全生产现状。</w:t>
      </w:r>
    </w:p>
    <w:p w14:paraId="55F06D2A">
      <w:pPr>
        <w:keepNext/>
        <w:keepLines/>
        <w:widowControl w:val="0"/>
        <w:bidi w:val="0"/>
        <w:spacing w:beforeLines="0" w:beforeAutospacing="0" w:afterLines="0" w:afterAutospacing="0" w:line="360" w:lineRule="auto"/>
        <w:ind w:left="560" w:leftChars="200" w:firstLine="0" w:firstLineChars="0"/>
        <w:jc w:val="both"/>
        <w:outlineLvl w:val="2"/>
        <w:rPr>
          <w:rFonts w:hint="eastAsia" w:ascii="Times New Roman" w:hAnsi="Times New Roman" w:eastAsia="黑体" w:cs="Times New Roman"/>
          <w:b/>
          <w:color w:val="auto"/>
          <w:kern w:val="2"/>
          <w:sz w:val="28"/>
          <w:szCs w:val="24"/>
          <w:lang w:val="en-US" w:eastAsia="zh-CN" w:bidi="ar-SA"/>
        </w:rPr>
      </w:pPr>
      <w:bookmarkStart w:id="580" w:name="_Toc32279"/>
      <w:bookmarkStart w:id="581" w:name="_Toc27008"/>
      <w:bookmarkStart w:id="582" w:name="_Toc906"/>
      <w:bookmarkStart w:id="583" w:name="_Toc3630"/>
      <w:bookmarkStart w:id="584" w:name="_Toc13213"/>
      <w:bookmarkStart w:id="585" w:name="_Toc25469"/>
      <w:bookmarkStart w:id="586" w:name="_Toc20065"/>
      <w:r>
        <w:rPr>
          <w:rFonts w:hint="eastAsia" w:ascii="Times New Roman" w:hAnsi="Times New Roman" w:eastAsia="黑体" w:cs="Times New Roman"/>
          <w:b/>
          <w:color w:val="auto"/>
          <w:kern w:val="2"/>
          <w:sz w:val="28"/>
          <w:szCs w:val="24"/>
          <w:lang w:val="en-US" w:eastAsia="zh-CN" w:bidi="ar-SA"/>
        </w:rPr>
        <w:t>5.7.2 评价标准说明</w:t>
      </w:r>
      <w:bookmarkEnd w:id="580"/>
      <w:bookmarkEnd w:id="581"/>
      <w:bookmarkEnd w:id="582"/>
      <w:bookmarkEnd w:id="583"/>
      <w:bookmarkEnd w:id="584"/>
      <w:bookmarkEnd w:id="585"/>
      <w:bookmarkEnd w:id="586"/>
    </w:p>
    <w:p w14:paraId="4832B6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表5</w:t>
      </w:r>
      <w:r>
        <w:rPr>
          <w:rFonts w:hint="eastAsia" w:cs="Times New Roman"/>
          <w:color w:val="auto"/>
          <w:lang w:val="en-US" w:eastAsia="zh-CN"/>
        </w:rPr>
        <w:t>.7</w:t>
      </w:r>
      <w:r>
        <w:rPr>
          <w:rFonts w:hint="eastAsia" w:ascii="Times New Roman" w:hAnsi="Times New Roman" w:eastAsia="宋体" w:cs="Times New Roman"/>
          <w:color w:val="auto"/>
          <w:lang w:eastAsia="zh-CN"/>
        </w:rPr>
        <w:t>-1</w:t>
      </w:r>
      <w:r>
        <w:rPr>
          <w:rFonts w:hint="eastAsia"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lang w:eastAsia="zh-CN"/>
        </w:rPr>
        <w:t>评价标准说明见表</w:t>
      </w:r>
    </w:p>
    <w:tbl>
      <w:tblPr>
        <w:tblStyle w:val="20"/>
        <w:tblW w:w="5345"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0" w:type="dxa"/>
          <w:bottom w:w="0" w:type="dxa"/>
          <w:right w:w="0" w:type="dxa"/>
        </w:tblCellMar>
      </w:tblPr>
      <w:tblGrid>
        <w:gridCol w:w="789"/>
        <w:gridCol w:w="6576"/>
        <w:gridCol w:w="2342"/>
      </w:tblGrid>
      <w:tr w14:paraId="66A902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20" w:hRule="atLeast"/>
          <w:jc w:val="center"/>
        </w:trPr>
        <w:tc>
          <w:tcPr>
            <w:tcW w:w="406" w:type="pct"/>
            <w:tcBorders>
              <w:top w:val="single" w:color="000000" w:sz="2" w:space="0"/>
              <w:left w:val="single" w:color="auto" w:sz="4" w:space="0"/>
              <w:bottom w:val="single" w:color="000000" w:sz="2" w:space="0"/>
              <w:right w:val="single" w:color="000000" w:sz="2" w:space="0"/>
            </w:tcBorders>
            <w:noWrap w:val="0"/>
            <w:vAlign w:val="center"/>
          </w:tcPr>
          <w:p w14:paraId="0A02349E">
            <w:pPr>
              <w:widowControl/>
              <w:spacing w:line="300" w:lineRule="exact"/>
              <w:ind w:firstLine="0" w:firstLineChars="0"/>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sz w:val="21"/>
                <w:szCs w:val="21"/>
              </w:rPr>
              <w:br w:type="page"/>
            </w:r>
            <w:r>
              <w:rPr>
                <w:rFonts w:ascii="Times New Roman" w:hAnsi="Times New Roman" w:eastAsia="宋体" w:cs="Times New Roman"/>
                <w:color w:val="auto"/>
                <w:sz w:val="21"/>
                <w:szCs w:val="21"/>
              </w:rPr>
              <w:br w:type="page"/>
            </w:r>
            <w:r>
              <w:rPr>
                <w:rFonts w:ascii="Times New Roman" w:hAnsi="Times New Roman" w:eastAsia="宋体" w:cs="Times New Roman"/>
                <w:color w:val="auto"/>
                <w:sz w:val="21"/>
                <w:szCs w:val="21"/>
              </w:rPr>
              <w:br w:type="page"/>
            </w:r>
            <w:r>
              <w:rPr>
                <w:rFonts w:ascii="Times New Roman" w:hAnsi="Times New Roman" w:eastAsia="宋体" w:cs="Times New Roman"/>
                <w:color w:val="auto"/>
                <w:kern w:val="0"/>
                <w:sz w:val="21"/>
                <w:szCs w:val="21"/>
              </w:rPr>
              <w:t>类型</w:t>
            </w:r>
          </w:p>
        </w:tc>
        <w:tc>
          <w:tcPr>
            <w:tcW w:w="3386" w:type="pct"/>
            <w:tcBorders>
              <w:top w:val="single" w:color="000000" w:sz="2" w:space="0"/>
              <w:left w:val="single" w:color="auto" w:sz="4" w:space="0"/>
              <w:bottom w:val="single" w:color="000000" w:sz="2" w:space="0"/>
              <w:right w:val="single" w:color="000000" w:sz="2" w:space="0"/>
            </w:tcBorders>
            <w:noWrap w:val="0"/>
            <w:vAlign w:val="center"/>
          </w:tcPr>
          <w:p w14:paraId="182CB9C5">
            <w:pPr>
              <w:widowControl/>
              <w:spacing w:line="300" w:lineRule="exact"/>
              <w:ind w:firstLine="0" w:firstLineChars="0"/>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概念</w:t>
            </w:r>
          </w:p>
        </w:tc>
        <w:tc>
          <w:tcPr>
            <w:tcW w:w="1206" w:type="pct"/>
            <w:tcBorders>
              <w:top w:val="single" w:color="000000" w:sz="2" w:space="0"/>
              <w:left w:val="single" w:color="auto" w:sz="4" w:space="0"/>
              <w:bottom w:val="single" w:color="000000" w:sz="2" w:space="0"/>
              <w:right w:val="single" w:color="000000" w:sz="2" w:space="0"/>
            </w:tcBorders>
            <w:noWrap w:val="0"/>
            <w:vAlign w:val="center"/>
          </w:tcPr>
          <w:p w14:paraId="04A4F49F">
            <w:pPr>
              <w:widowControl/>
              <w:spacing w:line="300" w:lineRule="exact"/>
              <w:ind w:firstLine="0" w:firstLineChars="0"/>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条件</w:t>
            </w:r>
          </w:p>
        </w:tc>
      </w:tr>
      <w:tr w14:paraId="7424E5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68" w:hRule="atLeast"/>
          <w:jc w:val="center"/>
        </w:trPr>
        <w:tc>
          <w:tcPr>
            <w:tcW w:w="406" w:type="pct"/>
            <w:tcBorders>
              <w:top w:val="single" w:color="auto" w:sz="4" w:space="0"/>
              <w:left w:val="single" w:color="auto" w:sz="4" w:space="0"/>
              <w:bottom w:val="single" w:color="000000" w:sz="2" w:space="0"/>
              <w:right w:val="single" w:color="000000" w:sz="2" w:space="0"/>
            </w:tcBorders>
            <w:noWrap w:val="0"/>
            <w:vAlign w:val="center"/>
          </w:tcPr>
          <w:p w14:paraId="7D1EF927">
            <w:pPr>
              <w:widowControl/>
              <w:spacing w:line="300" w:lineRule="exact"/>
              <w:ind w:firstLine="0" w:firstLineChars="0"/>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A类库</w:t>
            </w:r>
          </w:p>
        </w:tc>
        <w:tc>
          <w:tcPr>
            <w:tcW w:w="3386" w:type="pct"/>
            <w:tcBorders>
              <w:top w:val="single" w:color="auto" w:sz="4" w:space="0"/>
              <w:left w:val="single" w:color="auto" w:sz="4" w:space="0"/>
              <w:bottom w:val="single" w:color="000000" w:sz="2" w:space="0"/>
              <w:right w:val="single" w:color="000000" w:sz="2" w:space="0"/>
            </w:tcBorders>
            <w:noWrap w:val="0"/>
            <w:vAlign w:val="center"/>
          </w:tcPr>
          <w:p w14:paraId="4D63CEF9">
            <w:pPr>
              <w:widowControl/>
              <w:spacing w:line="300" w:lineRule="exact"/>
              <w:ind w:firstLine="0" w:firstLineChars="0"/>
              <w:jc w:val="left"/>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安全生产条件较好，生产活动有安全保障。</w:t>
            </w:r>
          </w:p>
        </w:tc>
        <w:tc>
          <w:tcPr>
            <w:tcW w:w="1206" w:type="pct"/>
            <w:tcBorders>
              <w:top w:val="single" w:color="auto" w:sz="4" w:space="0"/>
              <w:left w:val="single" w:color="auto" w:sz="4" w:space="0"/>
              <w:bottom w:val="single" w:color="000000" w:sz="2" w:space="0"/>
              <w:right w:val="single" w:color="000000" w:sz="2" w:space="0"/>
            </w:tcBorders>
            <w:noWrap w:val="0"/>
            <w:vAlign w:val="center"/>
          </w:tcPr>
          <w:p w14:paraId="3D007C47">
            <w:pPr>
              <w:widowControl/>
              <w:spacing w:line="300" w:lineRule="exact"/>
              <w:ind w:firstLine="0" w:firstLineChars="0"/>
              <w:jc w:val="left"/>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得分率在90%以上</w:t>
            </w:r>
          </w:p>
        </w:tc>
      </w:tr>
      <w:tr w14:paraId="6E867E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4" w:hRule="atLeast"/>
          <w:jc w:val="center"/>
        </w:trPr>
        <w:tc>
          <w:tcPr>
            <w:tcW w:w="406" w:type="pct"/>
            <w:tcBorders>
              <w:top w:val="single" w:color="auto" w:sz="4" w:space="0"/>
              <w:left w:val="single" w:color="auto" w:sz="4" w:space="0"/>
              <w:bottom w:val="single" w:color="000000" w:sz="2" w:space="0"/>
              <w:right w:val="single" w:color="000000" w:sz="2" w:space="0"/>
            </w:tcBorders>
            <w:noWrap w:val="0"/>
            <w:vAlign w:val="center"/>
          </w:tcPr>
          <w:p w14:paraId="1E4B948A">
            <w:pPr>
              <w:widowControl/>
              <w:spacing w:line="300" w:lineRule="exact"/>
              <w:ind w:firstLine="0" w:firstLineChars="0"/>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B类库</w:t>
            </w:r>
          </w:p>
        </w:tc>
        <w:tc>
          <w:tcPr>
            <w:tcW w:w="3386" w:type="pct"/>
            <w:tcBorders>
              <w:top w:val="single" w:color="auto" w:sz="4" w:space="0"/>
              <w:left w:val="single" w:color="auto" w:sz="4" w:space="0"/>
              <w:bottom w:val="single" w:color="000000" w:sz="2" w:space="0"/>
              <w:right w:val="single" w:color="000000" w:sz="2" w:space="0"/>
            </w:tcBorders>
            <w:noWrap w:val="0"/>
            <w:vAlign w:val="center"/>
          </w:tcPr>
          <w:p w14:paraId="12B4334D">
            <w:pPr>
              <w:widowControl/>
              <w:spacing w:line="300" w:lineRule="exact"/>
              <w:ind w:firstLine="0" w:firstLineChars="0"/>
              <w:jc w:val="left"/>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安全生产条件一般，能满足基本的安全生产活动。</w:t>
            </w:r>
          </w:p>
        </w:tc>
        <w:tc>
          <w:tcPr>
            <w:tcW w:w="1206" w:type="pct"/>
            <w:tcBorders>
              <w:top w:val="single" w:color="auto" w:sz="4" w:space="0"/>
              <w:left w:val="single" w:color="auto" w:sz="4" w:space="0"/>
              <w:bottom w:val="single" w:color="000000" w:sz="2" w:space="0"/>
              <w:right w:val="single" w:color="000000" w:sz="2" w:space="0"/>
            </w:tcBorders>
            <w:noWrap w:val="0"/>
            <w:vAlign w:val="center"/>
          </w:tcPr>
          <w:p w14:paraId="237A6B5F">
            <w:pPr>
              <w:widowControl/>
              <w:spacing w:line="300" w:lineRule="exact"/>
              <w:ind w:firstLine="0" w:firstLineChars="0"/>
              <w:jc w:val="left"/>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得分率在76%</w:t>
            </w:r>
            <w:r>
              <w:rPr>
                <w:rFonts w:hint="eastAsia" w:ascii="Times New Roman" w:hAnsi="Times New Roman" w:eastAsia="宋体" w:cs="Times New Roman"/>
                <w:color w:val="auto"/>
                <w:kern w:val="0"/>
                <w:sz w:val="21"/>
                <w:szCs w:val="21"/>
              </w:rPr>
              <w:t>～</w:t>
            </w:r>
            <w:r>
              <w:rPr>
                <w:rFonts w:ascii="Times New Roman" w:hAnsi="Times New Roman" w:eastAsia="宋体" w:cs="Times New Roman"/>
                <w:color w:val="auto"/>
                <w:kern w:val="0"/>
                <w:sz w:val="21"/>
                <w:szCs w:val="21"/>
              </w:rPr>
              <w:t>89%之间</w:t>
            </w:r>
          </w:p>
        </w:tc>
      </w:tr>
      <w:tr w14:paraId="7D0015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51" w:hRule="atLeast"/>
          <w:jc w:val="center"/>
        </w:trPr>
        <w:tc>
          <w:tcPr>
            <w:tcW w:w="406" w:type="pct"/>
            <w:tcBorders>
              <w:top w:val="single" w:color="auto" w:sz="4" w:space="0"/>
              <w:left w:val="single" w:color="auto" w:sz="4" w:space="0"/>
              <w:bottom w:val="single" w:color="auto" w:sz="4" w:space="0"/>
              <w:right w:val="single" w:color="000000" w:sz="2" w:space="0"/>
            </w:tcBorders>
            <w:noWrap w:val="0"/>
            <w:vAlign w:val="center"/>
          </w:tcPr>
          <w:p w14:paraId="56415D26">
            <w:pPr>
              <w:widowControl/>
              <w:spacing w:line="300" w:lineRule="exact"/>
              <w:ind w:firstLine="0" w:firstLineChars="0"/>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rPr>
              <w:br w:type="page"/>
            </w:r>
            <w:r>
              <w:rPr>
                <w:rFonts w:ascii="Times New Roman" w:hAnsi="Times New Roman" w:eastAsia="宋体" w:cs="Times New Roman"/>
                <w:color w:val="auto"/>
                <w:kern w:val="0"/>
                <w:sz w:val="21"/>
                <w:szCs w:val="21"/>
              </w:rPr>
              <w:t>C类库</w:t>
            </w:r>
          </w:p>
        </w:tc>
        <w:tc>
          <w:tcPr>
            <w:tcW w:w="3386" w:type="pct"/>
            <w:tcBorders>
              <w:top w:val="single" w:color="auto" w:sz="4" w:space="0"/>
              <w:left w:val="single" w:color="auto" w:sz="4" w:space="0"/>
              <w:bottom w:val="single" w:color="000000" w:sz="2" w:space="0"/>
              <w:right w:val="single" w:color="000000" w:sz="2" w:space="0"/>
            </w:tcBorders>
            <w:noWrap w:val="0"/>
            <w:vAlign w:val="center"/>
          </w:tcPr>
          <w:p w14:paraId="29AE9B75">
            <w:pPr>
              <w:widowControl/>
              <w:spacing w:line="300" w:lineRule="exact"/>
              <w:ind w:firstLine="0" w:firstLineChars="0"/>
              <w:jc w:val="left"/>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安全生产条件较差，不能完全保证安全生产活动，需要限期整改。</w:t>
            </w:r>
          </w:p>
        </w:tc>
        <w:tc>
          <w:tcPr>
            <w:tcW w:w="1206" w:type="pct"/>
            <w:tcBorders>
              <w:top w:val="single" w:color="auto" w:sz="4" w:space="0"/>
              <w:left w:val="single" w:color="auto" w:sz="4" w:space="0"/>
              <w:bottom w:val="single" w:color="000000" w:sz="2" w:space="0"/>
              <w:right w:val="single" w:color="000000" w:sz="2" w:space="0"/>
            </w:tcBorders>
            <w:noWrap w:val="0"/>
            <w:vAlign w:val="center"/>
          </w:tcPr>
          <w:p w14:paraId="2458950C">
            <w:pPr>
              <w:widowControl/>
              <w:spacing w:line="300" w:lineRule="exact"/>
              <w:ind w:firstLine="0" w:firstLineChars="0"/>
              <w:jc w:val="left"/>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得分率在60%</w:t>
            </w:r>
            <w:r>
              <w:rPr>
                <w:rFonts w:hint="eastAsia" w:ascii="Times New Roman" w:hAnsi="Times New Roman" w:eastAsia="宋体" w:cs="Times New Roman"/>
                <w:color w:val="auto"/>
                <w:kern w:val="0"/>
                <w:sz w:val="21"/>
                <w:szCs w:val="21"/>
              </w:rPr>
              <w:t>～</w:t>
            </w:r>
            <w:r>
              <w:rPr>
                <w:rFonts w:ascii="Times New Roman" w:hAnsi="Times New Roman" w:eastAsia="宋体" w:cs="Times New Roman"/>
                <w:color w:val="auto"/>
                <w:kern w:val="0"/>
                <w:sz w:val="21"/>
                <w:szCs w:val="21"/>
              </w:rPr>
              <w:t>75%之间</w:t>
            </w:r>
          </w:p>
        </w:tc>
      </w:tr>
      <w:tr w14:paraId="67E4AE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36" w:hRule="atLeast"/>
          <w:jc w:val="center"/>
        </w:trPr>
        <w:tc>
          <w:tcPr>
            <w:tcW w:w="406" w:type="pct"/>
            <w:tcBorders>
              <w:top w:val="single" w:color="auto" w:sz="4" w:space="0"/>
              <w:left w:val="single" w:color="auto" w:sz="4" w:space="0"/>
              <w:bottom w:val="single" w:color="auto" w:sz="4" w:space="0"/>
              <w:right w:val="single" w:color="000000" w:sz="2" w:space="0"/>
            </w:tcBorders>
            <w:noWrap w:val="0"/>
            <w:vAlign w:val="center"/>
          </w:tcPr>
          <w:p w14:paraId="77648067">
            <w:pPr>
              <w:widowControl/>
              <w:spacing w:line="300" w:lineRule="exact"/>
              <w:ind w:firstLine="0" w:firstLineChars="0"/>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D类库</w:t>
            </w:r>
          </w:p>
        </w:tc>
        <w:tc>
          <w:tcPr>
            <w:tcW w:w="3386" w:type="pct"/>
            <w:tcBorders>
              <w:top w:val="single" w:color="auto" w:sz="4" w:space="0"/>
              <w:left w:val="single" w:color="auto" w:sz="4" w:space="0"/>
              <w:bottom w:val="single" w:color="auto" w:sz="4" w:space="0"/>
              <w:right w:val="single" w:color="000000" w:sz="2" w:space="0"/>
            </w:tcBorders>
            <w:noWrap w:val="0"/>
            <w:vAlign w:val="center"/>
          </w:tcPr>
          <w:p w14:paraId="6DC41428">
            <w:pPr>
              <w:widowControl/>
              <w:spacing w:line="300" w:lineRule="exact"/>
              <w:ind w:firstLine="0" w:firstLineChars="0"/>
              <w:jc w:val="left"/>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不具备基本的安全生产条件，或未通过验收，需要责令停产整顿的尾矿库。</w:t>
            </w:r>
          </w:p>
        </w:tc>
        <w:tc>
          <w:tcPr>
            <w:tcW w:w="1206" w:type="pct"/>
            <w:tcBorders>
              <w:top w:val="single" w:color="auto" w:sz="4" w:space="0"/>
              <w:left w:val="single" w:color="auto" w:sz="4" w:space="0"/>
              <w:bottom w:val="single" w:color="auto" w:sz="4" w:space="0"/>
              <w:right w:val="single" w:color="000000" w:sz="2" w:space="0"/>
            </w:tcBorders>
            <w:noWrap w:val="0"/>
            <w:vAlign w:val="center"/>
          </w:tcPr>
          <w:p w14:paraId="76F1A267">
            <w:pPr>
              <w:widowControl/>
              <w:spacing w:line="300" w:lineRule="exact"/>
              <w:ind w:firstLine="0" w:firstLineChars="0"/>
              <w:jc w:val="left"/>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得分率在60%以下</w:t>
            </w:r>
          </w:p>
        </w:tc>
      </w:tr>
      <w:tr w14:paraId="2BB90E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357" w:hRule="atLeast"/>
          <w:jc w:val="center"/>
        </w:trPr>
        <w:tc>
          <w:tcPr>
            <w:tcW w:w="406" w:type="pct"/>
            <w:tcBorders>
              <w:top w:val="single" w:color="auto" w:sz="4" w:space="0"/>
              <w:left w:val="single" w:color="auto" w:sz="4" w:space="0"/>
              <w:bottom w:val="single" w:color="auto" w:sz="4" w:space="0"/>
              <w:right w:val="single" w:color="000000" w:sz="2" w:space="0"/>
            </w:tcBorders>
            <w:noWrap w:val="0"/>
            <w:vAlign w:val="center"/>
          </w:tcPr>
          <w:p w14:paraId="06758AFF">
            <w:pPr>
              <w:spacing w:line="300" w:lineRule="exact"/>
              <w:ind w:firstLine="0" w:firstLineChars="0"/>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备注</w:t>
            </w:r>
          </w:p>
        </w:tc>
        <w:tc>
          <w:tcPr>
            <w:tcW w:w="3386" w:type="pct"/>
            <w:tcBorders>
              <w:top w:val="single" w:color="auto" w:sz="4" w:space="0"/>
              <w:left w:val="single" w:color="auto" w:sz="4" w:space="0"/>
              <w:bottom w:val="single" w:color="000000" w:sz="2" w:space="0"/>
              <w:right w:val="single" w:color="000000" w:sz="2" w:space="0"/>
            </w:tcBorders>
            <w:noWrap w:val="0"/>
            <w:vAlign w:val="center"/>
          </w:tcPr>
          <w:p w14:paraId="732094EE">
            <w:pPr>
              <w:spacing w:line="300" w:lineRule="exact"/>
              <w:ind w:firstLine="0" w:firstLineChars="0"/>
              <w:jc w:val="left"/>
              <w:rPr>
                <w:rFonts w:hint="eastAsia"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1</w:t>
            </w:r>
            <w:r>
              <w:rPr>
                <w:rFonts w:hint="eastAsia" w:ascii="Times New Roman" w:hAnsi="Times New Roman" w:eastAsia="宋体" w:cs="Times New Roman"/>
                <w:color w:val="auto"/>
                <w:kern w:val="0"/>
                <w:sz w:val="21"/>
                <w:szCs w:val="21"/>
              </w:rPr>
              <w:t>.</w:t>
            </w:r>
            <w:r>
              <w:rPr>
                <w:rFonts w:ascii="Times New Roman" w:hAnsi="Times New Roman" w:eastAsia="宋体" w:cs="Times New Roman"/>
                <w:color w:val="auto"/>
                <w:kern w:val="0"/>
                <w:sz w:val="21"/>
                <w:szCs w:val="21"/>
              </w:rPr>
              <w:t>表中带 “*” 号的项目为否决项：达不到“**”项目要求的，归为D类库；达不到“*” 号项目要求的，归为C类库。</w:t>
            </w:r>
          </w:p>
          <w:p w14:paraId="6311B30C">
            <w:pPr>
              <w:spacing w:line="300" w:lineRule="exact"/>
              <w:ind w:firstLine="0" w:firstLineChars="0"/>
              <w:jc w:val="left"/>
              <w:rPr>
                <w:rFonts w:hint="eastAsia"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2</w:t>
            </w:r>
            <w:r>
              <w:rPr>
                <w:rFonts w:hint="eastAsia" w:ascii="Times New Roman" w:hAnsi="Times New Roman" w:eastAsia="宋体" w:cs="Times New Roman"/>
                <w:color w:val="auto"/>
                <w:kern w:val="0"/>
                <w:sz w:val="21"/>
                <w:szCs w:val="21"/>
              </w:rPr>
              <w:t>.</w:t>
            </w:r>
            <w:r>
              <w:rPr>
                <w:rFonts w:ascii="Times New Roman" w:hAnsi="Times New Roman" w:eastAsia="宋体" w:cs="Times New Roman"/>
                <w:color w:val="auto"/>
                <w:kern w:val="0"/>
                <w:sz w:val="21"/>
                <w:szCs w:val="21"/>
              </w:rPr>
              <w:t>本表评价内容，采用百分制。</w:t>
            </w:r>
          </w:p>
          <w:p w14:paraId="120FD714">
            <w:pPr>
              <w:spacing w:line="300" w:lineRule="exact"/>
              <w:ind w:firstLine="0" w:firstLineChars="0"/>
              <w:jc w:val="left"/>
              <w:rPr>
                <w:rFonts w:hint="eastAsia"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3</w:t>
            </w:r>
            <w:r>
              <w:rPr>
                <w:rFonts w:hint="eastAsia" w:ascii="Times New Roman" w:hAnsi="Times New Roman" w:eastAsia="宋体" w:cs="Times New Roman"/>
                <w:color w:val="auto"/>
                <w:kern w:val="0"/>
                <w:sz w:val="21"/>
                <w:szCs w:val="21"/>
              </w:rPr>
              <w:t>.</w:t>
            </w:r>
            <w:r>
              <w:rPr>
                <w:rFonts w:ascii="Times New Roman" w:hAnsi="Times New Roman" w:eastAsia="宋体" w:cs="Times New Roman"/>
                <w:color w:val="auto"/>
                <w:kern w:val="0"/>
                <w:sz w:val="21"/>
                <w:szCs w:val="21"/>
              </w:rPr>
              <w:t>尾矿库分类，采用得分率。因尾矿库型式不同，没有涉及的项目，可不予评估，总分为实际评价项目的分值总和。最后得分采用得分率，即：实际评价得分÷实际评价项目的分值总和×100%</w:t>
            </w:r>
            <w:r>
              <w:rPr>
                <w:rFonts w:hint="eastAsia" w:ascii="Times New Roman" w:hAnsi="Times New Roman" w:eastAsia="宋体" w:cs="Times New Roman"/>
                <w:color w:val="auto"/>
                <w:kern w:val="0"/>
                <w:sz w:val="21"/>
                <w:szCs w:val="21"/>
              </w:rPr>
              <w:t>.</w:t>
            </w:r>
          </w:p>
          <w:p w14:paraId="2CF2057A">
            <w:pPr>
              <w:spacing w:line="300" w:lineRule="exact"/>
              <w:ind w:firstLine="0" w:firstLineChars="0"/>
              <w:jc w:val="left"/>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4</w:t>
            </w:r>
            <w:r>
              <w:rPr>
                <w:rFonts w:hint="eastAsia" w:ascii="Times New Roman" w:hAnsi="Times New Roman" w:eastAsia="宋体" w:cs="Times New Roman"/>
                <w:color w:val="auto"/>
                <w:kern w:val="0"/>
                <w:sz w:val="21"/>
                <w:szCs w:val="21"/>
              </w:rPr>
              <w:t>.</w:t>
            </w:r>
            <w:r>
              <w:rPr>
                <w:rFonts w:ascii="Times New Roman" w:hAnsi="Times New Roman" w:eastAsia="宋体" w:cs="Times New Roman"/>
                <w:color w:val="auto"/>
                <w:kern w:val="0"/>
                <w:sz w:val="21"/>
                <w:szCs w:val="21"/>
              </w:rPr>
              <w:t>评价方法及扣分尺度，评价人员根据实际情况具体掌握。</w:t>
            </w:r>
          </w:p>
        </w:tc>
        <w:tc>
          <w:tcPr>
            <w:tcW w:w="1206" w:type="pct"/>
            <w:tcBorders>
              <w:top w:val="single" w:color="auto" w:sz="4" w:space="0"/>
              <w:left w:val="single" w:color="auto" w:sz="4" w:space="0"/>
              <w:bottom w:val="single" w:color="000000" w:sz="2" w:space="0"/>
              <w:right w:val="single" w:color="000000" w:sz="2" w:space="0"/>
            </w:tcBorders>
            <w:noWrap w:val="0"/>
            <w:vAlign w:val="center"/>
          </w:tcPr>
          <w:p w14:paraId="18944CC5">
            <w:pPr>
              <w:spacing w:line="300" w:lineRule="exact"/>
              <w:ind w:firstLine="0" w:firstLineChars="0"/>
              <w:jc w:val="left"/>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标准分120分</w:t>
            </w:r>
          </w:p>
        </w:tc>
      </w:tr>
    </w:tbl>
    <w:p w14:paraId="3021834B">
      <w:pPr>
        <w:keepNext/>
        <w:keepLines/>
        <w:widowControl w:val="0"/>
        <w:bidi w:val="0"/>
        <w:spacing w:beforeLines="0" w:beforeAutospacing="0" w:afterLines="0" w:afterAutospacing="0" w:line="360" w:lineRule="auto"/>
        <w:ind w:left="560" w:leftChars="200" w:firstLine="281" w:firstLineChars="100"/>
        <w:jc w:val="both"/>
        <w:outlineLvl w:val="2"/>
        <w:rPr>
          <w:rFonts w:hint="eastAsia" w:ascii="Times New Roman" w:hAnsi="Times New Roman" w:eastAsia="黑体" w:cs="Times New Roman"/>
          <w:b/>
          <w:color w:val="auto"/>
          <w:kern w:val="2"/>
          <w:sz w:val="28"/>
          <w:szCs w:val="24"/>
          <w:lang w:val="en-US" w:eastAsia="zh-CN" w:bidi="ar-SA"/>
        </w:rPr>
      </w:pPr>
      <w:bookmarkStart w:id="587" w:name="_Toc7986"/>
      <w:bookmarkStart w:id="588" w:name="_Toc12899"/>
      <w:bookmarkStart w:id="589" w:name="_Toc3271"/>
      <w:bookmarkStart w:id="590" w:name="_Toc7277"/>
      <w:bookmarkStart w:id="591" w:name="_Toc19798"/>
      <w:bookmarkStart w:id="592" w:name="_Toc21933"/>
      <w:bookmarkStart w:id="593" w:name="_Toc14284"/>
      <w:r>
        <w:rPr>
          <w:rFonts w:hint="eastAsia" w:ascii="Times New Roman" w:hAnsi="Times New Roman" w:eastAsia="黑体" w:cs="Times New Roman"/>
          <w:b/>
          <w:color w:val="auto"/>
          <w:kern w:val="2"/>
          <w:sz w:val="28"/>
          <w:szCs w:val="24"/>
          <w:lang w:val="en-US" w:eastAsia="zh-CN" w:bidi="ar-SA"/>
        </w:rPr>
        <w:t>5.7.3 尾矿库综合评分表</w:t>
      </w:r>
      <w:bookmarkEnd w:id="587"/>
      <w:bookmarkEnd w:id="588"/>
      <w:bookmarkEnd w:id="589"/>
      <w:bookmarkEnd w:id="590"/>
      <w:bookmarkEnd w:id="591"/>
      <w:bookmarkEnd w:id="592"/>
      <w:bookmarkEnd w:id="593"/>
    </w:p>
    <w:p w14:paraId="5E026C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表5</w:t>
      </w:r>
      <w:r>
        <w:rPr>
          <w:rFonts w:hint="eastAsia" w:cs="Times New Roman"/>
          <w:color w:val="auto"/>
          <w:lang w:val="en-US" w:eastAsia="zh-CN"/>
        </w:rPr>
        <w:t>.7</w:t>
      </w:r>
      <w:r>
        <w:rPr>
          <w:rFonts w:hint="eastAsia" w:ascii="Times New Roman" w:hAnsi="Times New Roman" w:eastAsia="宋体" w:cs="Times New Roman"/>
          <w:color w:val="auto"/>
          <w:lang w:eastAsia="zh-CN"/>
        </w:rPr>
        <w:t>-</w:t>
      </w:r>
      <w:r>
        <w:rPr>
          <w:rFonts w:hint="eastAsia" w:cs="Times New Roman"/>
          <w:color w:val="auto"/>
          <w:lang w:val="en-US" w:eastAsia="zh-CN"/>
        </w:rPr>
        <w:t>2</w:t>
      </w:r>
      <w:r>
        <w:rPr>
          <w:rFonts w:hint="eastAsia"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lang w:eastAsia="zh-CN"/>
        </w:rPr>
        <w:t>尾矿库综合评分表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3420"/>
        <w:gridCol w:w="1620"/>
        <w:gridCol w:w="1620"/>
        <w:gridCol w:w="1620"/>
      </w:tblGrid>
      <w:tr w14:paraId="78712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noWrap w:val="0"/>
            <w:vAlign w:val="center"/>
          </w:tcPr>
          <w:p w14:paraId="11AA14CF">
            <w:pPr>
              <w:spacing w:line="300" w:lineRule="exact"/>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序号</w:t>
            </w:r>
          </w:p>
        </w:tc>
        <w:tc>
          <w:tcPr>
            <w:tcW w:w="1841" w:type="pct"/>
            <w:noWrap w:val="0"/>
            <w:vAlign w:val="center"/>
          </w:tcPr>
          <w:p w14:paraId="4CE541F8">
            <w:pPr>
              <w:spacing w:line="300" w:lineRule="exact"/>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评价项目</w:t>
            </w:r>
          </w:p>
        </w:tc>
        <w:tc>
          <w:tcPr>
            <w:tcW w:w="872" w:type="pct"/>
            <w:noWrap w:val="0"/>
            <w:vAlign w:val="center"/>
          </w:tcPr>
          <w:p w14:paraId="50501E60">
            <w:pPr>
              <w:spacing w:line="300" w:lineRule="exact"/>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应得分</w:t>
            </w:r>
          </w:p>
        </w:tc>
        <w:tc>
          <w:tcPr>
            <w:tcW w:w="872" w:type="pct"/>
            <w:noWrap w:val="0"/>
            <w:vAlign w:val="center"/>
          </w:tcPr>
          <w:p w14:paraId="352C0092">
            <w:pPr>
              <w:spacing w:line="300" w:lineRule="exact"/>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实得分</w:t>
            </w:r>
          </w:p>
        </w:tc>
        <w:tc>
          <w:tcPr>
            <w:tcW w:w="872" w:type="pct"/>
            <w:noWrap w:val="0"/>
            <w:vAlign w:val="center"/>
          </w:tcPr>
          <w:p w14:paraId="4B0BCA21">
            <w:pPr>
              <w:spacing w:line="300" w:lineRule="exact"/>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得分率</w:t>
            </w:r>
            <w:r>
              <w:rPr>
                <w:rFonts w:hint="eastAsia" w:ascii="Times New Roman" w:hAnsi="Times New Roman" w:eastAsia="宋体" w:cs="Times New Roman"/>
                <w:color w:val="auto"/>
                <w:sz w:val="21"/>
                <w:szCs w:val="21"/>
              </w:rPr>
              <w:t>（%）</w:t>
            </w:r>
          </w:p>
        </w:tc>
      </w:tr>
      <w:tr w14:paraId="10696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noWrap w:val="0"/>
            <w:vAlign w:val="center"/>
          </w:tcPr>
          <w:p w14:paraId="63A4F059">
            <w:pPr>
              <w:spacing w:line="300" w:lineRule="exact"/>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w:t>
            </w:r>
          </w:p>
        </w:tc>
        <w:tc>
          <w:tcPr>
            <w:tcW w:w="1841" w:type="pct"/>
            <w:noWrap w:val="0"/>
            <w:vAlign w:val="center"/>
          </w:tcPr>
          <w:p w14:paraId="27EA1C5E">
            <w:pPr>
              <w:spacing w:line="300" w:lineRule="exact"/>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综合安全管理单元</w:t>
            </w:r>
          </w:p>
        </w:tc>
        <w:tc>
          <w:tcPr>
            <w:tcW w:w="872" w:type="pct"/>
            <w:noWrap w:val="0"/>
            <w:vAlign w:val="center"/>
          </w:tcPr>
          <w:p w14:paraId="4F987238">
            <w:pPr>
              <w:spacing w:line="300" w:lineRule="exact"/>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51</w:t>
            </w:r>
          </w:p>
        </w:tc>
        <w:tc>
          <w:tcPr>
            <w:tcW w:w="872" w:type="pct"/>
            <w:noWrap w:val="0"/>
            <w:vAlign w:val="center"/>
          </w:tcPr>
          <w:p w14:paraId="405A498C">
            <w:pPr>
              <w:spacing w:line="30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4</w:t>
            </w:r>
            <w:r>
              <w:rPr>
                <w:rFonts w:hint="eastAsia" w:cs="Times New Roman"/>
                <w:color w:val="auto"/>
                <w:sz w:val="21"/>
                <w:szCs w:val="21"/>
                <w:lang w:val="en-US" w:eastAsia="zh-CN"/>
              </w:rPr>
              <w:t>3</w:t>
            </w:r>
          </w:p>
        </w:tc>
        <w:tc>
          <w:tcPr>
            <w:tcW w:w="872" w:type="pct"/>
            <w:noWrap w:val="0"/>
            <w:vAlign w:val="center"/>
          </w:tcPr>
          <w:p w14:paraId="2654D0B5">
            <w:pPr>
              <w:spacing w:line="30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84.31</w:t>
            </w:r>
          </w:p>
        </w:tc>
      </w:tr>
      <w:tr w14:paraId="75244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noWrap w:val="0"/>
            <w:vAlign w:val="center"/>
          </w:tcPr>
          <w:p w14:paraId="594E5636">
            <w:pPr>
              <w:spacing w:line="300" w:lineRule="exact"/>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w:t>
            </w:r>
          </w:p>
        </w:tc>
        <w:tc>
          <w:tcPr>
            <w:tcW w:w="1841" w:type="pct"/>
            <w:noWrap w:val="0"/>
            <w:vAlign w:val="center"/>
          </w:tcPr>
          <w:p w14:paraId="5BB7055B">
            <w:pPr>
              <w:spacing w:line="300" w:lineRule="exact"/>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尾矿坝体单元</w:t>
            </w:r>
          </w:p>
        </w:tc>
        <w:tc>
          <w:tcPr>
            <w:tcW w:w="1620" w:type="dxa"/>
            <w:noWrap w:val="0"/>
            <w:vAlign w:val="center"/>
          </w:tcPr>
          <w:p w14:paraId="0B55D91F">
            <w:pPr>
              <w:spacing w:line="30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60</w:t>
            </w:r>
          </w:p>
        </w:tc>
        <w:tc>
          <w:tcPr>
            <w:tcW w:w="1620" w:type="dxa"/>
            <w:noWrap w:val="0"/>
            <w:vAlign w:val="center"/>
          </w:tcPr>
          <w:p w14:paraId="2D201BCB">
            <w:pPr>
              <w:spacing w:line="30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56</w:t>
            </w:r>
          </w:p>
        </w:tc>
        <w:tc>
          <w:tcPr>
            <w:tcW w:w="1620" w:type="dxa"/>
            <w:noWrap w:val="0"/>
            <w:vAlign w:val="center"/>
          </w:tcPr>
          <w:p w14:paraId="276BC005">
            <w:pPr>
              <w:spacing w:line="30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93.33</w:t>
            </w:r>
          </w:p>
        </w:tc>
      </w:tr>
      <w:tr w14:paraId="45EFC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noWrap w:val="0"/>
            <w:vAlign w:val="center"/>
          </w:tcPr>
          <w:p w14:paraId="43A04BFC">
            <w:pPr>
              <w:spacing w:line="300" w:lineRule="exact"/>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w:t>
            </w:r>
          </w:p>
        </w:tc>
        <w:tc>
          <w:tcPr>
            <w:tcW w:w="1841" w:type="pct"/>
            <w:noWrap w:val="0"/>
            <w:vAlign w:val="center"/>
          </w:tcPr>
          <w:p w14:paraId="780B841B">
            <w:pPr>
              <w:spacing w:line="300" w:lineRule="exact"/>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防排洪系统单元</w:t>
            </w:r>
          </w:p>
        </w:tc>
        <w:tc>
          <w:tcPr>
            <w:tcW w:w="1620" w:type="dxa"/>
            <w:noWrap w:val="0"/>
            <w:vAlign w:val="center"/>
          </w:tcPr>
          <w:p w14:paraId="32153CB6">
            <w:pPr>
              <w:spacing w:line="30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w:t>
            </w:r>
          </w:p>
        </w:tc>
        <w:tc>
          <w:tcPr>
            <w:tcW w:w="1620" w:type="dxa"/>
            <w:noWrap w:val="0"/>
            <w:vAlign w:val="center"/>
          </w:tcPr>
          <w:p w14:paraId="14FB1225">
            <w:pPr>
              <w:spacing w:line="30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36</w:t>
            </w:r>
          </w:p>
        </w:tc>
        <w:tc>
          <w:tcPr>
            <w:tcW w:w="1620" w:type="dxa"/>
            <w:noWrap w:val="0"/>
            <w:vAlign w:val="center"/>
          </w:tcPr>
          <w:p w14:paraId="5471E950">
            <w:pPr>
              <w:spacing w:line="30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87.80</w:t>
            </w:r>
          </w:p>
        </w:tc>
      </w:tr>
      <w:tr w14:paraId="037A4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noWrap w:val="0"/>
            <w:vAlign w:val="center"/>
          </w:tcPr>
          <w:p w14:paraId="5094FA35">
            <w:pPr>
              <w:spacing w:line="300" w:lineRule="exact"/>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w:t>
            </w:r>
          </w:p>
        </w:tc>
        <w:tc>
          <w:tcPr>
            <w:tcW w:w="1841" w:type="pct"/>
            <w:noWrap w:val="0"/>
            <w:vAlign w:val="center"/>
          </w:tcPr>
          <w:p w14:paraId="27E94573">
            <w:pPr>
              <w:spacing w:line="300" w:lineRule="exact"/>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库区环境单元</w:t>
            </w:r>
          </w:p>
        </w:tc>
        <w:tc>
          <w:tcPr>
            <w:tcW w:w="1620" w:type="dxa"/>
            <w:noWrap w:val="0"/>
            <w:vAlign w:val="center"/>
          </w:tcPr>
          <w:p w14:paraId="1E0572E2">
            <w:pPr>
              <w:spacing w:line="300" w:lineRule="exact"/>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7</w:t>
            </w:r>
          </w:p>
        </w:tc>
        <w:tc>
          <w:tcPr>
            <w:tcW w:w="1620" w:type="dxa"/>
            <w:noWrap w:val="0"/>
            <w:vAlign w:val="center"/>
          </w:tcPr>
          <w:p w14:paraId="70732FA0">
            <w:pPr>
              <w:spacing w:line="300" w:lineRule="exact"/>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7</w:t>
            </w:r>
          </w:p>
        </w:tc>
        <w:tc>
          <w:tcPr>
            <w:tcW w:w="1620" w:type="dxa"/>
            <w:noWrap w:val="0"/>
            <w:vAlign w:val="center"/>
          </w:tcPr>
          <w:p w14:paraId="1CF023AA">
            <w:pPr>
              <w:spacing w:line="30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w:t>
            </w:r>
          </w:p>
        </w:tc>
      </w:tr>
      <w:tr w14:paraId="22CD3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noWrap w:val="0"/>
            <w:vAlign w:val="center"/>
          </w:tcPr>
          <w:p w14:paraId="1F4E33D9">
            <w:pPr>
              <w:spacing w:line="300" w:lineRule="exact"/>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合计</w:t>
            </w:r>
          </w:p>
        </w:tc>
        <w:tc>
          <w:tcPr>
            <w:tcW w:w="1841" w:type="pct"/>
            <w:noWrap w:val="0"/>
            <w:vAlign w:val="center"/>
          </w:tcPr>
          <w:p w14:paraId="614EAD84">
            <w:pPr>
              <w:spacing w:line="300" w:lineRule="exact"/>
              <w:ind w:firstLine="0" w:firstLineChars="0"/>
              <w:jc w:val="center"/>
              <w:rPr>
                <w:rFonts w:ascii="Times New Roman" w:hAnsi="Times New Roman" w:eastAsia="宋体" w:cs="Times New Roman"/>
                <w:color w:val="auto"/>
                <w:sz w:val="21"/>
                <w:szCs w:val="21"/>
              </w:rPr>
            </w:pPr>
          </w:p>
        </w:tc>
        <w:tc>
          <w:tcPr>
            <w:tcW w:w="872" w:type="pct"/>
            <w:noWrap w:val="0"/>
            <w:vAlign w:val="center"/>
          </w:tcPr>
          <w:p w14:paraId="3F7E3D62">
            <w:pPr>
              <w:spacing w:line="30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159</w:t>
            </w:r>
          </w:p>
        </w:tc>
        <w:tc>
          <w:tcPr>
            <w:tcW w:w="872" w:type="pct"/>
            <w:noWrap w:val="0"/>
            <w:vAlign w:val="center"/>
          </w:tcPr>
          <w:p w14:paraId="61B6426A">
            <w:pPr>
              <w:spacing w:line="30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142</w:t>
            </w:r>
          </w:p>
        </w:tc>
        <w:tc>
          <w:tcPr>
            <w:tcW w:w="872" w:type="pct"/>
            <w:noWrap w:val="0"/>
            <w:vAlign w:val="center"/>
          </w:tcPr>
          <w:p w14:paraId="6AE370E8">
            <w:pPr>
              <w:spacing w:line="30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89.31</w:t>
            </w:r>
          </w:p>
        </w:tc>
      </w:tr>
    </w:tbl>
    <w:p w14:paraId="0B41362E">
      <w:pPr>
        <w:keepNext/>
        <w:keepLines/>
        <w:widowControl w:val="0"/>
        <w:bidi w:val="0"/>
        <w:spacing w:beforeLines="0" w:beforeAutospacing="0" w:afterLines="0" w:afterAutospacing="0" w:line="360" w:lineRule="auto"/>
        <w:ind w:left="560" w:leftChars="200" w:firstLine="0" w:firstLineChars="0"/>
        <w:jc w:val="both"/>
        <w:outlineLvl w:val="2"/>
        <w:rPr>
          <w:rFonts w:hint="eastAsia" w:ascii="Times New Roman" w:hAnsi="Times New Roman" w:eastAsia="黑体" w:cs="Times New Roman"/>
          <w:b/>
          <w:color w:val="auto"/>
          <w:kern w:val="2"/>
          <w:sz w:val="28"/>
          <w:szCs w:val="24"/>
          <w:lang w:val="en-US" w:eastAsia="zh-CN" w:bidi="ar-SA"/>
        </w:rPr>
      </w:pPr>
      <w:bookmarkStart w:id="594" w:name="_Toc26440"/>
      <w:bookmarkStart w:id="595" w:name="_Toc13953"/>
      <w:bookmarkStart w:id="596" w:name="_Toc12575"/>
      <w:bookmarkStart w:id="597" w:name="_Toc10631"/>
      <w:bookmarkStart w:id="598" w:name="_Toc6262"/>
      <w:bookmarkStart w:id="599" w:name="_Toc20027"/>
      <w:bookmarkStart w:id="600" w:name="_Toc30263"/>
      <w:r>
        <w:rPr>
          <w:rFonts w:hint="eastAsia" w:ascii="Times New Roman" w:hAnsi="Times New Roman" w:eastAsia="黑体" w:cs="Times New Roman"/>
          <w:b/>
          <w:color w:val="auto"/>
          <w:kern w:val="2"/>
          <w:sz w:val="28"/>
          <w:szCs w:val="24"/>
          <w:lang w:val="en-US" w:eastAsia="zh-CN" w:bidi="ar-SA"/>
        </w:rPr>
        <w:t>5.7.4 评价结论</w:t>
      </w:r>
      <w:bookmarkEnd w:id="594"/>
      <w:bookmarkEnd w:id="595"/>
      <w:bookmarkEnd w:id="596"/>
      <w:bookmarkEnd w:id="597"/>
      <w:bookmarkEnd w:id="598"/>
      <w:bookmarkEnd w:id="599"/>
      <w:bookmarkEnd w:id="600"/>
    </w:p>
    <w:p w14:paraId="5CE88949">
      <w:pPr>
        <w:rPr>
          <w:rFonts w:hint="eastAsia" w:ascii="Times New Roman" w:hAnsi="Times New Roman" w:eastAsia="宋体" w:cs="Times New Roman"/>
          <w:b w:val="0"/>
          <w:bCs w:val="0"/>
          <w:color w:val="auto"/>
          <w:lang w:eastAsia="zh-CN"/>
        </w:rPr>
      </w:pPr>
      <w:r>
        <w:rPr>
          <w:rFonts w:hint="eastAsia"/>
        </w:rPr>
        <w:t>三号（氰化渣）尾矿库</w:t>
      </w:r>
      <w:r>
        <w:rPr>
          <w:rFonts w:hint="eastAsia" w:ascii="Times New Roman" w:hAnsi="Times New Roman" w:eastAsia="宋体" w:cs="Times New Roman"/>
          <w:b w:val="0"/>
          <w:bCs w:val="0"/>
          <w:color w:val="auto"/>
          <w:lang w:eastAsia="zh-CN"/>
        </w:rPr>
        <w:t>用安全检查表法评价得分率为</w:t>
      </w:r>
      <w:r>
        <w:rPr>
          <w:rFonts w:hint="eastAsia" w:cs="Times New Roman"/>
          <w:b w:val="0"/>
          <w:bCs w:val="0"/>
          <w:color w:val="auto"/>
          <w:lang w:val="en-US" w:eastAsia="zh-CN"/>
        </w:rPr>
        <w:t>89.31</w:t>
      </w:r>
      <w:r>
        <w:rPr>
          <w:rFonts w:hint="eastAsia" w:ascii="Times New Roman" w:hAnsi="Times New Roman" w:eastAsia="宋体" w:cs="Times New Roman"/>
          <w:b w:val="0"/>
          <w:bCs w:val="0"/>
          <w:color w:val="auto"/>
          <w:lang w:eastAsia="zh-CN"/>
        </w:rPr>
        <w:t>%，安全生产条件一般，能满足基本的安全生产活动，为正常库。</w:t>
      </w:r>
    </w:p>
    <w:p w14:paraId="5B0906F9">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br w:type="page"/>
      </w:r>
    </w:p>
    <w:p w14:paraId="15A1EE5A">
      <w:pPr>
        <w:pStyle w:val="2"/>
        <w:numPr>
          <w:ilvl w:val="0"/>
          <w:numId w:val="4"/>
        </w:numPr>
        <w:bidi w:val="0"/>
        <w:ind w:left="0" w:leftChars="0" w:firstLine="0" w:firstLineChars="0"/>
        <w:rPr>
          <w:rFonts w:hint="default"/>
          <w:color w:val="auto"/>
          <w:lang w:val="en-US" w:eastAsia="zh-CN"/>
        </w:rPr>
      </w:pPr>
      <w:bookmarkStart w:id="601" w:name="_Toc11665"/>
      <w:bookmarkStart w:id="602" w:name="_Toc8295"/>
      <w:bookmarkStart w:id="603" w:name="_Toc22398"/>
      <w:bookmarkStart w:id="604" w:name="_Toc24273"/>
      <w:bookmarkStart w:id="605" w:name="_Toc22577"/>
      <w:bookmarkStart w:id="606" w:name="_Toc1739"/>
      <w:r>
        <w:rPr>
          <w:rFonts w:hint="default"/>
          <w:color w:val="auto"/>
          <w:lang w:val="en-US" w:eastAsia="zh-CN"/>
        </w:rPr>
        <w:t>安全对策措施建议</w:t>
      </w:r>
      <w:bookmarkEnd w:id="601"/>
      <w:bookmarkEnd w:id="602"/>
      <w:bookmarkEnd w:id="603"/>
      <w:bookmarkEnd w:id="604"/>
      <w:bookmarkEnd w:id="605"/>
      <w:bookmarkEnd w:id="606"/>
    </w:p>
    <w:p w14:paraId="7F058A7C">
      <w:pPr>
        <w:pStyle w:val="3"/>
        <w:bidi w:val="0"/>
        <w:rPr>
          <w:rFonts w:hint="default"/>
          <w:color w:val="auto"/>
          <w:lang w:val="en-US" w:eastAsia="zh-CN"/>
        </w:rPr>
      </w:pPr>
      <w:bookmarkStart w:id="607" w:name="_Toc31689"/>
      <w:bookmarkStart w:id="608" w:name="_Toc3717"/>
      <w:bookmarkStart w:id="609" w:name="_Toc13077"/>
      <w:bookmarkStart w:id="610" w:name="_Toc25609"/>
      <w:bookmarkStart w:id="611" w:name="_Toc16596"/>
      <w:bookmarkStart w:id="612" w:name="_Toc16060"/>
      <w:r>
        <w:rPr>
          <w:rFonts w:hint="default"/>
          <w:color w:val="auto"/>
          <w:lang w:val="en-US" w:eastAsia="zh-CN"/>
        </w:rPr>
        <w:t>6.1</w:t>
      </w:r>
      <w:r>
        <w:rPr>
          <w:rFonts w:hint="eastAsia"/>
          <w:color w:val="auto"/>
          <w:lang w:val="en-US" w:eastAsia="zh-CN"/>
        </w:rPr>
        <w:t xml:space="preserve"> </w:t>
      </w:r>
      <w:r>
        <w:rPr>
          <w:rFonts w:hint="default"/>
          <w:color w:val="auto"/>
          <w:lang w:val="en-US" w:eastAsia="zh-CN"/>
        </w:rPr>
        <w:t>安全管理对策措施建议</w:t>
      </w:r>
      <w:bookmarkEnd w:id="607"/>
      <w:bookmarkEnd w:id="608"/>
      <w:bookmarkEnd w:id="609"/>
      <w:bookmarkEnd w:id="610"/>
      <w:bookmarkEnd w:id="611"/>
      <w:bookmarkEnd w:id="612"/>
    </w:p>
    <w:p w14:paraId="3E8F9E94">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 根据尾矿库现状，制定切实可行的各种尾矿库事故应急预案，并及时对预案进行演练、进行分析、记录，不断完善，使具有针对性、有效性和及时性。</w:t>
      </w:r>
    </w:p>
    <w:p w14:paraId="3DE01962">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 当尾矿库遇到严重影响安全运行的情况、发生比较严重的破坏现象或出现其他危险迹象时，应进行库区全面特别检查，必要时应组织专人对可能出现险情的部位进行连续监视。</w:t>
      </w:r>
    </w:p>
    <w:p w14:paraId="4A3DA2A9">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 重视和加强尾矿库的建设和管理资料的归档和保管工作。</w:t>
      </w:r>
    </w:p>
    <w:p w14:paraId="6EB10ED4">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 全面推行、持续改进尾矿库安全生产标准化体系建设工作，深化隐患排查治理体系、风险管控体系建设和全面推进班组建设。</w:t>
      </w:r>
    </w:p>
    <w:p w14:paraId="3C97311B">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 严格按照《尾矿库安全规程》、《尾矿库安全监督管理规定》和设计文件的要求，做好尾矿库堆放、排水、防汛、抗震等安全生产管理。</w:t>
      </w:r>
    </w:p>
    <w:p w14:paraId="0E0F1C49">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 定期修订尾矿库应急救援预案，每年至少组织一次应急演练。</w:t>
      </w:r>
    </w:p>
    <w:p w14:paraId="1A057F1D">
      <w:pPr>
        <w:rPr>
          <w:rFonts w:hint="default" w:ascii="Times New Roman" w:hAnsi="Times New Roman" w:eastAsia="宋体" w:cs="Times New Roman"/>
          <w:color w:val="auto"/>
          <w:lang w:val="en-US" w:eastAsia="zh-CN"/>
        </w:rPr>
      </w:pPr>
      <w:r>
        <w:rPr>
          <w:rFonts w:hint="eastAsia" w:cs="Times New Roman"/>
          <w:color w:val="auto"/>
          <w:lang w:val="en-US" w:eastAsia="zh-CN"/>
        </w:rPr>
        <w:t>7. 完善</w:t>
      </w:r>
      <w:r>
        <w:rPr>
          <w:rFonts w:hint="default" w:ascii="Times New Roman" w:hAnsi="Times New Roman" w:eastAsia="宋体" w:cs="Times New Roman"/>
          <w:color w:val="auto"/>
          <w:lang w:val="en-US" w:eastAsia="zh-CN"/>
        </w:rPr>
        <w:t>各项安全生产管理规章制度</w:t>
      </w:r>
      <w:r>
        <w:rPr>
          <w:rFonts w:hint="eastAsia" w:cs="Times New Roman"/>
          <w:color w:val="auto"/>
          <w:lang w:val="en-US" w:eastAsia="zh-CN"/>
        </w:rPr>
        <w:t>，如</w:t>
      </w:r>
      <w:r>
        <w:rPr>
          <w:rFonts w:hint="default" w:ascii="Times New Roman" w:hAnsi="Times New Roman" w:eastAsia="宋体" w:cs="Times New Roman"/>
          <w:color w:val="auto"/>
          <w:lang w:val="en-US" w:eastAsia="zh-CN"/>
        </w:rPr>
        <w:t>特殊状况安全检查制度</w:t>
      </w:r>
      <w:r>
        <w:rPr>
          <w:rFonts w:hint="eastAsia" w:cs="Times New Roman"/>
          <w:color w:val="auto"/>
          <w:lang w:val="en-US" w:eastAsia="zh-CN"/>
        </w:rPr>
        <w:t>、</w:t>
      </w:r>
      <w:r>
        <w:rPr>
          <w:rFonts w:hint="default" w:ascii="Times New Roman" w:hAnsi="Times New Roman" w:eastAsia="宋体" w:cs="Times New Roman"/>
          <w:color w:val="auto"/>
          <w:lang w:val="en-US" w:eastAsia="zh-CN"/>
        </w:rPr>
        <w:t>安全评价制度</w:t>
      </w:r>
      <w:r>
        <w:rPr>
          <w:rFonts w:hint="eastAsia" w:cs="Times New Roman"/>
          <w:color w:val="auto"/>
          <w:lang w:val="en-US" w:eastAsia="zh-CN"/>
        </w:rPr>
        <w:t>、</w:t>
      </w:r>
      <w:r>
        <w:rPr>
          <w:rFonts w:hint="default" w:ascii="Times New Roman" w:hAnsi="Times New Roman" w:eastAsia="宋体" w:cs="Times New Roman"/>
          <w:color w:val="auto"/>
          <w:lang w:val="en-US" w:eastAsia="zh-CN"/>
        </w:rPr>
        <w:t>尾矿库事故管理制度</w:t>
      </w:r>
      <w:r>
        <w:rPr>
          <w:rFonts w:hint="eastAsia" w:cs="Times New Roman"/>
          <w:color w:val="auto"/>
          <w:lang w:val="en-US" w:eastAsia="zh-CN"/>
        </w:rPr>
        <w:t>、</w:t>
      </w:r>
      <w:r>
        <w:rPr>
          <w:rFonts w:hint="default" w:ascii="Times New Roman" w:hAnsi="Times New Roman" w:eastAsia="宋体" w:cs="Times New Roman"/>
          <w:color w:val="auto"/>
          <w:lang w:val="en-US" w:eastAsia="zh-CN"/>
        </w:rPr>
        <w:t>监控监测</w:t>
      </w:r>
      <w:r>
        <w:rPr>
          <w:rFonts w:hint="eastAsia" w:cs="Times New Roman"/>
          <w:color w:val="auto"/>
          <w:lang w:val="en-US" w:eastAsia="zh-CN"/>
        </w:rPr>
        <w:t>等</w:t>
      </w:r>
      <w:r>
        <w:rPr>
          <w:rFonts w:hint="default" w:ascii="Times New Roman" w:hAnsi="Times New Roman" w:eastAsia="宋体" w:cs="Times New Roman"/>
          <w:color w:val="auto"/>
          <w:lang w:val="en-US" w:eastAsia="zh-CN"/>
        </w:rPr>
        <w:t>制度。</w:t>
      </w:r>
    </w:p>
    <w:p w14:paraId="434D9DE2">
      <w:pPr>
        <w:pStyle w:val="3"/>
        <w:bidi w:val="0"/>
        <w:rPr>
          <w:rFonts w:hint="default"/>
          <w:color w:val="auto"/>
          <w:lang w:val="en-US" w:eastAsia="zh-CN"/>
        </w:rPr>
      </w:pPr>
      <w:bookmarkStart w:id="613" w:name="_Toc10356"/>
      <w:bookmarkStart w:id="614" w:name="_Toc4297"/>
      <w:bookmarkStart w:id="615" w:name="_Toc28849"/>
      <w:bookmarkStart w:id="616" w:name="_Toc24353"/>
      <w:bookmarkStart w:id="617" w:name="_Toc28413"/>
      <w:r>
        <w:rPr>
          <w:rFonts w:hint="default"/>
          <w:color w:val="auto"/>
          <w:lang w:val="en-US" w:eastAsia="zh-CN"/>
        </w:rPr>
        <w:t>6.2</w:t>
      </w:r>
      <w:r>
        <w:rPr>
          <w:rFonts w:hint="eastAsia"/>
          <w:color w:val="auto"/>
          <w:lang w:val="en-US" w:eastAsia="zh-CN"/>
        </w:rPr>
        <w:t xml:space="preserve"> </w:t>
      </w:r>
      <w:r>
        <w:rPr>
          <w:rFonts w:hint="default"/>
          <w:color w:val="auto"/>
          <w:lang w:val="en-US" w:eastAsia="zh-CN"/>
        </w:rPr>
        <w:t>安全技术对策措施建议</w:t>
      </w:r>
      <w:bookmarkEnd w:id="613"/>
      <w:bookmarkEnd w:id="614"/>
      <w:bookmarkEnd w:id="615"/>
      <w:bookmarkEnd w:id="616"/>
      <w:bookmarkEnd w:id="617"/>
    </w:p>
    <w:p w14:paraId="7C2A4B11">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 按设计要求落实好放矿筑坝工作，应做好：</w:t>
      </w:r>
    </w:p>
    <w:p w14:paraId="089EB1DC">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r>
        <w:rPr>
          <w:rFonts w:hint="eastAsia" w:cs="Times New Roman"/>
          <w:color w:val="auto"/>
          <w:lang w:val="en-US" w:eastAsia="zh-CN"/>
        </w:rPr>
        <w:t>1</w:t>
      </w:r>
      <w:r>
        <w:rPr>
          <w:rFonts w:hint="default" w:ascii="Times New Roman" w:hAnsi="Times New Roman" w:eastAsia="宋体" w:cs="Times New Roman"/>
          <w:color w:val="auto"/>
          <w:lang w:val="en-US" w:eastAsia="zh-CN"/>
        </w:rPr>
        <w:t>）尾矿滤饼运输、倾倒、摊铺、碾压及堆积子坝修整过程中，应加强施工机械和作业现场安全管理，杜绝车辆伤害事故发生。</w:t>
      </w:r>
    </w:p>
    <w:p w14:paraId="66F2F7FD">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r>
        <w:rPr>
          <w:rFonts w:hint="eastAsia" w:cs="Times New Roman"/>
          <w:color w:val="auto"/>
          <w:lang w:val="en-US" w:eastAsia="zh-CN"/>
        </w:rPr>
        <w:t>2</w:t>
      </w:r>
      <w:r>
        <w:rPr>
          <w:rFonts w:hint="default" w:ascii="Times New Roman" w:hAnsi="Times New Roman" w:eastAsia="宋体" w:cs="Times New Roman"/>
          <w:color w:val="auto"/>
          <w:lang w:val="en-US" w:eastAsia="zh-CN"/>
        </w:rPr>
        <w:t>）入库尾矿应及时碾压，未经碾压的尾矿应采用塑料薄膜对暴露尾砂面进行覆盖，防止扬尘以及尾砂因其他外部因素导致含水率增大，从源头上杜绝扬尘现象的发生。</w:t>
      </w:r>
    </w:p>
    <w:p w14:paraId="31745DF1">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r>
        <w:rPr>
          <w:rFonts w:hint="eastAsia" w:cs="Times New Roman"/>
          <w:color w:val="auto"/>
          <w:lang w:val="en-US" w:eastAsia="zh-CN"/>
        </w:rPr>
        <w:t>3</w:t>
      </w:r>
      <w:r>
        <w:rPr>
          <w:rFonts w:hint="default" w:ascii="Times New Roman" w:hAnsi="Times New Roman" w:eastAsia="宋体" w:cs="Times New Roman"/>
          <w:color w:val="auto"/>
          <w:lang w:val="en-US" w:eastAsia="zh-CN"/>
        </w:rPr>
        <w:t>）堆积子坝形成后，应及时覆土、植被。</w:t>
      </w:r>
    </w:p>
    <w:p w14:paraId="46BC08A1">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 加强尾矿库的维护与管理，汛期来临之前，应做好：</w:t>
      </w:r>
    </w:p>
    <w:p w14:paraId="58E9E15D">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（1）检查坝的稳定性、质量和排洪、泄洪系统的防、泄洪能力，发现隐患，及时处理消除；</w:t>
      </w:r>
    </w:p>
    <w:p w14:paraId="07658AE1">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（2）及时清除库区排洪设施、块石和树木杂草，尤其要做好库区排水口的清堵除堵工作，避免汛期因排洪设施进水口淤积而出现洪水漫顶现象；</w:t>
      </w:r>
    </w:p>
    <w:p w14:paraId="36A99A60">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（3）备好充足的抗洪抢险器材和物质，配备救生设备；</w:t>
      </w:r>
    </w:p>
    <w:p w14:paraId="57659B91">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（4）汛期应加强库区巡查，及时发现并处理事故隐患，及时发现并清除尾矿库排水设施的淤堵，确保排洪系统通道畅通。</w:t>
      </w:r>
    </w:p>
    <w:p w14:paraId="749D3CF6">
      <w:pPr>
        <w:rPr>
          <w:rFonts w:hint="default" w:ascii="Times New Roman" w:hAnsi="Times New Roman" w:eastAsia="宋体" w:cs="Times New Roman"/>
          <w:color w:val="auto"/>
          <w:lang w:val="en-US" w:eastAsia="zh-CN"/>
        </w:rPr>
      </w:pPr>
      <w:r>
        <w:rPr>
          <w:rFonts w:hint="eastAsia" w:cs="Times New Roman"/>
          <w:color w:val="auto"/>
          <w:lang w:val="en-US" w:eastAsia="zh-CN"/>
        </w:rPr>
        <w:t>3</w:t>
      </w:r>
      <w:r>
        <w:rPr>
          <w:rFonts w:hint="default" w:ascii="Times New Roman" w:hAnsi="Times New Roman" w:eastAsia="宋体" w:cs="Times New Roman"/>
          <w:color w:val="auto"/>
          <w:lang w:val="en-US" w:eastAsia="zh-CN"/>
        </w:rPr>
        <w:t>. 为尾矿工配置安全带、安全绳、救生衣等劳动防护用品，并培训、督促尾矿工正确使用劳动防护用品和作业工具，确保作业过程中的人身安全。</w:t>
      </w:r>
    </w:p>
    <w:p w14:paraId="2DFF5AD5">
      <w:pPr>
        <w:rPr>
          <w:rFonts w:hint="default" w:ascii="Times New Roman" w:hAnsi="Times New Roman" w:eastAsia="宋体" w:cs="Times New Roman"/>
          <w:color w:val="auto"/>
          <w:lang w:val="en-US" w:eastAsia="zh-CN"/>
        </w:rPr>
      </w:pPr>
      <w:r>
        <w:rPr>
          <w:rFonts w:hint="eastAsia" w:cs="Times New Roman"/>
          <w:color w:val="auto"/>
          <w:lang w:val="en-US" w:eastAsia="zh-CN"/>
        </w:rPr>
        <w:t>4</w:t>
      </w:r>
      <w:r>
        <w:rPr>
          <w:rFonts w:hint="default" w:ascii="Times New Roman" w:hAnsi="Times New Roman" w:eastAsia="宋体" w:cs="Times New Roman"/>
          <w:color w:val="auto"/>
          <w:lang w:val="en-US" w:eastAsia="zh-CN"/>
        </w:rPr>
        <w:t>. 加强日常检查和维护好安全监测设施，加强在线监测设施操作培训，持续做好坝体位移沉降、浸润线埋深、库水位、沉积滩干滩长度等运行参数的观测，保存好观测、分析记录。如果发现浸润线埋深观测值低于设计值或高于预警值，或坝体位移沉降观测值波动较大或高于预警值时，应迅速查明原因，采取相应处置措施予以处理。</w:t>
      </w:r>
    </w:p>
    <w:p w14:paraId="19AE1ABD">
      <w:pPr>
        <w:rPr>
          <w:rFonts w:hint="eastAsia" w:cs="Times New Roman"/>
          <w:color w:val="auto"/>
          <w:lang w:val="en-US" w:eastAsia="zh-CN"/>
        </w:rPr>
      </w:pPr>
      <w:r>
        <w:rPr>
          <w:rFonts w:hint="eastAsia" w:cs="Times New Roman"/>
          <w:color w:val="auto"/>
          <w:lang w:val="en-US" w:eastAsia="zh-CN"/>
        </w:rPr>
        <w:t>5</w:t>
      </w:r>
      <w:r>
        <w:rPr>
          <w:rFonts w:hint="default" w:ascii="Times New Roman" w:hAnsi="Times New Roman" w:eastAsia="宋体" w:cs="Times New Roman"/>
          <w:color w:val="auto"/>
          <w:lang w:val="en-US" w:eastAsia="zh-CN"/>
        </w:rPr>
        <w:t>. 应加强库区山体巡查，详细观察周边山体有无异常和急变，尤其是库区周边放牧、开垦、砍伐等情况</w:t>
      </w:r>
      <w:r>
        <w:rPr>
          <w:rFonts w:hint="eastAsia" w:cs="Times New Roman"/>
          <w:color w:val="auto"/>
          <w:lang w:val="en-US" w:eastAsia="zh-CN"/>
        </w:rPr>
        <w:t>。</w:t>
      </w:r>
    </w:p>
    <w:p w14:paraId="6DD4BC1B">
      <w:pPr>
        <w:rPr>
          <w:rFonts w:hint="default" w:ascii="Times New Roman" w:hAnsi="Times New Roman" w:eastAsia="宋体" w:cs="Times New Roman"/>
          <w:color w:val="auto"/>
          <w:lang w:val="en-US" w:eastAsia="zh-CN"/>
        </w:rPr>
      </w:pPr>
      <w:r>
        <w:rPr>
          <w:rFonts w:hint="eastAsia" w:cs="Times New Roman"/>
          <w:color w:val="auto"/>
          <w:lang w:val="en-US" w:eastAsia="zh-CN"/>
        </w:rPr>
        <w:t xml:space="preserve">6. </w:t>
      </w:r>
      <w:r>
        <w:rPr>
          <w:rFonts w:hint="default" w:ascii="Times New Roman" w:hAnsi="Times New Roman" w:eastAsia="宋体" w:cs="Times New Roman"/>
          <w:color w:val="auto"/>
          <w:lang w:val="en-US" w:eastAsia="zh-CN"/>
        </w:rPr>
        <w:t>适时刷新库水位标尺，并标明正常运行水位和警戒水位。</w:t>
      </w:r>
    </w:p>
    <w:p w14:paraId="13D377FD">
      <w:pPr>
        <w:rPr>
          <w:rFonts w:hint="eastAsia" w:cs="Times New Roman"/>
          <w:color w:val="auto"/>
          <w:lang w:val="en-US" w:eastAsia="zh-CN"/>
        </w:rPr>
      </w:pPr>
      <w:r>
        <w:rPr>
          <w:rFonts w:hint="eastAsia" w:cs="Times New Roman"/>
          <w:color w:val="auto"/>
          <w:lang w:val="en-US" w:eastAsia="zh-CN"/>
        </w:rPr>
        <w:t>7. 无黏性、少黏性尾矿分层厚度不得超过0.8m，黏性尾矿分层厚度不得超过0.5m。</w:t>
      </w:r>
    </w:p>
    <w:p w14:paraId="2610F783">
      <w:pPr>
        <w:rPr>
          <w:rFonts w:hint="eastAsia" w:ascii="Times New Roman" w:hAnsi="Times New Roman" w:eastAsia="宋体" w:cs="Times New Roman"/>
          <w:color w:val="auto"/>
          <w:lang w:val="en-US" w:eastAsia="zh-CN"/>
        </w:rPr>
      </w:pPr>
      <w:r>
        <w:rPr>
          <w:rFonts w:hint="eastAsia" w:cs="Times New Roman"/>
          <w:color w:val="auto"/>
          <w:lang w:val="en-US" w:eastAsia="zh-CN"/>
        </w:rPr>
        <w:t>8. 备足配齐各类应急物资、工具器材，保持通信设施完好畅通，并加以维</w:t>
      </w:r>
      <w:r>
        <w:rPr>
          <w:rFonts w:hint="eastAsia" w:ascii="Times New Roman" w:hAnsi="Times New Roman" w:eastAsia="宋体" w:cs="Times New Roman"/>
          <w:color w:val="auto"/>
          <w:lang w:val="en-US" w:eastAsia="zh-CN"/>
        </w:rPr>
        <w:t>护更新。</w:t>
      </w:r>
    </w:p>
    <w:p w14:paraId="350F788A">
      <w:pP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9. 在尾矿坝堆至</w:t>
      </w:r>
      <w:r>
        <w:rPr>
          <w:rFonts w:hint="eastAsia" w:cs="Times New Roman"/>
          <w:color w:val="auto"/>
          <w:lang w:val="en-US" w:eastAsia="zh-CN"/>
        </w:rPr>
        <w:t>1/2～</w:t>
      </w:r>
      <w:r>
        <w:rPr>
          <w:rFonts w:hint="eastAsia" w:ascii="Times New Roman" w:hAnsi="Times New Roman" w:eastAsia="宋体" w:cs="Times New Roman"/>
          <w:color w:val="auto"/>
          <w:lang w:val="en-US" w:eastAsia="zh-CN"/>
        </w:rPr>
        <w:t>2/3最终设计总坝高前，应对坝体做全面的安全性复核。</w:t>
      </w:r>
      <w:r>
        <w:rPr>
          <w:rFonts w:hint="default" w:ascii="Times New Roman" w:hAnsi="Times New Roman" w:eastAsia="宋体" w:cs="Times New Roman"/>
          <w:color w:val="auto"/>
          <w:lang w:val="en-US" w:eastAsia="zh-CN"/>
        </w:rPr>
        <w:br w:type="page"/>
      </w:r>
    </w:p>
    <w:p w14:paraId="51B76E5D">
      <w:pPr>
        <w:keepNext/>
        <w:keepLines/>
        <w:widowControl w:val="0"/>
        <w:numPr>
          <w:ilvl w:val="0"/>
          <w:numId w:val="4"/>
        </w:numPr>
        <w:bidi w:val="0"/>
        <w:spacing w:beforeLines="0" w:beforeAutospacing="0" w:afterLines="0" w:afterAutospacing="0" w:line="360" w:lineRule="auto"/>
        <w:ind w:left="0" w:leftChars="0" w:firstLine="0" w:firstLineChars="0"/>
        <w:jc w:val="center"/>
        <w:outlineLvl w:val="0"/>
        <w:rPr>
          <w:rFonts w:hint="default" w:ascii="Times New Roman" w:hAnsi="Times New Roman" w:eastAsia="黑体" w:cs="Times New Roman"/>
          <w:b/>
          <w:color w:val="auto"/>
          <w:kern w:val="44"/>
          <w:sz w:val="32"/>
          <w:szCs w:val="24"/>
          <w:lang w:val="en-US" w:eastAsia="zh-CN" w:bidi="ar-SA"/>
        </w:rPr>
      </w:pPr>
      <w:bookmarkStart w:id="618" w:name="_Toc13888"/>
      <w:bookmarkStart w:id="619" w:name="_Toc30636"/>
      <w:bookmarkStart w:id="620" w:name="_Toc6597"/>
      <w:bookmarkStart w:id="621" w:name="_Toc15158"/>
      <w:bookmarkStart w:id="622" w:name="_Toc23710"/>
      <w:bookmarkStart w:id="623" w:name="_Toc13278"/>
      <w:bookmarkStart w:id="624" w:name="_Toc7759"/>
      <w:bookmarkStart w:id="625" w:name="_Toc23206"/>
      <w:bookmarkStart w:id="626" w:name="_Toc6395"/>
      <w:bookmarkStart w:id="627" w:name="_Toc14606"/>
      <w:r>
        <w:rPr>
          <w:rFonts w:hint="eastAsia" w:ascii="Times New Roman" w:hAnsi="Times New Roman" w:eastAsia="黑体" w:cs="Times New Roman"/>
          <w:b/>
          <w:color w:val="auto"/>
          <w:kern w:val="44"/>
          <w:sz w:val="32"/>
          <w:szCs w:val="24"/>
          <w:lang w:val="en-US" w:eastAsia="zh-CN" w:bidi="ar-SA"/>
        </w:rPr>
        <w:t>安全评价结论</w:t>
      </w:r>
      <w:bookmarkEnd w:id="618"/>
      <w:bookmarkEnd w:id="619"/>
      <w:bookmarkEnd w:id="620"/>
      <w:bookmarkEnd w:id="621"/>
      <w:bookmarkEnd w:id="622"/>
      <w:bookmarkEnd w:id="623"/>
    </w:p>
    <w:p w14:paraId="012A59E0">
      <w:pPr>
        <w:bidi w:val="0"/>
        <w:rPr>
          <w:rFonts w:hint="default"/>
          <w:color w:val="auto"/>
          <w:lang w:val="en-US" w:eastAsia="zh-CN"/>
        </w:rPr>
      </w:pPr>
      <w:r>
        <w:rPr>
          <w:rFonts w:hint="default"/>
          <w:color w:val="auto"/>
          <w:lang w:val="en-US" w:eastAsia="zh-CN"/>
        </w:rPr>
        <w:t>本次评价根据国家颁布的有关安全生产法律、法规及相关文件精神，本着科学、公正、合法、自主的原则对</w:t>
      </w:r>
      <w:r>
        <w:rPr>
          <w:rFonts w:hint="eastAsia"/>
        </w:rPr>
        <w:t>江西三和金业有限公司三号（氰化渣）尾矿库</w:t>
      </w:r>
      <w:r>
        <w:rPr>
          <w:rFonts w:hint="default"/>
          <w:color w:val="auto"/>
          <w:lang w:val="en-US" w:eastAsia="zh-CN"/>
        </w:rPr>
        <w:t>在运营过程中存在的主要危险、有害因素的种类及危害程度进行了分析，对导致该尾矿库重大事故的危险、有害因素进行定性、定量评价，得出如下结论：</w:t>
      </w:r>
    </w:p>
    <w:p w14:paraId="26706646">
      <w:pPr>
        <w:bidi w:val="0"/>
        <w:rPr>
          <w:rFonts w:hint="default"/>
          <w:color w:val="auto"/>
          <w:lang w:val="en-US" w:eastAsia="zh-CN"/>
        </w:rPr>
      </w:pPr>
      <w:r>
        <w:rPr>
          <w:rFonts w:hint="default"/>
          <w:color w:val="auto"/>
          <w:lang w:val="en-US" w:eastAsia="zh-CN"/>
        </w:rPr>
        <w:t>（1）</w:t>
      </w:r>
      <w:r>
        <w:rPr>
          <w:rFonts w:hint="eastAsia"/>
        </w:rPr>
        <w:t>江西三和金业有限公司三号（氰化渣）尾矿库</w:t>
      </w:r>
      <w:r>
        <w:rPr>
          <w:rFonts w:hint="default"/>
          <w:color w:val="auto"/>
          <w:lang w:val="en-US" w:eastAsia="zh-CN"/>
        </w:rPr>
        <w:t>未构成重大危险源、不存在重大事故隐患，但仍应注重尾矿坝和排</w:t>
      </w:r>
      <w:r>
        <w:rPr>
          <w:rFonts w:hint="eastAsia"/>
          <w:color w:val="auto"/>
          <w:lang w:val="en-US" w:eastAsia="zh-CN"/>
        </w:rPr>
        <w:t>洪</w:t>
      </w:r>
      <w:r>
        <w:rPr>
          <w:rFonts w:hint="default"/>
          <w:color w:val="auto"/>
          <w:lang w:val="en-US" w:eastAsia="zh-CN"/>
        </w:rPr>
        <w:t>构筑物监测、安全管理。</w:t>
      </w:r>
    </w:p>
    <w:p w14:paraId="6B0CD4A2">
      <w:pPr>
        <w:bidi w:val="0"/>
        <w:rPr>
          <w:rFonts w:hint="default"/>
          <w:color w:val="auto"/>
          <w:lang w:val="en-US" w:eastAsia="zh-CN"/>
        </w:rPr>
      </w:pPr>
      <w:r>
        <w:rPr>
          <w:rFonts w:hint="default"/>
          <w:color w:val="auto"/>
          <w:lang w:val="en-US" w:eastAsia="zh-CN"/>
        </w:rPr>
        <w:t>（2）经辨识、分析，</w:t>
      </w:r>
      <w:r>
        <w:rPr>
          <w:rFonts w:hint="eastAsia"/>
        </w:rPr>
        <w:t>江西三和金业有限公司三号（氰化渣）尾矿库</w:t>
      </w:r>
      <w:r>
        <w:rPr>
          <w:rFonts w:hint="default"/>
          <w:color w:val="auto"/>
          <w:lang w:val="en-US" w:eastAsia="zh-CN"/>
        </w:rPr>
        <w:t>潜在的主要危险、有害因素有滑坡（坝坡失稳），洪水漫顶，渗漏，排水、泄洪构筑物破坏，调洪库容不足，裂缝，淹溺，高处坠落，库区山体滑坡、塌方和泥石流，不良环境因素及其他因素造成的病害</w:t>
      </w:r>
      <w:r>
        <w:rPr>
          <w:rFonts w:hint="eastAsia"/>
          <w:color w:val="auto"/>
          <w:lang w:val="en-US" w:eastAsia="zh-CN"/>
        </w:rPr>
        <w:t>等</w:t>
      </w:r>
      <w:r>
        <w:rPr>
          <w:rFonts w:hint="default"/>
          <w:color w:val="auto"/>
          <w:lang w:val="en-US" w:eastAsia="zh-CN"/>
        </w:rPr>
        <w:t>。其中滑坡、排洪排水构筑物破坏可能酿成重大事故，必须引起高度重视，应当加以重点防范。对其他的危险有害因素，虽不大可能引起重大事故，但若发生也会给财产安全和人身健康带来损失，仍须采取措施、加强防范、避免事故的发生。</w:t>
      </w:r>
      <w:r>
        <w:rPr>
          <w:rFonts w:hint="eastAsia"/>
        </w:rPr>
        <w:t>江西三和金业有限公司</w:t>
      </w:r>
      <w:r>
        <w:rPr>
          <w:rFonts w:hint="default"/>
          <w:color w:val="auto"/>
          <w:lang w:val="en-US" w:eastAsia="zh-CN"/>
        </w:rPr>
        <w:t>通过采取有效措施，潜在的危险是可以得到控制的。</w:t>
      </w:r>
    </w:p>
    <w:p w14:paraId="45CC715C">
      <w:pPr>
        <w:bidi w:val="0"/>
        <w:rPr>
          <w:rFonts w:hint="default"/>
          <w:color w:val="auto"/>
          <w:lang w:val="en-US" w:eastAsia="zh-CN"/>
        </w:rPr>
      </w:pPr>
      <w:r>
        <w:rPr>
          <w:rFonts w:hint="default"/>
          <w:color w:val="auto"/>
          <w:lang w:val="en-US" w:eastAsia="zh-CN"/>
        </w:rPr>
        <w:t>（3）</w:t>
      </w:r>
      <w:r>
        <w:rPr>
          <w:rFonts w:hint="eastAsia"/>
        </w:rPr>
        <w:t>江西三和金业有限公司三号（氰化渣）尾矿库</w:t>
      </w:r>
      <w:r>
        <w:rPr>
          <w:rFonts w:hint="default"/>
          <w:color w:val="auto"/>
          <w:lang w:val="en-US" w:eastAsia="zh-CN"/>
        </w:rPr>
        <w:t>尾矿坝、排</w:t>
      </w:r>
      <w:r>
        <w:rPr>
          <w:rFonts w:hint="eastAsia"/>
          <w:color w:val="auto"/>
          <w:lang w:val="en-US" w:eastAsia="zh-CN"/>
        </w:rPr>
        <w:t>洪排水</w:t>
      </w:r>
      <w:r>
        <w:rPr>
          <w:rFonts w:hint="default"/>
          <w:color w:val="auto"/>
          <w:lang w:val="en-US" w:eastAsia="zh-CN"/>
        </w:rPr>
        <w:t>构筑物、安全监测设施符合设计要求，经尾矿坝稳定性分析和尾矿库调洪演算，</w:t>
      </w:r>
      <w:r>
        <w:rPr>
          <w:rFonts w:hint="eastAsia"/>
        </w:rPr>
        <w:t>江西三和金业有限公司三号（氰化渣）尾矿库</w:t>
      </w:r>
      <w:r>
        <w:rPr>
          <w:rFonts w:hint="default"/>
          <w:color w:val="auto"/>
          <w:lang w:val="en-US" w:eastAsia="zh-CN"/>
        </w:rPr>
        <w:t>尾矿坝坝体稳定、排水构筑物泄洪能力满足设计要求，尾矿库运行工况正常。</w:t>
      </w:r>
    </w:p>
    <w:p w14:paraId="60A0B050">
      <w:pPr>
        <w:bidi w:val="0"/>
        <w:rPr>
          <w:rFonts w:hint="default"/>
          <w:color w:val="auto"/>
          <w:lang w:val="en-US" w:eastAsia="zh-CN"/>
        </w:rPr>
      </w:pPr>
      <w:r>
        <w:rPr>
          <w:rFonts w:hint="default"/>
          <w:color w:val="auto"/>
          <w:lang w:val="en-US" w:eastAsia="zh-CN"/>
        </w:rPr>
        <w:t>（4）</w:t>
      </w:r>
      <w:r>
        <w:rPr>
          <w:rFonts w:hint="eastAsia"/>
        </w:rPr>
        <w:t>江西三和金业有限公司三号（氰化渣）尾矿库</w:t>
      </w:r>
      <w:r>
        <w:rPr>
          <w:rFonts w:hint="default"/>
          <w:color w:val="auto"/>
          <w:lang w:val="en-US" w:eastAsia="zh-CN"/>
        </w:rPr>
        <w:t>安全状况良好，</w:t>
      </w:r>
      <w:r>
        <w:rPr>
          <w:rFonts w:hint="eastAsia"/>
          <w:color w:val="auto"/>
          <w:lang w:val="en-US" w:eastAsia="zh-CN"/>
        </w:rPr>
        <w:t>与周边环境</w:t>
      </w:r>
      <w:r>
        <w:rPr>
          <w:rFonts w:hint="default"/>
          <w:color w:val="auto"/>
          <w:lang w:val="en-US" w:eastAsia="zh-CN"/>
        </w:rPr>
        <w:t>相互间暂无不良影响。</w:t>
      </w:r>
    </w:p>
    <w:p w14:paraId="284ABEA2">
      <w:pPr>
        <w:bidi w:val="0"/>
        <w:rPr>
          <w:rFonts w:hint="default"/>
          <w:color w:val="auto"/>
          <w:lang w:val="en-US" w:eastAsia="zh-CN"/>
        </w:rPr>
      </w:pPr>
      <w:r>
        <w:rPr>
          <w:rFonts w:hint="default"/>
          <w:color w:val="auto"/>
          <w:lang w:val="en-US" w:eastAsia="zh-CN"/>
        </w:rPr>
        <w:t>（5）通过对</w:t>
      </w:r>
      <w:r>
        <w:rPr>
          <w:rFonts w:hint="eastAsia"/>
        </w:rPr>
        <w:t>江西三和金业有限公司三号（氰化渣）尾矿库</w:t>
      </w:r>
      <w:r>
        <w:rPr>
          <w:rFonts w:hint="default"/>
          <w:color w:val="auto"/>
          <w:lang w:val="en-US" w:eastAsia="zh-CN"/>
        </w:rPr>
        <w:t>各单元安全检查表分析评价，综合得分率为</w:t>
      </w:r>
      <w:r>
        <w:rPr>
          <w:rFonts w:hint="eastAsia" w:ascii="Times New Roman" w:hAnsi="Times New Roman" w:eastAsia="宋体" w:cs="Times New Roman"/>
          <w:b w:val="0"/>
          <w:bCs w:val="0"/>
          <w:color w:val="auto"/>
          <w:lang w:val="en-US" w:eastAsia="zh-CN"/>
        </w:rPr>
        <w:t>89.31%，安全生产条件一般，能满足基本的安全生产活动</w:t>
      </w:r>
      <w:r>
        <w:rPr>
          <w:rFonts w:hint="default"/>
          <w:color w:val="auto"/>
          <w:lang w:val="en-US" w:eastAsia="zh-CN"/>
        </w:rPr>
        <w:t>，为正常库，</w:t>
      </w:r>
      <w:r>
        <w:rPr>
          <w:rFonts w:hint="eastAsia"/>
        </w:rPr>
        <w:t>江西三和金业有限公司三号（氰化渣）尾矿库</w:t>
      </w:r>
      <w:r>
        <w:rPr>
          <w:rFonts w:hint="default"/>
          <w:color w:val="auto"/>
          <w:lang w:val="en-US" w:eastAsia="zh-CN"/>
        </w:rPr>
        <w:t>安全生产基本条件和技术保障条件符合安全生产法律法规的要求。</w:t>
      </w:r>
    </w:p>
    <w:p w14:paraId="2D528ABC">
      <w:pPr>
        <w:bidi w:val="0"/>
        <w:rPr>
          <w:rFonts w:hint="default"/>
          <w:color w:val="auto"/>
          <w:lang w:val="en-US" w:eastAsia="zh-CN"/>
        </w:rPr>
      </w:pPr>
      <w:r>
        <w:rPr>
          <w:rFonts w:hint="default"/>
          <w:color w:val="auto"/>
          <w:lang w:val="en-US" w:eastAsia="zh-CN"/>
        </w:rPr>
        <w:t>（6）</w:t>
      </w:r>
      <w:r>
        <w:rPr>
          <w:rFonts w:hint="eastAsia"/>
        </w:rPr>
        <w:t>江西三和金业有限公司</w:t>
      </w:r>
      <w:r>
        <w:rPr>
          <w:rFonts w:hint="default"/>
          <w:color w:val="auto"/>
          <w:lang w:val="en-US" w:eastAsia="zh-CN"/>
        </w:rPr>
        <w:t>应认真考虑本报告中分析的危险、有害因素，积极落实本报告所提出的各项安全对策措施和建议，按照国家安全生产法律、法规、行业规程要求进行改进、完善，全面推行并巩固安全生产标准化成果，提高尾矿库的本质安全程度，实现安全生产。</w:t>
      </w:r>
    </w:p>
    <w:p w14:paraId="3F3F812D">
      <w:pPr>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结论：</w:t>
      </w:r>
      <w:r>
        <w:rPr>
          <w:rFonts w:hint="eastAsia" w:cs="Times New Roman"/>
          <w:b/>
          <w:bCs/>
          <w:color w:val="auto"/>
          <w:lang w:val="en-US" w:eastAsia="zh-CN"/>
        </w:rPr>
        <w:t>江西三和金业有限公司三号（氰化渣）尾矿库属于安全设施符合设计要求、运营正常，具备安全生产条件的正常库。</w:t>
      </w:r>
    </w:p>
    <w:p w14:paraId="454431E6">
      <w:pPr>
        <w:rPr>
          <w:rFonts w:hint="default"/>
          <w:color w:val="auto"/>
          <w:lang w:val="en-US" w:eastAsia="zh-CN"/>
        </w:rPr>
      </w:pPr>
      <w:r>
        <w:rPr>
          <w:rFonts w:hint="default"/>
          <w:color w:val="auto"/>
          <w:lang w:val="en-US" w:eastAsia="zh-CN"/>
        </w:rPr>
        <w:br w:type="page"/>
      </w:r>
    </w:p>
    <w:p w14:paraId="0BF686D2">
      <w:pPr>
        <w:keepNext/>
        <w:keepLines/>
        <w:widowControl w:val="0"/>
        <w:numPr>
          <w:ilvl w:val="0"/>
          <w:numId w:val="4"/>
        </w:numPr>
        <w:bidi w:val="0"/>
        <w:spacing w:beforeLines="0" w:beforeAutospacing="0" w:afterLines="0" w:afterAutospacing="0" w:line="360" w:lineRule="auto"/>
        <w:ind w:left="0" w:leftChars="0" w:firstLine="0" w:firstLineChars="0"/>
        <w:jc w:val="center"/>
        <w:outlineLvl w:val="0"/>
        <w:rPr>
          <w:rFonts w:hint="default" w:ascii="Times New Roman" w:hAnsi="Times New Roman" w:eastAsia="黑体" w:cs="Times New Roman"/>
          <w:b/>
          <w:color w:val="auto"/>
          <w:kern w:val="44"/>
          <w:sz w:val="32"/>
          <w:szCs w:val="24"/>
          <w:lang w:val="en-US" w:eastAsia="zh-CN" w:bidi="ar-SA"/>
        </w:rPr>
      </w:pPr>
      <w:bookmarkStart w:id="628" w:name="_Toc16404"/>
      <w:bookmarkStart w:id="629" w:name="_Toc13898"/>
      <w:bookmarkStart w:id="630" w:name="_Toc15678"/>
      <w:r>
        <w:rPr>
          <w:rFonts w:hint="default" w:ascii="Times New Roman" w:hAnsi="Times New Roman" w:eastAsia="黑体" w:cs="Times New Roman"/>
          <w:b/>
          <w:color w:val="auto"/>
          <w:kern w:val="44"/>
          <w:sz w:val="32"/>
          <w:szCs w:val="24"/>
          <w:lang w:val="en-US" w:eastAsia="zh-CN" w:bidi="ar-SA"/>
        </w:rPr>
        <w:t>附图附件</w:t>
      </w:r>
      <w:bookmarkEnd w:id="628"/>
      <w:bookmarkEnd w:id="629"/>
      <w:bookmarkEnd w:id="630"/>
    </w:p>
    <w:p w14:paraId="6BB5C284">
      <w:pPr>
        <w:keepNext/>
        <w:keepLines/>
        <w:widowControl w:val="0"/>
        <w:bidi w:val="0"/>
        <w:spacing w:beforeLines="0" w:beforeAutospacing="0" w:afterLines="0" w:afterAutospacing="0" w:line="360" w:lineRule="auto"/>
        <w:ind w:left="280" w:leftChars="100" w:firstLine="0" w:firstLineChars="0"/>
        <w:jc w:val="both"/>
        <w:outlineLvl w:val="1"/>
        <w:rPr>
          <w:rFonts w:hint="default" w:ascii="Times New Roman" w:hAnsi="Times New Roman" w:eastAsia="黑体" w:cs="Times New Roman"/>
          <w:b/>
          <w:color w:val="auto"/>
          <w:kern w:val="2"/>
          <w:sz w:val="30"/>
          <w:szCs w:val="24"/>
          <w:lang w:val="en-US" w:eastAsia="zh-CN" w:bidi="ar-SA"/>
        </w:rPr>
      </w:pPr>
      <w:bookmarkStart w:id="631" w:name="_Toc1100"/>
      <w:bookmarkStart w:id="632" w:name="_Toc10239"/>
      <w:bookmarkStart w:id="633" w:name="_Toc19011"/>
      <w:r>
        <w:rPr>
          <w:rFonts w:hint="default" w:ascii="Times New Roman" w:hAnsi="Times New Roman" w:eastAsia="黑体" w:cs="Times New Roman"/>
          <w:b/>
          <w:color w:val="auto"/>
          <w:kern w:val="2"/>
          <w:sz w:val="30"/>
          <w:szCs w:val="24"/>
          <w:lang w:val="en-US" w:eastAsia="zh-CN" w:bidi="ar-SA"/>
        </w:rPr>
        <w:t>8.1</w:t>
      </w:r>
      <w:r>
        <w:rPr>
          <w:rFonts w:hint="eastAsia" w:ascii="Times New Roman" w:hAnsi="Times New Roman" w:eastAsia="黑体" w:cs="Times New Roman"/>
          <w:b/>
          <w:color w:val="auto"/>
          <w:kern w:val="2"/>
          <w:sz w:val="30"/>
          <w:szCs w:val="24"/>
          <w:lang w:val="en-US" w:eastAsia="zh-CN" w:bidi="ar-SA"/>
        </w:rPr>
        <w:t xml:space="preserve"> </w:t>
      </w:r>
      <w:r>
        <w:rPr>
          <w:rFonts w:hint="default" w:ascii="Times New Roman" w:hAnsi="Times New Roman" w:eastAsia="黑体" w:cs="Times New Roman"/>
          <w:b/>
          <w:color w:val="auto"/>
          <w:kern w:val="2"/>
          <w:sz w:val="30"/>
          <w:szCs w:val="24"/>
          <w:lang w:val="en-US" w:eastAsia="zh-CN" w:bidi="ar-SA"/>
        </w:rPr>
        <w:t>附图</w:t>
      </w:r>
      <w:bookmarkEnd w:id="624"/>
      <w:bookmarkEnd w:id="625"/>
      <w:bookmarkEnd w:id="626"/>
      <w:bookmarkEnd w:id="627"/>
      <w:bookmarkEnd w:id="631"/>
      <w:bookmarkEnd w:id="632"/>
      <w:bookmarkEnd w:id="633"/>
    </w:p>
    <w:p w14:paraId="540C0AEA">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r>
        <w:rPr>
          <w:rFonts w:hint="eastAsia" w:cs="Times New Roman"/>
          <w:color w:val="auto"/>
          <w:lang w:val="en-US" w:eastAsia="zh-CN"/>
        </w:rPr>
        <w:t>总</w:t>
      </w:r>
      <w:r>
        <w:rPr>
          <w:rFonts w:hint="default" w:ascii="Times New Roman" w:hAnsi="Times New Roman" w:eastAsia="宋体" w:cs="Times New Roman"/>
          <w:color w:val="auto"/>
          <w:lang w:val="en-US" w:eastAsia="zh-CN"/>
        </w:rPr>
        <w:t>平面</w:t>
      </w:r>
      <w:r>
        <w:rPr>
          <w:rFonts w:hint="eastAsia" w:cs="Times New Roman"/>
          <w:color w:val="auto"/>
          <w:lang w:val="en-US" w:eastAsia="zh-CN"/>
        </w:rPr>
        <w:t>及安全</w:t>
      </w:r>
      <w:r>
        <w:rPr>
          <w:rFonts w:hint="default" w:ascii="Times New Roman" w:hAnsi="Times New Roman" w:eastAsia="宋体" w:cs="Times New Roman"/>
          <w:color w:val="auto"/>
          <w:lang w:val="en-US" w:eastAsia="zh-CN"/>
        </w:rPr>
        <w:t>监测设施布置图</w:t>
      </w:r>
    </w:p>
    <w:p w14:paraId="529F8C75">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r>
        <w:rPr>
          <w:rFonts w:hint="eastAsia" w:cs="Times New Roman"/>
          <w:color w:val="auto"/>
          <w:lang w:val="en-US" w:eastAsia="zh-CN"/>
        </w:rPr>
        <w:t>2</w:t>
      </w:r>
      <w:r>
        <w:rPr>
          <w:rFonts w:hint="default" w:ascii="Times New Roman" w:hAnsi="Times New Roman" w:eastAsia="宋体" w:cs="Times New Roman"/>
          <w:color w:val="auto"/>
          <w:lang w:val="en-US" w:eastAsia="zh-CN"/>
        </w:rPr>
        <w:t>）尾矿坝剖面图</w:t>
      </w:r>
    </w:p>
    <w:p w14:paraId="7C7527C0">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r>
        <w:rPr>
          <w:rFonts w:hint="eastAsia" w:cs="Times New Roman"/>
          <w:color w:val="auto"/>
          <w:lang w:val="en-US" w:eastAsia="zh-CN"/>
        </w:rPr>
        <w:t>3</w:t>
      </w:r>
      <w:r>
        <w:rPr>
          <w:rFonts w:hint="default" w:ascii="Times New Roman" w:hAnsi="Times New Roman" w:eastAsia="宋体" w:cs="Times New Roman"/>
          <w:color w:val="auto"/>
          <w:lang w:val="en-US" w:eastAsia="zh-CN"/>
        </w:rPr>
        <w:t>）</w:t>
      </w:r>
      <w:r>
        <w:rPr>
          <w:rFonts w:hint="eastAsia" w:cs="Times New Roman"/>
          <w:color w:val="auto"/>
          <w:lang w:val="en-US" w:eastAsia="zh-CN"/>
        </w:rPr>
        <w:t>排洪排水</w:t>
      </w:r>
      <w:r>
        <w:rPr>
          <w:rFonts w:hint="default" w:ascii="Times New Roman" w:hAnsi="Times New Roman" w:eastAsia="宋体" w:cs="Times New Roman"/>
          <w:color w:val="auto"/>
          <w:lang w:val="en-US" w:eastAsia="zh-CN"/>
        </w:rPr>
        <w:t>构筑物剖面图</w:t>
      </w:r>
    </w:p>
    <w:p w14:paraId="23E5E474">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r>
        <w:rPr>
          <w:rFonts w:hint="eastAsia" w:cs="Times New Roman"/>
          <w:color w:val="auto"/>
          <w:lang w:val="en-US" w:eastAsia="zh-CN"/>
        </w:rPr>
        <w:t>4</w:t>
      </w:r>
      <w:r>
        <w:rPr>
          <w:rFonts w:hint="default" w:ascii="Times New Roman" w:hAnsi="Times New Roman" w:eastAsia="宋体" w:cs="Times New Roman"/>
          <w:color w:val="auto"/>
          <w:lang w:val="en-US" w:eastAsia="zh-CN"/>
        </w:rPr>
        <w:t>）库容曲线图</w:t>
      </w:r>
    </w:p>
    <w:p w14:paraId="3C3E233E">
      <w:pPr>
        <w:keepNext/>
        <w:keepLines/>
        <w:widowControl w:val="0"/>
        <w:bidi w:val="0"/>
        <w:spacing w:beforeLines="0" w:beforeAutospacing="0" w:afterLines="0" w:afterAutospacing="0" w:line="360" w:lineRule="auto"/>
        <w:ind w:left="280" w:leftChars="100" w:firstLine="0" w:firstLineChars="0"/>
        <w:jc w:val="both"/>
        <w:outlineLvl w:val="1"/>
        <w:rPr>
          <w:rFonts w:hint="default" w:ascii="Times New Roman" w:hAnsi="Times New Roman" w:eastAsia="黑体" w:cs="Times New Roman"/>
          <w:b/>
          <w:color w:val="auto"/>
          <w:kern w:val="2"/>
          <w:sz w:val="30"/>
          <w:szCs w:val="24"/>
          <w:lang w:val="en-US" w:eastAsia="zh-CN" w:bidi="ar-SA"/>
        </w:rPr>
      </w:pPr>
      <w:bookmarkStart w:id="634" w:name="_Toc20842"/>
      <w:bookmarkStart w:id="635" w:name="_Toc2208"/>
      <w:bookmarkStart w:id="636" w:name="_Toc13583"/>
      <w:bookmarkStart w:id="637" w:name="_Toc382"/>
      <w:bookmarkStart w:id="638" w:name="_Toc4813"/>
      <w:bookmarkStart w:id="639" w:name="_Toc17352"/>
      <w:bookmarkStart w:id="640" w:name="_Toc27400"/>
      <w:r>
        <w:rPr>
          <w:rFonts w:hint="default" w:ascii="Times New Roman" w:hAnsi="Times New Roman" w:eastAsia="黑体" w:cs="Times New Roman"/>
          <w:b/>
          <w:color w:val="auto"/>
          <w:kern w:val="2"/>
          <w:sz w:val="30"/>
          <w:szCs w:val="24"/>
          <w:lang w:val="en-US" w:eastAsia="zh-CN" w:bidi="ar-SA"/>
        </w:rPr>
        <w:t>8.2</w:t>
      </w:r>
      <w:r>
        <w:rPr>
          <w:rFonts w:hint="eastAsia" w:ascii="Times New Roman" w:hAnsi="Times New Roman" w:eastAsia="黑体" w:cs="Times New Roman"/>
          <w:b/>
          <w:color w:val="auto"/>
          <w:kern w:val="2"/>
          <w:sz w:val="30"/>
          <w:szCs w:val="24"/>
          <w:lang w:val="en-US" w:eastAsia="zh-CN" w:bidi="ar-SA"/>
        </w:rPr>
        <w:t xml:space="preserve"> </w:t>
      </w:r>
      <w:r>
        <w:rPr>
          <w:rFonts w:hint="default" w:ascii="Times New Roman" w:hAnsi="Times New Roman" w:eastAsia="黑体" w:cs="Times New Roman"/>
          <w:b/>
          <w:color w:val="auto"/>
          <w:kern w:val="2"/>
          <w:sz w:val="30"/>
          <w:szCs w:val="24"/>
          <w:lang w:val="en-US" w:eastAsia="zh-CN" w:bidi="ar-SA"/>
        </w:rPr>
        <w:t>附件</w:t>
      </w:r>
      <w:bookmarkEnd w:id="634"/>
      <w:bookmarkEnd w:id="635"/>
      <w:bookmarkEnd w:id="636"/>
      <w:bookmarkEnd w:id="637"/>
      <w:bookmarkEnd w:id="638"/>
      <w:bookmarkEnd w:id="639"/>
      <w:bookmarkEnd w:id="640"/>
    </w:p>
    <w:p w14:paraId="18E3211A">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（1）企业营业执照</w:t>
      </w:r>
    </w:p>
    <w:p w14:paraId="283C520A">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（2）尾矿库安全生产许可证</w:t>
      </w:r>
    </w:p>
    <w:p w14:paraId="28B40AEA">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（3）其他证照和佐证材料</w:t>
      </w:r>
    </w:p>
    <w:p w14:paraId="4E33BA9D">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附：评价人员与企业安全管理人员现场合影</w:t>
      </w:r>
    </w:p>
    <w:p w14:paraId="471AC545">
      <w:pPr>
        <w:bidi w:val="0"/>
        <w:ind w:left="0" w:leftChars="0" w:firstLine="0" w:firstLineChars="0"/>
        <w:jc w:val="center"/>
        <w:rPr>
          <w:rFonts w:hint="default"/>
          <w:color w:val="auto"/>
          <w:lang w:val="en-US" w:eastAsia="zh-CN"/>
        </w:rPr>
      </w:pPr>
      <w:r>
        <w:rPr>
          <w:rFonts w:hint="default"/>
          <w:color w:val="auto"/>
          <w:lang w:val="en-US" w:eastAsia="zh-CN"/>
        </w:rPr>
        <w:drawing>
          <wp:inline distT="0" distB="0" distL="114300" distR="114300">
            <wp:extent cx="5039995" cy="3778250"/>
            <wp:effectExtent l="0" t="0" r="8255" b="12700"/>
            <wp:docPr id="1" name="图片 1" descr="cdc93d9b1f014651550a3667d5f6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dc93d9b1f014651550a3667d5f6830"/>
                    <pic:cNvPicPr>
                      <a:picLocks noChangeAspect="1"/>
                    </pic:cNvPicPr>
                  </pic:nvPicPr>
                  <pic:blipFill>
                    <a:blip r:embed="rId53"/>
                    <a:stretch>
                      <a:fillRect/>
                    </a:stretch>
                  </pic:blipFill>
                  <pic:spPr>
                    <a:xfrm>
                      <a:off x="0" y="0"/>
                      <a:ext cx="5039995" cy="3778250"/>
                    </a:xfrm>
                    <a:prstGeom prst="rect">
                      <a:avLst/>
                    </a:prstGeom>
                  </pic:spPr>
                </pic:pic>
              </a:graphicData>
            </a:graphic>
          </wp:inline>
        </w:drawing>
      </w:r>
    </w:p>
    <w:p w14:paraId="39ECA8C1">
      <w:pPr>
        <w:bidi w:val="0"/>
        <w:ind w:left="0" w:leftChars="0" w:firstLine="0" w:firstLineChars="0"/>
        <w:jc w:val="center"/>
        <w:rPr>
          <w:rFonts w:hint="default"/>
          <w:color w:val="auto"/>
          <w:lang w:val="en-US" w:eastAsia="zh-CN"/>
        </w:rPr>
      </w:pPr>
      <w:r>
        <w:rPr>
          <w:rFonts w:hint="default"/>
          <w:color w:val="auto"/>
          <w:lang w:val="en-US" w:eastAsia="zh-CN"/>
        </w:rPr>
        <w:drawing>
          <wp:inline distT="0" distB="0" distL="114300" distR="114300">
            <wp:extent cx="5039995" cy="3780155"/>
            <wp:effectExtent l="0" t="0" r="8255" b="10795"/>
            <wp:docPr id="2" name="图片 2" descr="IMG_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1477"/>
                    <pic:cNvPicPr>
                      <a:picLocks noChangeAspect="1"/>
                    </pic:cNvPicPr>
                  </pic:nvPicPr>
                  <pic:blipFill>
                    <a:blip r:embed="rId54"/>
                    <a:stretch>
                      <a:fillRect/>
                    </a:stretch>
                  </pic:blipFill>
                  <pic:spPr>
                    <a:xfrm>
                      <a:off x="0" y="0"/>
                      <a:ext cx="5039995" cy="3780155"/>
                    </a:xfrm>
                    <a:prstGeom prst="rect">
                      <a:avLst/>
                    </a:prstGeom>
                  </pic:spPr>
                </pic:pic>
              </a:graphicData>
            </a:graphic>
          </wp:inline>
        </w:drawing>
      </w:r>
    </w:p>
    <w:sectPr>
      <w:footerReference r:id="rId7" w:type="default"/>
      <w:type w:val="continuous"/>
      <w:pgSz w:w="11906" w:h="16839"/>
      <w:pgMar w:top="1417" w:right="1417" w:bottom="1417" w:left="1417" w:header="850" w:footer="992" w:gutter="0"/>
      <w:pgNumType w:fmt="decimal" w:start="1"/>
      <w:cols w:space="425" w:num="1"/>
      <w:rtlGutter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46D73BF-9409-43BC-8C26-3418D6EA453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新宋体">
    <w:panose1 w:val="02010609030101010101"/>
    <w:charset w:val="86"/>
    <w:family w:val="modern"/>
    <w:pitch w:val="default"/>
    <w:sig w:usb0="00000203" w:usb1="288F0000" w:usb2="00000006" w:usb3="00000000" w:csb0="00040001" w:csb1="0000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MS Gothic">
    <w:panose1 w:val="020B0609070205080204"/>
    <w:charset w:val="80"/>
    <w:family w:val="modern"/>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embedRegular r:id="rId2" w:fontKey="{A076F436-EF5E-4A1B-A971-AC4D80BE4E18}"/>
  </w:font>
  <w:font w:name="仿宋_GB2312">
    <w:altName w:val="仿宋"/>
    <w:panose1 w:val="02010609030101010101"/>
    <w:charset w:val="86"/>
    <w:family w:val="modern"/>
    <w:pitch w:val="default"/>
    <w:sig w:usb0="00000000" w:usb1="00000000" w:usb2="00000000" w:usb3="00000000" w:csb0="00040000" w:csb1="00000000"/>
    <w:embedRegular r:id="rId3" w:fontKey="{F1661DBB-EB6F-4845-BDB1-C688A819E780}"/>
  </w:font>
  <w:font w:name="仿宋">
    <w:panose1 w:val="02010609060101010101"/>
    <w:charset w:val="86"/>
    <w:family w:val="modern"/>
    <w:pitch w:val="default"/>
    <w:sig w:usb0="800002BF" w:usb1="38CF7CFA" w:usb2="00000016" w:usb3="00000000" w:csb0="00040001" w:csb1="00000000"/>
    <w:embedRegular r:id="rId4" w:fontKey="{64655138-5392-4148-B5A7-5647FC902A21}"/>
  </w:font>
  <w:font w:name="方正小标宋简体">
    <w:panose1 w:val="02000000000000000000"/>
    <w:charset w:val="86"/>
    <w:family w:val="script"/>
    <w:pitch w:val="default"/>
    <w:sig w:usb0="00000001" w:usb1="08000000" w:usb2="00000000" w:usb3="00000000" w:csb0="00040000" w:csb1="00000000"/>
    <w:embedRegular r:id="rId5" w:fontKey="{B2ABC551-9259-4E3E-AE63-BAA991E68595}"/>
  </w:font>
  <w:font w:name="Cambria Math">
    <w:panose1 w:val="02040503050406030204"/>
    <w:charset w:val="00"/>
    <w:family w:val="auto"/>
    <w:pitch w:val="default"/>
    <w:sig w:usb0="E00006FF" w:usb1="420024FF" w:usb2="02000000" w:usb3="00000000" w:csb0="2000019F" w:csb1="00000000"/>
    <w:embedRegular r:id="rId6" w:fontKey="{55E6AA4B-6B22-49FC-BDF5-5C961BDDBA93}"/>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F2CAD">
    <w:pPr>
      <w:pStyle w:val="13"/>
      <w:pBdr>
        <w:top w:val="single" w:color="auto" w:sz="4" w:space="0"/>
      </w:pBdr>
      <w:ind w:left="0" w:leftChars="0" w:firstLine="0" w:firstLineChars="0"/>
      <w:rPr>
        <w:rFonts w:hint="default" w:eastAsia="宋体"/>
        <w:lang w:val="en-US"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66E53D">
                          <w:pPr>
                            <w:pStyle w:val="13"/>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2766E53D">
                    <w:pPr>
                      <w:pStyle w:val="13"/>
                    </w:pPr>
                    <w:r>
                      <w:fldChar w:fldCharType="begin"/>
                    </w:r>
                    <w:r>
                      <w:instrText xml:space="preserve"> PAGE  \* MERGEFORMAT </w:instrText>
                    </w:r>
                    <w:r>
                      <w:fldChar w:fldCharType="separate"/>
                    </w:r>
                    <w:r>
                      <w:t>7</w:t>
                    </w:r>
                    <w:r>
                      <w:fldChar w:fldCharType="end"/>
                    </w:r>
                  </w:p>
                </w:txbxContent>
              </v:textbox>
            </v:shape>
          </w:pict>
        </mc:Fallback>
      </mc:AlternateContent>
    </w:r>
    <w:r>
      <w:rPr>
        <w:rFonts w:hint="eastAsia"/>
      </w:rPr>
      <w:t>江西赣安安全生产科学技术咨询服务中心</w:t>
    </w:r>
    <w:r>
      <w:rPr>
        <w:rFonts w:hint="eastAsia"/>
        <w:lang w:val="en-US" w:eastAsia="zh-CN"/>
      </w:rPr>
      <w:t xml:space="preserve">                                                   APJ-（赣）-002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86D8B">
    <w:pPr>
      <w:pStyle w:val="13"/>
      <w:pBdr>
        <w:top w:val="single" w:color="auto" w:sz="4" w:space="0"/>
      </w:pBdr>
      <w:ind w:left="0" w:leftChars="0" w:firstLine="0" w:firstLineChars="0"/>
      <w:rPr>
        <w:rFonts w:hint="default" w:eastAsia="宋体"/>
        <w:lang w:val="en-US"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1EE294">
                          <w:pPr>
                            <w:pStyle w:val="13"/>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C1EE294">
                    <w:pPr>
                      <w:pStyle w:val="13"/>
                    </w:pPr>
                    <w:r>
                      <w:fldChar w:fldCharType="begin"/>
                    </w:r>
                    <w:r>
                      <w:instrText xml:space="preserve"> PAGE  \* MERGEFORMAT </w:instrText>
                    </w:r>
                    <w:r>
                      <w:fldChar w:fldCharType="separate"/>
                    </w:r>
                    <w:r>
                      <w:t>7</w:t>
                    </w:r>
                    <w:r>
                      <w:fldChar w:fldCharType="end"/>
                    </w:r>
                  </w:p>
                </w:txbxContent>
              </v:textbox>
            </v:shape>
          </w:pict>
        </mc:Fallback>
      </mc:AlternateContent>
    </w:r>
    <w:r>
      <w:rPr>
        <w:rFonts w:hint="eastAsia"/>
      </w:rPr>
      <w:t>江西赣安安全生产科学技术咨询服务中心</w:t>
    </w:r>
    <w:r>
      <w:rPr>
        <w:rFonts w:hint="eastAsia"/>
        <w:lang w:val="en-US" w:eastAsia="zh-CN"/>
      </w:rPr>
      <w:t xml:space="preserve">                                                   APJ-（赣）-002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90933">
    <w:pPr>
      <w:pStyle w:val="14"/>
      <w:ind w:left="0" w:leftChars="0" w:firstLine="0" w:firstLineChars="0"/>
      <w:jc w:val="left"/>
    </w:pPr>
    <w:r>
      <w:rPr>
        <w:rFonts w:hint="eastAsia"/>
      </w:rPr>
      <w:t xml:space="preserve">江西三和金业有限公司三号（氰化渣）尾矿库安全现状评价报告           </w:t>
    </w:r>
    <w:r>
      <w:rPr>
        <w:rFonts w:hint="eastAsia"/>
        <w:lang w:val="en-US" w:eastAsia="zh-CN"/>
      </w:rPr>
      <w:t xml:space="preserve">  </w:t>
    </w:r>
    <w:r>
      <w:rPr>
        <w:rFonts w:hint="eastAsia"/>
      </w:rPr>
      <w:t xml:space="preserve">  </w:t>
    </w:r>
    <w:r>
      <w:rPr>
        <w:rFonts w:hint="eastAsia"/>
        <w:lang w:val="en-US" w:eastAsia="zh-CN"/>
      </w:rPr>
      <w:t xml:space="preserve">        </w:t>
    </w:r>
    <w:r>
      <w:rPr>
        <w:rFonts w:hint="default" w:ascii="Times New Roman" w:hAnsi="Times New Roman" w:cs="Times New Roman"/>
      </w:rPr>
      <w:t xml:space="preserve">  GAAP</w:t>
    </w:r>
    <w:r>
      <w:rPr>
        <w:rFonts w:hint="eastAsia" w:ascii="微软雅黑" w:hAnsi="Times New Roman" w:eastAsia="微软雅黑" w:cs="微软雅黑"/>
        <w:kern w:val="2"/>
        <w:sz w:val="18"/>
        <w:szCs w:val="18"/>
        <w:lang w:val="en-US" w:eastAsia="zh-CN" w:bidi="ar-SA"/>
      </w:rPr>
      <w:t>〔</w:t>
    </w:r>
    <w:r>
      <w:rPr>
        <w:rFonts w:hint="eastAsia" w:ascii="Times New Roman" w:hAnsi="Times New Roman" w:eastAsia="宋体" w:cs="Times New Roman"/>
        <w:kern w:val="2"/>
        <w:sz w:val="18"/>
        <w:szCs w:val="18"/>
        <w:lang w:val="en-US" w:eastAsia="zh-CN" w:bidi="ar-SA"/>
      </w:rPr>
      <w:t>202</w:t>
    </w:r>
    <w:r>
      <w:rPr>
        <w:rFonts w:hint="eastAsia" w:cs="Times New Roman"/>
        <w:kern w:val="2"/>
        <w:sz w:val="18"/>
        <w:szCs w:val="18"/>
        <w:lang w:val="en-US" w:eastAsia="zh-CN" w:bidi="ar-SA"/>
      </w:rPr>
      <w:t>5</w:t>
    </w:r>
    <w:r>
      <w:rPr>
        <w:rFonts w:hint="eastAsia" w:ascii="微软雅黑" w:hAnsi="Times New Roman" w:eastAsia="微软雅黑" w:cs="微软雅黑"/>
        <w:kern w:val="2"/>
        <w:sz w:val="18"/>
        <w:szCs w:val="18"/>
        <w:lang w:val="en-US" w:eastAsia="zh-CN" w:bidi="ar-SA"/>
      </w:rPr>
      <w:t>〕</w:t>
    </w:r>
    <w:r>
      <w:rPr>
        <w:rFonts w:hint="eastAsia" w:cs="Times New Roman"/>
        <w:lang w:val="en-US" w:eastAsia="zh-CN"/>
      </w:rPr>
      <w:t>0626</w:t>
    </w:r>
    <w:r>
      <w:rPr>
        <w:rFonts w:hint="default" w:ascii="Times New Roman" w:hAnsi="Times New Roman" w:cs="Times New Roman"/>
      </w:rPr>
      <w:t>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83F0D5"/>
    <w:multiLevelType w:val="singleLevel"/>
    <w:tmpl w:val="8983F0D5"/>
    <w:lvl w:ilvl="0" w:tentative="0">
      <w:start w:val="1"/>
      <w:numFmt w:val="decimal"/>
      <w:suff w:val="space"/>
      <w:lvlText w:val="%1."/>
      <w:lvlJc w:val="left"/>
    </w:lvl>
  </w:abstractNum>
  <w:abstractNum w:abstractNumId="1">
    <w:nsid w:val="DFF078CD"/>
    <w:multiLevelType w:val="singleLevel"/>
    <w:tmpl w:val="DFF078CD"/>
    <w:lvl w:ilvl="0" w:tentative="0">
      <w:start w:val="1"/>
      <w:numFmt w:val="decimal"/>
      <w:suff w:val="space"/>
      <w:lvlText w:val="%1."/>
      <w:lvlJc w:val="left"/>
    </w:lvl>
  </w:abstractNum>
  <w:abstractNum w:abstractNumId="2">
    <w:nsid w:val="13405DB4"/>
    <w:multiLevelType w:val="singleLevel"/>
    <w:tmpl w:val="13405DB4"/>
    <w:lvl w:ilvl="0" w:tentative="0">
      <w:start w:val="1"/>
      <w:numFmt w:val="decimal"/>
      <w:suff w:val="space"/>
      <w:lvlText w:val="%1."/>
      <w:lvlJc w:val="left"/>
    </w:lvl>
  </w:abstractNum>
  <w:abstractNum w:abstractNumId="3">
    <w:nsid w:val="287ECF56"/>
    <w:multiLevelType w:val="singleLevel"/>
    <w:tmpl w:val="287ECF56"/>
    <w:lvl w:ilvl="0" w:tentative="0">
      <w:start w:val="1"/>
      <w:numFmt w:val="decimal"/>
      <w:suff w:val="space"/>
      <w:lvlText w:val="%1."/>
      <w:lvlJc w:val="left"/>
    </w:lvl>
  </w:abstractNum>
  <w:abstractNum w:abstractNumId="4">
    <w:nsid w:val="41706DA2"/>
    <w:multiLevelType w:val="singleLevel"/>
    <w:tmpl w:val="41706DA2"/>
    <w:lvl w:ilvl="0" w:tentative="0">
      <w:start w:val="1"/>
      <w:numFmt w:val="decimal"/>
      <w:suff w:val="space"/>
      <w:lvlText w:val="%1."/>
      <w:lvlJc w:val="left"/>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yYWUxNGNmMmUyZTIxY2FmM2YyMWFiMjM3Y2U3MzAifQ=="/>
  </w:docVars>
  <w:rsids>
    <w:rsidRoot w:val="00000000"/>
    <w:rsid w:val="005C6C6E"/>
    <w:rsid w:val="00A94756"/>
    <w:rsid w:val="00DE185F"/>
    <w:rsid w:val="0103164E"/>
    <w:rsid w:val="010D7DD7"/>
    <w:rsid w:val="01371F49"/>
    <w:rsid w:val="0155716D"/>
    <w:rsid w:val="01562017"/>
    <w:rsid w:val="01AD6BD8"/>
    <w:rsid w:val="02005B8D"/>
    <w:rsid w:val="02106ABC"/>
    <w:rsid w:val="02283016"/>
    <w:rsid w:val="02290253"/>
    <w:rsid w:val="024F4BCA"/>
    <w:rsid w:val="027B1CEE"/>
    <w:rsid w:val="02836ED2"/>
    <w:rsid w:val="02852286"/>
    <w:rsid w:val="028E0926"/>
    <w:rsid w:val="02967F59"/>
    <w:rsid w:val="03126EE3"/>
    <w:rsid w:val="03271EEF"/>
    <w:rsid w:val="03435D32"/>
    <w:rsid w:val="03546191"/>
    <w:rsid w:val="03DE20F3"/>
    <w:rsid w:val="042C18CE"/>
    <w:rsid w:val="045B71F9"/>
    <w:rsid w:val="045D1075"/>
    <w:rsid w:val="045F303F"/>
    <w:rsid w:val="047E3532"/>
    <w:rsid w:val="04B93E88"/>
    <w:rsid w:val="05366B04"/>
    <w:rsid w:val="053B7F7E"/>
    <w:rsid w:val="05476ED2"/>
    <w:rsid w:val="057B0FFA"/>
    <w:rsid w:val="059C3C80"/>
    <w:rsid w:val="05C173E2"/>
    <w:rsid w:val="063876A4"/>
    <w:rsid w:val="067D77AC"/>
    <w:rsid w:val="07283BBC"/>
    <w:rsid w:val="075F6EB2"/>
    <w:rsid w:val="07E618D5"/>
    <w:rsid w:val="07E86EA8"/>
    <w:rsid w:val="07FD72FC"/>
    <w:rsid w:val="080C703A"/>
    <w:rsid w:val="08456F9D"/>
    <w:rsid w:val="08836BD0"/>
    <w:rsid w:val="088475FD"/>
    <w:rsid w:val="08B70A65"/>
    <w:rsid w:val="08E12697"/>
    <w:rsid w:val="08F32F05"/>
    <w:rsid w:val="095F3199"/>
    <w:rsid w:val="09736C45"/>
    <w:rsid w:val="09A27895"/>
    <w:rsid w:val="0A015732"/>
    <w:rsid w:val="0B224422"/>
    <w:rsid w:val="0B4C7FEF"/>
    <w:rsid w:val="0B891F50"/>
    <w:rsid w:val="0BE6615F"/>
    <w:rsid w:val="0C6E1BD7"/>
    <w:rsid w:val="0C89471E"/>
    <w:rsid w:val="0C925538"/>
    <w:rsid w:val="0C9D4705"/>
    <w:rsid w:val="0CB67574"/>
    <w:rsid w:val="0D36577E"/>
    <w:rsid w:val="0D3F0613"/>
    <w:rsid w:val="0D417485"/>
    <w:rsid w:val="0D43553D"/>
    <w:rsid w:val="0D611BD6"/>
    <w:rsid w:val="0D815336"/>
    <w:rsid w:val="0DCE4EE9"/>
    <w:rsid w:val="0DDE3227"/>
    <w:rsid w:val="0DE545B5"/>
    <w:rsid w:val="0E3A6903"/>
    <w:rsid w:val="0E7E2C18"/>
    <w:rsid w:val="0EAE5D0B"/>
    <w:rsid w:val="0EE4067B"/>
    <w:rsid w:val="0F2C7D97"/>
    <w:rsid w:val="0F317370"/>
    <w:rsid w:val="0F5F0397"/>
    <w:rsid w:val="0F667927"/>
    <w:rsid w:val="0F8876CA"/>
    <w:rsid w:val="0F98675A"/>
    <w:rsid w:val="0FFC1742"/>
    <w:rsid w:val="100106CE"/>
    <w:rsid w:val="100D48FD"/>
    <w:rsid w:val="102F35EC"/>
    <w:rsid w:val="10480E2B"/>
    <w:rsid w:val="10827BCC"/>
    <w:rsid w:val="10A404D8"/>
    <w:rsid w:val="11360C84"/>
    <w:rsid w:val="11586E4C"/>
    <w:rsid w:val="115C19F5"/>
    <w:rsid w:val="116E48C1"/>
    <w:rsid w:val="11A7392F"/>
    <w:rsid w:val="11C95F9C"/>
    <w:rsid w:val="11D54941"/>
    <w:rsid w:val="12303925"/>
    <w:rsid w:val="126258E7"/>
    <w:rsid w:val="12753A2E"/>
    <w:rsid w:val="12C60FED"/>
    <w:rsid w:val="12DA75C2"/>
    <w:rsid w:val="12EF37E0"/>
    <w:rsid w:val="1325541B"/>
    <w:rsid w:val="13350988"/>
    <w:rsid w:val="134F34D0"/>
    <w:rsid w:val="136647C4"/>
    <w:rsid w:val="13E70C2E"/>
    <w:rsid w:val="142D3A1C"/>
    <w:rsid w:val="145439BE"/>
    <w:rsid w:val="14596B6E"/>
    <w:rsid w:val="14890557"/>
    <w:rsid w:val="14913DAE"/>
    <w:rsid w:val="14D33A41"/>
    <w:rsid w:val="14FB646C"/>
    <w:rsid w:val="15234043"/>
    <w:rsid w:val="1533356A"/>
    <w:rsid w:val="15362A79"/>
    <w:rsid w:val="15403946"/>
    <w:rsid w:val="155D1958"/>
    <w:rsid w:val="15C03212"/>
    <w:rsid w:val="15E80BB8"/>
    <w:rsid w:val="1719707D"/>
    <w:rsid w:val="171A02E1"/>
    <w:rsid w:val="17214184"/>
    <w:rsid w:val="172F4118"/>
    <w:rsid w:val="177034A9"/>
    <w:rsid w:val="17814EBE"/>
    <w:rsid w:val="17D17BE5"/>
    <w:rsid w:val="17E728EB"/>
    <w:rsid w:val="17EF7DDE"/>
    <w:rsid w:val="17F263D6"/>
    <w:rsid w:val="1840688C"/>
    <w:rsid w:val="188449CB"/>
    <w:rsid w:val="18A22B9C"/>
    <w:rsid w:val="18EA221C"/>
    <w:rsid w:val="18FC0A05"/>
    <w:rsid w:val="19137AFC"/>
    <w:rsid w:val="191F4337"/>
    <w:rsid w:val="196056B2"/>
    <w:rsid w:val="19946E8F"/>
    <w:rsid w:val="19B16915"/>
    <w:rsid w:val="1A692698"/>
    <w:rsid w:val="1AD445FB"/>
    <w:rsid w:val="1AFE41A2"/>
    <w:rsid w:val="1B356450"/>
    <w:rsid w:val="1B4723FE"/>
    <w:rsid w:val="1B530684"/>
    <w:rsid w:val="1BD16179"/>
    <w:rsid w:val="1BEC5A46"/>
    <w:rsid w:val="1C312FB0"/>
    <w:rsid w:val="1C6922AF"/>
    <w:rsid w:val="1C7A0F4E"/>
    <w:rsid w:val="1CAC2742"/>
    <w:rsid w:val="1CF914BF"/>
    <w:rsid w:val="1D3474BE"/>
    <w:rsid w:val="1D64530A"/>
    <w:rsid w:val="1DDC0E05"/>
    <w:rsid w:val="1E2223FC"/>
    <w:rsid w:val="1E311151"/>
    <w:rsid w:val="1EDF0A76"/>
    <w:rsid w:val="1EEB7551"/>
    <w:rsid w:val="1F260691"/>
    <w:rsid w:val="1F3E55C8"/>
    <w:rsid w:val="1F672950"/>
    <w:rsid w:val="1F78690B"/>
    <w:rsid w:val="1FAE738C"/>
    <w:rsid w:val="1FC16504"/>
    <w:rsid w:val="2077630A"/>
    <w:rsid w:val="20901CE0"/>
    <w:rsid w:val="21140CED"/>
    <w:rsid w:val="211A595D"/>
    <w:rsid w:val="219A6B87"/>
    <w:rsid w:val="21BA0FE9"/>
    <w:rsid w:val="21C1459A"/>
    <w:rsid w:val="22266AF2"/>
    <w:rsid w:val="228A6ABE"/>
    <w:rsid w:val="22A44DAF"/>
    <w:rsid w:val="22C34341"/>
    <w:rsid w:val="22D24D60"/>
    <w:rsid w:val="22D622C7"/>
    <w:rsid w:val="22DB168B"/>
    <w:rsid w:val="23290CD7"/>
    <w:rsid w:val="233D2CBA"/>
    <w:rsid w:val="235853C4"/>
    <w:rsid w:val="23A83C63"/>
    <w:rsid w:val="23E5611D"/>
    <w:rsid w:val="24066BDB"/>
    <w:rsid w:val="242D23BA"/>
    <w:rsid w:val="24373239"/>
    <w:rsid w:val="247E2C16"/>
    <w:rsid w:val="248F097F"/>
    <w:rsid w:val="24C04FDC"/>
    <w:rsid w:val="25097693"/>
    <w:rsid w:val="259A3A7F"/>
    <w:rsid w:val="25A920F9"/>
    <w:rsid w:val="25C428AA"/>
    <w:rsid w:val="26722306"/>
    <w:rsid w:val="267E6EFD"/>
    <w:rsid w:val="26804A23"/>
    <w:rsid w:val="268C4A4A"/>
    <w:rsid w:val="268D5D4F"/>
    <w:rsid w:val="26991759"/>
    <w:rsid w:val="2712017D"/>
    <w:rsid w:val="272D447F"/>
    <w:rsid w:val="275714EA"/>
    <w:rsid w:val="27932534"/>
    <w:rsid w:val="27D757D3"/>
    <w:rsid w:val="27EB05C2"/>
    <w:rsid w:val="280671AA"/>
    <w:rsid w:val="28180C8B"/>
    <w:rsid w:val="282D2989"/>
    <w:rsid w:val="28D01566"/>
    <w:rsid w:val="290F39F9"/>
    <w:rsid w:val="2912392D"/>
    <w:rsid w:val="291353A0"/>
    <w:rsid w:val="29231FDE"/>
    <w:rsid w:val="292D6E86"/>
    <w:rsid w:val="295D34AF"/>
    <w:rsid w:val="29622B06"/>
    <w:rsid w:val="296353E8"/>
    <w:rsid w:val="299936DC"/>
    <w:rsid w:val="29F36060"/>
    <w:rsid w:val="29F70EFE"/>
    <w:rsid w:val="2A314E31"/>
    <w:rsid w:val="2AFF09D7"/>
    <w:rsid w:val="2B0F45C8"/>
    <w:rsid w:val="2B260BDC"/>
    <w:rsid w:val="2B3B360F"/>
    <w:rsid w:val="2B466DB9"/>
    <w:rsid w:val="2BAA42F0"/>
    <w:rsid w:val="2BB64989"/>
    <w:rsid w:val="2BB67139"/>
    <w:rsid w:val="2BF35C97"/>
    <w:rsid w:val="2CE101E6"/>
    <w:rsid w:val="2CF47F19"/>
    <w:rsid w:val="2CFD1020"/>
    <w:rsid w:val="2D1A7254"/>
    <w:rsid w:val="2D4E798A"/>
    <w:rsid w:val="2D7925F4"/>
    <w:rsid w:val="2D7977EB"/>
    <w:rsid w:val="2D7C1CBC"/>
    <w:rsid w:val="2D853E99"/>
    <w:rsid w:val="2D8D4A0A"/>
    <w:rsid w:val="2D97415D"/>
    <w:rsid w:val="2DBA7A28"/>
    <w:rsid w:val="2DC86CB0"/>
    <w:rsid w:val="2DE07A74"/>
    <w:rsid w:val="2E664D9E"/>
    <w:rsid w:val="2EB24CE0"/>
    <w:rsid w:val="2EBB2CB1"/>
    <w:rsid w:val="2F102B9E"/>
    <w:rsid w:val="2F206A1F"/>
    <w:rsid w:val="2F2F348A"/>
    <w:rsid w:val="2F3758E4"/>
    <w:rsid w:val="2F416D1A"/>
    <w:rsid w:val="2F513A16"/>
    <w:rsid w:val="2F9477B0"/>
    <w:rsid w:val="301628A9"/>
    <w:rsid w:val="303A2E5F"/>
    <w:rsid w:val="30BA4FD6"/>
    <w:rsid w:val="30C94C38"/>
    <w:rsid w:val="310221B1"/>
    <w:rsid w:val="312C75C4"/>
    <w:rsid w:val="314422DD"/>
    <w:rsid w:val="314F5A38"/>
    <w:rsid w:val="31697D37"/>
    <w:rsid w:val="318F0210"/>
    <w:rsid w:val="31AA0C0A"/>
    <w:rsid w:val="31BB2DB3"/>
    <w:rsid w:val="31E57E30"/>
    <w:rsid w:val="31F2146B"/>
    <w:rsid w:val="325011E8"/>
    <w:rsid w:val="326055F9"/>
    <w:rsid w:val="32802058"/>
    <w:rsid w:val="328A6C2A"/>
    <w:rsid w:val="328F5FEE"/>
    <w:rsid w:val="329F26D5"/>
    <w:rsid w:val="32DE21FE"/>
    <w:rsid w:val="32EB35B4"/>
    <w:rsid w:val="33222CB9"/>
    <w:rsid w:val="333C43C8"/>
    <w:rsid w:val="33850774"/>
    <w:rsid w:val="33880D03"/>
    <w:rsid w:val="33B8412C"/>
    <w:rsid w:val="33D12052"/>
    <w:rsid w:val="33D22636"/>
    <w:rsid w:val="34282FB3"/>
    <w:rsid w:val="349831C4"/>
    <w:rsid w:val="35366BF5"/>
    <w:rsid w:val="353F360F"/>
    <w:rsid w:val="358018DD"/>
    <w:rsid w:val="35B73417"/>
    <w:rsid w:val="35B94231"/>
    <w:rsid w:val="35C17C8B"/>
    <w:rsid w:val="35E623C9"/>
    <w:rsid w:val="363F7524"/>
    <w:rsid w:val="36A04C6E"/>
    <w:rsid w:val="36A61BFF"/>
    <w:rsid w:val="36D10B7D"/>
    <w:rsid w:val="36F57279"/>
    <w:rsid w:val="371649C0"/>
    <w:rsid w:val="37272C99"/>
    <w:rsid w:val="376513F0"/>
    <w:rsid w:val="3787198A"/>
    <w:rsid w:val="379B7875"/>
    <w:rsid w:val="37A54D91"/>
    <w:rsid w:val="37BA58BB"/>
    <w:rsid w:val="37DB610F"/>
    <w:rsid w:val="37DE146E"/>
    <w:rsid w:val="384120F7"/>
    <w:rsid w:val="386B37E8"/>
    <w:rsid w:val="38782491"/>
    <w:rsid w:val="38FC020D"/>
    <w:rsid w:val="38FC4B7C"/>
    <w:rsid w:val="390F1C37"/>
    <w:rsid w:val="392E47B3"/>
    <w:rsid w:val="393022D9"/>
    <w:rsid w:val="39382F3B"/>
    <w:rsid w:val="394B7113"/>
    <w:rsid w:val="397D3044"/>
    <w:rsid w:val="39880F9B"/>
    <w:rsid w:val="39B0341A"/>
    <w:rsid w:val="39C43F44"/>
    <w:rsid w:val="3A484582"/>
    <w:rsid w:val="3A63223A"/>
    <w:rsid w:val="3A830B2E"/>
    <w:rsid w:val="3A834A05"/>
    <w:rsid w:val="3A9643BE"/>
    <w:rsid w:val="3AAC1E33"/>
    <w:rsid w:val="3AC76C6D"/>
    <w:rsid w:val="3B0A24EB"/>
    <w:rsid w:val="3B0E11B9"/>
    <w:rsid w:val="3B1D002D"/>
    <w:rsid w:val="3B712735"/>
    <w:rsid w:val="3B914B85"/>
    <w:rsid w:val="3BA82BFD"/>
    <w:rsid w:val="3C073099"/>
    <w:rsid w:val="3C1A742D"/>
    <w:rsid w:val="3C791EFD"/>
    <w:rsid w:val="3C8203BB"/>
    <w:rsid w:val="3C9A0A83"/>
    <w:rsid w:val="3CA56E5C"/>
    <w:rsid w:val="3CB4251D"/>
    <w:rsid w:val="3D493F35"/>
    <w:rsid w:val="3D6F4035"/>
    <w:rsid w:val="3D9B618F"/>
    <w:rsid w:val="3DAC3EF8"/>
    <w:rsid w:val="3E495BEB"/>
    <w:rsid w:val="3E650AC7"/>
    <w:rsid w:val="3E6850E9"/>
    <w:rsid w:val="3E802591"/>
    <w:rsid w:val="3E8417B1"/>
    <w:rsid w:val="3F481E53"/>
    <w:rsid w:val="3F4D5963"/>
    <w:rsid w:val="3F56236D"/>
    <w:rsid w:val="3F7603DF"/>
    <w:rsid w:val="3FE730FF"/>
    <w:rsid w:val="401B5EF9"/>
    <w:rsid w:val="409F2538"/>
    <w:rsid w:val="40E52248"/>
    <w:rsid w:val="41465972"/>
    <w:rsid w:val="42255D7C"/>
    <w:rsid w:val="42405D96"/>
    <w:rsid w:val="427A1F06"/>
    <w:rsid w:val="4283791D"/>
    <w:rsid w:val="42EA174A"/>
    <w:rsid w:val="433125CD"/>
    <w:rsid w:val="433C007A"/>
    <w:rsid w:val="43C2293A"/>
    <w:rsid w:val="43E87689"/>
    <w:rsid w:val="440B6BE2"/>
    <w:rsid w:val="445B38A4"/>
    <w:rsid w:val="44BC28D1"/>
    <w:rsid w:val="44BF6C07"/>
    <w:rsid w:val="450B2EEB"/>
    <w:rsid w:val="45357D20"/>
    <w:rsid w:val="459C0545"/>
    <w:rsid w:val="45AE3109"/>
    <w:rsid w:val="45B74BFB"/>
    <w:rsid w:val="45C45BA1"/>
    <w:rsid w:val="45D81278"/>
    <w:rsid w:val="4629258A"/>
    <w:rsid w:val="463B050F"/>
    <w:rsid w:val="46584C1D"/>
    <w:rsid w:val="46A41C10"/>
    <w:rsid w:val="46C6725C"/>
    <w:rsid w:val="47372A84"/>
    <w:rsid w:val="474A5F7A"/>
    <w:rsid w:val="47586573"/>
    <w:rsid w:val="47B16CDB"/>
    <w:rsid w:val="483B143E"/>
    <w:rsid w:val="483E2E8C"/>
    <w:rsid w:val="48484E0B"/>
    <w:rsid w:val="48594C7C"/>
    <w:rsid w:val="487E0C92"/>
    <w:rsid w:val="48B3355A"/>
    <w:rsid w:val="48EF0574"/>
    <w:rsid w:val="49003905"/>
    <w:rsid w:val="496C5710"/>
    <w:rsid w:val="49AF2C61"/>
    <w:rsid w:val="49B17A19"/>
    <w:rsid w:val="49CF45A0"/>
    <w:rsid w:val="4A176B9D"/>
    <w:rsid w:val="4A3C1AFC"/>
    <w:rsid w:val="4A425D44"/>
    <w:rsid w:val="4A72504B"/>
    <w:rsid w:val="4AB935C3"/>
    <w:rsid w:val="4AE64EED"/>
    <w:rsid w:val="4BE74CD7"/>
    <w:rsid w:val="4BF4363A"/>
    <w:rsid w:val="4C636ED9"/>
    <w:rsid w:val="4C6B006F"/>
    <w:rsid w:val="4C7E4CB1"/>
    <w:rsid w:val="4CD751A0"/>
    <w:rsid w:val="4D111FCA"/>
    <w:rsid w:val="4D7C3730"/>
    <w:rsid w:val="4DD454D1"/>
    <w:rsid w:val="4DD54DA5"/>
    <w:rsid w:val="4DE35714"/>
    <w:rsid w:val="4E013DEC"/>
    <w:rsid w:val="4E173AED"/>
    <w:rsid w:val="4E920EE8"/>
    <w:rsid w:val="4EFD6AD1"/>
    <w:rsid w:val="4FBD0166"/>
    <w:rsid w:val="4FE47521"/>
    <w:rsid w:val="50993895"/>
    <w:rsid w:val="50D457E8"/>
    <w:rsid w:val="50DC4C8A"/>
    <w:rsid w:val="51120B54"/>
    <w:rsid w:val="51DA56D9"/>
    <w:rsid w:val="521479BD"/>
    <w:rsid w:val="523572D3"/>
    <w:rsid w:val="52630BD1"/>
    <w:rsid w:val="528A0C2E"/>
    <w:rsid w:val="52C27FEE"/>
    <w:rsid w:val="52E52E06"/>
    <w:rsid w:val="53065EB5"/>
    <w:rsid w:val="53376114"/>
    <w:rsid w:val="534F73A8"/>
    <w:rsid w:val="53C102A5"/>
    <w:rsid w:val="54501629"/>
    <w:rsid w:val="549E05E7"/>
    <w:rsid w:val="551A2274"/>
    <w:rsid w:val="552079AD"/>
    <w:rsid w:val="55865E7A"/>
    <w:rsid w:val="559A49F3"/>
    <w:rsid w:val="55AD03B6"/>
    <w:rsid w:val="560165A7"/>
    <w:rsid w:val="561641AD"/>
    <w:rsid w:val="565926F8"/>
    <w:rsid w:val="567C6706"/>
    <w:rsid w:val="56947B58"/>
    <w:rsid w:val="569A4893"/>
    <w:rsid w:val="56DE12A0"/>
    <w:rsid w:val="570F0CE3"/>
    <w:rsid w:val="572A43B4"/>
    <w:rsid w:val="57364B06"/>
    <w:rsid w:val="57640800"/>
    <w:rsid w:val="57CC7219"/>
    <w:rsid w:val="58491124"/>
    <w:rsid w:val="589870FB"/>
    <w:rsid w:val="58FA06F3"/>
    <w:rsid w:val="59037050"/>
    <w:rsid w:val="593257A1"/>
    <w:rsid w:val="59716137"/>
    <w:rsid w:val="597C6A1D"/>
    <w:rsid w:val="599A323A"/>
    <w:rsid w:val="59FD5D36"/>
    <w:rsid w:val="5A0507C0"/>
    <w:rsid w:val="5A106D9C"/>
    <w:rsid w:val="5A1153B7"/>
    <w:rsid w:val="5A5055AA"/>
    <w:rsid w:val="5A645887"/>
    <w:rsid w:val="5AE66844"/>
    <w:rsid w:val="5B9C6F02"/>
    <w:rsid w:val="5BA31F6D"/>
    <w:rsid w:val="5CBC2E8A"/>
    <w:rsid w:val="5D984E39"/>
    <w:rsid w:val="5DE27796"/>
    <w:rsid w:val="5DE3706A"/>
    <w:rsid w:val="5E256920"/>
    <w:rsid w:val="5E8A707B"/>
    <w:rsid w:val="5E951201"/>
    <w:rsid w:val="5ECC3F6D"/>
    <w:rsid w:val="5EF977B3"/>
    <w:rsid w:val="5F665FE7"/>
    <w:rsid w:val="5F737229"/>
    <w:rsid w:val="5F7E172D"/>
    <w:rsid w:val="60465003"/>
    <w:rsid w:val="60534318"/>
    <w:rsid w:val="60C63C94"/>
    <w:rsid w:val="6142054C"/>
    <w:rsid w:val="61555693"/>
    <w:rsid w:val="617565F6"/>
    <w:rsid w:val="617A7C83"/>
    <w:rsid w:val="6284597A"/>
    <w:rsid w:val="628F5D29"/>
    <w:rsid w:val="62A414BE"/>
    <w:rsid w:val="62C56E45"/>
    <w:rsid w:val="62D40D1A"/>
    <w:rsid w:val="634632A4"/>
    <w:rsid w:val="63763A5F"/>
    <w:rsid w:val="63810D24"/>
    <w:rsid w:val="64124205"/>
    <w:rsid w:val="642C3481"/>
    <w:rsid w:val="64532812"/>
    <w:rsid w:val="64780290"/>
    <w:rsid w:val="64B17EC2"/>
    <w:rsid w:val="65261E33"/>
    <w:rsid w:val="654A3ABB"/>
    <w:rsid w:val="65613696"/>
    <w:rsid w:val="6589396E"/>
    <w:rsid w:val="66042274"/>
    <w:rsid w:val="667A530E"/>
    <w:rsid w:val="667C005C"/>
    <w:rsid w:val="66ED0F5A"/>
    <w:rsid w:val="67144738"/>
    <w:rsid w:val="67177D85"/>
    <w:rsid w:val="67191D4F"/>
    <w:rsid w:val="671B39FF"/>
    <w:rsid w:val="671C049D"/>
    <w:rsid w:val="672229B1"/>
    <w:rsid w:val="678E44EB"/>
    <w:rsid w:val="68324E76"/>
    <w:rsid w:val="6841330B"/>
    <w:rsid w:val="68560FB0"/>
    <w:rsid w:val="6875755D"/>
    <w:rsid w:val="6888718C"/>
    <w:rsid w:val="68DD5B96"/>
    <w:rsid w:val="69126A56"/>
    <w:rsid w:val="693D7F76"/>
    <w:rsid w:val="69643755"/>
    <w:rsid w:val="69981651"/>
    <w:rsid w:val="69DA57C5"/>
    <w:rsid w:val="6A2627B9"/>
    <w:rsid w:val="6A2716C9"/>
    <w:rsid w:val="6A610B11"/>
    <w:rsid w:val="6A6A173C"/>
    <w:rsid w:val="6AA60986"/>
    <w:rsid w:val="6AAB0F10"/>
    <w:rsid w:val="6AE84A72"/>
    <w:rsid w:val="6B0C2EC6"/>
    <w:rsid w:val="6B1B3F84"/>
    <w:rsid w:val="6B4E7EEE"/>
    <w:rsid w:val="6B7D28AC"/>
    <w:rsid w:val="6BE7241B"/>
    <w:rsid w:val="6C465F32"/>
    <w:rsid w:val="6C703149"/>
    <w:rsid w:val="6C846764"/>
    <w:rsid w:val="6CA200F0"/>
    <w:rsid w:val="6CFE3B02"/>
    <w:rsid w:val="6D88670D"/>
    <w:rsid w:val="6DE309C1"/>
    <w:rsid w:val="6EA405A9"/>
    <w:rsid w:val="6EC16F54"/>
    <w:rsid w:val="6F265009"/>
    <w:rsid w:val="6F834209"/>
    <w:rsid w:val="6F9E3748"/>
    <w:rsid w:val="70981F36"/>
    <w:rsid w:val="70A11939"/>
    <w:rsid w:val="70FB773A"/>
    <w:rsid w:val="7116481E"/>
    <w:rsid w:val="711A6DEF"/>
    <w:rsid w:val="71421785"/>
    <w:rsid w:val="7158574F"/>
    <w:rsid w:val="7180259E"/>
    <w:rsid w:val="721253F9"/>
    <w:rsid w:val="722578E9"/>
    <w:rsid w:val="72784DFD"/>
    <w:rsid w:val="72B54101"/>
    <w:rsid w:val="72CC5EC7"/>
    <w:rsid w:val="7313528F"/>
    <w:rsid w:val="7314591F"/>
    <w:rsid w:val="733C509D"/>
    <w:rsid w:val="73972979"/>
    <w:rsid w:val="739A6724"/>
    <w:rsid w:val="74237D69"/>
    <w:rsid w:val="74A626EA"/>
    <w:rsid w:val="75023E22"/>
    <w:rsid w:val="756747A2"/>
    <w:rsid w:val="75734190"/>
    <w:rsid w:val="75A7382D"/>
    <w:rsid w:val="75D812E7"/>
    <w:rsid w:val="7625426C"/>
    <w:rsid w:val="762C373B"/>
    <w:rsid w:val="76EE5C21"/>
    <w:rsid w:val="77422BFC"/>
    <w:rsid w:val="776B3F01"/>
    <w:rsid w:val="77843214"/>
    <w:rsid w:val="77B5517C"/>
    <w:rsid w:val="77C47A53"/>
    <w:rsid w:val="77D74F78"/>
    <w:rsid w:val="77EA5801"/>
    <w:rsid w:val="785962C1"/>
    <w:rsid w:val="78832BF4"/>
    <w:rsid w:val="789E0A66"/>
    <w:rsid w:val="78B00F4C"/>
    <w:rsid w:val="791F1447"/>
    <w:rsid w:val="79AE6327"/>
    <w:rsid w:val="7A3507F6"/>
    <w:rsid w:val="7A4822D7"/>
    <w:rsid w:val="7A925C48"/>
    <w:rsid w:val="7ABA6A60"/>
    <w:rsid w:val="7B1440DE"/>
    <w:rsid w:val="7B3343CE"/>
    <w:rsid w:val="7B4968BF"/>
    <w:rsid w:val="7B9D2AF7"/>
    <w:rsid w:val="7BA93985"/>
    <w:rsid w:val="7BDD225D"/>
    <w:rsid w:val="7C547659"/>
    <w:rsid w:val="7C914A80"/>
    <w:rsid w:val="7C920181"/>
    <w:rsid w:val="7D815A75"/>
    <w:rsid w:val="7DCC0D4A"/>
    <w:rsid w:val="7DEC38C1"/>
    <w:rsid w:val="7E05426C"/>
    <w:rsid w:val="7E3A287F"/>
    <w:rsid w:val="7E696CC0"/>
    <w:rsid w:val="7EF85C16"/>
    <w:rsid w:val="7EF91DDE"/>
    <w:rsid w:val="7F0240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883" w:firstLineChars="200"/>
      <w:jc w:val="both"/>
    </w:pPr>
    <w:rPr>
      <w:rFonts w:ascii="Times New Roman" w:hAnsi="Times New Roman" w:eastAsia="宋体" w:cs="Times New Roman"/>
      <w:kern w:val="2"/>
      <w:sz w:val="28"/>
      <w:szCs w:val="24"/>
      <w:lang w:val="en-US" w:eastAsia="zh-CN" w:bidi="ar-SA"/>
    </w:rPr>
  </w:style>
  <w:style w:type="paragraph" w:styleId="2">
    <w:name w:val="heading 1"/>
    <w:basedOn w:val="1"/>
    <w:next w:val="1"/>
    <w:link w:val="29"/>
    <w:autoRedefine/>
    <w:qFormat/>
    <w:uiPriority w:val="0"/>
    <w:pPr>
      <w:keepNext/>
      <w:keepLines/>
      <w:spacing w:beforeLines="0" w:beforeAutospacing="0" w:afterLines="0" w:afterAutospacing="0" w:line="360" w:lineRule="auto"/>
      <w:ind w:left="0" w:leftChars="0" w:firstLine="0" w:firstLineChars="0"/>
      <w:jc w:val="center"/>
      <w:outlineLvl w:val="0"/>
    </w:pPr>
    <w:rPr>
      <w:rFonts w:ascii="Times New Roman" w:hAnsi="Times New Roman" w:eastAsia="黑体"/>
      <w:b/>
      <w:kern w:val="44"/>
      <w:sz w:val="32"/>
    </w:rPr>
  </w:style>
  <w:style w:type="paragraph" w:styleId="3">
    <w:name w:val="heading 2"/>
    <w:basedOn w:val="1"/>
    <w:next w:val="1"/>
    <w:unhideWhenUsed/>
    <w:qFormat/>
    <w:uiPriority w:val="0"/>
    <w:pPr>
      <w:keepNext/>
      <w:keepLines/>
      <w:spacing w:beforeLines="0" w:beforeAutospacing="0" w:afterLines="0" w:afterAutospacing="0" w:line="360" w:lineRule="auto"/>
      <w:ind w:left="280" w:leftChars="100" w:firstLine="0" w:firstLineChars="0"/>
      <w:outlineLvl w:val="1"/>
    </w:pPr>
    <w:rPr>
      <w:rFonts w:eastAsia="黑体"/>
      <w:b/>
      <w:sz w:val="30"/>
    </w:rPr>
  </w:style>
  <w:style w:type="paragraph" w:styleId="4">
    <w:name w:val="heading 3"/>
    <w:basedOn w:val="1"/>
    <w:next w:val="1"/>
    <w:link w:val="38"/>
    <w:autoRedefine/>
    <w:unhideWhenUsed/>
    <w:qFormat/>
    <w:uiPriority w:val="0"/>
    <w:pPr>
      <w:keepNext/>
      <w:keepLines/>
      <w:spacing w:beforeLines="0" w:beforeAutospacing="0" w:afterLines="0" w:afterAutospacing="0" w:line="360" w:lineRule="auto"/>
      <w:ind w:left="560" w:leftChars="200" w:firstLine="0" w:firstLineChars="0"/>
      <w:outlineLvl w:val="2"/>
    </w:pPr>
    <w:rPr>
      <w:rFonts w:eastAsia="黑体"/>
      <w:b/>
    </w:rPr>
  </w:style>
  <w:style w:type="character" w:default="1" w:styleId="22">
    <w:name w:val="Default Paragraph Font"/>
    <w:autoRedefine/>
    <w:semiHidden/>
    <w:qFormat/>
    <w:uiPriority w:val="0"/>
  </w:style>
  <w:style w:type="table" w:default="1" w:styleId="20">
    <w:name w:val="Normal Table"/>
    <w:autoRedefine/>
    <w:semiHidden/>
    <w:qFormat/>
    <w:uiPriority w:val="0"/>
    <w:tblPr>
      <w:tblCellMar>
        <w:top w:w="0" w:type="dxa"/>
        <w:left w:w="108" w:type="dxa"/>
        <w:bottom w:w="0" w:type="dxa"/>
        <w:right w:w="108" w:type="dxa"/>
      </w:tblCellMar>
    </w:tblPr>
  </w:style>
  <w:style w:type="paragraph" w:styleId="5">
    <w:name w:val="table of authorities"/>
    <w:basedOn w:val="1"/>
    <w:next w:val="1"/>
    <w:autoRedefine/>
    <w:qFormat/>
    <w:uiPriority w:val="0"/>
    <w:pPr>
      <w:ind w:left="420" w:leftChars="200"/>
    </w:pPr>
  </w:style>
  <w:style w:type="paragraph" w:styleId="6">
    <w:name w:val="Normal Indent"/>
    <w:basedOn w:val="1"/>
    <w:next w:val="1"/>
    <w:qFormat/>
    <w:uiPriority w:val="0"/>
    <w:pPr>
      <w:widowControl w:val="0"/>
      <w:ind w:firstLine="420" w:firstLineChars="200"/>
      <w:jc w:val="both"/>
    </w:pPr>
    <w:rPr>
      <w:rFonts w:ascii="Times New Roman" w:hAnsi="Times New Roman" w:eastAsia="宋体" w:cs="Times New Roman"/>
      <w:kern w:val="2"/>
      <w:sz w:val="21"/>
      <w:szCs w:val="24"/>
      <w:lang w:val="en-US" w:eastAsia="zh-CN" w:bidi="ar-SA"/>
    </w:rPr>
  </w:style>
  <w:style w:type="paragraph" w:styleId="7">
    <w:name w:val="toa heading"/>
    <w:next w:val="1"/>
    <w:qFormat/>
    <w:uiPriority w:val="0"/>
    <w:pPr>
      <w:widowControl w:val="0"/>
      <w:spacing w:before="120"/>
      <w:jc w:val="both"/>
    </w:pPr>
    <w:rPr>
      <w:rFonts w:ascii="Cambria" w:hAnsi="Cambria" w:eastAsia="宋体" w:cs="Times New Roman"/>
      <w:kern w:val="2"/>
      <w:sz w:val="24"/>
      <w:szCs w:val="24"/>
      <w:lang w:val="en-US" w:eastAsia="zh-CN" w:bidi="ar-SA"/>
    </w:rPr>
  </w:style>
  <w:style w:type="paragraph" w:styleId="8">
    <w:name w:val="annotation text"/>
    <w:basedOn w:val="1"/>
    <w:autoRedefine/>
    <w:qFormat/>
    <w:uiPriority w:val="0"/>
    <w:pPr>
      <w:jc w:val="left"/>
    </w:pPr>
  </w:style>
  <w:style w:type="paragraph" w:styleId="9">
    <w:name w:val="Body Text"/>
    <w:basedOn w:val="1"/>
    <w:link w:val="41"/>
    <w:autoRedefine/>
    <w:qFormat/>
    <w:uiPriority w:val="0"/>
    <w:pPr>
      <w:widowControl w:val="0"/>
      <w:spacing w:after="120" w:line="360" w:lineRule="auto"/>
      <w:jc w:val="both"/>
    </w:pPr>
    <w:rPr>
      <w:rFonts w:ascii="Times New Roman" w:hAnsi="Times New Roman" w:eastAsia="宋体" w:cs="Times New Roman"/>
      <w:kern w:val="2"/>
      <w:sz w:val="28"/>
      <w:szCs w:val="24"/>
      <w:lang w:val="en-US" w:eastAsia="zh-CN" w:bidi="ar-SA"/>
    </w:rPr>
  </w:style>
  <w:style w:type="paragraph" w:styleId="10">
    <w:name w:val="Body Text Indent"/>
    <w:basedOn w:val="1"/>
    <w:next w:val="6"/>
    <w:qFormat/>
    <w:uiPriority w:val="0"/>
    <w:pPr>
      <w:widowControl w:val="0"/>
      <w:spacing w:after="120" w:afterLines="0"/>
      <w:ind w:left="420" w:leftChars="200"/>
      <w:jc w:val="both"/>
    </w:pPr>
    <w:rPr>
      <w:rFonts w:ascii="Times New Roman" w:hAnsi="Times New Roman" w:eastAsia="宋体" w:cs="Times New Roman"/>
      <w:kern w:val="2"/>
      <w:sz w:val="21"/>
      <w:szCs w:val="24"/>
      <w:lang w:val="en-US" w:eastAsia="zh-CN" w:bidi="ar-SA"/>
    </w:rPr>
  </w:style>
  <w:style w:type="paragraph" w:styleId="11">
    <w:name w:val="toc 3"/>
    <w:basedOn w:val="1"/>
    <w:next w:val="1"/>
    <w:autoRedefine/>
    <w:qFormat/>
    <w:uiPriority w:val="0"/>
    <w:pPr>
      <w:spacing w:line="240" w:lineRule="auto"/>
      <w:ind w:left="840" w:leftChars="400"/>
    </w:pPr>
    <w:rPr>
      <w:rFonts w:ascii="Times New Roman" w:hAnsi="Times New Roman" w:eastAsia="宋体"/>
      <w:sz w:val="21"/>
    </w:rPr>
  </w:style>
  <w:style w:type="paragraph" w:styleId="12">
    <w:name w:val="Plain Text"/>
    <w:basedOn w:val="1"/>
    <w:qFormat/>
    <w:uiPriority w:val="0"/>
    <w:rPr>
      <w:rFonts w:ascii="宋体" w:hAnsi="Courier New"/>
      <w:szCs w:val="21"/>
    </w:rPr>
  </w:style>
  <w:style w:type="paragraph" w:styleId="13">
    <w:name w:val="footer"/>
    <w:basedOn w:val="1"/>
    <w:autoRedefine/>
    <w:qFormat/>
    <w:uiPriority w:val="0"/>
    <w:pPr>
      <w:tabs>
        <w:tab w:val="center" w:pos="4153"/>
        <w:tab w:val="right" w:pos="8306"/>
      </w:tabs>
      <w:snapToGrid w:val="0"/>
      <w:spacing w:line="240" w:lineRule="auto"/>
      <w:jc w:val="left"/>
    </w:pPr>
    <w:rPr>
      <w:sz w:val="18"/>
      <w:szCs w:val="18"/>
    </w:rPr>
  </w:style>
  <w:style w:type="paragraph" w:styleId="14">
    <w:name w:val="header"/>
    <w:basedOn w:val="1"/>
    <w:autoRedefine/>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15">
    <w:name w:val="toc 1"/>
    <w:basedOn w:val="1"/>
    <w:next w:val="1"/>
    <w:autoRedefine/>
    <w:qFormat/>
    <w:uiPriority w:val="0"/>
    <w:pPr>
      <w:tabs>
        <w:tab w:val="right" w:leader="dot" w:pos="9072"/>
      </w:tabs>
      <w:spacing w:line="240" w:lineRule="auto"/>
      <w:ind w:firstLine="0" w:firstLineChars="0"/>
    </w:pPr>
    <w:rPr>
      <w:rFonts w:ascii="Times New Roman" w:hAnsi="Times New Roman" w:eastAsia="宋体"/>
      <w:sz w:val="28"/>
      <w:szCs w:val="21"/>
    </w:rPr>
  </w:style>
  <w:style w:type="paragraph" w:styleId="16">
    <w:name w:val="toc 2"/>
    <w:basedOn w:val="1"/>
    <w:next w:val="1"/>
    <w:autoRedefine/>
    <w:qFormat/>
    <w:uiPriority w:val="0"/>
    <w:pPr>
      <w:spacing w:line="240" w:lineRule="auto"/>
      <w:ind w:left="420" w:leftChars="200" w:firstLine="0" w:firstLineChars="0"/>
    </w:pPr>
    <w:rPr>
      <w:rFonts w:ascii="Times New Roman" w:hAnsi="Times New Roman" w:eastAsia="宋体"/>
      <w:sz w:val="24"/>
    </w:rPr>
  </w:style>
  <w:style w:type="paragraph" w:styleId="17">
    <w:name w:val="Body Text 2"/>
    <w:autoRedefine/>
    <w:qFormat/>
    <w:uiPriority w:val="0"/>
    <w:pPr>
      <w:widowControl w:val="0"/>
      <w:spacing w:after="120" w:line="480" w:lineRule="auto"/>
      <w:jc w:val="both"/>
    </w:pPr>
    <w:rPr>
      <w:rFonts w:ascii="Times New Roman" w:hAnsi="Times New Roman" w:eastAsia="宋体" w:cs="Times New Roman"/>
      <w:kern w:val="2"/>
      <w:sz w:val="28"/>
      <w:szCs w:val="24"/>
      <w:lang w:val="en-US" w:eastAsia="zh-CN" w:bidi="ar-SA"/>
    </w:rPr>
  </w:style>
  <w:style w:type="paragraph" w:styleId="18">
    <w:name w:val="Normal (Web)"/>
    <w:autoRedefine/>
    <w:qFormat/>
    <w:uiPriority w:val="99"/>
    <w:pPr>
      <w:widowControl/>
      <w:spacing w:before="100" w:beforeAutospacing="1" w:after="100" w:afterAutospacing="1"/>
      <w:jc w:val="left"/>
    </w:pPr>
    <w:rPr>
      <w:rFonts w:ascii="宋体" w:hAnsi="宋体" w:eastAsia="宋体" w:cs="宋体"/>
      <w:kern w:val="0"/>
      <w:sz w:val="24"/>
      <w:szCs w:val="24"/>
      <w:lang w:val="en-US" w:eastAsia="zh-CN" w:bidi="ar-SA"/>
    </w:rPr>
  </w:style>
  <w:style w:type="paragraph" w:styleId="19">
    <w:name w:val="Body Text First Indent 2"/>
    <w:basedOn w:val="10"/>
    <w:qFormat/>
    <w:uiPriority w:val="99"/>
    <w:pPr>
      <w:ind w:firstLine="420"/>
    </w:pPr>
  </w:style>
  <w:style w:type="table" w:styleId="21">
    <w:name w:val="Table Grid"/>
    <w:basedOn w:val="2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basedOn w:val="22"/>
    <w:autoRedefine/>
    <w:qFormat/>
    <w:uiPriority w:val="0"/>
  </w:style>
  <w:style w:type="paragraph" w:customStyle="1" w:styleId="24">
    <w:name w:val="&quot;footnote text&quot;"/>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
    <w:name w:val="目录1"/>
    <w:basedOn w:val="5"/>
    <w:autoRedefine/>
    <w:qFormat/>
    <w:uiPriority w:val="0"/>
    <w:pPr>
      <w:spacing w:line="240" w:lineRule="auto"/>
      <w:ind w:left="0" w:leftChars="0" w:firstLine="0" w:firstLineChars="0"/>
    </w:pPr>
  </w:style>
  <w:style w:type="paragraph" w:customStyle="1" w:styleId="26">
    <w:name w:val="目录2"/>
    <w:basedOn w:val="5"/>
    <w:autoRedefine/>
    <w:qFormat/>
    <w:uiPriority w:val="0"/>
    <w:pPr>
      <w:spacing w:line="240" w:lineRule="auto"/>
      <w:ind w:firstLine="0" w:firstLineChars="0"/>
    </w:pPr>
    <w:rPr>
      <w:sz w:val="24"/>
    </w:rPr>
  </w:style>
  <w:style w:type="paragraph" w:customStyle="1" w:styleId="27">
    <w:name w:val="目录3"/>
    <w:basedOn w:val="5"/>
    <w:autoRedefine/>
    <w:qFormat/>
    <w:uiPriority w:val="0"/>
    <w:pPr>
      <w:spacing w:line="240" w:lineRule="auto"/>
      <w:ind w:left="1120" w:leftChars="400" w:firstLine="0" w:firstLineChars="0"/>
    </w:pPr>
    <w:rPr>
      <w:sz w:val="21"/>
    </w:rPr>
  </w:style>
  <w:style w:type="paragraph" w:customStyle="1" w:styleId="28">
    <w:name w:val="样式 小四 首行缩进:  0.85 厘米 行距: 固定值 22 磅"/>
    <w:autoRedefine/>
    <w:qFormat/>
    <w:uiPriority w:val="0"/>
    <w:pPr>
      <w:widowControl/>
      <w:spacing w:line="440" w:lineRule="exact"/>
      <w:ind w:firstLine="480" w:firstLineChars="200"/>
      <w:jc w:val="both"/>
    </w:pPr>
    <w:rPr>
      <w:rFonts w:ascii="新宋体" w:hAnsi="新宋体" w:eastAsia="新宋体" w:cs="新宋体"/>
      <w:kern w:val="0"/>
      <w:sz w:val="24"/>
      <w:szCs w:val="20"/>
      <w:lang w:val="en-US" w:eastAsia="en-US" w:bidi="en-US"/>
    </w:rPr>
  </w:style>
  <w:style w:type="character" w:customStyle="1" w:styleId="29">
    <w:name w:val="标题 1 Char1"/>
    <w:link w:val="2"/>
    <w:autoRedefine/>
    <w:qFormat/>
    <w:uiPriority w:val="0"/>
    <w:rPr>
      <w:rFonts w:ascii="Times New Roman" w:hAnsi="Times New Roman" w:eastAsia="黑体"/>
      <w:b/>
      <w:kern w:val="44"/>
      <w:sz w:val="32"/>
    </w:rPr>
  </w:style>
  <w:style w:type="paragraph" w:customStyle="1" w:styleId="30">
    <w:name w:val="Char1"/>
    <w:basedOn w:val="1"/>
    <w:autoRedefine/>
    <w:qFormat/>
    <w:uiPriority w:val="0"/>
    <w:pPr>
      <w:autoSpaceDE w:val="0"/>
      <w:autoSpaceDN w:val="0"/>
      <w:adjustRightInd w:val="0"/>
      <w:snapToGrid w:val="0"/>
      <w:spacing w:before="50" w:after="50"/>
      <w:ind w:firstLine="560" w:firstLineChars="200"/>
    </w:pPr>
    <w:rPr>
      <w:sz w:val="21"/>
      <w:szCs w:val="20"/>
    </w:rPr>
  </w:style>
  <w:style w:type="character" w:customStyle="1" w:styleId="31">
    <w:name w:val="正文文本 + 10.5 pt6"/>
    <w:autoRedefine/>
    <w:qFormat/>
    <w:uiPriority w:val="0"/>
    <w:rPr>
      <w:rFonts w:ascii="宋体" w:hAnsi="宋体" w:eastAsia="宋体" w:cs="宋体"/>
      <w:kern w:val="2"/>
      <w:sz w:val="21"/>
      <w:szCs w:val="21"/>
      <w:u w:val="none"/>
      <w:lang w:val="en-US" w:eastAsia="zh-CN" w:bidi="ar-SA"/>
    </w:rPr>
  </w:style>
  <w:style w:type="character" w:customStyle="1" w:styleId="32">
    <w:name w:val="正文文本_"/>
    <w:link w:val="9"/>
    <w:autoRedefine/>
    <w:qFormat/>
    <w:uiPriority w:val="0"/>
    <w:rPr>
      <w:kern w:val="2"/>
      <w:sz w:val="28"/>
      <w:szCs w:val="24"/>
      <w:lang w:val="en-US" w:eastAsia="zh-CN" w:bidi="ar-SA"/>
    </w:rPr>
  </w:style>
  <w:style w:type="character" w:customStyle="1" w:styleId="33">
    <w:name w:val="正文文本 + Batang19"/>
    <w:autoRedefine/>
    <w:qFormat/>
    <w:uiPriority w:val="0"/>
    <w:rPr>
      <w:rFonts w:ascii="Batang" w:hAnsi="宋体" w:eastAsia="Batang" w:cs="Batang"/>
      <w:kern w:val="2"/>
      <w:sz w:val="19"/>
      <w:szCs w:val="19"/>
      <w:u w:val="none"/>
      <w:lang w:val="en-US" w:eastAsia="en-US" w:bidi="ar-SA"/>
    </w:rPr>
  </w:style>
  <w:style w:type="character" w:customStyle="1" w:styleId="34">
    <w:name w:val="正文文本 + MS Gothic"/>
    <w:autoRedefine/>
    <w:qFormat/>
    <w:uiPriority w:val="0"/>
    <w:rPr>
      <w:rFonts w:ascii="MS Gothic" w:hAnsi="宋体" w:eastAsia="MS Gothic" w:cs="MS Gothic"/>
      <w:spacing w:val="-20"/>
      <w:kern w:val="2"/>
      <w:sz w:val="8"/>
      <w:szCs w:val="8"/>
      <w:u w:val="none"/>
      <w:lang w:val="en-US" w:eastAsia="zh-CN" w:bidi="ar-SA"/>
    </w:rPr>
  </w:style>
  <w:style w:type="character" w:customStyle="1" w:styleId="35">
    <w:name w:val="正文文本 + Batang18"/>
    <w:autoRedefine/>
    <w:qFormat/>
    <w:uiPriority w:val="0"/>
    <w:rPr>
      <w:rFonts w:ascii="Batang" w:hAnsi="宋体" w:eastAsia="Batang" w:cs="Batang"/>
      <w:kern w:val="2"/>
      <w:sz w:val="19"/>
      <w:szCs w:val="19"/>
      <w:u w:val="none"/>
      <w:lang w:val="en-US" w:eastAsia="zh-CN" w:bidi="ar-SA"/>
    </w:rPr>
  </w:style>
  <w:style w:type="table" w:customStyle="1" w:styleId="36">
    <w:name w:val="Table Normal"/>
    <w:autoRedefine/>
    <w:semiHidden/>
    <w:unhideWhenUsed/>
    <w:qFormat/>
    <w:uiPriority w:val="0"/>
    <w:tblPr>
      <w:tblCellMar>
        <w:top w:w="0" w:type="dxa"/>
        <w:left w:w="0" w:type="dxa"/>
        <w:bottom w:w="0" w:type="dxa"/>
        <w:right w:w="0" w:type="dxa"/>
      </w:tblCellMar>
    </w:tblPr>
  </w:style>
  <w:style w:type="paragraph" w:customStyle="1" w:styleId="37">
    <w:name w:val="Table Text"/>
    <w:basedOn w:val="1"/>
    <w:autoRedefine/>
    <w:semiHidden/>
    <w:qFormat/>
    <w:uiPriority w:val="0"/>
    <w:rPr>
      <w:rFonts w:ascii="微软雅黑" w:hAnsi="微软雅黑" w:eastAsia="微软雅黑" w:cs="微软雅黑"/>
      <w:sz w:val="28"/>
      <w:szCs w:val="28"/>
      <w:lang w:val="en-US" w:eastAsia="en-US" w:bidi="ar-SA"/>
    </w:rPr>
  </w:style>
  <w:style w:type="character" w:customStyle="1" w:styleId="38">
    <w:name w:val="标题 3 Char"/>
    <w:link w:val="4"/>
    <w:qFormat/>
    <w:uiPriority w:val="0"/>
    <w:rPr>
      <w:rFonts w:eastAsia="黑体"/>
      <w:b/>
    </w:rPr>
  </w:style>
  <w:style w:type="paragraph" w:customStyle="1" w:styleId="39">
    <w:name w:val="样式 样式 样式 正文文本缩进 + 首行缩进:  2 字符 + 图案: 15% (自动设置 前景 白色 背景) + 图案: 清除"/>
    <w:qFormat/>
    <w:uiPriority w:val="0"/>
    <w:pPr>
      <w:widowControl/>
      <w:tabs>
        <w:tab w:val="left" w:pos="1155"/>
        <w:tab w:val="center" w:pos="4153"/>
      </w:tabs>
      <w:spacing w:line="360" w:lineRule="auto"/>
      <w:ind w:firstLine="560" w:firstLineChars="200"/>
      <w:jc w:val="both"/>
    </w:pPr>
    <w:rPr>
      <w:rFonts w:ascii="Times New Roman" w:hAnsi="Times New Roman" w:eastAsia="宋体" w:cs="宋体"/>
      <w:color w:val="000000"/>
      <w:kern w:val="0"/>
      <w:sz w:val="28"/>
      <w:szCs w:val="28"/>
      <w:lang w:val="en-US" w:eastAsia="zh-CN" w:bidi="ar-SA"/>
    </w:rPr>
  </w:style>
  <w:style w:type="paragraph" w:customStyle="1" w:styleId="40">
    <w:name w:val="样式 标题 2"/>
    <w:basedOn w:val="3"/>
    <w:qFormat/>
    <w:uiPriority w:val="0"/>
    <w:pPr>
      <w:spacing w:before="50" w:after="50"/>
      <w:jc w:val="both"/>
    </w:pPr>
    <w:rPr>
      <w:szCs w:val="28"/>
    </w:rPr>
  </w:style>
  <w:style w:type="character" w:customStyle="1" w:styleId="41">
    <w:name w:val="正文文本 Char"/>
    <w:link w:val="9"/>
    <w:qFormat/>
    <w:uiPriority w:val="0"/>
    <w:rPr>
      <w:rFonts w:ascii="仿宋_GB2312" w:hAnsi="宋体" w:eastAsia="仿宋_GB2312" w:cs="仿宋_GB2312"/>
      <w:szCs w:val="21"/>
    </w:rPr>
  </w:style>
  <w:style w:type="paragraph" w:customStyle="1" w:styleId="42">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35.jpeg"/><Relationship Id="rId53" Type="http://schemas.openxmlformats.org/officeDocument/2006/relationships/image" Target="media/image34.jpeg"/><Relationship Id="rId52" Type="http://schemas.openxmlformats.org/officeDocument/2006/relationships/image" Target="media/image33.png"/><Relationship Id="rId51" Type="http://schemas.openxmlformats.org/officeDocument/2006/relationships/image" Target="media/image32.png"/><Relationship Id="rId50" Type="http://schemas.openxmlformats.org/officeDocument/2006/relationships/image" Target="media/image31.png"/><Relationship Id="rId5" Type="http://schemas.openxmlformats.org/officeDocument/2006/relationships/header" Target="header1.xml"/><Relationship Id="rId49" Type="http://schemas.openxmlformats.org/officeDocument/2006/relationships/image" Target="media/image30.png"/><Relationship Id="rId48" Type="http://schemas.openxmlformats.org/officeDocument/2006/relationships/image" Target="media/image29.png"/><Relationship Id="rId47" Type="http://schemas.openxmlformats.org/officeDocument/2006/relationships/image" Target="media/image28.png"/><Relationship Id="rId46" Type="http://schemas.openxmlformats.org/officeDocument/2006/relationships/image" Target="media/image27.png"/><Relationship Id="rId45" Type="http://schemas.openxmlformats.org/officeDocument/2006/relationships/image" Target="media/image26.png"/><Relationship Id="rId44" Type="http://schemas.openxmlformats.org/officeDocument/2006/relationships/image" Target="media/image25.png"/><Relationship Id="rId43" Type="http://schemas.openxmlformats.org/officeDocument/2006/relationships/image" Target="media/image24.png"/><Relationship Id="rId42" Type="http://schemas.openxmlformats.org/officeDocument/2006/relationships/image" Target="media/image23.png"/><Relationship Id="rId41" Type="http://schemas.openxmlformats.org/officeDocument/2006/relationships/image" Target="media/image22.png"/><Relationship Id="rId40" Type="http://schemas.openxmlformats.org/officeDocument/2006/relationships/image" Target="media/image21.png"/><Relationship Id="rId4" Type="http://schemas.openxmlformats.org/officeDocument/2006/relationships/endnotes" Target="endnotes.xml"/><Relationship Id="rId39" Type="http://schemas.openxmlformats.org/officeDocument/2006/relationships/image" Target="media/image20.png"/><Relationship Id="rId38" Type="http://schemas.openxmlformats.org/officeDocument/2006/relationships/image" Target="media/image19.png"/><Relationship Id="rId37" Type="http://schemas.openxmlformats.org/officeDocument/2006/relationships/image" Target="media/image18.png"/><Relationship Id="rId36" Type="http://schemas.openxmlformats.org/officeDocument/2006/relationships/image" Target="media/image17.png"/><Relationship Id="rId35" Type="http://schemas.openxmlformats.org/officeDocument/2006/relationships/image" Target="media/image16.png"/><Relationship Id="rId34" Type="http://schemas.openxmlformats.org/officeDocument/2006/relationships/image" Target="media/image15.png"/><Relationship Id="rId33" Type="http://schemas.openxmlformats.org/officeDocument/2006/relationships/oleObject" Target="embeddings/oleObject10.bin"/><Relationship Id="rId32" Type="http://schemas.openxmlformats.org/officeDocument/2006/relationships/image" Target="media/image14.wmf"/><Relationship Id="rId31" Type="http://schemas.openxmlformats.org/officeDocument/2006/relationships/oleObject" Target="embeddings/oleObject9.bin"/><Relationship Id="rId30" Type="http://schemas.openxmlformats.org/officeDocument/2006/relationships/oleObject" Target="embeddings/oleObject8.bin"/><Relationship Id="rId3" Type="http://schemas.openxmlformats.org/officeDocument/2006/relationships/footnotes" Target="footnotes.xml"/><Relationship Id="rId29" Type="http://schemas.openxmlformats.org/officeDocument/2006/relationships/image" Target="media/image13.wmf"/><Relationship Id="rId28" Type="http://schemas.openxmlformats.org/officeDocument/2006/relationships/oleObject" Target="embeddings/oleObject7.bin"/><Relationship Id="rId27" Type="http://schemas.openxmlformats.org/officeDocument/2006/relationships/image" Target="media/image12.wmf"/><Relationship Id="rId26" Type="http://schemas.openxmlformats.org/officeDocument/2006/relationships/oleObject" Target="embeddings/oleObject6.bin"/><Relationship Id="rId25" Type="http://schemas.openxmlformats.org/officeDocument/2006/relationships/image" Target="media/image11.wmf"/><Relationship Id="rId24" Type="http://schemas.openxmlformats.org/officeDocument/2006/relationships/oleObject" Target="embeddings/oleObject5.bin"/><Relationship Id="rId23" Type="http://schemas.openxmlformats.org/officeDocument/2006/relationships/image" Target="media/image10.wmf"/><Relationship Id="rId22" Type="http://schemas.openxmlformats.org/officeDocument/2006/relationships/oleObject" Target="embeddings/oleObject4.bin"/><Relationship Id="rId21" Type="http://schemas.openxmlformats.org/officeDocument/2006/relationships/image" Target="media/image9.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2.bin"/><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emf"/><Relationship Id="rId14" Type="http://schemas.openxmlformats.org/officeDocument/2006/relationships/image" Target="media/image4.wmf"/><Relationship Id="rId13" Type="http://schemas.openxmlformats.org/officeDocument/2006/relationships/oleObject" Target="embeddings/oleObject1.bin"/><Relationship Id="rId12" Type="http://schemas.openxmlformats.org/officeDocument/2006/relationships/image" Target="../../../Documents%2525252525252520and%2525252525252520Settings/Administrator/Application%2525252525252520Data/Tencent/Users/282855082/QQ/WinTemp/RichOle/AZU4_6~8O%252525252525257d42$Z%2525252525252560ZK%252525252525257b_$%2525252525252525DJ.jpg" TargetMode="External"/><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82</Pages>
  <Words>16978</Words>
  <Characters>19824</Characters>
  <Lines>0</Lines>
  <Paragraphs>0</Paragraphs>
  <TotalTime>5</TotalTime>
  <ScaleCrop>false</ScaleCrop>
  <LinksUpToDate>false</LinksUpToDate>
  <CharactersWithSpaces>20844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2023-03-13T03:26:00Z</dcterms:created>
  <dc:creator>Administrator</dc:creator>
  <cp:lastModifiedBy>爱哭的男孩</cp:lastModifiedBy>
  <cp:lastPrinted>2025-06-10T06:45:00Z</cp:lastPrinted>
  <dcterms:modified xsi:type="dcterms:W3CDTF">2025-10-27T01:00:27Z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B1C61FD6A7CB416B823A93B2F1477084</vt:lpwstr>
  </property>
  <property fmtid="{D5CDD505-2E9C-101B-9397-08002B2CF9AE}" pid="4" name="KSOTemplateDocerSaveRecord">
    <vt:lpwstr>eyJoZGlkIjoiZDI0Njk3ZWQ2ZmQyYmJiOTI3YmFiOTc3MjlkMjYxZmEiLCJ1c2VySWQiOiI0MDI5OTA3NDkifQ==</vt:lpwstr>
  </property>
</Properties>
</file>