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E76C2D">
      <w:pPr>
        <w:ind w:firstLine="420"/>
        <w:rPr>
          <w:rFonts w:eastAsia="等线" w:cs="Times New Roman"/>
          <w:kern w:val="2"/>
          <w:sz w:val="21"/>
          <w:szCs w:val="22"/>
          <w:lang w:val="en-GB"/>
        </w:rPr>
      </w:pPr>
      <w:bookmarkStart w:id="0" w:name="_Hlk161159845"/>
      <w:bookmarkEnd w:id="0"/>
    </w:p>
    <w:p w14:paraId="552E06C3">
      <w:pPr>
        <w:ind w:firstLine="420"/>
        <w:rPr>
          <w:rFonts w:eastAsia="等线" w:cs="Times New Roman"/>
          <w:kern w:val="2"/>
          <w:sz w:val="21"/>
          <w:szCs w:val="22"/>
          <w:lang w:val="en-GB"/>
        </w:rPr>
      </w:pPr>
      <w:r>
        <w:rPr>
          <w:rFonts w:eastAsia="等线" w:cs="Times New Roman"/>
          <w:kern w:val="2"/>
          <w:sz w:val="21"/>
          <w:szCs w:val="22"/>
          <w:lang w:val="en-GB"/>
        </w:rPr>
        <w:t>.</w:t>
      </w:r>
    </w:p>
    <w:p w14:paraId="259DBFDB">
      <w:pPr>
        <w:ind w:firstLine="0" w:firstLineChars="0"/>
        <w:jc w:val="center"/>
        <w:rPr>
          <w:rFonts w:cs="Times New Roman"/>
          <w:b/>
          <w:bCs/>
          <w:kern w:val="2"/>
          <w:sz w:val="44"/>
          <w:szCs w:val="44"/>
        </w:rPr>
      </w:pPr>
      <w:r>
        <w:rPr>
          <w:rFonts w:hint="eastAsia" w:cs="Times New Roman"/>
          <w:b/>
          <w:bCs/>
          <w:kern w:val="2"/>
          <w:sz w:val="44"/>
          <w:szCs w:val="44"/>
        </w:rPr>
        <w:t>云南杉杉新材料有限公司</w:t>
      </w:r>
    </w:p>
    <w:p w14:paraId="47766500">
      <w:pPr>
        <w:ind w:firstLine="0" w:firstLineChars="0"/>
        <w:jc w:val="center"/>
        <w:rPr>
          <w:rFonts w:cs="Times New Roman"/>
          <w:b/>
          <w:bCs/>
          <w:kern w:val="2"/>
          <w:sz w:val="44"/>
          <w:szCs w:val="44"/>
        </w:rPr>
      </w:pPr>
      <w:r>
        <w:rPr>
          <w:rFonts w:hint="eastAsia" w:cs="Times New Roman"/>
          <w:b/>
          <w:bCs/>
          <w:kern w:val="2"/>
          <w:sz w:val="44"/>
          <w:szCs w:val="44"/>
        </w:rPr>
        <w:t>锂离子电池负极材料一体化数字化转型改造项目</w:t>
      </w:r>
    </w:p>
    <w:p w14:paraId="240D878B">
      <w:pPr>
        <w:ind w:firstLine="0" w:firstLineChars="0"/>
        <w:jc w:val="center"/>
        <w:rPr>
          <w:rFonts w:eastAsia="黑体" w:cs="Times New Roman"/>
          <w:kern w:val="2"/>
          <w:sz w:val="52"/>
          <w:szCs w:val="52"/>
        </w:rPr>
      </w:pPr>
    </w:p>
    <w:p w14:paraId="3615B178">
      <w:pPr>
        <w:ind w:firstLine="0" w:firstLineChars="0"/>
        <w:jc w:val="center"/>
        <w:rPr>
          <w:rFonts w:eastAsia="黑体" w:cs="Times New Roman"/>
          <w:kern w:val="2"/>
          <w:sz w:val="52"/>
          <w:szCs w:val="52"/>
        </w:rPr>
      </w:pPr>
      <w:r>
        <w:rPr>
          <w:rFonts w:hint="eastAsia" w:eastAsia="黑体" w:cs="Times New Roman"/>
          <w:kern w:val="2"/>
          <w:sz w:val="52"/>
          <w:szCs w:val="52"/>
        </w:rPr>
        <w:t>安全生产条件和设施综合分析报告</w:t>
      </w:r>
    </w:p>
    <w:p w14:paraId="7946177D">
      <w:pPr>
        <w:ind w:firstLine="0" w:firstLineChars="0"/>
        <w:jc w:val="center"/>
        <w:rPr>
          <w:rFonts w:cs="Times New Roman"/>
          <w:b/>
          <w:kern w:val="2"/>
          <w:sz w:val="44"/>
          <w:szCs w:val="44"/>
        </w:rPr>
      </w:pPr>
      <w:r>
        <w:rPr>
          <w:rFonts w:hint="eastAsia" w:cs="Times New Roman"/>
          <w:b/>
          <w:kern w:val="2"/>
          <w:sz w:val="44"/>
          <w:szCs w:val="44"/>
        </w:rPr>
        <w:t>终稿</w:t>
      </w:r>
    </w:p>
    <w:p w14:paraId="110020E1">
      <w:pPr>
        <w:ind w:firstLine="0" w:firstLineChars="0"/>
        <w:rPr>
          <w:rFonts w:eastAsia="Times New Roman" w:cs="Times New Roman"/>
          <w:kern w:val="2"/>
          <w:sz w:val="21"/>
          <w:szCs w:val="22"/>
        </w:rPr>
      </w:pPr>
    </w:p>
    <w:p w14:paraId="4CFA24FD">
      <w:pPr>
        <w:ind w:firstLine="0" w:firstLineChars="0"/>
        <w:rPr>
          <w:rFonts w:eastAsia="Times New Roman" w:cs="Times New Roman"/>
          <w:kern w:val="2"/>
          <w:sz w:val="21"/>
          <w:szCs w:val="22"/>
          <w:lang w:val="en-GB"/>
        </w:rPr>
      </w:pPr>
    </w:p>
    <w:p w14:paraId="3369E22A">
      <w:pPr>
        <w:ind w:firstLine="0" w:firstLineChars="0"/>
        <w:rPr>
          <w:rFonts w:eastAsia="Times New Roman" w:cs="Times New Roman"/>
          <w:kern w:val="2"/>
          <w:sz w:val="21"/>
          <w:szCs w:val="22"/>
          <w:lang w:val="en-GB"/>
        </w:rPr>
      </w:pPr>
    </w:p>
    <w:p w14:paraId="00164073">
      <w:pPr>
        <w:ind w:firstLine="0" w:firstLineChars="0"/>
        <w:rPr>
          <w:rFonts w:cs="Times New Roman" w:eastAsiaTheme="minorEastAsia"/>
          <w:kern w:val="2"/>
          <w:sz w:val="21"/>
          <w:szCs w:val="22"/>
          <w:lang w:val="en-GB"/>
        </w:rPr>
      </w:pPr>
    </w:p>
    <w:p w14:paraId="70B3316C">
      <w:pPr>
        <w:ind w:firstLine="0" w:firstLineChars="0"/>
        <w:rPr>
          <w:rFonts w:cs="Times New Roman" w:eastAsiaTheme="minorEastAsia"/>
          <w:kern w:val="2"/>
          <w:sz w:val="21"/>
          <w:szCs w:val="22"/>
          <w:lang w:val="en-GB"/>
        </w:rPr>
      </w:pPr>
      <w:r>
        <w:rPr>
          <w:rFonts w:cs="Times New Roman" w:eastAsiaTheme="minorEastAsia"/>
          <w:kern w:val="2"/>
          <w:sz w:val="21"/>
          <w:szCs w:val="22"/>
          <w:lang w:val="en-GB"/>
        </w:rPr>
        <w:t xml:space="preserve">  </w:t>
      </w:r>
    </w:p>
    <w:p w14:paraId="257BFE8A">
      <w:pPr>
        <w:ind w:firstLine="0" w:firstLineChars="0"/>
        <w:rPr>
          <w:rFonts w:eastAsia="Times New Roman" w:cs="Times New Roman"/>
          <w:kern w:val="2"/>
          <w:sz w:val="21"/>
          <w:szCs w:val="22"/>
          <w:lang w:val="en-GB"/>
        </w:rPr>
      </w:pPr>
    </w:p>
    <w:p w14:paraId="20E0B074">
      <w:pPr>
        <w:ind w:firstLine="0" w:firstLineChars="0"/>
        <w:rPr>
          <w:rFonts w:eastAsia="Times New Roman" w:cs="Times New Roman"/>
          <w:kern w:val="2"/>
          <w:sz w:val="21"/>
          <w:szCs w:val="22"/>
          <w:lang w:val="en-GB"/>
        </w:rPr>
      </w:pPr>
    </w:p>
    <w:p w14:paraId="66DE0E15">
      <w:pPr>
        <w:ind w:firstLine="0" w:firstLineChars="0"/>
        <w:rPr>
          <w:rFonts w:eastAsia="Times New Roman" w:cs="Times New Roman"/>
          <w:kern w:val="2"/>
          <w:sz w:val="21"/>
          <w:szCs w:val="22"/>
          <w:lang w:val="en-GB"/>
        </w:rPr>
      </w:pPr>
    </w:p>
    <w:p w14:paraId="6FCF2174">
      <w:pPr>
        <w:ind w:firstLine="0" w:firstLineChars="0"/>
        <w:rPr>
          <w:rFonts w:eastAsia="Times New Roman" w:cs="Times New Roman"/>
          <w:kern w:val="2"/>
          <w:sz w:val="21"/>
          <w:szCs w:val="22"/>
          <w:lang w:val="en-GB"/>
        </w:rPr>
      </w:pPr>
    </w:p>
    <w:p w14:paraId="78435992">
      <w:pPr>
        <w:ind w:firstLine="0" w:firstLineChars="0"/>
        <w:jc w:val="center"/>
        <w:rPr>
          <w:rFonts w:cs="Times New Roman"/>
          <w:b/>
          <w:kern w:val="2"/>
          <w:sz w:val="36"/>
          <w:szCs w:val="36"/>
          <w:lang w:val="en-GB"/>
        </w:rPr>
      </w:pPr>
    </w:p>
    <w:p w14:paraId="541F213E">
      <w:pPr>
        <w:ind w:firstLine="0" w:firstLineChars="0"/>
        <w:jc w:val="center"/>
        <w:rPr>
          <w:rFonts w:cs="Times New Roman"/>
          <w:b/>
          <w:kern w:val="2"/>
          <w:sz w:val="36"/>
          <w:szCs w:val="36"/>
          <w:lang w:val="en-GB"/>
        </w:rPr>
      </w:pPr>
    </w:p>
    <w:p w14:paraId="64A4836D">
      <w:pPr>
        <w:ind w:firstLine="0" w:firstLineChars="0"/>
        <w:jc w:val="center"/>
        <w:rPr>
          <w:rFonts w:cs="Times New Roman"/>
          <w:b/>
          <w:kern w:val="2"/>
          <w:sz w:val="36"/>
          <w:szCs w:val="36"/>
          <w:lang w:val="en-GB"/>
        </w:rPr>
      </w:pPr>
    </w:p>
    <w:p w14:paraId="03AA04CC">
      <w:pPr>
        <w:ind w:firstLine="0" w:firstLineChars="0"/>
        <w:jc w:val="center"/>
        <w:rPr>
          <w:rFonts w:cs="Times New Roman"/>
          <w:b/>
          <w:kern w:val="2"/>
          <w:sz w:val="36"/>
          <w:szCs w:val="36"/>
          <w:lang w:val="en-GB"/>
        </w:rPr>
      </w:pPr>
    </w:p>
    <w:p w14:paraId="4A1CC38C">
      <w:pPr>
        <w:ind w:firstLine="0" w:firstLineChars="0"/>
        <w:jc w:val="center"/>
        <w:rPr>
          <w:rFonts w:cs="Times New Roman"/>
          <w:b/>
          <w:kern w:val="2"/>
          <w:sz w:val="36"/>
          <w:szCs w:val="36"/>
          <w:lang w:val="en-GB"/>
        </w:rPr>
      </w:pPr>
    </w:p>
    <w:p w14:paraId="4AD02EC0">
      <w:pPr>
        <w:ind w:firstLine="0" w:firstLineChars="0"/>
        <w:jc w:val="center"/>
        <w:rPr>
          <w:rFonts w:eastAsia="Times New Roman" w:cs="Times New Roman"/>
          <w:b/>
          <w:kern w:val="2"/>
          <w:sz w:val="36"/>
          <w:szCs w:val="36"/>
          <w:lang w:val="en-GB"/>
        </w:rPr>
      </w:pPr>
      <w:r>
        <w:rPr>
          <w:rFonts w:cs="Times New Roman"/>
          <w:b/>
          <w:kern w:val="2"/>
          <w:sz w:val="36"/>
          <w:szCs w:val="36"/>
          <w:lang w:val="en-GB"/>
        </w:rPr>
        <w:t>江西赣安安全生产科学技术咨询服务中心</w:t>
      </w:r>
    </w:p>
    <w:p w14:paraId="2F9E4734">
      <w:pPr>
        <w:ind w:firstLine="0" w:firstLineChars="0"/>
        <w:jc w:val="center"/>
        <w:rPr>
          <w:rFonts w:eastAsia="Times New Roman" w:cs="Times New Roman"/>
          <w:b/>
          <w:kern w:val="2"/>
          <w:sz w:val="30"/>
          <w:szCs w:val="30"/>
          <w:lang w:val="en-GB"/>
        </w:rPr>
      </w:pPr>
      <w:r>
        <w:rPr>
          <w:rFonts w:cs="Times New Roman"/>
          <w:b/>
          <w:kern w:val="2"/>
          <w:sz w:val="30"/>
          <w:szCs w:val="30"/>
          <w:lang w:val="en-GB"/>
        </w:rPr>
        <w:t>资质证书编号：APJ-（赣）-002</w:t>
      </w:r>
    </w:p>
    <w:p w14:paraId="661E6C5B">
      <w:pPr>
        <w:ind w:firstLine="0" w:firstLineChars="0"/>
        <w:jc w:val="center"/>
        <w:rPr>
          <w:rFonts w:eastAsia="Times New Roman" w:cs="Times New Roman"/>
          <w:b/>
          <w:kern w:val="2"/>
          <w:sz w:val="30"/>
          <w:szCs w:val="30"/>
          <w:lang w:val="en-GB"/>
        </w:rPr>
      </w:pPr>
      <w:r>
        <w:rPr>
          <w:rFonts w:cs="Times New Roman"/>
          <w:b/>
          <w:kern w:val="2"/>
          <w:sz w:val="30"/>
          <w:szCs w:val="30"/>
          <w:lang w:val="en-GB"/>
        </w:rPr>
        <w:t>二〇二</w:t>
      </w:r>
      <w:r>
        <w:rPr>
          <w:rFonts w:cs="Times New Roman"/>
          <w:b/>
          <w:kern w:val="2"/>
          <w:sz w:val="30"/>
          <w:szCs w:val="30"/>
        </w:rPr>
        <w:t>五</w:t>
      </w:r>
      <w:r>
        <w:rPr>
          <w:rFonts w:cs="Times New Roman"/>
          <w:b/>
          <w:kern w:val="2"/>
          <w:sz w:val="30"/>
          <w:szCs w:val="30"/>
          <w:lang w:val="en-GB"/>
        </w:rPr>
        <w:t>年</w:t>
      </w:r>
      <w:r>
        <w:rPr>
          <w:rFonts w:hint="eastAsia" w:cs="Times New Roman"/>
          <w:b/>
          <w:kern w:val="2"/>
          <w:sz w:val="30"/>
          <w:szCs w:val="30"/>
        </w:rPr>
        <w:t>四</w:t>
      </w:r>
      <w:r>
        <w:rPr>
          <w:rFonts w:cs="Times New Roman"/>
          <w:b/>
          <w:kern w:val="2"/>
          <w:sz w:val="30"/>
          <w:szCs w:val="30"/>
          <w:lang w:val="en-GB"/>
        </w:rPr>
        <w:t>月</w:t>
      </w:r>
    </w:p>
    <w:p w14:paraId="382FD06D">
      <w:pPr>
        <w:autoSpaceDE w:val="0"/>
        <w:autoSpaceDN w:val="0"/>
        <w:ind w:firstLine="560"/>
        <w:rPr>
          <w:rFonts w:eastAsia="仿宋_GB2312" w:cs="Times New Roman"/>
        </w:rPr>
      </w:pPr>
    </w:p>
    <w:p w14:paraId="1D5BB89F">
      <w:pPr>
        <w:autoSpaceDE w:val="0"/>
        <w:autoSpaceDN w:val="0"/>
        <w:ind w:firstLine="560"/>
        <w:rPr>
          <w:rFonts w:eastAsia="仿宋_GB2312" w:cs="Times New Roman"/>
        </w:rPr>
        <w:sectPr>
          <w:headerReference r:id="rId7" w:type="first"/>
          <w:footerReference r:id="rId10" w:type="first"/>
          <w:headerReference r:id="rId5" w:type="default"/>
          <w:footerReference r:id="rId8" w:type="default"/>
          <w:headerReference r:id="rId6" w:type="even"/>
          <w:footerReference r:id="rId9" w:type="even"/>
          <w:pgSz w:w="11905" w:h="16838"/>
          <w:pgMar w:top="1440" w:right="1134" w:bottom="1440" w:left="1417" w:header="850" w:footer="992" w:gutter="0"/>
          <w:pgNumType w:start="1"/>
          <w:cols w:space="720" w:num="1"/>
          <w:docGrid w:linePitch="316" w:charSpace="0"/>
        </w:sectPr>
      </w:pPr>
    </w:p>
    <w:p w14:paraId="62C66920">
      <w:pPr>
        <w:spacing w:before="100" w:beforeAutospacing="1" w:after="100" w:afterAutospacing="1"/>
        <w:ind w:firstLine="0" w:firstLineChars="0"/>
        <w:rPr>
          <w:rFonts w:cs="Times New Roman"/>
          <w:sz w:val="22"/>
          <w:szCs w:val="22"/>
        </w:rPr>
      </w:pPr>
    </w:p>
    <w:p w14:paraId="4E4044FB">
      <w:pPr>
        <w:ind w:firstLine="0" w:firstLineChars="0"/>
        <w:jc w:val="center"/>
        <w:rPr>
          <w:rFonts w:cs="Times New Roman"/>
          <w:b/>
          <w:bCs/>
          <w:kern w:val="2"/>
          <w:sz w:val="44"/>
          <w:szCs w:val="44"/>
        </w:rPr>
      </w:pPr>
      <w:r>
        <w:rPr>
          <w:rFonts w:hint="eastAsia" w:cs="Times New Roman"/>
          <w:b/>
          <w:bCs/>
          <w:kern w:val="2"/>
          <w:sz w:val="44"/>
          <w:szCs w:val="44"/>
        </w:rPr>
        <w:t>云南杉杉新材料有限公司</w:t>
      </w:r>
    </w:p>
    <w:p w14:paraId="4D151AA2">
      <w:pPr>
        <w:ind w:firstLine="0" w:firstLineChars="0"/>
        <w:jc w:val="center"/>
        <w:rPr>
          <w:rFonts w:cs="Times New Roman"/>
          <w:spacing w:val="-20"/>
          <w:kern w:val="2"/>
          <w:sz w:val="44"/>
          <w:szCs w:val="44"/>
        </w:rPr>
      </w:pPr>
      <w:r>
        <w:rPr>
          <w:rFonts w:hint="eastAsia" w:cs="Times New Roman"/>
          <w:b/>
          <w:bCs/>
          <w:spacing w:val="-20"/>
          <w:kern w:val="2"/>
          <w:sz w:val="44"/>
          <w:szCs w:val="44"/>
        </w:rPr>
        <w:t>锂离子电池负极材料一体化数字化转型改造项目</w:t>
      </w:r>
    </w:p>
    <w:p w14:paraId="3DAB8727">
      <w:pPr>
        <w:ind w:firstLine="0" w:firstLineChars="0"/>
        <w:jc w:val="center"/>
        <w:rPr>
          <w:rFonts w:eastAsia="Times New Roman" w:cs="Times New Roman"/>
          <w:kern w:val="2"/>
          <w:sz w:val="21"/>
          <w:szCs w:val="22"/>
          <w:lang w:val="en-GB"/>
        </w:rPr>
      </w:pPr>
    </w:p>
    <w:p w14:paraId="786CB5E3">
      <w:pPr>
        <w:ind w:firstLine="0" w:firstLineChars="0"/>
        <w:jc w:val="center"/>
        <w:rPr>
          <w:rFonts w:eastAsia="黑体" w:cs="Times New Roman"/>
          <w:kern w:val="2"/>
          <w:sz w:val="52"/>
          <w:szCs w:val="52"/>
        </w:rPr>
      </w:pPr>
      <w:r>
        <w:rPr>
          <w:rFonts w:hint="eastAsia" w:eastAsia="黑体" w:cs="Times New Roman"/>
          <w:kern w:val="2"/>
          <w:sz w:val="52"/>
          <w:szCs w:val="52"/>
        </w:rPr>
        <w:t>安全生产条件和设施综合分析报告</w:t>
      </w:r>
    </w:p>
    <w:p w14:paraId="7D8AB3AE">
      <w:pPr>
        <w:ind w:firstLine="0" w:firstLineChars="0"/>
        <w:jc w:val="center"/>
        <w:rPr>
          <w:rFonts w:cs="Times New Roman"/>
          <w:b/>
          <w:kern w:val="2"/>
          <w:sz w:val="44"/>
          <w:szCs w:val="44"/>
        </w:rPr>
      </w:pPr>
      <w:r>
        <w:rPr>
          <w:rFonts w:hint="eastAsia" w:cs="Times New Roman"/>
          <w:b/>
          <w:kern w:val="2"/>
          <w:sz w:val="44"/>
          <w:szCs w:val="44"/>
        </w:rPr>
        <w:t>终稿</w:t>
      </w:r>
    </w:p>
    <w:p w14:paraId="4D1C21E8">
      <w:pPr>
        <w:spacing w:before="100" w:beforeAutospacing="1" w:after="100" w:afterAutospacing="1"/>
        <w:ind w:firstLine="0" w:firstLineChars="0"/>
        <w:rPr>
          <w:rFonts w:cs="Times New Roman"/>
          <w:sz w:val="22"/>
          <w:szCs w:val="22"/>
        </w:rPr>
      </w:pPr>
    </w:p>
    <w:p w14:paraId="4B4D9952">
      <w:pPr>
        <w:spacing w:before="100" w:beforeAutospacing="1" w:after="100" w:afterAutospacing="1"/>
        <w:ind w:firstLine="0" w:firstLineChars="0"/>
        <w:rPr>
          <w:rFonts w:cs="Times New Roman"/>
          <w:sz w:val="22"/>
          <w:szCs w:val="22"/>
        </w:rPr>
      </w:pPr>
    </w:p>
    <w:p w14:paraId="7AFFC909">
      <w:pPr>
        <w:ind w:left="1120" w:leftChars="400" w:firstLine="0" w:firstLineChars="0"/>
        <w:rPr>
          <w:rFonts w:cs="Times New Roman"/>
          <w:sz w:val="32"/>
          <w:szCs w:val="28"/>
        </w:rPr>
      </w:pPr>
      <w:r>
        <w:rPr>
          <w:rFonts w:cs="Times New Roman"/>
          <w:sz w:val="32"/>
          <w:szCs w:val="28"/>
        </w:rPr>
        <w:t>评价机构名称：江西赣安安全生产科学技术咨询服务中心</w:t>
      </w:r>
    </w:p>
    <w:p w14:paraId="41D04DD7">
      <w:pPr>
        <w:ind w:left="1120" w:leftChars="400" w:firstLine="0" w:firstLineChars="0"/>
        <w:rPr>
          <w:rFonts w:cs="Times New Roman"/>
          <w:sz w:val="32"/>
          <w:szCs w:val="28"/>
        </w:rPr>
      </w:pPr>
      <w:r>
        <w:rPr>
          <w:rFonts w:cs="Times New Roman"/>
          <w:sz w:val="32"/>
          <w:szCs w:val="28"/>
        </w:rPr>
        <w:t>资质证书编号：APJ-（赣）-002</w:t>
      </w:r>
    </w:p>
    <w:p w14:paraId="6F46F669">
      <w:pPr>
        <w:ind w:left="1120" w:leftChars="400" w:firstLine="0" w:firstLineChars="0"/>
        <w:rPr>
          <w:rFonts w:cs="Times New Roman"/>
          <w:sz w:val="32"/>
          <w:szCs w:val="28"/>
        </w:rPr>
      </w:pPr>
      <w:r>
        <w:rPr>
          <w:rFonts w:cs="Times New Roman"/>
          <w:sz w:val="32"/>
          <w:szCs w:val="28"/>
        </w:rPr>
        <w:t>法定代表人：应  宏</w:t>
      </w:r>
    </w:p>
    <w:p w14:paraId="10681B06">
      <w:pPr>
        <w:ind w:left="1120" w:leftChars="400" w:firstLine="0" w:firstLineChars="0"/>
        <w:rPr>
          <w:rFonts w:cs="Times New Roman"/>
          <w:sz w:val="32"/>
          <w:szCs w:val="28"/>
        </w:rPr>
      </w:pPr>
      <w:r>
        <w:rPr>
          <w:rFonts w:cs="Times New Roman"/>
          <w:sz w:val="32"/>
          <w:szCs w:val="28"/>
        </w:rPr>
        <w:t>技术负责人：周红波</w:t>
      </w:r>
    </w:p>
    <w:p w14:paraId="04E178D8">
      <w:pPr>
        <w:ind w:left="1120" w:leftChars="400" w:firstLine="0" w:firstLineChars="0"/>
        <w:rPr>
          <w:rFonts w:cs="Times New Roman"/>
          <w:sz w:val="32"/>
          <w:szCs w:val="28"/>
        </w:rPr>
      </w:pPr>
      <w:r>
        <w:rPr>
          <w:rFonts w:cs="Times New Roman"/>
          <w:sz w:val="32"/>
          <w:szCs w:val="28"/>
        </w:rPr>
        <w:t>项目负责人：钱局东</w:t>
      </w:r>
    </w:p>
    <w:p w14:paraId="58E5AAC4">
      <w:pPr>
        <w:ind w:firstLine="0" w:firstLineChars="0"/>
        <w:rPr>
          <w:rFonts w:cs="Times New Roman"/>
          <w:sz w:val="32"/>
          <w:szCs w:val="28"/>
        </w:rPr>
      </w:pPr>
    </w:p>
    <w:p w14:paraId="7DD51929">
      <w:pPr>
        <w:spacing w:before="100" w:beforeAutospacing="1" w:after="100" w:afterAutospacing="1"/>
        <w:ind w:firstLine="0" w:firstLineChars="0"/>
        <w:rPr>
          <w:rFonts w:cs="Times New Roman"/>
          <w:sz w:val="22"/>
          <w:szCs w:val="22"/>
        </w:rPr>
      </w:pPr>
    </w:p>
    <w:p w14:paraId="733332AD">
      <w:pPr>
        <w:ind w:firstLine="0" w:firstLineChars="0"/>
        <w:rPr>
          <w:rFonts w:eastAsia="Times New Roman" w:cs="Times New Roman"/>
          <w:kern w:val="2"/>
          <w:szCs w:val="28"/>
          <w:lang w:val="en-GB"/>
        </w:rPr>
      </w:pPr>
    </w:p>
    <w:p w14:paraId="0E2C0F8F">
      <w:pPr>
        <w:ind w:firstLine="0" w:firstLineChars="0"/>
        <w:jc w:val="center"/>
        <w:rPr>
          <w:rFonts w:cs="Times New Roman" w:eastAsiaTheme="minorEastAsia"/>
          <w:kern w:val="2"/>
          <w:szCs w:val="28"/>
          <w:lang w:val="en-GB"/>
        </w:rPr>
      </w:pPr>
    </w:p>
    <w:p w14:paraId="67B1C9F6">
      <w:pPr>
        <w:ind w:firstLine="0" w:firstLineChars="0"/>
        <w:jc w:val="center"/>
        <w:rPr>
          <w:rFonts w:cs="Times New Roman" w:eastAsiaTheme="minorEastAsia"/>
          <w:kern w:val="2"/>
          <w:szCs w:val="28"/>
          <w:lang w:val="en-GB"/>
        </w:rPr>
      </w:pPr>
    </w:p>
    <w:p w14:paraId="4B5DAC67">
      <w:pPr>
        <w:ind w:firstLine="0" w:firstLineChars="0"/>
        <w:jc w:val="center"/>
        <w:rPr>
          <w:rFonts w:eastAsia="Times New Roman" w:cs="Times New Roman"/>
          <w:kern w:val="2"/>
          <w:szCs w:val="28"/>
          <w:lang w:val="en-GB"/>
        </w:rPr>
      </w:pPr>
      <w:r>
        <w:rPr>
          <w:rFonts w:eastAsia="Times New Roman" w:cs="Times New Roman"/>
          <w:kern w:val="2"/>
          <w:szCs w:val="28"/>
          <w:lang w:val="en-GB"/>
        </w:rPr>
        <w:t>202</w:t>
      </w:r>
      <w:r>
        <w:rPr>
          <w:rFonts w:cs="Times New Roman" w:eastAsiaTheme="minorEastAsia"/>
          <w:kern w:val="2"/>
          <w:szCs w:val="28"/>
        </w:rPr>
        <w:t>5</w:t>
      </w:r>
      <w:r>
        <w:rPr>
          <w:rFonts w:cs="Times New Roman"/>
          <w:kern w:val="2"/>
          <w:szCs w:val="28"/>
          <w:lang w:val="en-GB"/>
        </w:rPr>
        <w:t>年</w:t>
      </w:r>
      <w:r>
        <w:rPr>
          <w:rFonts w:cs="Times New Roman" w:eastAsiaTheme="minorEastAsia"/>
          <w:kern w:val="2"/>
          <w:szCs w:val="28"/>
        </w:rPr>
        <w:t>0</w:t>
      </w:r>
      <w:r>
        <w:rPr>
          <w:rFonts w:hint="eastAsia" w:cs="Times New Roman" w:eastAsiaTheme="minorEastAsia"/>
          <w:kern w:val="2"/>
          <w:szCs w:val="28"/>
        </w:rPr>
        <w:t>4</w:t>
      </w:r>
      <w:r>
        <w:rPr>
          <w:rFonts w:cs="Times New Roman"/>
          <w:kern w:val="2"/>
          <w:szCs w:val="28"/>
          <w:lang w:val="en-GB"/>
        </w:rPr>
        <w:t>月</w:t>
      </w:r>
    </w:p>
    <w:p w14:paraId="63ABC1E2">
      <w:pPr>
        <w:ind w:firstLine="0" w:firstLineChars="0"/>
        <w:jc w:val="center"/>
        <w:rPr>
          <w:rFonts w:cs="Times New Roman"/>
          <w:b/>
          <w:kern w:val="2"/>
          <w:sz w:val="21"/>
          <w:szCs w:val="21"/>
          <w:lang w:val="en-GB"/>
        </w:rPr>
      </w:pPr>
      <w:r>
        <w:rPr>
          <w:rFonts w:cs="Times New Roman"/>
          <w:b/>
          <w:kern w:val="2"/>
          <w:sz w:val="21"/>
          <w:szCs w:val="21"/>
          <w:lang w:val="en-GB"/>
        </w:rPr>
        <w:t>（安全评价机构公章）</w:t>
      </w:r>
      <w:r>
        <w:rPr>
          <w:rFonts w:cs="Times New Roman"/>
          <w:b/>
          <w:kern w:val="2"/>
          <w:sz w:val="21"/>
          <w:szCs w:val="21"/>
          <w:lang w:val="en-GB"/>
        </w:rPr>
        <w:br w:type="page"/>
      </w:r>
    </w:p>
    <w:p w14:paraId="4F39EC78">
      <w:pPr>
        <w:ind w:firstLine="720"/>
        <w:jc w:val="center"/>
        <w:rPr>
          <w:rFonts w:cs="Times New Roman"/>
          <w:kern w:val="2"/>
          <w:sz w:val="36"/>
          <w:szCs w:val="36"/>
        </w:rPr>
      </w:pPr>
      <w:r>
        <w:rPr>
          <w:rFonts w:hint="eastAsia" w:cs="Times New Roman"/>
          <w:kern w:val="2"/>
          <w:sz w:val="36"/>
          <w:szCs w:val="36"/>
        </w:rPr>
        <w:t>云南杉杉新材料有限公司锂离子电池负极材料一体化数字化转型改造项目</w:t>
      </w:r>
    </w:p>
    <w:p w14:paraId="7C318A9C">
      <w:pPr>
        <w:spacing w:before="100" w:beforeAutospacing="1" w:after="100" w:afterAutospacing="1" w:line="600" w:lineRule="exact"/>
        <w:ind w:firstLine="720"/>
        <w:jc w:val="center"/>
        <w:rPr>
          <w:rFonts w:cs="Times New Roman"/>
          <w:kern w:val="2"/>
          <w:sz w:val="36"/>
          <w:szCs w:val="36"/>
        </w:rPr>
      </w:pPr>
      <w:r>
        <w:rPr>
          <w:rFonts w:hint="eastAsia" w:cs="Times New Roman"/>
          <w:kern w:val="2"/>
          <w:sz w:val="36"/>
          <w:szCs w:val="36"/>
        </w:rPr>
        <w:t>安全生产条件和设施综合分析</w:t>
      </w:r>
      <w:r>
        <w:rPr>
          <w:rFonts w:cs="Times New Roman"/>
          <w:kern w:val="2"/>
          <w:sz w:val="36"/>
          <w:szCs w:val="36"/>
        </w:rPr>
        <w:t>技术服务承诺书</w:t>
      </w:r>
    </w:p>
    <w:p w14:paraId="139F8CC5">
      <w:pPr>
        <w:spacing w:before="100" w:beforeAutospacing="1" w:after="100" w:afterAutospacing="1" w:line="600" w:lineRule="exact"/>
        <w:ind w:firstLine="720"/>
        <w:jc w:val="center"/>
        <w:rPr>
          <w:rFonts w:cs="Times New Roman"/>
          <w:kern w:val="2"/>
          <w:sz w:val="36"/>
          <w:szCs w:val="36"/>
        </w:rPr>
      </w:pPr>
    </w:p>
    <w:p w14:paraId="6AE80C0C">
      <w:pPr>
        <w:spacing w:line="424" w:lineRule="auto"/>
        <w:ind w:firstLine="640"/>
        <w:rPr>
          <w:rFonts w:eastAsia="仿宋" w:cs="Times New Roman"/>
          <w:kern w:val="2"/>
          <w:sz w:val="32"/>
          <w:szCs w:val="32"/>
        </w:rPr>
      </w:pPr>
      <w:r>
        <w:rPr>
          <w:rFonts w:eastAsia="仿宋" w:cs="Times New Roman"/>
          <w:kern w:val="2"/>
          <w:sz w:val="32"/>
          <w:szCs w:val="32"/>
        </w:rPr>
        <w:t>一、在本项目安全评价活动过程中，我单位严格遵守《安全生产法》及相关法律、法规和标准的要求。</w:t>
      </w:r>
    </w:p>
    <w:p w14:paraId="6323282F">
      <w:pPr>
        <w:spacing w:line="424" w:lineRule="auto"/>
        <w:ind w:firstLine="640"/>
        <w:rPr>
          <w:rFonts w:eastAsia="仿宋" w:cs="Times New Roman"/>
          <w:kern w:val="2"/>
          <w:sz w:val="32"/>
          <w:szCs w:val="32"/>
        </w:rPr>
      </w:pPr>
      <w:r>
        <w:rPr>
          <w:rFonts w:eastAsia="仿宋" w:cs="Times New Roman"/>
          <w:kern w:val="2"/>
          <w:sz w:val="32"/>
          <w:szCs w:val="32"/>
        </w:rPr>
        <w:t>二、在本项目安全评价活动过程中，我单位作为第三方，未受到任何组织和个人的干预和影响，依法独立开展工作，保证了技术服务活动的客观公正性。</w:t>
      </w:r>
    </w:p>
    <w:p w14:paraId="56C98EC8">
      <w:pPr>
        <w:spacing w:line="424" w:lineRule="auto"/>
        <w:ind w:firstLine="640"/>
        <w:rPr>
          <w:rFonts w:eastAsia="仿宋" w:cs="Times New Roman"/>
          <w:kern w:val="2"/>
          <w:sz w:val="32"/>
          <w:szCs w:val="32"/>
        </w:rPr>
      </w:pPr>
      <w:r>
        <w:rPr>
          <w:rFonts w:eastAsia="仿宋" w:cs="Times New Roman"/>
          <w:kern w:val="2"/>
          <w:sz w:val="32"/>
          <w:szCs w:val="32"/>
        </w:rPr>
        <w:t>三、我单位按照实事求是的原则，对本项目进行安全评价，确保出具的报告均真实有效，报告所提出的措施具有针对性、有效性和可行性。</w:t>
      </w:r>
    </w:p>
    <w:p w14:paraId="0D77643A">
      <w:pPr>
        <w:spacing w:line="424" w:lineRule="auto"/>
        <w:ind w:firstLine="640"/>
        <w:rPr>
          <w:rFonts w:eastAsia="仿宋" w:cs="Times New Roman"/>
          <w:kern w:val="2"/>
          <w:sz w:val="32"/>
          <w:szCs w:val="32"/>
        </w:rPr>
      </w:pPr>
      <w:r>
        <w:rPr>
          <w:rFonts w:eastAsia="仿宋" w:cs="Times New Roman"/>
          <w:kern w:val="2"/>
          <w:sz w:val="32"/>
          <w:szCs w:val="32"/>
        </w:rPr>
        <w:t xml:space="preserve">四、我单位对本项目安全评价报告中结论性内容承担法律责任。 </w:t>
      </w:r>
    </w:p>
    <w:p w14:paraId="384CC92E">
      <w:pPr>
        <w:spacing w:before="100" w:beforeAutospacing="1" w:after="100" w:afterAutospacing="1" w:line="424" w:lineRule="auto"/>
        <w:ind w:firstLine="640"/>
        <w:rPr>
          <w:rFonts w:cs="Times New Roman"/>
          <w:kern w:val="2"/>
          <w:sz w:val="32"/>
          <w:szCs w:val="32"/>
        </w:rPr>
      </w:pPr>
    </w:p>
    <w:p w14:paraId="74CEC7D1">
      <w:pPr>
        <w:spacing w:before="100" w:beforeAutospacing="1" w:after="100" w:afterAutospacing="1" w:line="424" w:lineRule="auto"/>
        <w:ind w:left="5258" w:leftChars="228" w:hanging="4620" w:hangingChars="1650"/>
        <w:jc w:val="right"/>
        <w:rPr>
          <w:rFonts w:cs="Times New Roman"/>
          <w:kern w:val="2"/>
          <w:sz w:val="32"/>
          <w:szCs w:val="32"/>
        </w:rPr>
      </w:pPr>
      <w:r>
        <w:rPr>
          <w:rFonts w:cs="Times New Roman"/>
          <w:kern w:val="2"/>
          <w:szCs w:val="28"/>
        </w:rPr>
        <w:t>江西赣安安全生产科学技术咨询服务中心</w:t>
      </w:r>
    </w:p>
    <w:p w14:paraId="3BD4A286">
      <w:pPr>
        <w:ind w:firstLine="640"/>
        <w:jc w:val="right"/>
        <w:rPr>
          <w:rFonts w:cs="Times New Roman"/>
          <w:kern w:val="2"/>
          <w:sz w:val="32"/>
          <w:szCs w:val="32"/>
        </w:rPr>
      </w:pPr>
      <w:r>
        <w:rPr>
          <w:rFonts w:cs="Times New Roman"/>
          <w:kern w:val="2"/>
          <w:sz w:val="32"/>
          <w:szCs w:val="32"/>
        </w:rPr>
        <w:t>2025年</w:t>
      </w:r>
      <w:r>
        <w:rPr>
          <w:rFonts w:hint="eastAsia" w:cs="Times New Roman"/>
          <w:kern w:val="2"/>
          <w:sz w:val="32"/>
          <w:szCs w:val="32"/>
        </w:rPr>
        <w:t>4</w:t>
      </w:r>
      <w:r>
        <w:rPr>
          <w:rFonts w:cs="Times New Roman"/>
          <w:kern w:val="2"/>
          <w:sz w:val="32"/>
          <w:szCs w:val="32"/>
        </w:rPr>
        <w:t>月</w:t>
      </w:r>
    </w:p>
    <w:p w14:paraId="676BC36C">
      <w:pPr>
        <w:ind w:firstLine="640"/>
        <w:jc w:val="center"/>
        <w:rPr>
          <w:rFonts w:eastAsia="黑体" w:cs="Times New Roman"/>
          <w:kern w:val="2"/>
          <w:sz w:val="18"/>
          <w:szCs w:val="18"/>
        </w:rPr>
      </w:pPr>
      <w:r>
        <w:rPr>
          <w:rFonts w:cs="Times New Roman"/>
          <w:kern w:val="2"/>
          <w:sz w:val="32"/>
          <w:szCs w:val="32"/>
        </w:rPr>
        <w:br w:type="page"/>
      </w:r>
      <w:r>
        <w:rPr>
          <w:rFonts w:eastAsia="黑体" w:cs="Times New Roman"/>
          <w:kern w:val="2"/>
          <w:sz w:val="44"/>
          <w:szCs w:val="44"/>
        </w:rPr>
        <w:t>规范安全生产中介行为的九条禁令</w:t>
      </w:r>
    </w:p>
    <w:p w14:paraId="2C34F0C9">
      <w:pPr>
        <w:ind w:firstLine="360"/>
        <w:jc w:val="center"/>
        <w:rPr>
          <w:rFonts w:eastAsia="微软雅黑" w:cs="Times New Roman"/>
          <w:kern w:val="2"/>
          <w:sz w:val="18"/>
          <w:szCs w:val="18"/>
        </w:rPr>
      </w:pPr>
      <w:r>
        <w:rPr>
          <w:rFonts w:eastAsia="微软雅黑" w:cs="Times New Roman"/>
          <w:kern w:val="2"/>
          <w:sz w:val="18"/>
          <w:szCs w:val="18"/>
        </w:rPr>
        <w:t xml:space="preserve"> </w:t>
      </w:r>
    </w:p>
    <w:p w14:paraId="06060DBD">
      <w:pPr>
        <w:ind w:firstLine="640"/>
        <w:rPr>
          <w:rFonts w:cs="Times New Roman"/>
          <w:kern w:val="2"/>
          <w:sz w:val="32"/>
          <w:szCs w:val="18"/>
        </w:rPr>
      </w:pPr>
      <w:r>
        <w:rPr>
          <w:rFonts w:cs="Times New Roman"/>
          <w:kern w:val="2"/>
          <w:sz w:val="32"/>
          <w:szCs w:val="32"/>
        </w:rPr>
        <w:t>一、禁止从事安全生产和职业卫生服务的中介服务机构（以下统称中介机构）租借资质证书、非法挂靠、转包服务项目的行为；</w:t>
      </w:r>
    </w:p>
    <w:p w14:paraId="3149C069">
      <w:pPr>
        <w:ind w:firstLine="640"/>
        <w:rPr>
          <w:rFonts w:cs="Times New Roman"/>
          <w:kern w:val="2"/>
          <w:sz w:val="32"/>
          <w:szCs w:val="18"/>
        </w:rPr>
      </w:pPr>
      <w:r>
        <w:rPr>
          <w:rFonts w:cs="Times New Roman"/>
          <w:kern w:val="2"/>
          <w:sz w:val="32"/>
          <w:szCs w:val="32"/>
        </w:rPr>
        <w:t>二、禁止中介机构假借、冒用他人名义要求服务对象接受有偿服务，或者恶意低价竞争以及采取串标、围标等不正当竞争手段，扰乱技术服务市场秩序的行为；</w:t>
      </w:r>
      <w:r>
        <w:rPr>
          <w:rFonts w:cs="Times New Roman"/>
          <w:kern w:val="2"/>
          <w:sz w:val="32"/>
          <w:szCs w:val="18"/>
        </w:rPr>
        <w:t xml:space="preserve"> </w:t>
      </w:r>
    </w:p>
    <w:p w14:paraId="7567512F">
      <w:pPr>
        <w:ind w:firstLine="640"/>
        <w:rPr>
          <w:rFonts w:cs="Times New Roman"/>
          <w:kern w:val="2"/>
          <w:sz w:val="32"/>
          <w:szCs w:val="18"/>
        </w:rPr>
      </w:pPr>
      <w:r>
        <w:rPr>
          <w:rFonts w:cs="Times New Roman"/>
          <w:kern w:val="2"/>
          <w:sz w:val="32"/>
          <w:szCs w:val="32"/>
        </w:rPr>
        <w:t>三、禁止中介机构出具虚假或漏项、缺项技术报告的行为；</w:t>
      </w:r>
    </w:p>
    <w:p w14:paraId="17A27E80">
      <w:pPr>
        <w:ind w:firstLine="640"/>
        <w:rPr>
          <w:rFonts w:cs="Times New Roman"/>
          <w:kern w:val="2"/>
          <w:sz w:val="32"/>
          <w:szCs w:val="18"/>
        </w:rPr>
      </w:pPr>
      <w:r>
        <w:rPr>
          <w:rFonts w:cs="Times New Roman"/>
          <w:kern w:val="2"/>
          <w:sz w:val="32"/>
          <w:szCs w:val="32"/>
        </w:rPr>
        <w:t>四、禁止中介机构出租、出借资格证书、在报告上冒用他人签名的行为；</w:t>
      </w:r>
    </w:p>
    <w:p w14:paraId="4FDBA2E1">
      <w:pPr>
        <w:ind w:firstLine="640"/>
        <w:rPr>
          <w:rFonts w:cs="Times New Roman"/>
          <w:kern w:val="2"/>
          <w:sz w:val="32"/>
          <w:szCs w:val="18"/>
        </w:rPr>
      </w:pPr>
      <w:r>
        <w:rPr>
          <w:rFonts w:cs="Times New Roman"/>
          <w:kern w:val="2"/>
          <w:sz w:val="32"/>
          <w:szCs w:val="32"/>
        </w:rPr>
        <w:t>五、禁止中介机构有应到而不到现场开展技术服务的行为；</w:t>
      </w:r>
    </w:p>
    <w:p w14:paraId="38047C4A">
      <w:pPr>
        <w:ind w:firstLine="640"/>
        <w:rPr>
          <w:rFonts w:cs="Times New Roman"/>
          <w:kern w:val="2"/>
          <w:sz w:val="32"/>
          <w:szCs w:val="18"/>
        </w:rPr>
      </w:pPr>
      <w:r>
        <w:rPr>
          <w:rFonts w:cs="Times New Roman"/>
          <w:kern w:val="2"/>
          <w:sz w:val="32"/>
          <w:szCs w:val="32"/>
        </w:rPr>
        <w:t>六、禁止安全生产监管部门及其工作人员要求生产经营单位接受指定的中介机构开展技术服务的行为；</w:t>
      </w:r>
    </w:p>
    <w:p w14:paraId="1F20E19A">
      <w:pPr>
        <w:ind w:firstLine="640"/>
        <w:rPr>
          <w:rFonts w:cs="Times New Roman"/>
          <w:kern w:val="2"/>
          <w:sz w:val="32"/>
          <w:szCs w:val="18"/>
        </w:rPr>
      </w:pPr>
      <w:r>
        <w:rPr>
          <w:rFonts w:cs="Times New Roman"/>
          <w:kern w:val="2"/>
          <w:sz w:val="32"/>
          <w:szCs w:val="32"/>
        </w:rPr>
        <w:t>七、禁止安全生产监管部门及其工作人员没有法律依据组织由生产经营单位或机构支付费用的行政性评审的行为；</w:t>
      </w:r>
    </w:p>
    <w:p w14:paraId="4B7B85B2">
      <w:pPr>
        <w:ind w:firstLine="640"/>
        <w:rPr>
          <w:rFonts w:cs="Times New Roman"/>
          <w:kern w:val="2"/>
          <w:sz w:val="32"/>
          <w:szCs w:val="18"/>
        </w:rPr>
      </w:pPr>
      <w:r>
        <w:rPr>
          <w:rFonts w:cs="Times New Roman"/>
          <w:kern w:val="2"/>
          <w:sz w:val="32"/>
          <w:szCs w:val="32"/>
        </w:rPr>
        <w:t>八、禁止安全生产监管部门及其工作人员干预市场定价，违规擅自出台技术服务收费标准的行为；</w:t>
      </w:r>
    </w:p>
    <w:p w14:paraId="5CC4D2B5">
      <w:pPr>
        <w:ind w:firstLine="640"/>
        <w:rPr>
          <w:rFonts w:cs="Times New Roman"/>
          <w:kern w:val="2"/>
          <w:sz w:val="32"/>
          <w:szCs w:val="32"/>
        </w:rPr>
      </w:pPr>
      <w:r>
        <w:rPr>
          <w:rFonts w:cs="Times New Roman"/>
          <w:kern w:val="2"/>
          <w:sz w:val="32"/>
          <w:szCs w:val="32"/>
        </w:rPr>
        <w:t>九、禁止安全生产监管部门及其工作人员参与、擅自干预中介机构从业活动，或者有获取不正当利益的行为。</w:t>
      </w:r>
    </w:p>
    <w:p w14:paraId="05D449D1">
      <w:pPr>
        <w:ind w:firstLine="640"/>
        <w:rPr>
          <w:rFonts w:cs="Times New Roman"/>
          <w:kern w:val="2"/>
          <w:sz w:val="32"/>
          <w:szCs w:val="32"/>
        </w:rPr>
      </w:pPr>
    </w:p>
    <w:p w14:paraId="3C208528">
      <w:pPr>
        <w:ind w:firstLine="0" w:firstLineChars="0"/>
        <w:rPr>
          <w:rFonts w:cs="Times New Roman"/>
          <w:kern w:val="2"/>
          <w:sz w:val="32"/>
          <w:szCs w:val="32"/>
        </w:rPr>
      </w:pPr>
      <w:r>
        <w:drawing>
          <wp:inline distT="0" distB="0" distL="0" distR="0">
            <wp:extent cx="6157595" cy="8763000"/>
            <wp:effectExtent l="0" t="0" r="0" b="0"/>
            <wp:docPr id="12573261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26163" name="图片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160967" cy="8767530"/>
                    </a:xfrm>
                    <a:prstGeom prst="rect">
                      <a:avLst/>
                    </a:prstGeom>
                    <a:noFill/>
                    <a:ln>
                      <a:noFill/>
                    </a:ln>
                  </pic:spPr>
                </pic:pic>
              </a:graphicData>
            </a:graphic>
          </wp:inline>
        </w:drawing>
      </w:r>
    </w:p>
    <w:p w14:paraId="46A12C24">
      <w:pPr>
        <w:ind w:firstLine="640"/>
        <w:jc w:val="center"/>
        <w:rPr>
          <w:rFonts w:cs="Times New Roman"/>
          <w:kern w:val="2"/>
          <w:sz w:val="32"/>
          <w:szCs w:val="32"/>
        </w:rPr>
      </w:pPr>
    </w:p>
    <w:p w14:paraId="30274E66">
      <w:pPr>
        <w:ind w:firstLine="643"/>
        <w:jc w:val="center"/>
        <w:rPr>
          <w:rFonts w:eastAsia="黑体" w:cs="Times New Roman"/>
          <w:b/>
          <w:kern w:val="2"/>
          <w:sz w:val="32"/>
          <w:szCs w:val="32"/>
        </w:rPr>
      </w:pPr>
      <w:r>
        <w:rPr>
          <w:rFonts w:eastAsia="黑体" w:cs="Times New Roman"/>
          <w:b/>
          <w:kern w:val="2"/>
          <w:sz w:val="32"/>
          <w:szCs w:val="32"/>
        </w:rPr>
        <w:t>评价人员</w:t>
      </w:r>
    </w:p>
    <w:p w14:paraId="6EF7796A">
      <w:pPr>
        <w:ind w:firstLine="643"/>
        <w:jc w:val="center"/>
        <w:rPr>
          <w:rFonts w:eastAsia="黑体" w:cs="Times New Roman"/>
          <w:b/>
          <w:kern w:val="2"/>
          <w:sz w:val="32"/>
          <w:szCs w:val="32"/>
        </w:rPr>
      </w:pPr>
    </w:p>
    <w:tbl>
      <w:tblPr>
        <w:tblStyle w:val="59"/>
        <w:tblW w:w="98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
        <w:gridCol w:w="983"/>
        <w:gridCol w:w="2953"/>
        <w:gridCol w:w="1438"/>
        <w:gridCol w:w="1453"/>
        <w:gridCol w:w="1625"/>
      </w:tblGrid>
      <w:tr w14:paraId="47E58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1417" w:type="dxa"/>
            <w:tcBorders>
              <w:top w:val="single" w:color="auto" w:sz="4" w:space="0"/>
              <w:left w:val="single" w:color="auto" w:sz="4" w:space="0"/>
              <w:bottom w:val="single" w:color="auto" w:sz="4" w:space="0"/>
              <w:right w:val="single" w:color="auto" w:sz="4" w:space="0"/>
            </w:tcBorders>
            <w:vAlign w:val="center"/>
          </w:tcPr>
          <w:p w14:paraId="26F9D9F6">
            <w:pPr>
              <w:widowControl/>
              <w:adjustRightInd/>
              <w:snapToGrid/>
              <w:spacing w:before="100" w:beforeAutospacing="1" w:after="160" w:line="560" w:lineRule="exact"/>
              <w:ind w:firstLine="480" w:firstLineChars="0"/>
              <w:jc w:val="center"/>
              <w:rPr>
                <w:rFonts w:cs="Times New Roman"/>
                <w:sz w:val="24"/>
              </w:rPr>
            </w:pPr>
          </w:p>
        </w:tc>
        <w:tc>
          <w:tcPr>
            <w:tcW w:w="983" w:type="dxa"/>
            <w:tcBorders>
              <w:top w:val="single" w:color="auto" w:sz="4" w:space="0"/>
              <w:left w:val="nil"/>
              <w:bottom w:val="single" w:color="auto" w:sz="4" w:space="0"/>
              <w:right w:val="single" w:color="auto" w:sz="4" w:space="0"/>
            </w:tcBorders>
            <w:vAlign w:val="center"/>
          </w:tcPr>
          <w:p w14:paraId="5A2B6EFC">
            <w:pPr>
              <w:widowControl/>
              <w:adjustRightInd/>
              <w:snapToGrid/>
              <w:spacing w:before="100" w:beforeAutospacing="1" w:after="160" w:line="560" w:lineRule="exact"/>
              <w:ind w:firstLine="0" w:firstLineChars="0"/>
              <w:jc w:val="center"/>
              <w:rPr>
                <w:rFonts w:cs="Times New Roman"/>
                <w:sz w:val="24"/>
              </w:rPr>
            </w:pPr>
            <w:r>
              <w:rPr>
                <w:rFonts w:cs="Times New Roman"/>
                <w:sz w:val="24"/>
              </w:rPr>
              <w:t>姓  名</w:t>
            </w:r>
          </w:p>
        </w:tc>
        <w:tc>
          <w:tcPr>
            <w:tcW w:w="2953" w:type="dxa"/>
            <w:tcBorders>
              <w:top w:val="single" w:color="auto" w:sz="4" w:space="0"/>
              <w:left w:val="nil"/>
              <w:bottom w:val="single" w:color="auto" w:sz="4" w:space="0"/>
              <w:right w:val="single" w:color="auto" w:sz="4" w:space="0"/>
            </w:tcBorders>
            <w:vAlign w:val="center"/>
          </w:tcPr>
          <w:p w14:paraId="4F4D915D">
            <w:pPr>
              <w:widowControl/>
              <w:adjustRightInd/>
              <w:snapToGrid/>
              <w:spacing w:before="100" w:beforeAutospacing="1" w:after="160" w:line="560" w:lineRule="exact"/>
              <w:ind w:firstLine="0" w:firstLineChars="0"/>
              <w:jc w:val="center"/>
              <w:rPr>
                <w:rFonts w:cs="Times New Roman"/>
                <w:sz w:val="24"/>
              </w:rPr>
            </w:pPr>
            <w:r>
              <w:rPr>
                <w:rFonts w:cs="Times New Roman"/>
                <w:sz w:val="24"/>
              </w:rPr>
              <w:t>证书编号</w:t>
            </w:r>
          </w:p>
        </w:tc>
        <w:tc>
          <w:tcPr>
            <w:tcW w:w="1438" w:type="dxa"/>
            <w:tcBorders>
              <w:top w:val="single" w:color="auto" w:sz="4" w:space="0"/>
              <w:left w:val="nil"/>
              <w:bottom w:val="single" w:color="auto" w:sz="4" w:space="0"/>
              <w:right w:val="single" w:color="auto" w:sz="4" w:space="0"/>
            </w:tcBorders>
            <w:vAlign w:val="center"/>
          </w:tcPr>
          <w:p w14:paraId="6DCE7220">
            <w:pPr>
              <w:widowControl/>
              <w:adjustRightInd/>
              <w:snapToGrid/>
              <w:spacing w:before="100" w:beforeAutospacing="1" w:after="160" w:line="560" w:lineRule="exact"/>
              <w:ind w:firstLine="0" w:firstLineChars="0"/>
              <w:jc w:val="center"/>
              <w:rPr>
                <w:rFonts w:cs="Times New Roman"/>
                <w:sz w:val="24"/>
              </w:rPr>
            </w:pPr>
            <w:r>
              <w:rPr>
                <w:rFonts w:cs="Times New Roman"/>
                <w:sz w:val="24"/>
              </w:rPr>
              <w:t>从业登记号</w:t>
            </w:r>
          </w:p>
        </w:tc>
        <w:tc>
          <w:tcPr>
            <w:tcW w:w="1453" w:type="dxa"/>
            <w:tcBorders>
              <w:top w:val="single" w:color="auto" w:sz="4" w:space="0"/>
              <w:left w:val="nil"/>
              <w:bottom w:val="single" w:color="auto" w:sz="4" w:space="0"/>
              <w:right w:val="single" w:color="auto" w:sz="4" w:space="0"/>
            </w:tcBorders>
            <w:vAlign w:val="center"/>
          </w:tcPr>
          <w:p w14:paraId="23FD318F">
            <w:pPr>
              <w:widowControl/>
              <w:adjustRightInd/>
              <w:snapToGrid/>
              <w:spacing w:before="100" w:beforeAutospacing="1" w:after="160" w:line="560" w:lineRule="exact"/>
              <w:ind w:firstLine="0" w:firstLineChars="0"/>
              <w:jc w:val="center"/>
              <w:rPr>
                <w:rFonts w:cs="Times New Roman"/>
                <w:sz w:val="24"/>
              </w:rPr>
            </w:pPr>
            <w:r>
              <w:rPr>
                <w:rFonts w:cs="Times New Roman"/>
                <w:sz w:val="24"/>
              </w:rPr>
              <w:t>专业</w:t>
            </w:r>
          </w:p>
        </w:tc>
        <w:tc>
          <w:tcPr>
            <w:tcW w:w="1625" w:type="dxa"/>
            <w:tcBorders>
              <w:top w:val="single" w:color="auto" w:sz="4" w:space="0"/>
              <w:left w:val="nil"/>
              <w:bottom w:val="single" w:color="auto" w:sz="4" w:space="0"/>
              <w:right w:val="single" w:color="auto" w:sz="4" w:space="0"/>
            </w:tcBorders>
            <w:vAlign w:val="center"/>
          </w:tcPr>
          <w:p w14:paraId="4362FF36">
            <w:pPr>
              <w:widowControl/>
              <w:adjustRightInd/>
              <w:snapToGrid/>
              <w:spacing w:before="100" w:beforeAutospacing="1" w:after="160" w:line="560" w:lineRule="exact"/>
              <w:ind w:firstLine="0" w:firstLineChars="0"/>
              <w:jc w:val="center"/>
              <w:rPr>
                <w:rFonts w:cs="Times New Roman"/>
                <w:sz w:val="24"/>
              </w:rPr>
            </w:pPr>
            <w:r>
              <w:rPr>
                <w:rFonts w:cs="Times New Roman"/>
                <w:sz w:val="24"/>
              </w:rPr>
              <w:t>签  字</w:t>
            </w:r>
          </w:p>
        </w:tc>
      </w:tr>
      <w:tr w14:paraId="22325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1417" w:type="dxa"/>
            <w:tcBorders>
              <w:top w:val="single" w:color="auto" w:sz="4" w:space="0"/>
              <w:left w:val="single" w:color="auto" w:sz="4" w:space="0"/>
              <w:bottom w:val="single" w:color="auto" w:sz="4" w:space="0"/>
              <w:right w:val="single" w:color="auto" w:sz="4" w:space="0"/>
            </w:tcBorders>
            <w:vAlign w:val="center"/>
          </w:tcPr>
          <w:p w14:paraId="4A77E0F7">
            <w:pPr>
              <w:widowControl/>
              <w:adjustRightInd/>
              <w:snapToGrid/>
              <w:spacing w:before="100" w:beforeAutospacing="1" w:after="160" w:line="560" w:lineRule="exact"/>
              <w:ind w:firstLine="0" w:firstLineChars="0"/>
              <w:jc w:val="center"/>
              <w:textAlignment w:val="center"/>
              <w:rPr>
                <w:rFonts w:cs="Times New Roman"/>
                <w:sz w:val="24"/>
              </w:rPr>
            </w:pPr>
            <w:r>
              <w:rPr>
                <w:rFonts w:cs="Times New Roman"/>
                <w:sz w:val="24"/>
              </w:rPr>
              <w:t>项目负责人</w:t>
            </w:r>
          </w:p>
        </w:tc>
        <w:tc>
          <w:tcPr>
            <w:tcW w:w="983" w:type="dxa"/>
            <w:tcBorders>
              <w:top w:val="single" w:color="auto" w:sz="4" w:space="0"/>
              <w:left w:val="nil"/>
              <w:bottom w:val="single" w:color="auto" w:sz="4" w:space="0"/>
              <w:right w:val="single" w:color="auto" w:sz="4" w:space="0"/>
            </w:tcBorders>
            <w:vAlign w:val="center"/>
          </w:tcPr>
          <w:p w14:paraId="73FE3925">
            <w:pPr>
              <w:widowControl/>
              <w:overflowPunct w:val="0"/>
              <w:topLinePunct/>
              <w:autoSpaceDE w:val="0"/>
              <w:autoSpaceDN w:val="0"/>
              <w:spacing w:before="48" w:beforeLines="20" w:after="48" w:afterLines="20" w:line="240" w:lineRule="auto"/>
              <w:ind w:firstLine="0" w:firstLineChars="0"/>
              <w:jc w:val="center"/>
              <w:rPr>
                <w:rFonts w:cs="Times New Roman"/>
                <w:sz w:val="24"/>
              </w:rPr>
            </w:pPr>
            <w:r>
              <w:rPr>
                <w:rFonts w:cs="Times New Roman"/>
                <w:sz w:val="24"/>
              </w:rPr>
              <w:t>钱局东</w:t>
            </w:r>
          </w:p>
        </w:tc>
        <w:tc>
          <w:tcPr>
            <w:tcW w:w="2953" w:type="dxa"/>
            <w:tcBorders>
              <w:top w:val="single" w:color="auto" w:sz="4" w:space="0"/>
              <w:left w:val="nil"/>
              <w:bottom w:val="single" w:color="auto" w:sz="4" w:space="0"/>
              <w:right w:val="single" w:color="auto" w:sz="4" w:space="0"/>
            </w:tcBorders>
            <w:vAlign w:val="center"/>
          </w:tcPr>
          <w:p w14:paraId="7AE34356">
            <w:pPr>
              <w:widowControl/>
              <w:overflowPunct w:val="0"/>
              <w:topLinePunct/>
              <w:autoSpaceDE w:val="0"/>
              <w:autoSpaceDN w:val="0"/>
              <w:spacing w:before="48" w:beforeLines="20" w:after="48" w:afterLines="20" w:line="240" w:lineRule="auto"/>
              <w:ind w:firstLine="0" w:firstLineChars="0"/>
              <w:jc w:val="center"/>
              <w:rPr>
                <w:rFonts w:cs="Times New Roman"/>
                <w:sz w:val="24"/>
              </w:rPr>
            </w:pPr>
            <w:r>
              <w:rPr>
                <w:rFonts w:cs="Times New Roman"/>
                <w:sz w:val="24"/>
              </w:rPr>
              <w:t>S011053000110202001891</w:t>
            </w:r>
          </w:p>
        </w:tc>
        <w:tc>
          <w:tcPr>
            <w:tcW w:w="1438" w:type="dxa"/>
            <w:tcBorders>
              <w:top w:val="single" w:color="auto" w:sz="4" w:space="0"/>
              <w:left w:val="nil"/>
              <w:bottom w:val="single" w:color="auto" w:sz="4" w:space="0"/>
              <w:right w:val="single" w:color="auto" w:sz="4" w:space="0"/>
            </w:tcBorders>
            <w:vAlign w:val="center"/>
          </w:tcPr>
          <w:p w14:paraId="7B9B4707">
            <w:pPr>
              <w:widowControl/>
              <w:overflowPunct w:val="0"/>
              <w:topLinePunct/>
              <w:autoSpaceDE w:val="0"/>
              <w:autoSpaceDN w:val="0"/>
              <w:spacing w:before="48" w:beforeLines="20" w:after="48" w:afterLines="20" w:line="240" w:lineRule="auto"/>
              <w:ind w:firstLine="0" w:firstLineChars="0"/>
              <w:jc w:val="center"/>
              <w:rPr>
                <w:rFonts w:cs="Times New Roman"/>
                <w:sz w:val="24"/>
              </w:rPr>
            </w:pPr>
            <w:r>
              <w:rPr>
                <w:rFonts w:cs="Times New Roman"/>
                <w:sz w:val="24"/>
              </w:rPr>
              <w:t>026369</w:t>
            </w:r>
          </w:p>
        </w:tc>
        <w:tc>
          <w:tcPr>
            <w:tcW w:w="1453" w:type="dxa"/>
            <w:tcBorders>
              <w:top w:val="single" w:color="auto" w:sz="4" w:space="0"/>
              <w:left w:val="nil"/>
              <w:bottom w:val="single" w:color="auto" w:sz="4" w:space="0"/>
              <w:right w:val="single" w:color="auto" w:sz="4" w:space="0"/>
            </w:tcBorders>
            <w:vAlign w:val="center"/>
          </w:tcPr>
          <w:p w14:paraId="0F00E370">
            <w:pPr>
              <w:widowControl/>
              <w:overflowPunct w:val="0"/>
              <w:topLinePunct/>
              <w:autoSpaceDE w:val="0"/>
              <w:autoSpaceDN w:val="0"/>
              <w:spacing w:before="48" w:beforeLines="20" w:after="48" w:afterLines="20" w:line="240" w:lineRule="auto"/>
              <w:ind w:firstLine="0" w:firstLineChars="0"/>
              <w:jc w:val="center"/>
              <w:rPr>
                <w:rFonts w:cs="Times New Roman"/>
                <w:sz w:val="24"/>
              </w:rPr>
            </w:pPr>
            <w:r>
              <w:rPr>
                <w:rFonts w:cs="Times New Roman"/>
                <w:sz w:val="24"/>
              </w:rPr>
              <w:t>电气工程</w:t>
            </w:r>
          </w:p>
        </w:tc>
        <w:tc>
          <w:tcPr>
            <w:tcW w:w="1625" w:type="dxa"/>
            <w:tcBorders>
              <w:top w:val="single" w:color="auto" w:sz="4" w:space="0"/>
              <w:left w:val="nil"/>
              <w:bottom w:val="single" w:color="auto" w:sz="4" w:space="0"/>
              <w:right w:val="single" w:color="auto" w:sz="4" w:space="0"/>
            </w:tcBorders>
            <w:vAlign w:val="center"/>
          </w:tcPr>
          <w:p w14:paraId="3021F7F6">
            <w:pPr>
              <w:widowControl/>
              <w:adjustRightInd/>
              <w:snapToGrid/>
              <w:spacing w:before="100" w:beforeAutospacing="1" w:after="160" w:line="560" w:lineRule="exact"/>
              <w:ind w:firstLine="0" w:firstLineChars="0"/>
              <w:jc w:val="center"/>
              <w:rPr>
                <w:rFonts w:cs="Times New Roman"/>
                <w:sz w:val="24"/>
              </w:rPr>
            </w:pPr>
          </w:p>
        </w:tc>
      </w:tr>
      <w:tr w14:paraId="4CC52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6" w:hRule="atLeast"/>
        </w:trPr>
        <w:tc>
          <w:tcPr>
            <w:tcW w:w="1417" w:type="dxa"/>
            <w:vMerge w:val="restart"/>
            <w:tcBorders>
              <w:top w:val="nil"/>
              <w:left w:val="single" w:color="auto" w:sz="4" w:space="0"/>
              <w:bottom w:val="single" w:color="auto" w:sz="4" w:space="0"/>
              <w:right w:val="single" w:color="auto" w:sz="4" w:space="0"/>
            </w:tcBorders>
            <w:vAlign w:val="center"/>
          </w:tcPr>
          <w:p w14:paraId="00F2F3DB">
            <w:pPr>
              <w:widowControl/>
              <w:adjustRightInd/>
              <w:snapToGrid/>
              <w:spacing w:before="100" w:beforeAutospacing="1" w:after="160" w:line="400" w:lineRule="exact"/>
              <w:ind w:firstLine="0" w:firstLineChars="0"/>
              <w:jc w:val="center"/>
              <w:textAlignment w:val="center"/>
              <w:rPr>
                <w:rFonts w:cs="Times New Roman"/>
                <w:sz w:val="24"/>
              </w:rPr>
            </w:pPr>
            <w:r>
              <w:rPr>
                <w:rFonts w:cs="Times New Roman"/>
                <w:sz w:val="24"/>
              </w:rPr>
              <w:t>项目组成员</w:t>
            </w:r>
          </w:p>
        </w:tc>
        <w:tc>
          <w:tcPr>
            <w:tcW w:w="983" w:type="dxa"/>
            <w:tcBorders>
              <w:top w:val="single" w:color="auto" w:sz="4" w:space="0"/>
              <w:left w:val="nil"/>
              <w:bottom w:val="single" w:color="auto" w:sz="4" w:space="0"/>
              <w:right w:val="single" w:color="auto" w:sz="4" w:space="0"/>
            </w:tcBorders>
            <w:vAlign w:val="center"/>
          </w:tcPr>
          <w:p w14:paraId="0381D867">
            <w:pPr>
              <w:widowControl/>
              <w:adjustRightInd/>
              <w:snapToGrid/>
              <w:spacing w:before="100" w:beforeAutospacing="1" w:after="160" w:line="400" w:lineRule="exact"/>
              <w:ind w:firstLine="0" w:firstLineChars="0"/>
              <w:jc w:val="center"/>
              <w:textAlignment w:val="center"/>
              <w:rPr>
                <w:rFonts w:cs="Times New Roman"/>
                <w:sz w:val="24"/>
              </w:rPr>
            </w:pPr>
            <w:r>
              <w:rPr>
                <w:rFonts w:cs="Times New Roman"/>
                <w:sz w:val="24"/>
              </w:rPr>
              <w:t>钱局东</w:t>
            </w:r>
          </w:p>
        </w:tc>
        <w:tc>
          <w:tcPr>
            <w:tcW w:w="2953" w:type="dxa"/>
            <w:tcBorders>
              <w:top w:val="single" w:color="auto" w:sz="4" w:space="0"/>
              <w:left w:val="nil"/>
              <w:bottom w:val="single" w:color="auto" w:sz="4" w:space="0"/>
              <w:right w:val="single" w:color="auto" w:sz="4" w:space="0"/>
            </w:tcBorders>
            <w:vAlign w:val="center"/>
          </w:tcPr>
          <w:p w14:paraId="2757919B">
            <w:pPr>
              <w:widowControl/>
              <w:adjustRightInd/>
              <w:snapToGrid/>
              <w:spacing w:before="100" w:beforeAutospacing="1" w:after="160" w:line="400" w:lineRule="exact"/>
              <w:ind w:firstLine="0" w:firstLineChars="0"/>
              <w:jc w:val="center"/>
              <w:textAlignment w:val="center"/>
              <w:rPr>
                <w:rFonts w:cs="Times New Roman"/>
                <w:sz w:val="24"/>
              </w:rPr>
            </w:pPr>
            <w:r>
              <w:rPr>
                <w:rFonts w:cs="Times New Roman"/>
                <w:sz w:val="24"/>
              </w:rPr>
              <w:t>S011053000110202001891</w:t>
            </w:r>
          </w:p>
        </w:tc>
        <w:tc>
          <w:tcPr>
            <w:tcW w:w="1438" w:type="dxa"/>
            <w:tcBorders>
              <w:top w:val="single" w:color="auto" w:sz="4" w:space="0"/>
              <w:left w:val="nil"/>
              <w:bottom w:val="single" w:color="auto" w:sz="4" w:space="0"/>
              <w:right w:val="single" w:color="auto" w:sz="4" w:space="0"/>
            </w:tcBorders>
            <w:vAlign w:val="center"/>
          </w:tcPr>
          <w:p w14:paraId="6579B065">
            <w:pPr>
              <w:widowControl/>
              <w:adjustRightInd/>
              <w:snapToGrid/>
              <w:spacing w:before="100" w:beforeAutospacing="1" w:after="160" w:line="400" w:lineRule="exact"/>
              <w:ind w:firstLine="0" w:firstLineChars="0"/>
              <w:jc w:val="center"/>
              <w:textAlignment w:val="center"/>
              <w:rPr>
                <w:rFonts w:cs="Times New Roman"/>
                <w:sz w:val="24"/>
              </w:rPr>
            </w:pPr>
            <w:r>
              <w:rPr>
                <w:rFonts w:cs="Times New Roman"/>
                <w:sz w:val="24"/>
              </w:rPr>
              <w:t>026369</w:t>
            </w:r>
          </w:p>
        </w:tc>
        <w:tc>
          <w:tcPr>
            <w:tcW w:w="1453" w:type="dxa"/>
            <w:tcBorders>
              <w:top w:val="single" w:color="auto" w:sz="4" w:space="0"/>
              <w:left w:val="nil"/>
              <w:bottom w:val="single" w:color="auto" w:sz="4" w:space="0"/>
              <w:right w:val="single" w:color="auto" w:sz="4" w:space="0"/>
            </w:tcBorders>
            <w:vAlign w:val="center"/>
          </w:tcPr>
          <w:p w14:paraId="0870FF61">
            <w:pPr>
              <w:widowControl/>
              <w:adjustRightInd/>
              <w:snapToGrid/>
              <w:spacing w:before="100" w:beforeAutospacing="1" w:after="160" w:line="400" w:lineRule="exact"/>
              <w:ind w:firstLine="0" w:firstLineChars="0"/>
              <w:jc w:val="center"/>
              <w:textAlignment w:val="center"/>
              <w:rPr>
                <w:rFonts w:cs="Times New Roman"/>
                <w:sz w:val="24"/>
              </w:rPr>
            </w:pPr>
            <w:r>
              <w:rPr>
                <w:rFonts w:cs="Times New Roman"/>
                <w:sz w:val="24"/>
              </w:rPr>
              <w:t>电气工程</w:t>
            </w:r>
          </w:p>
        </w:tc>
        <w:tc>
          <w:tcPr>
            <w:tcW w:w="1625" w:type="dxa"/>
            <w:tcBorders>
              <w:top w:val="single" w:color="auto" w:sz="4" w:space="0"/>
              <w:left w:val="nil"/>
              <w:bottom w:val="single" w:color="auto" w:sz="4" w:space="0"/>
              <w:right w:val="single" w:color="auto" w:sz="4" w:space="0"/>
            </w:tcBorders>
            <w:vAlign w:val="center"/>
          </w:tcPr>
          <w:p w14:paraId="7201DE96">
            <w:pPr>
              <w:widowControl/>
              <w:adjustRightInd/>
              <w:snapToGrid/>
              <w:spacing w:before="100" w:beforeAutospacing="1" w:after="160" w:line="560" w:lineRule="exact"/>
              <w:ind w:firstLine="0" w:firstLineChars="0"/>
              <w:jc w:val="center"/>
              <w:rPr>
                <w:rFonts w:cs="Times New Roman"/>
                <w:sz w:val="24"/>
              </w:rPr>
            </w:pPr>
          </w:p>
        </w:tc>
      </w:tr>
      <w:tr w14:paraId="333D2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1417" w:type="dxa"/>
            <w:vMerge w:val="continue"/>
            <w:tcBorders>
              <w:top w:val="nil"/>
              <w:left w:val="single" w:color="auto" w:sz="4" w:space="0"/>
              <w:bottom w:val="single" w:color="auto" w:sz="4" w:space="0"/>
              <w:right w:val="single" w:color="auto" w:sz="4" w:space="0"/>
            </w:tcBorders>
            <w:vAlign w:val="center"/>
          </w:tcPr>
          <w:p w14:paraId="41E01A46">
            <w:pPr>
              <w:widowControl/>
              <w:adjustRightInd/>
              <w:snapToGrid/>
              <w:spacing w:before="100" w:beforeAutospacing="1" w:after="160" w:line="400" w:lineRule="exact"/>
              <w:ind w:firstLine="0" w:firstLineChars="0"/>
              <w:jc w:val="center"/>
              <w:textAlignment w:val="center"/>
              <w:rPr>
                <w:rFonts w:cs="Times New Roman"/>
                <w:sz w:val="24"/>
              </w:rPr>
            </w:pPr>
          </w:p>
        </w:tc>
        <w:tc>
          <w:tcPr>
            <w:tcW w:w="983" w:type="dxa"/>
            <w:tcBorders>
              <w:top w:val="single" w:color="auto" w:sz="4" w:space="0"/>
              <w:left w:val="nil"/>
              <w:bottom w:val="single" w:color="auto" w:sz="4" w:space="0"/>
              <w:right w:val="single" w:color="auto" w:sz="4" w:space="0"/>
            </w:tcBorders>
            <w:vAlign w:val="center"/>
          </w:tcPr>
          <w:p w14:paraId="4D5CBF01">
            <w:pPr>
              <w:spacing w:line="400" w:lineRule="exact"/>
              <w:ind w:firstLine="0" w:firstLineChars="0"/>
              <w:jc w:val="center"/>
              <w:textAlignment w:val="center"/>
              <w:rPr>
                <w:rFonts w:cs="Times New Roman"/>
                <w:sz w:val="24"/>
              </w:rPr>
            </w:pPr>
            <w:r>
              <w:rPr>
                <w:sz w:val="24"/>
              </w:rPr>
              <w:t>吴映琴</w:t>
            </w:r>
          </w:p>
        </w:tc>
        <w:tc>
          <w:tcPr>
            <w:tcW w:w="2953" w:type="dxa"/>
            <w:tcBorders>
              <w:top w:val="single" w:color="auto" w:sz="4" w:space="0"/>
              <w:left w:val="nil"/>
              <w:bottom w:val="single" w:color="auto" w:sz="4" w:space="0"/>
              <w:right w:val="single" w:color="auto" w:sz="4" w:space="0"/>
            </w:tcBorders>
            <w:vAlign w:val="center"/>
          </w:tcPr>
          <w:p w14:paraId="7A185F74">
            <w:pPr>
              <w:spacing w:line="400" w:lineRule="exact"/>
              <w:ind w:firstLine="480"/>
              <w:jc w:val="center"/>
              <w:textAlignment w:val="center"/>
              <w:rPr>
                <w:rFonts w:cs="Times New Roman"/>
                <w:sz w:val="24"/>
              </w:rPr>
            </w:pPr>
            <w:r>
              <w:rPr>
                <w:sz w:val="24"/>
              </w:rPr>
              <w:t>1800000000301265</w:t>
            </w:r>
          </w:p>
        </w:tc>
        <w:tc>
          <w:tcPr>
            <w:tcW w:w="1438" w:type="dxa"/>
            <w:tcBorders>
              <w:top w:val="single" w:color="auto" w:sz="4" w:space="0"/>
              <w:left w:val="nil"/>
              <w:bottom w:val="single" w:color="auto" w:sz="4" w:space="0"/>
              <w:right w:val="single" w:color="auto" w:sz="4" w:space="0"/>
            </w:tcBorders>
            <w:vAlign w:val="center"/>
          </w:tcPr>
          <w:p w14:paraId="1412DA08">
            <w:pPr>
              <w:spacing w:line="400" w:lineRule="exact"/>
              <w:ind w:firstLine="0" w:firstLineChars="0"/>
              <w:jc w:val="center"/>
              <w:textAlignment w:val="center"/>
              <w:rPr>
                <w:rFonts w:cs="Times New Roman"/>
                <w:sz w:val="24"/>
              </w:rPr>
            </w:pPr>
            <w:r>
              <w:rPr>
                <w:sz w:val="24"/>
              </w:rPr>
              <w:t>033760</w:t>
            </w:r>
          </w:p>
        </w:tc>
        <w:tc>
          <w:tcPr>
            <w:tcW w:w="1453" w:type="dxa"/>
            <w:tcBorders>
              <w:top w:val="single" w:color="auto" w:sz="4" w:space="0"/>
              <w:left w:val="nil"/>
              <w:bottom w:val="single" w:color="auto" w:sz="4" w:space="0"/>
              <w:right w:val="single" w:color="auto" w:sz="4" w:space="0"/>
            </w:tcBorders>
            <w:vAlign w:val="center"/>
          </w:tcPr>
          <w:p w14:paraId="3243262C">
            <w:pPr>
              <w:spacing w:line="400" w:lineRule="exact"/>
              <w:ind w:firstLine="0" w:firstLineChars="0"/>
              <w:jc w:val="center"/>
              <w:textAlignment w:val="center"/>
              <w:rPr>
                <w:rFonts w:cs="Times New Roman"/>
                <w:sz w:val="24"/>
              </w:rPr>
            </w:pPr>
            <w:r>
              <w:rPr>
                <w:rFonts w:hint="eastAsia"/>
                <w:sz w:val="24"/>
              </w:rPr>
              <w:t>安全工程</w:t>
            </w:r>
          </w:p>
        </w:tc>
        <w:tc>
          <w:tcPr>
            <w:tcW w:w="1625" w:type="dxa"/>
            <w:tcBorders>
              <w:top w:val="single" w:color="auto" w:sz="4" w:space="0"/>
              <w:left w:val="nil"/>
              <w:bottom w:val="single" w:color="auto" w:sz="4" w:space="0"/>
              <w:right w:val="single" w:color="auto" w:sz="4" w:space="0"/>
            </w:tcBorders>
            <w:vAlign w:val="center"/>
          </w:tcPr>
          <w:p w14:paraId="551C217A">
            <w:pPr>
              <w:widowControl/>
              <w:adjustRightInd/>
              <w:snapToGrid/>
              <w:spacing w:before="100" w:beforeAutospacing="1" w:after="160" w:line="560" w:lineRule="exact"/>
              <w:ind w:firstLine="0" w:firstLineChars="0"/>
              <w:jc w:val="center"/>
              <w:rPr>
                <w:rFonts w:cs="Times New Roman"/>
                <w:sz w:val="24"/>
              </w:rPr>
            </w:pPr>
          </w:p>
        </w:tc>
      </w:tr>
      <w:tr w14:paraId="7D0C6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7" w:type="dxa"/>
            <w:vMerge w:val="continue"/>
            <w:tcBorders>
              <w:top w:val="nil"/>
              <w:left w:val="single" w:color="auto" w:sz="4" w:space="0"/>
              <w:bottom w:val="single" w:color="auto" w:sz="4" w:space="0"/>
              <w:right w:val="single" w:color="auto" w:sz="4" w:space="0"/>
            </w:tcBorders>
            <w:vAlign w:val="center"/>
          </w:tcPr>
          <w:p w14:paraId="4C28EAD3">
            <w:pPr>
              <w:widowControl/>
              <w:adjustRightInd/>
              <w:snapToGrid/>
              <w:spacing w:beforeAutospacing="1" w:afterAutospacing="1" w:line="240" w:lineRule="auto"/>
              <w:ind w:firstLine="0" w:firstLineChars="0"/>
              <w:jc w:val="left"/>
              <w:rPr>
                <w:rFonts w:cs="Times New Roman"/>
                <w:sz w:val="24"/>
              </w:rPr>
            </w:pPr>
          </w:p>
        </w:tc>
        <w:tc>
          <w:tcPr>
            <w:tcW w:w="983" w:type="dxa"/>
            <w:tcBorders>
              <w:top w:val="single" w:color="auto" w:sz="4" w:space="0"/>
              <w:left w:val="nil"/>
              <w:bottom w:val="single" w:color="auto" w:sz="4" w:space="0"/>
              <w:right w:val="single" w:color="auto" w:sz="4" w:space="0"/>
            </w:tcBorders>
            <w:vAlign w:val="center"/>
          </w:tcPr>
          <w:p w14:paraId="58C5709A">
            <w:pPr>
              <w:spacing w:line="400" w:lineRule="exact"/>
              <w:ind w:firstLine="0" w:firstLineChars="0"/>
              <w:jc w:val="center"/>
              <w:textAlignment w:val="center"/>
              <w:rPr>
                <w:rFonts w:cs="Times New Roman"/>
                <w:sz w:val="24"/>
              </w:rPr>
            </w:pPr>
            <w:r>
              <w:rPr>
                <w:sz w:val="24"/>
              </w:rPr>
              <w:t>杜达衡</w:t>
            </w:r>
          </w:p>
        </w:tc>
        <w:tc>
          <w:tcPr>
            <w:tcW w:w="2953" w:type="dxa"/>
            <w:tcBorders>
              <w:top w:val="single" w:color="auto" w:sz="4" w:space="0"/>
              <w:left w:val="nil"/>
              <w:bottom w:val="single" w:color="auto" w:sz="4" w:space="0"/>
              <w:right w:val="single" w:color="auto" w:sz="4" w:space="0"/>
            </w:tcBorders>
            <w:vAlign w:val="center"/>
          </w:tcPr>
          <w:p w14:paraId="297D9685">
            <w:pPr>
              <w:spacing w:line="400" w:lineRule="exact"/>
              <w:ind w:firstLine="0" w:firstLineChars="0"/>
              <w:jc w:val="center"/>
              <w:textAlignment w:val="center"/>
              <w:rPr>
                <w:rFonts w:cs="Times New Roman"/>
                <w:sz w:val="24"/>
              </w:rPr>
            </w:pPr>
            <w:r>
              <w:rPr>
                <w:sz w:val="24"/>
              </w:rPr>
              <w:t>S011053000110203001735</w:t>
            </w:r>
          </w:p>
        </w:tc>
        <w:tc>
          <w:tcPr>
            <w:tcW w:w="1438" w:type="dxa"/>
            <w:tcBorders>
              <w:top w:val="single" w:color="auto" w:sz="4" w:space="0"/>
              <w:left w:val="nil"/>
              <w:bottom w:val="single" w:color="auto" w:sz="4" w:space="0"/>
              <w:right w:val="single" w:color="auto" w:sz="4" w:space="0"/>
            </w:tcBorders>
            <w:vAlign w:val="center"/>
          </w:tcPr>
          <w:p w14:paraId="5204263C">
            <w:pPr>
              <w:spacing w:line="400" w:lineRule="exact"/>
              <w:ind w:firstLine="0" w:firstLineChars="0"/>
              <w:jc w:val="center"/>
              <w:textAlignment w:val="center"/>
              <w:rPr>
                <w:rFonts w:cs="Times New Roman"/>
                <w:sz w:val="24"/>
              </w:rPr>
            </w:pPr>
            <w:r>
              <w:rPr>
                <w:sz w:val="24"/>
              </w:rPr>
              <w:t>041638</w:t>
            </w:r>
          </w:p>
        </w:tc>
        <w:tc>
          <w:tcPr>
            <w:tcW w:w="1453" w:type="dxa"/>
            <w:tcBorders>
              <w:top w:val="single" w:color="auto" w:sz="4" w:space="0"/>
              <w:left w:val="nil"/>
              <w:bottom w:val="single" w:color="auto" w:sz="4" w:space="0"/>
              <w:right w:val="single" w:color="auto" w:sz="4" w:space="0"/>
            </w:tcBorders>
            <w:vAlign w:val="center"/>
          </w:tcPr>
          <w:p w14:paraId="043BB54D">
            <w:pPr>
              <w:spacing w:line="400" w:lineRule="exact"/>
              <w:ind w:firstLine="0" w:firstLineChars="0"/>
              <w:jc w:val="center"/>
              <w:textAlignment w:val="center"/>
              <w:rPr>
                <w:rFonts w:cs="Times New Roman"/>
                <w:sz w:val="24"/>
              </w:rPr>
            </w:pPr>
            <w:r>
              <w:rPr>
                <w:sz w:val="24"/>
              </w:rPr>
              <w:t>安全工程</w:t>
            </w:r>
          </w:p>
        </w:tc>
        <w:tc>
          <w:tcPr>
            <w:tcW w:w="1625" w:type="dxa"/>
            <w:tcBorders>
              <w:top w:val="single" w:color="auto" w:sz="4" w:space="0"/>
              <w:left w:val="nil"/>
              <w:bottom w:val="single" w:color="auto" w:sz="4" w:space="0"/>
              <w:right w:val="single" w:color="auto" w:sz="4" w:space="0"/>
            </w:tcBorders>
            <w:vAlign w:val="center"/>
          </w:tcPr>
          <w:p w14:paraId="01A6F4DD">
            <w:pPr>
              <w:widowControl/>
              <w:adjustRightInd/>
              <w:snapToGrid/>
              <w:spacing w:before="100" w:beforeAutospacing="1" w:after="160" w:line="560" w:lineRule="exact"/>
              <w:ind w:firstLine="0" w:firstLineChars="0"/>
              <w:jc w:val="center"/>
              <w:rPr>
                <w:rFonts w:cs="Times New Roman"/>
                <w:sz w:val="24"/>
              </w:rPr>
            </w:pPr>
          </w:p>
        </w:tc>
      </w:tr>
      <w:tr w14:paraId="69346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417" w:type="dxa"/>
            <w:vMerge w:val="continue"/>
            <w:tcBorders>
              <w:top w:val="nil"/>
              <w:left w:val="single" w:color="auto" w:sz="4" w:space="0"/>
              <w:bottom w:val="single" w:color="auto" w:sz="4" w:space="0"/>
              <w:right w:val="single" w:color="auto" w:sz="4" w:space="0"/>
            </w:tcBorders>
            <w:vAlign w:val="center"/>
          </w:tcPr>
          <w:p w14:paraId="5F654A29">
            <w:pPr>
              <w:widowControl/>
              <w:adjustRightInd/>
              <w:snapToGrid/>
              <w:spacing w:beforeAutospacing="1" w:afterAutospacing="1" w:line="240" w:lineRule="auto"/>
              <w:ind w:firstLine="0" w:firstLineChars="0"/>
              <w:jc w:val="left"/>
              <w:rPr>
                <w:rFonts w:cs="Times New Roman"/>
                <w:sz w:val="24"/>
              </w:rPr>
            </w:pPr>
          </w:p>
        </w:tc>
        <w:tc>
          <w:tcPr>
            <w:tcW w:w="983" w:type="dxa"/>
            <w:tcBorders>
              <w:top w:val="single" w:color="auto" w:sz="4" w:space="0"/>
              <w:left w:val="nil"/>
              <w:bottom w:val="single" w:color="auto" w:sz="4" w:space="0"/>
              <w:right w:val="single" w:color="auto" w:sz="4" w:space="0"/>
            </w:tcBorders>
            <w:vAlign w:val="center"/>
          </w:tcPr>
          <w:p w14:paraId="4BDAFD81">
            <w:pPr>
              <w:widowControl/>
              <w:adjustRightInd/>
              <w:snapToGrid/>
              <w:spacing w:before="100" w:beforeAutospacing="1" w:after="160" w:line="400" w:lineRule="exact"/>
              <w:ind w:firstLine="0" w:firstLineChars="0"/>
              <w:jc w:val="center"/>
              <w:rPr>
                <w:rFonts w:cs="Times New Roman"/>
                <w:sz w:val="24"/>
              </w:rPr>
            </w:pPr>
            <w:r>
              <w:rPr>
                <w:rFonts w:cs="Times New Roman"/>
                <w:sz w:val="24"/>
              </w:rPr>
              <w:t>谢寒梅</w:t>
            </w:r>
          </w:p>
        </w:tc>
        <w:tc>
          <w:tcPr>
            <w:tcW w:w="2953" w:type="dxa"/>
            <w:tcBorders>
              <w:top w:val="single" w:color="auto" w:sz="4" w:space="0"/>
              <w:left w:val="nil"/>
              <w:bottom w:val="single" w:color="auto" w:sz="4" w:space="0"/>
              <w:right w:val="single" w:color="auto" w:sz="4" w:space="0"/>
            </w:tcBorders>
            <w:vAlign w:val="center"/>
          </w:tcPr>
          <w:p w14:paraId="2B3C2C4F">
            <w:pPr>
              <w:widowControl/>
              <w:adjustRightInd/>
              <w:snapToGrid/>
              <w:spacing w:before="100" w:beforeAutospacing="1" w:after="160" w:line="520" w:lineRule="exact"/>
              <w:ind w:firstLine="0" w:firstLineChars="0"/>
              <w:jc w:val="center"/>
              <w:rPr>
                <w:rFonts w:cs="Times New Roman"/>
                <w:sz w:val="24"/>
              </w:rPr>
            </w:pPr>
            <w:r>
              <w:rPr>
                <w:rFonts w:cs="Times New Roman"/>
                <w:sz w:val="24"/>
              </w:rPr>
              <w:t>S011035000110192001584</w:t>
            </w:r>
          </w:p>
        </w:tc>
        <w:tc>
          <w:tcPr>
            <w:tcW w:w="1438" w:type="dxa"/>
            <w:tcBorders>
              <w:top w:val="single" w:color="auto" w:sz="4" w:space="0"/>
              <w:left w:val="nil"/>
              <w:bottom w:val="single" w:color="auto" w:sz="4" w:space="0"/>
              <w:right w:val="single" w:color="auto" w:sz="4" w:space="0"/>
            </w:tcBorders>
            <w:vAlign w:val="center"/>
          </w:tcPr>
          <w:p w14:paraId="3E7CA280">
            <w:pPr>
              <w:widowControl/>
              <w:adjustRightInd/>
              <w:snapToGrid/>
              <w:spacing w:before="100" w:beforeAutospacing="1" w:after="160" w:line="520" w:lineRule="exact"/>
              <w:ind w:firstLine="0" w:firstLineChars="0"/>
              <w:jc w:val="center"/>
              <w:rPr>
                <w:rFonts w:cs="Times New Roman"/>
                <w:sz w:val="24"/>
              </w:rPr>
            </w:pPr>
            <w:r>
              <w:rPr>
                <w:rFonts w:cs="Times New Roman"/>
                <w:sz w:val="24"/>
              </w:rPr>
              <w:t>027089</w:t>
            </w:r>
          </w:p>
        </w:tc>
        <w:tc>
          <w:tcPr>
            <w:tcW w:w="1453" w:type="dxa"/>
            <w:tcBorders>
              <w:top w:val="single" w:color="auto" w:sz="4" w:space="0"/>
              <w:left w:val="nil"/>
              <w:bottom w:val="single" w:color="auto" w:sz="4" w:space="0"/>
              <w:right w:val="single" w:color="auto" w:sz="4" w:space="0"/>
            </w:tcBorders>
            <w:vAlign w:val="center"/>
          </w:tcPr>
          <w:p w14:paraId="4E72CD22">
            <w:pPr>
              <w:widowControl/>
              <w:adjustRightInd/>
              <w:snapToGrid/>
              <w:spacing w:before="100" w:beforeAutospacing="1" w:after="160" w:line="400" w:lineRule="exact"/>
              <w:ind w:firstLine="0" w:firstLineChars="0"/>
              <w:jc w:val="center"/>
              <w:rPr>
                <w:rFonts w:cs="Times New Roman"/>
                <w:sz w:val="24"/>
              </w:rPr>
            </w:pPr>
            <w:r>
              <w:rPr>
                <w:rFonts w:cs="Times New Roman"/>
                <w:sz w:val="24"/>
              </w:rPr>
              <w:t>电气工程</w:t>
            </w:r>
          </w:p>
        </w:tc>
        <w:tc>
          <w:tcPr>
            <w:tcW w:w="1625" w:type="dxa"/>
            <w:tcBorders>
              <w:top w:val="single" w:color="auto" w:sz="4" w:space="0"/>
              <w:left w:val="nil"/>
              <w:bottom w:val="single" w:color="auto" w:sz="4" w:space="0"/>
              <w:right w:val="single" w:color="auto" w:sz="4" w:space="0"/>
            </w:tcBorders>
            <w:vAlign w:val="center"/>
          </w:tcPr>
          <w:p w14:paraId="253479E1">
            <w:pPr>
              <w:widowControl/>
              <w:adjustRightInd/>
              <w:snapToGrid/>
              <w:spacing w:before="100" w:beforeAutospacing="1" w:after="160" w:line="400" w:lineRule="exact"/>
              <w:ind w:firstLine="0" w:firstLineChars="0"/>
              <w:jc w:val="center"/>
              <w:rPr>
                <w:rFonts w:cs="Times New Roman"/>
                <w:sz w:val="24"/>
              </w:rPr>
            </w:pPr>
          </w:p>
        </w:tc>
      </w:tr>
      <w:tr w14:paraId="689C7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1417" w:type="dxa"/>
            <w:vMerge w:val="continue"/>
            <w:tcBorders>
              <w:top w:val="nil"/>
              <w:left w:val="single" w:color="auto" w:sz="4" w:space="0"/>
              <w:bottom w:val="single" w:color="auto" w:sz="4" w:space="0"/>
              <w:right w:val="single" w:color="auto" w:sz="4" w:space="0"/>
            </w:tcBorders>
            <w:vAlign w:val="center"/>
          </w:tcPr>
          <w:p w14:paraId="1B97F5EB">
            <w:pPr>
              <w:widowControl/>
              <w:adjustRightInd/>
              <w:snapToGrid/>
              <w:spacing w:beforeAutospacing="1" w:afterAutospacing="1" w:line="240" w:lineRule="auto"/>
              <w:ind w:firstLine="0" w:firstLineChars="0"/>
              <w:jc w:val="left"/>
              <w:rPr>
                <w:rFonts w:cs="Times New Roman"/>
                <w:sz w:val="24"/>
              </w:rPr>
            </w:pPr>
            <w:bookmarkStart w:id="1" w:name="_Hlk190698749"/>
          </w:p>
        </w:tc>
        <w:tc>
          <w:tcPr>
            <w:tcW w:w="983" w:type="dxa"/>
            <w:tcBorders>
              <w:top w:val="single" w:color="auto" w:sz="4" w:space="0"/>
              <w:left w:val="nil"/>
              <w:bottom w:val="single" w:color="auto" w:sz="4" w:space="0"/>
              <w:right w:val="single" w:color="auto" w:sz="4" w:space="0"/>
            </w:tcBorders>
            <w:vAlign w:val="center"/>
          </w:tcPr>
          <w:p w14:paraId="2FC2034D">
            <w:pPr>
              <w:spacing w:line="400" w:lineRule="exact"/>
              <w:ind w:firstLine="0" w:firstLineChars="0"/>
              <w:jc w:val="center"/>
              <w:rPr>
                <w:rFonts w:cs="Times New Roman"/>
                <w:sz w:val="24"/>
              </w:rPr>
            </w:pPr>
            <w:r>
              <w:rPr>
                <w:rFonts w:hint="eastAsia" w:ascii="宋体" w:hAnsi="宋体"/>
                <w:sz w:val="24"/>
              </w:rPr>
              <w:t>王  波</w:t>
            </w:r>
          </w:p>
        </w:tc>
        <w:tc>
          <w:tcPr>
            <w:tcW w:w="2953" w:type="dxa"/>
            <w:tcBorders>
              <w:top w:val="single" w:color="auto" w:sz="4" w:space="0"/>
              <w:left w:val="nil"/>
              <w:bottom w:val="single" w:color="auto" w:sz="4" w:space="0"/>
              <w:right w:val="single" w:color="auto" w:sz="4" w:space="0"/>
            </w:tcBorders>
            <w:vAlign w:val="center"/>
          </w:tcPr>
          <w:p w14:paraId="41056D06">
            <w:pPr>
              <w:spacing w:line="400" w:lineRule="exact"/>
              <w:ind w:firstLine="0" w:firstLineChars="0"/>
              <w:jc w:val="center"/>
              <w:rPr>
                <w:rFonts w:cs="Times New Roman"/>
                <w:sz w:val="24"/>
              </w:rPr>
            </w:pPr>
            <w:r>
              <w:rPr>
                <w:rFonts w:ascii="宋体" w:hAnsi="宋体"/>
                <w:sz w:val="24"/>
              </w:rPr>
              <w:t>S011035000110202001263</w:t>
            </w:r>
          </w:p>
        </w:tc>
        <w:tc>
          <w:tcPr>
            <w:tcW w:w="1438" w:type="dxa"/>
            <w:tcBorders>
              <w:top w:val="single" w:color="auto" w:sz="4" w:space="0"/>
              <w:left w:val="nil"/>
              <w:bottom w:val="single" w:color="auto" w:sz="4" w:space="0"/>
              <w:right w:val="single" w:color="auto" w:sz="4" w:space="0"/>
            </w:tcBorders>
            <w:vAlign w:val="center"/>
          </w:tcPr>
          <w:p w14:paraId="08346709">
            <w:pPr>
              <w:spacing w:line="400" w:lineRule="exact"/>
              <w:ind w:firstLine="0" w:firstLineChars="0"/>
              <w:jc w:val="center"/>
              <w:rPr>
                <w:rFonts w:cs="Times New Roman"/>
                <w:sz w:val="24"/>
              </w:rPr>
            </w:pPr>
            <w:r>
              <w:rPr>
                <w:rFonts w:hint="eastAsia" w:ascii="宋体" w:hAnsi="宋体"/>
                <w:sz w:val="24"/>
              </w:rPr>
              <w:t>024436</w:t>
            </w:r>
          </w:p>
        </w:tc>
        <w:tc>
          <w:tcPr>
            <w:tcW w:w="1453" w:type="dxa"/>
            <w:tcBorders>
              <w:top w:val="single" w:color="auto" w:sz="4" w:space="0"/>
              <w:left w:val="nil"/>
              <w:bottom w:val="single" w:color="auto" w:sz="4" w:space="0"/>
              <w:right w:val="single" w:color="auto" w:sz="4" w:space="0"/>
            </w:tcBorders>
            <w:vAlign w:val="center"/>
          </w:tcPr>
          <w:p w14:paraId="5D616E4E">
            <w:pPr>
              <w:spacing w:line="400" w:lineRule="exact"/>
              <w:ind w:firstLine="0" w:firstLineChars="0"/>
              <w:jc w:val="center"/>
              <w:rPr>
                <w:rFonts w:cs="Times New Roman"/>
                <w:sz w:val="24"/>
              </w:rPr>
            </w:pPr>
            <w:r>
              <w:rPr>
                <w:rFonts w:hint="eastAsia" w:ascii="宋体" w:hAnsi="宋体"/>
                <w:sz w:val="24"/>
              </w:rPr>
              <w:t>化学工程与工艺</w:t>
            </w:r>
          </w:p>
        </w:tc>
        <w:tc>
          <w:tcPr>
            <w:tcW w:w="1625" w:type="dxa"/>
            <w:tcBorders>
              <w:top w:val="single" w:color="auto" w:sz="4" w:space="0"/>
              <w:left w:val="nil"/>
              <w:bottom w:val="single" w:color="auto" w:sz="4" w:space="0"/>
              <w:right w:val="single" w:color="auto" w:sz="4" w:space="0"/>
            </w:tcBorders>
            <w:vAlign w:val="center"/>
          </w:tcPr>
          <w:p w14:paraId="7DD17C5A">
            <w:pPr>
              <w:widowControl/>
              <w:adjustRightInd/>
              <w:snapToGrid/>
              <w:spacing w:before="100" w:beforeAutospacing="1" w:after="160" w:line="560" w:lineRule="exact"/>
              <w:ind w:firstLine="0" w:firstLineChars="0"/>
              <w:jc w:val="center"/>
              <w:rPr>
                <w:rFonts w:cs="Times New Roman"/>
                <w:sz w:val="24"/>
              </w:rPr>
            </w:pPr>
          </w:p>
        </w:tc>
      </w:tr>
      <w:bookmarkEnd w:id="1"/>
      <w:tr w14:paraId="762A5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1417" w:type="dxa"/>
            <w:vMerge w:val="continue"/>
            <w:tcBorders>
              <w:top w:val="nil"/>
              <w:left w:val="single" w:color="auto" w:sz="4" w:space="0"/>
              <w:bottom w:val="single" w:color="auto" w:sz="4" w:space="0"/>
              <w:right w:val="single" w:color="auto" w:sz="4" w:space="0"/>
            </w:tcBorders>
            <w:vAlign w:val="center"/>
          </w:tcPr>
          <w:p w14:paraId="557F50DB">
            <w:pPr>
              <w:widowControl/>
              <w:adjustRightInd/>
              <w:snapToGrid/>
              <w:spacing w:beforeAutospacing="1" w:afterAutospacing="1" w:line="240" w:lineRule="auto"/>
              <w:ind w:firstLine="0" w:firstLineChars="0"/>
              <w:jc w:val="left"/>
              <w:rPr>
                <w:rFonts w:cs="Times New Roman"/>
                <w:sz w:val="24"/>
              </w:rPr>
            </w:pPr>
          </w:p>
        </w:tc>
        <w:tc>
          <w:tcPr>
            <w:tcW w:w="983" w:type="dxa"/>
            <w:tcBorders>
              <w:top w:val="single" w:color="auto" w:sz="4" w:space="0"/>
              <w:left w:val="nil"/>
              <w:bottom w:val="single" w:color="auto" w:sz="4" w:space="0"/>
              <w:right w:val="single" w:color="auto" w:sz="4" w:space="0"/>
            </w:tcBorders>
            <w:vAlign w:val="center"/>
          </w:tcPr>
          <w:p w14:paraId="104DCA03">
            <w:pPr>
              <w:widowControl/>
              <w:adjustRightInd/>
              <w:snapToGrid/>
              <w:spacing w:before="100" w:beforeAutospacing="1" w:after="160" w:line="400" w:lineRule="exact"/>
              <w:ind w:firstLine="0" w:firstLineChars="0"/>
              <w:jc w:val="center"/>
              <w:rPr>
                <w:rFonts w:cs="Times New Roman"/>
                <w:sz w:val="24"/>
              </w:rPr>
            </w:pPr>
            <w:r>
              <w:rPr>
                <w:rFonts w:cs="Times New Roman"/>
                <w:sz w:val="24"/>
              </w:rPr>
              <w:t>曾华玉</w:t>
            </w:r>
          </w:p>
        </w:tc>
        <w:tc>
          <w:tcPr>
            <w:tcW w:w="2953" w:type="dxa"/>
            <w:tcBorders>
              <w:top w:val="single" w:color="auto" w:sz="4" w:space="0"/>
              <w:left w:val="nil"/>
              <w:bottom w:val="single" w:color="auto" w:sz="4" w:space="0"/>
              <w:right w:val="single" w:color="auto" w:sz="4" w:space="0"/>
            </w:tcBorders>
            <w:vAlign w:val="center"/>
          </w:tcPr>
          <w:p w14:paraId="134B9083">
            <w:pPr>
              <w:widowControl/>
              <w:adjustRightInd/>
              <w:snapToGrid/>
              <w:spacing w:before="100" w:beforeAutospacing="1" w:after="160" w:line="400" w:lineRule="exact"/>
              <w:ind w:firstLine="0" w:firstLineChars="0"/>
              <w:jc w:val="center"/>
              <w:rPr>
                <w:rFonts w:cs="Times New Roman"/>
                <w:sz w:val="24"/>
              </w:rPr>
            </w:pPr>
            <w:r>
              <w:rPr>
                <w:rFonts w:cs="Times New Roman"/>
                <w:sz w:val="24"/>
              </w:rPr>
              <w:t>0800000000203970</w:t>
            </w:r>
          </w:p>
        </w:tc>
        <w:tc>
          <w:tcPr>
            <w:tcW w:w="1438" w:type="dxa"/>
            <w:tcBorders>
              <w:top w:val="single" w:color="auto" w:sz="4" w:space="0"/>
              <w:left w:val="nil"/>
              <w:bottom w:val="single" w:color="auto" w:sz="4" w:space="0"/>
              <w:right w:val="single" w:color="auto" w:sz="4" w:space="0"/>
            </w:tcBorders>
            <w:vAlign w:val="center"/>
          </w:tcPr>
          <w:p w14:paraId="54F3A6A3">
            <w:pPr>
              <w:widowControl/>
              <w:adjustRightInd/>
              <w:snapToGrid/>
              <w:spacing w:before="100" w:beforeAutospacing="1" w:after="160" w:line="400" w:lineRule="exact"/>
              <w:ind w:firstLine="0" w:firstLineChars="0"/>
              <w:jc w:val="center"/>
              <w:rPr>
                <w:rFonts w:cs="Times New Roman"/>
                <w:sz w:val="24"/>
              </w:rPr>
            </w:pPr>
            <w:r>
              <w:rPr>
                <w:rFonts w:cs="Times New Roman"/>
                <w:sz w:val="24"/>
              </w:rPr>
              <w:t>007037</w:t>
            </w:r>
          </w:p>
        </w:tc>
        <w:tc>
          <w:tcPr>
            <w:tcW w:w="1453" w:type="dxa"/>
            <w:tcBorders>
              <w:top w:val="single" w:color="auto" w:sz="4" w:space="0"/>
              <w:left w:val="nil"/>
              <w:bottom w:val="single" w:color="auto" w:sz="4" w:space="0"/>
              <w:right w:val="single" w:color="auto" w:sz="4" w:space="0"/>
            </w:tcBorders>
            <w:vAlign w:val="center"/>
          </w:tcPr>
          <w:p w14:paraId="224CAC22">
            <w:pPr>
              <w:widowControl/>
              <w:adjustRightInd/>
              <w:snapToGrid/>
              <w:spacing w:before="100" w:beforeAutospacing="1" w:after="160" w:line="400" w:lineRule="exact"/>
              <w:ind w:firstLine="0" w:firstLineChars="0"/>
              <w:jc w:val="center"/>
              <w:rPr>
                <w:rFonts w:cs="Times New Roman"/>
                <w:sz w:val="24"/>
              </w:rPr>
            </w:pPr>
            <w:r>
              <w:rPr>
                <w:rFonts w:cs="Times New Roman"/>
                <w:sz w:val="24"/>
              </w:rPr>
              <w:t>化工机械</w:t>
            </w:r>
          </w:p>
        </w:tc>
        <w:tc>
          <w:tcPr>
            <w:tcW w:w="1625" w:type="dxa"/>
            <w:tcBorders>
              <w:top w:val="single" w:color="auto" w:sz="4" w:space="0"/>
              <w:left w:val="nil"/>
              <w:bottom w:val="single" w:color="auto" w:sz="4" w:space="0"/>
              <w:right w:val="single" w:color="auto" w:sz="4" w:space="0"/>
            </w:tcBorders>
            <w:vAlign w:val="center"/>
          </w:tcPr>
          <w:p w14:paraId="727463EC">
            <w:pPr>
              <w:widowControl/>
              <w:adjustRightInd/>
              <w:snapToGrid/>
              <w:spacing w:before="100" w:beforeAutospacing="1" w:after="160" w:line="560" w:lineRule="exact"/>
              <w:ind w:firstLine="0" w:firstLineChars="0"/>
              <w:jc w:val="center"/>
              <w:rPr>
                <w:rFonts w:cs="Times New Roman"/>
                <w:sz w:val="24"/>
              </w:rPr>
            </w:pPr>
            <w:r>
              <w:rPr>
                <w:rFonts w:cs="Times New Roman"/>
                <w:sz w:val="24"/>
              </w:rPr>
              <w:t xml:space="preserve"> </w:t>
            </w:r>
          </w:p>
        </w:tc>
      </w:tr>
      <w:tr w14:paraId="1E0A7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1417" w:type="dxa"/>
            <w:vMerge w:val="restart"/>
            <w:tcBorders>
              <w:top w:val="nil"/>
              <w:left w:val="single" w:color="auto" w:sz="4" w:space="0"/>
              <w:bottom w:val="single" w:color="auto" w:sz="4" w:space="0"/>
              <w:right w:val="single" w:color="auto" w:sz="4" w:space="0"/>
            </w:tcBorders>
            <w:vAlign w:val="center"/>
          </w:tcPr>
          <w:p w14:paraId="50799366">
            <w:pPr>
              <w:widowControl/>
              <w:adjustRightInd/>
              <w:snapToGrid/>
              <w:spacing w:before="100" w:beforeAutospacing="1" w:after="160" w:line="560" w:lineRule="exact"/>
              <w:ind w:firstLine="0" w:firstLineChars="0"/>
              <w:jc w:val="center"/>
              <w:rPr>
                <w:rFonts w:cs="Times New Roman"/>
                <w:sz w:val="24"/>
              </w:rPr>
            </w:pPr>
            <w:r>
              <w:rPr>
                <w:rFonts w:cs="Times New Roman"/>
                <w:sz w:val="24"/>
              </w:rPr>
              <w:t>报告编制人</w:t>
            </w:r>
          </w:p>
        </w:tc>
        <w:tc>
          <w:tcPr>
            <w:tcW w:w="983" w:type="dxa"/>
            <w:tcBorders>
              <w:top w:val="single" w:color="auto" w:sz="4" w:space="0"/>
              <w:left w:val="nil"/>
              <w:bottom w:val="single" w:color="auto" w:sz="4" w:space="0"/>
              <w:right w:val="single" w:color="auto" w:sz="4" w:space="0"/>
            </w:tcBorders>
            <w:vAlign w:val="center"/>
          </w:tcPr>
          <w:p w14:paraId="63189EB9">
            <w:pPr>
              <w:spacing w:line="400" w:lineRule="exact"/>
              <w:ind w:firstLine="0" w:firstLineChars="0"/>
              <w:jc w:val="center"/>
              <w:rPr>
                <w:rFonts w:cs="Times New Roman"/>
                <w:sz w:val="24"/>
              </w:rPr>
            </w:pPr>
            <w:r>
              <w:rPr>
                <w:sz w:val="24"/>
              </w:rPr>
              <w:t>钱局东</w:t>
            </w:r>
          </w:p>
        </w:tc>
        <w:tc>
          <w:tcPr>
            <w:tcW w:w="2953" w:type="dxa"/>
            <w:tcBorders>
              <w:top w:val="single" w:color="auto" w:sz="4" w:space="0"/>
              <w:left w:val="nil"/>
              <w:bottom w:val="single" w:color="auto" w:sz="4" w:space="0"/>
              <w:right w:val="single" w:color="auto" w:sz="4" w:space="0"/>
            </w:tcBorders>
            <w:vAlign w:val="center"/>
          </w:tcPr>
          <w:p w14:paraId="428E03E9">
            <w:pPr>
              <w:spacing w:line="400" w:lineRule="exact"/>
              <w:ind w:firstLine="0" w:firstLineChars="0"/>
              <w:jc w:val="center"/>
              <w:rPr>
                <w:rFonts w:cs="Times New Roman"/>
                <w:sz w:val="24"/>
              </w:rPr>
            </w:pPr>
            <w:r>
              <w:rPr>
                <w:sz w:val="24"/>
              </w:rPr>
              <w:t>S011053000110202001891</w:t>
            </w:r>
          </w:p>
        </w:tc>
        <w:tc>
          <w:tcPr>
            <w:tcW w:w="1438" w:type="dxa"/>
            <w:tcBorders>
              <w:top w:val="single" w:color="auto" w:sz="4" w:space="0"/>
              <w:left w:val="nil"/>
              <w:bottom w:val="single" w:color="auto" w:sz="4" w:space="0"/>
              <w:right w:val="single" w:color="auto" w:sz="4" w:space="0"/>
            </w:tcBorders>
            <w:vAlign w:val="center"/>
          </w:tcPr>
          <w:p w14:paraId="5D38E047">
            <w:pPr>
              <w:spacing w:line="400" w:lineRule="exact"/>
              <w:ind w:firstLine="0" w:firstLineChars="0"/>
              <w:jc w:val="center"/>
              <w:rPr>
                <w:rFonts w:cs="Times New Roman"/>
                <w:sz w:val="24"/>
              </w:rPr>
            </w:pPr>
            <w:r>
              <w:rPr>
                <w:sz w:val="24"/>
              </w:rPr>
              <w:t>026369</w:t>
            </w:r>
          </w:p>
        </w:tc>
        <w:tc>
          <w:tcPr>
            <w:tcW w:w="1453" w:type="dxa"/>
            <w:tcBorders>
              <w:top w:val="single" w:color="auto" w:sz="4" w:space="0"/>
              <w:left w:val="nil"/>
              <w:bottom w:val="single" w:color="auto" w:sz="4" w:space="0"/>
              <w:right w:val="single" w:color="auto" w:sz="4" w:space="0"/>
            </w:tcBorders>
            <w:vAlign w:val="center"/>
          </w:tcPr>
          <w:p w14:paraId="6A00ED71">
            <w:pPr>
              <w:spacing w:line="400" w:lineRule="exact"/>
              <w:ind w:firstLine="0" w:firstLineChars="0"/>
              <w:jc w:val="center"/>
              <w:rPr>
                <w:rFonts w:cs="Times New Roman"/>
                <w:sz w:val="24"/>
              </w:rPr>
            </w:pPr>
            <w:r>
              <w:rPr>
                <w:sz w:val="24"/>
              </w:rPr>
              <w:t>电气工程</w:t>
            </w:r>
          </w:p>
        </w:tc>
        <w:tc>
          <w:tcPr>
            <w:tcW w:w="1625" w:type="dxa"/>
            <w:tcBorders>
              <w:top w:val="single" w:color="auto" w:sz="4" w:space="0"/>
              <w:left w:val="nil"/>
              <w:bottom w:val="single" w:color="auto" w:sz="4" w:space="0"/>
              <w:right w:val="single" w:color="auto" w:sz="4" w:space="0"/>
            </w:tcBorders>
            <w:vAlign w:val="center"/>
          </w:tcPr>
          <w:p w14:paraId="40A1E63C">
            <w:pPr>
              <w:widowControl/>
              <w:adjustRightInd/>
              <w:snapToGrid/>
              <w:spacing w:before="100" w:beforeAutospacing="1" w:after="160" w:line="560" w:lineRule="exact"/>
              <w:ind w:firstLine="0" w:firstLineChars="0"/>
              <w:jc w:val="center"/>
              <w:rPr>
                <w:rFonts w:cs="Times New Roman"/>
                <w:sz w:val="24"/>
              </w:rPr>
            </w:pPr>
          </w:p>
        </w:tc>
      </w:tr>
      <w:tr w14:paraId="53C24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1417" w:type="dxa"/>
            <w:vMerge w:val="continue"/>
            <w:tcBorders>
              <w:top w:val="nil"/>
              <w:left w:val="single" w:color="auto" w:sz="4" w:space="0"/>
              <w:bottom w:val="single" w:color="auto" w:sz="4" w:space="0"/>
              <w:right w:val="single" w:color="auto" w:sz="4" w:space="0"/>
            </w:tcBorders>
            <w:vAlign w:val="center"/>
          </w:tcPr>
          <w:p w14:paraId="11C43A8D">
            <w:pPr>
              <w:widowControl/>
              <w:adjustRightInd/>
              <w:snapToGrid/>
              <w:spacing w:beforeAutospacing="1" w:afterAutospacing="1" w:line="240" w:lineRule="auto"/>
              <w:ind w:firstLine="0" w:firstLineChars="0"/>
              <w:jc w:val="left"/>
              <w:rPr>
                <w:rFonts w:cs="Times New Roman"/>
                <w:sz w:val="24"/>
              </w:rPr>
            </w:pPr>
          </w:p>
        </w:tc>
        <w:tc>
          <w:tcPr>
            <w:tcW w:w="983" w:type="dxa"/>
            <w:tcBorders>
              <w:top w:val="single" w:color="auto" w:sz="4" w:space="0"/>
              <w:left w:val="nil"/>
              <w:bottom w:val="single" w:color="auto" w:sz="4" w:space="0"/>
              <w:right w:val="single" w:color="auto" w:sz="4" w:space="0"/>
            </w:tcBorders>
            <w:vAlign w:val="center"/>
          </w:tcPr>
          <w:p w14:paraId="3006F0D1">
            <w:pPr>
              <w:spacing w:line="400" w:lineRule="exact"/>
              <w:ind w:firstLine="0" w:firstLineChars="0"/>
              <w:jc w:val="center"/>
              <w:textAlignment w:val="center"/>
              <w:rPr>
                <w:rFonts w:cs="Times New Roman"/>
                <w:sz w:val="24"/>
              </w:rPr>
            </w:pPr>
            <w:r>
              <w:rPr>
                <w:sz w:val="24"/>
              </w:rPr>
              <w:t>吴映琴</w:t>
            </w:r>
          </w:p>
        </w:tc>
        <w:tc>
          <w:tcPr>
            <w:tcW w:w="2953" w:type="dxa"/>
            <w:tcBorders>
              <w:top w:val="single" w:color="auto" w:sz="4" w:space="0"/>
              <w:left w:val="nil"/>
              <w:bottom w:val="single" w:color="auto" w:sz="4" w:space="0"/>
              <w:right w:val="single" w:color="auto" w:sz="4" w:space="0"/>
            </w:tcBorders>
            <w:vAlign w:val="center"/>
          </w:tcPr>
          <w:p w14:paraId="1551413E">
            <w:pPr>
              <w:spacing w:line="400" w:lineRule="exact"/>
              <w:ind w:firstLine="480"/>
              <w:jc w:val="center"/>
              <w:textAlignment w:val="center"/>
              <w:rPr>
                <w:rFonts w:cs="Times New Roman"/>
                <w:sz w:val="24"/>
              </w:rPr>
            </w:pPr>
            <w:r>
              <w:rPr>
                <w:sz w:val="24"/>
              </w:rPr>
              <w:t>1800000000301265</w:t>
            </w:r>
          </w:p>
        </w:tc>
        <w:tc>
          <w:tcPr>
            <w:tcW w:w="1438" w:type="dxa"/>
            <w:tcBorders>
              <w:top w:val="single" w:color="auto" w:sz="4" w:space="0"/>
              <w:left w:val="nil"/>
              <w:bottom w:val="single" w:color="auto" w:sz="4" w:space="0"/>
              <w:right w:val="single" w:color="auto" w:sz="4" w:space="0"/>
            </w:tcBorders>
            <w:vAlign w:val="center"/>
          </w:tcPr>
          <w:p w14:paraId="6940ADA7">
            <w:pPr>
              <w:spacing w:line="400" w:lineRule="exact"/>
              <w:ind w:firstLine="0" w:firstLineChars="0"/>
              <w:jc w:val="center"/>
              <w:textAlignment w:val="center"/>
              <w:rPr>
                <w:rFonts w:cs="Times New Roman"/>
                <w:sz w:val="24"/>
              </w:rPr>
            </w:pPr>
            <w:r>
              <w:rPr>
                <w:sz w:val="24"/>
              </w:rPr>
              <w:t>033760</w:t>
            </w:r>
          </w:p>
        </w:tc>
        <w:tc>
          <w:tcPr>
            <w:tcW w:w="1453" w:type="dxa"/>
            <w:tcBorders>
              <w:top w:val="single" w:color="auto" w:sz="4" w:space="0"/>
              <w:left w:val="nil"/>
              <w:bottom w:val="single" w:color="auto" w:sz="4" w:space="0"/>
              <w:right w:val="single" w:color="auto" w:sz="4" w:space="0"/>
            </w:tcBorders>
            <w:vAlign w:val="center"/>
          </w:tcPr>
          <w:p w14:paraId="7152E078">
            <w:pPr>
              <w:spacing w:line="400" w:lineRule="exact"/>
              <w:ind w:firstLine="0" w:firstLineChars="0"/>
              <w:jc w:val="center"/>
              <w:textAlignment w:val="center"/>
              <w:rPr>
                <w:rFonts w:cs="Times New Roman"/>
                <w:sz w:val="24"/>
              </w:rPr>
            </w:pPr>
            <w:r>
              <w:rPr>
                <w:rFonts w:hint="eastAsia"/>
                <w:sz w:val="24"/>
              </w:rPr>
              <w:t>安全工程</w:t>
            </w:r>
          </w:p>
        </w:tc>
        <w:tc>
          <w:tcPr>
            <w:tcW w:w="1625" w:type="dxa"/>
            <w:tcBorders>
              <w:top w:val="single" w:color="auto" w:sz="4" w:space="0"/>
              <w:left w:val="nil"/>
              <w:bottom w:val="single" w:color="auto" w:sz="4" w:space="0"/>
              <w:right w:val="single" w:color="auto" w:sz="4" w:space="0"/>
            </w:tcBorders>
            <w:vAlign w:val="center"/>
          </w:tcPr>
          <w:p w14:paraId="137A3EA7">
            <w:pPr>
              <w:widowControl/>
              <w:adjustRightInd/>
              <w:snapToGrid/>
              <w:spacing w:before="100" w:beforeAutospacing="1" w:after="160" w:line="560" w:lineRule="exact"/>
              <w:ind w:firstLine="0" w:firstLineChars="0"/>
              <w:jc w:val="center"/>
              <w:rPr>
                <w:rFonts w:cs="Times New Roman"/>
                <w:sz w:val="24"/>
              </w:rPr>
            </w:pPr>
          </w:p>
        </w:tc>
      </w:tr>
      <w:tr w14:paraId="1A5A8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1417" w:type="dxa"/>
            <w:vMerge w:val="continue"/>
            <w:tcBorders>
              <w:top w:val="nil"/>
              <w:left w:val="single" w:color="auto" w:sz="4" w:space="0"/>
              <w:bottom w:val="single" w:color="auto" w:sz="4" w:space="0"/>
              <w:right w:val="single" w:color="auto" w:sz="4" w:space="0"/>
            </w:tcBorders>
            <w:vAlign w:val="center"/>
          </w:tcPr>
          <w:p w14:paraId="5EE71451">
            <w:pPr>
              <w:widowControl/>
              <w:adjustRightInd/>
              <w:snapToGrid/>
              <w:spacing w:beforeAutospacing="1" w:afterAutospacing="1" w:line="240" w:lineRule="auto"/>
              <w:ind w:firstLine="0" w:firstLineChars="0"/>
              <w:jc w:val="left"/>
              <w:rPr>
                <w:rFonts w:cs="Times New Roman"/>
                <w:sz w:val="24"/>
              </w:rPr>
            </w:pPr>
          </w:p>
        </w:tc>
        <w:tc>
          <w:tcPr>
            <w:tcW w:w="983" w:type="dxa"/>
            <w:tcBorders>
              <w:top w:val="single" w:color="auto" w:sz="4" w:space="0"/>
              <w:left w:val="nil"/>
              <w:bottom w:val="single" w:color="auto" w:sz="4" w:space="0"/>
              <w:right w:val="single" w:color="auto" w:sz="4" w:space="0"/>
            </w:tcBorders>
            <w:vAlign w:val="center"/>
          </w:tcPr>
          <w:p w14:paraId="62035B7D">
            <w:pPr>
              <w:spacing w:line="400" w:lineRule="exact"/>
              <w:ind w:firstLine="0" w:firstLineChars="0"/>
              <w:jc w:val="center"/>
              <w:textAlignment w:val="center"/>
              <w:rPr>
                <w:rFonts w:cs="Times New Roman"/>
                <w:sz w:val="24"/>
              </w:rPr>
            </w:pPr>
            <w:r>
              <w:rPr>
                <w:sz w:val="24"/>
              </w:rPr>
              <w:t>杜达衡</w:t>
            </w:r>
          </w:p>
        </w:tc>
        <w:tc>
          <w:tcPr>
            <w:tcW w:w="2953" w:type="dxa"/>
            <w:tcBorders>
              <w:top w:val="single" w:color="auto" w:sz="4" w:space="0"/>
              <w:left w:val="nil"/>
              <w:bottom w:val="single" w:color="auto" w:sz="4" w:space="0"/>
              <w:right w:val="single" w:color="auto" w:sz="4" w:space="0"/>
            </w:tcBorders>
            <w:vAlign w:val="center"/>
          </w:tcPr>
          <w:p w14:paraId="35D9B21D">
            <w:pPr>
              <w:spacing w:line="400" w:lineRule="exact"/>
              <w:ind w:firstLine="0" w:firstLineChars="0"/>
              <w:jc w:val="center"/>
              <w:textAlignment w:val="center"/>
              <w:rPr>
                <w:rFonts w:cs="Times New Roman"/>
                <w:sz w:val="24"/>
              </w:rPr>
            </w:pPr>
            <w:r>
              <w:rPr>
                <w:sz w:val="24"/>
              </w:rPr>
              <w:t>S011053000110203001735</w:t>
            </w:r>
          </w:p>
        </w:tc>
        <w:tc>
          <w:tcPr>
            <w:tcW w:w="1438" w:type="dxa"/>
            <w:tcBorders>
              <w:top w:val="single" w:color="auto" w:sz="4" w:space="0"/>
              <w:left w:val="nil"/>
              <w:bottom w:val="single" w:color="auto" w:sz="4" w:space="0"/>
              <w:right w:val="single" w:color="auto" w:sz="4" w:space="0"/>
            </w:tcBorders>
            <w:vAlign w:val="center"/>
          </w:tcPr>
          <w:p w14:paraId="7B92C4FE">
            <w:pPr>
              <w:spacing w:line="400" w:lineRule="exact"/>
              <w:ind w:firstLine="0" w:firstLineChars="0"/>
              <w:jc w:val="center"/>
              <w:textAlignment w:val="center"/>
              <w:rPr>
                <w:rFonts w:cs="Times New Roman"/>
                <w:sz w:val="24"/>
              </w:rPr>
            </w:pPr>
            <w:r>
              <w:rPr>
                <w:sz w:val="24"/>
              </w:rPr>
              <w:t>041638</w:t>
            </w:r>
          </w:p>
        </w:tc>
        <w:tc>
          <w:tcPr>
            <w:tcW w:w="1453" w:type="dxa"/>
            <w:tcBorders>
              <w:top w:val="single" w:color="auto" w:sz="4" w:space="0"/>
              <w:left w:val="nil"/>
              <w:bottom w:val="single" w:color="auto" w:sz="4" w:space="0"/>
              <w:right w:val="single" w:color="auto" w:sz="4" w:space="0"/>
            </w:tcBorders>
            <w:vAlign w:val="center"/>
          </w:tcPr>
          <w:p w14:paraId="489C48E5">
            <w:pPr>
              <w:spacing w:line="400" w:lineRule="exact"/>
              <w:ind w:firstLine="0" w:firstLineChars="0"/>
              <w:jc w:val="center"/>
              <w:textAlignment w:val="center"/>
              <w:rPr>
                <w:rFonts w:cs="Times New Roman"/>
                <w:sz w:val="24"/>
              </w:rPr>
            </w:pPr>
            <w:r>
              <w:rPr>
                <w:sz w:val="24"/>
              </w:rPr>
              <w:t>安全工程</w:t>
            </w:r>
          </w:p>
        </w:tc>
        <w:tc>
          <w:tcPr>
            <w:tcW w:w="1625" w:type="dxa"/>
            <w:tcBorders>
              <w:top w:val="single" w:color="auto" w:sz="4" w:space="0"/>
              <w:left w:val="nil"/>
              <w:bottom w:val="single" w:color="auto" w:sz="4" w:space="0"/>
              <w:right w:val="single" w:color="auto" w:sz="4" w:space="0"/>
            </w:tcBorders>
            <w:vAlign w:val="center"/>
          </w:tcPr>
          <w:p w14:paraId="2EA56683">
            <w:pPr>
              <w:widowControl/>
              <w:adjustRightInd/>
              <w:snapToGrid/>
              <w:spacing w:before="100" w:beforeAutospacing="1" w:after="160" w:line="560" w:lineRule="exact"/>
              <w:ind w:firstLine="0" w:firstLineChars="0"/>
              <w:jc w:val="center"/>
              <w:rPr>
                <w:rFonts w:cs="Times New Roman"/>
                <w:sz w:val="24"/>
              </w:rPr>
            </w:pPr>
          </w:p>
        </w:tc>
      </w:tr>
      <w:tr w14:paraId="5636F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trPr>
        <w:tc>
          <w:tcPr>
            <w:tcW w:w="1417" w:type="dxa"/>
            <w:tcBorders>
              <w:top w:val="single" w:color="auto" w:sz="4" w:space="0"/>
              <w:left w:val="single" w:color="auto" w:sz="4" w:space="0"/>
              <w:bottom w:val="single" w:color="auto" w:sz="4" w:space="0"/>
              <w:right w:val="single" w:color="auto" w:sz="4" w:space="0"/>
            </w:tcBorders>
            <w:vAlign w:val="center"/>
          </w:tcPr>
          <w:p w14:paraId="1E6B31BB">
            <w:pPr>
              <w:widowControl/>
              <w:adjustRightInd/>
              <w:snapToGrid/>
              <w:spacing w:before="100" w:beforeAutospacing="1" w:after="160" w:line="560" w:lineRule="exact"/>
              <w:ind w:firstLine="0" w:firstLineChars="0"/>
              <w:jc w:val="center"/>
              <w:rPr>
                <w:rFonts w:cs="Times New Roman"/>
                <w:sz w:val="24"/>
              </w:rPr>
            </w:pPr>
            <w:r>
              <w:rPr>
                <w:rFonts w:cs="Times New Roman"/>
                <w:sz w:val="24"/>
              </w:rPr>
              <w:t>报告审核人</w:t>
            </w:r>
          </w:p>
        </w:tc>
        <w:tc>
          <w:tcPr>
            <w:tcW w:w="983" w:type="dxa"/>
            <w:tcBorders>
              <w:top w:val="single" w:color="auto" w:sz="4" w:space="0"/>
              <w:left w:val="nil"/>
              <w:bottom w:val="single" w:color="auto" w:sz="4" w:space="0"/>
              <w:right w:val="single" w:color="auto" w:sz="4" w:space="0"/>
            </w:tcBorders>
            <w:vAlign w:val="center"/>
          </w:tcPr>
          <w:p w14:paraId="115F8F7B">
            <w:pPr>
              <w:spacing w:line="400" w:lineRule="exact"/>
              <w:ind w:firstLine="0" w:firstLineChars="0"/>
              <w:jc w:val="center"/>
              <w:rPr>
                <w:rFonts w:cs="Times New Roman"/>
                <w:sz w:val="24"/>
              </w:rPr>
            </w:pPr>
            <w:r>
              <w:rPr>
                <w:rFonts w:hint="eastAsia" w:ascii="宋体" w:hAnsi="宋体"/>
                <w:sz w:val="24"/>
              </w:rPr>
              <w:t>黄香港</w:t>
            </w:r>
          </w:p>
        </w:tc>
        <w:tc>
          <w:tcPr>
            <w:tcW w:w="2953" w:type="dxa"/>
            <w:tcBorders>
              <w:top w:val="single" w:color="auto" w:sz="4" w:space="0"/>
              <w:left w:val="nil"/>
              <w:bottom w:val="single" w:color="auto" w:sz="4" w:space="0"/>
              <w:right w:val="single" w:color="auto" w:sz="4" w:space="0"/>
            </w:tcBorders>
            <w:vAlign w:val="center"/>
          </w:tcPr>
          <w:p w14:paraId="1A100C2C">
            <w:pPr>
              <w:spacing w:line="400" w:lineRule="exact"/>
              <w:ind w:firstLine="0" w:firstLineChars="0"/>
              <w:jc w:val="center"/>
              <w:rPr>
                <w:rFonts w:cs="Times New Roman"/>
                <w:sz w:val="24"/>
              </w:rPr>
            </w:pPr>
            <w:r>
              <w:rPr>
                <w:rFonts w:hint="eastAsia" w:ascii="宋体" w:hAnsi="宋体"/>
                <w:sz w:val="24"/>
              </w:rPr>
              <w:t>S011035000110191000617</w:t>
            </w:r>
          </w:p>
        </w:tc>
        <w:tc>
          <w:tcPr>
            <w:tcW w:w="1438" w:type="dxa"/>
            <w:tcBorders>
              <w:top w:val="single" w:color="auto" w:sz="4" w:space="0"/>
              <w:left w:val="nil"/>
              <w:bottom w:val="single" w:color="auto" w:sz="4" w:space="0"/>
              <w:right w:val="single" w:color="auto" w:sz="4" w:space="0"/>
            </w:tcBorders>
            <w:vAlign w:val="center"/>
          </w:tcPr>
          <w:p w14:paraId="74AFA715">
            <w:pPr>
              <w:spacing w:line="400" w:lineRule="exact"/>
              <w:ind w:firstLine="0" w:firstLineChars="0"/>
              <w:jc w:val="center"/>
              <w:rPr>
                <w:rFonts w:cs="Times New Roman"/>
                <w:sz w:val="24"/>
              </w:rPr>
            </w:pPr>
            <w:r>
              <w:rPr>
                <w:rFonts w:hint="eastAsia" w:ascii="宋体" w:hAnsi="宋体"/>
                <w:sz w:val="24"/>
              </w:rPr>
              <w:t>024436</w:t>
            </w:r>
          </w:p>
        </w:tc>
        <w:tc>
          <w:tcPr>
            <w:tcW w:w="1453" w:type="dxa"/>
            <w:tcBorders>
              <w:top w:val="single" w:color="auto" w:sz="4" w:space="0"/>
              <w:left w:val="nil"/>
              <w:bottom w:val="single" w:color="auto" w:sz="4" w:space="0"/>
              <w:right w:val="single" w:color="auto" w:sz="4" w:space="0"/>
            </w:tcBorders>
            <w:vAlign w:val="center"/>
          </w:tcPr>
          <w:p w14:paraId="11A9CC30">
            <w:pPr>
              <w:spacing w:line="400" w:lineRule="exact"/>
              <w:ind w:firstLine="0" w:firstLineChars="0"/>
              <w:jc w:val="center"/>
              <w:rPr>
                <w:rFonts w:cs="Times New Roman"/>
                <w:sz w:val="24"/>
              </w:rPr>
            </w:pPr>
            <w:r>
              <w:rPr>
                <w:rFonts w:hint="eastAsia" w:ascii="宋体" w:hAnsi="宋体"/>
                <w:sz w:val="24"/>
              </w:rPr>
              <w:t>化学工程与工艺</w:t>
            </w:r>
          </w:p>
        </w:tc>
        <w:tc>
          <w:tcPr>
            <w:tcW w:w="1625" w:type="dxa"/>
            <w:tcBorders>
              <w:top w:val="single" w:color="auto" w:sz="4" w:space="0"/>
              <w:left w:val="nil"/>
              <w:bottom w:val="single" w:color="auto" w:sz="4" w:space="0"/>
              <w:right w:val="single" w:color="auto" w:sz="4" w:space="0"/>
            </w:tcBorders>
            <w:vAlign w:val="center"/>
          </w:tcPr>
          <w:p w14:paraId="3A0B1525">
            <w:pPr>
              <w:widowControl/>
              <w:adjustRightInd/>
              <w:snapToGrid/>
              <w:spacing w:before="100" w:beforeAutospacing="1" w:after="160" w:line="560" w:lineRule="exact"/>
              <w:ind w:firstLine="0" w:firstLineChars="0"/>
              <w:jc w:val="center"/>
              <w:rPr>
                <w:rFonts w:cs="Times New Roman"/>
                <w:sz w:val="24"/>
              </w:rPr>
            </w:pPr>
          </w:p>
        </w:tc>
      </w:tr>
      <w:tr w14:paraId="11102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1" w:hRule="atLeast"/>
        </w:trPr>
        <w:tc>
          <w:tcPr>
            <w:tcW w:w="1417" w:type="dxa"/>
            <w:tcBorders>
              <w:top w:val="single" w:color="auto" w:sz="4" w:space="0"/>
              <w:left w:val="single" w:color="auto" w:sz="4" w:space="0"/>
              <w:bottom w:val="single" w:color="auto" w:sz="4" w:space="0"/>
              <w:right w:val="single" w:color="auto" w:sz="4" w:space="0"/>
            </w:tcBorders>
            <w:vAlign w:val="center"/>
          </w:tcPr>
          <w:p w14:paraId="16FEB515">
            <w:pPr>
              <w:widowControl/>
              <w:adjustRightInd/>
              <w:snapToGrid/>
              <w:spacing w:before="40" w:after="40" w:line="560" w:lineRule="exact"/>
              <w:ind w:firstLine="0" w:firstLineChars="0"/>
              <w:jc w:val="center"/>
              <w:rPr>
                <w:rFonts w:cs="Times New Roman"/>
                <w:sz w:val="24"/>
              </w:rPr>
            </w:pPr>
            <w:r>
              <w:rPr>
                <w:rFonts w:cs="Times New Roman"/>
                <w:sz w:val="24"/>
              </w:rPr>
              <w:t>过程控制负责人</w:t>
            </w:r>
          </w:p>
        </w:tc>
        <w:tc>
          <w:tcPr>
            <w:tcW w:w="983" w:type="dxa"/>
            <w:tcBorders>
              <w:top w:val="single" w:color="auto" w:sz="4" w:space="0"/>
              <w:left w:val="nil"/>
              <w:bottom w:val="single" w:color="auto" w:sz="4" w:space="0"/>
              <w:right w:val="single" w:color="auto" w:sz="4" w:space="0"/>
            </w:tcBorders>
            <w:vAlign w:val="center"/>
          </w:tcPr>
          <w:p w14:paraId="4475A6EB">
            <w:pPr>
              <w:widowControl/>
              <w:adjustRightInd/>
              <w:snapToGrid/>
              <w:spacing w:before="40" w:after="40" w:line="400" w:lineRule="exact"/>
              <w:ind w:firstLine="0" w:firstLineChars="0"/>
              <w:jc w:val="center"/>
              <w:rPr>
                <w:rFonts w:cs="Times New Roman"/>
                <w:sz w:val="24"/>
              </w:rPr>
            </w:pPr>
            <w:r>
              <w:rPr>
                <w:rFonts w:cs="Times New Roman"/>
                <w:sz w:val="24"/>
              </w:rPr>
              <w:t>檀廷斌</w:t>
            </w:r>
          </w:p>
        </w:tc>
        <w:tc>
          <w:tcPr>
            <w:tcW w:w="2953" w:type="dxa"/>
            <w:tcBorders>
              <w:top w:val="single" w:color="auto" w:sz="4" w:space="0"/>
              <w:left w:val="nil"/>
              <w:bottom w:val="single" w:color="auto" w:sz="4" w:space="0"/>
              <w:right w:val="single" w:color="auto" w:sz="4" w:space="0"/>
            </w:tcBorders>
            <w:vAlign w:val="center"/>
          </w:tcPr>
          <w:p w14:paraId="7091595D">
            <w:pPr>
              <w:widowControl/>
              <w:adjustRightInd/>
              <w:snapToGrid/>
              <w:spacing w:before="40" w:after="40" w:line="400" w:lineRule="exact"/>
              <w:ind w:firstLine="0" w:firstLineChars="0"/>
              <w:jc w:val="center"/>
              <w:rPr>
                <w:rFonts w:cs="Times New Roman"/>
                <w:sz w:val="24"/>
              </w:rPr>
            </w:pPr>
            <w:r>
              <w:rPr>
                <w:rFonts w:cs="Times New Roman"/>
                <w:sz w:val="24"/>
              </w:rPr>
              <w:t>1600000000200717</w:t>
            </w:r>
          </w:p>
        </w:tc>
        <w:tc>
          <w:tcPr>
            <w:tcW w:w="1438" w:type="dxa"/>
            <w:tcBorders>
              <w:top w:val="single" w:color="auto" w:sz="4" w:space="0"/>
              <w:left w:val="nil"/>
              <w:bottom w:val="single" w:color="auto" w:sz="4" w:space="0"/>
              <w:right w:val="single" w:color="auto" w:sz="4" w:space="0"/>
            </w:tcBorders>
            <w:vAlign w:val="center"/>
          </w:tcPr>
          <w:p w14:paraId="131E3661">
            <w:pPr>
              <w:widowControl/>
              <w:adjustRightInd/>
              <w:snapToGrid/>
              <w:spacing w:before="40" w:after="40" w:line="400" w:lineRule="exact"/>
              <w:ind w:firstLine="0" w:firstLineChars="0"/>
              <w:jc w:val="center"/>
              <w:rPr>
                <w:rFonts w:cs="Times New Roman"/>
                <w:sz w:val="24"/>
              </w:rPr>
            </w:pPr>
            <w:r>
              <w:rPr>
                <w:rFonts w:cs="Times New Roman"/>
                <w:sz w:val="24"/>
              </w:rPr>
              <w:t>029648</w:t>
            </w:r>
          </w:p>
        </w:tc>
        <w:tc>
          <w:tcPr>
            <w:tcW w:w="1453" w:type="dxa"/>
            <w:tcBorders>
              <w:top w:val="single" w:color="auto" w:sz="4" w:space="0"/>
              <w:left w:val="nil"/>
              <w:bottom w:val="single" w:color="auto" w:sz="4" w:space="0"/>
              <w:right w:val="single" w:color="auto" w:sz="4" w:space="0"/>
            </w:tcBorders>
            <w:vAlign w:val="center"/>
          </w:tcPr>
          <w:p w14:paraId="0918E8CE">
            <w:pPr>
              <w:widowControl/>
              <w:adjustRightInd/>
              <w:snapToGrid/>
              <w:spacing w:before="40" w:after="40" w:line="400" w:lineRule="exact"/>
              <w:ind w:firstLine="0" w:firstLineChars="0"/>
              <w:jc w:val="center"/>
              <w:rPr>
                <w:rFonts w:cs="Times New Roman"/>
                <w:sz w:val="24"/>
              </w:rPr>
            </w:pPr>
            <w:r>
              <w:rPr>
                <w:rFonts w:cs="Times New Roman"/>
                <w:sz w:val="24"/>
              </w:rPr>
              <w:t>化学工程与工艺</w:t>
            </w:r>
          </w:p>
        </w:tc>
        <w:tc>
          <w:tcPr>
            <w:tcW w:w="1625" w:type="dxa"/>
            <w:tcBorders>
              <w:top w:val="single" w:color="auto" w:sz="4" w:space="0"/>
              <w:left w:val="nil"/>
              <w:bottom w:val="single" w:color="auto" w:sz="4" w:space="0"/>
              <w:right w:val="single" w:color="auto" w:sz="4" w:space="0"/>
            </w:tcBorders>
            <w:vAlign w:val="center"/>
          </w:tcPr>
          <w:p w14:paraId="1BA7D7D7">
            <w:pPr>
              <w:widowControl/>
              <w:adjustRightInd/>
              <w:snapToGrid/>
              <w:spacing w:before="40" w:after="40" w:line="560" w:lineRule="exact"/>
              <w:ind w:firstLine="0" w:firstLineChars="0"/>
              <w:rPr>
                <w:rFonts w:cs="Times New Roman"/>
                <w:sz w:val="24"/>
              </w:rPr>
            </w:pPr>
          </w:p>
        </w:tc>
      </w:tr>
      <w:tr w14:paraId="64A4F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trPr>
        <w:tc>
          <w:tcPr>
            <w:tcW w:w="1417" w:type="dxa"/>
            <w:tcBorders>
              <w:top w:val="single" w:color="auto" w:sz="4" w:space="0"/>
              <w:left w:val="single" w:color="auto" w:sz="4" w:space="0"/>
              <w:bottom w:val="single" w:color="auto" w:sz="4" w:space="0"/>
              <w:right w:val="single" w:color="auto" w:sz="4" w:space="0"/>
            </w:tcBorders>
            <w:vAlign w:val="center"/>
          </w:tcPr>
          <w:p w14:paraId="33685F4C">
            <w:pPr>
              <w:widowControl/>
              <w:adjustRightInd/>
              <w:snapToGrid/>
              <w:spacing w:before="100" w:beforeAutospacing="1" w:after="160" w:line="560" w:lineRule="exact"/>
              <w:ind w:firstLine="0" w:firstLineChars="0"/>
              <w:jc w:val="center"/>
              <w:rPr>
                <w:rFonts w:cs="Times New Roman"/>
                <w:sz w:val="24"/>
              </w:rPr>
            </w:pPr>
            <w:r>
              <w:rPr>
                <w:rFonts w:cs="Times New Roman"/>
                <w:sz w:val="24"/>
              </w:rPr>
              <w:t>技术负责人</w:t>
            </w:r>
          </w:p>
        </w:tc>
        <w:tc>
          <w:tcPr>
            <w:tcW w:w="983" w:type="dxa"/>
            <w:tcBorders>
              <w:top w:val="single" w:color="auto" w:sz="4" w:space="0"/>
              <w:left w:val="nil"/>
              <w:bottom w:val="single" w:color="auto" w:sz="4" w:space="0"/>
              <w:right w:val="single" w:color="auto" w:sz="4" w:space="0"/>
            </w:tcBorders>
            <w:vAlign w:val="center"/>
          </w:tcPr>
          <w:p w14:paraId="461CA879">
            <w:pPr>
              <w:widowControl/>
              <w:adjustRightInd/>
              <w:snapToGrid/>
              <w:spacing w:before="100" w:beforeAutospacing="1" w:after="160" w:line="400" w:lineRule="exact"/>
              <w:ind w:firstLine="0" w:firstLineChars="0"/>
              <w:jc w:val="center"/>
              <w:rPr>
                <w:rFonts w:cs="Times New Roman"/>
                <w:sz w:val="24"/>
              </w:rPr>
            </w:pPr>
            <w:r>
              <w:rPr>
                <w:rFonts w:cs="Times New Roman"/>
                <w:sz w:val="24"/>
              </w:rPr>
              <w:t>周红波</w:t>
            </w:r>
          </w:p>
        </w:tc>
        <w:tc>
          <w:tcPr>
            <w:tcW w:w="2953" w:type="dxa"/>
            <w:tcBorders>
              <w:top w:val="single" w:color="auto" w:sz="4" w:space="0"/>
              <w:left w:val="nil"/>
              <w:bottom w:val="single" w:color="auto" w:sz="4" w:space="0"/>
              <w:right w:val="single" w:color="auto" w:sz="4" w:space="0"/>
            </w:tcBorders>
            <w:vAlign w:val="center"/>
          </w:tcPr>
          <w:p w14:paraId="5477F6D5">
            <w:pPr>
              <w:widowControl/>
              <w:adjustRightInd/>
              <w:snapToGrid/>
              <w:spacing w:before="100" w:beforeAutospacing="1" w:after="160" w:line="400" w:lineRule="exact"/>
              <w:ind w:firstLine="0" w:firstLineChars="0"/>
              <w:jc w:val="center"/>
              <w:rPr>
                <w:rFonts w:cs="Times New Roman"/>
                <w:sz w:val="24"/>
              </w:rPr>
            </w:pPr>
            <w:r>
              <w:rPr>
                <w:rFonts w:cs="Times New Roman"/>
                <w:sz w:val="24"/>
              </w:rPr>
              <w:t>1700000000100121</w:t>
            </w:r>
          </w:p>
        </w:tc>
        <w:tc>
          <w:tcPr>
            <w:tcW w:w="1438" w:type="dxa"/>
            <w:tcBorders>
              <w:top w:val="single" w:color="auto" w:sz="4" w:space="0"/>
              <w:left w:val="nil"/>
              <w:bottom w:val="single" w:color="auto" w:sz="4" w:space="0"/>
              <w:right w:val="single" w:color="auto" w:sz="4" w:space="0"/>
            </w:tcBorders>
            <w:vAlign w:val="center"/>
          </w:tcPr>
          <w:p w14:paraId="19453128">
            <w:pPr>
              <w:widowControl/>
              <w:adjustRightInd/>
              <w:snapToGrid/>
              <w:spacing w:before="100" w:beforeAutospacing="1" w:after="160" w:line="400" w:lineRule="exact"/>
              <w:ind w:firstLine="0" w:firstLineChars="0"/>
              <w:jc w:val="center"/>
              <w:rPr>
                <w:rFonts w:cs="Times New Roman"/>
                <w:sz w:val="24"/>
              </w:rPr>
            </w:pPr>
            <w:r>
              <w:rPr>
                <w:rFonts w:cs="Times New Roman"/>
                <w:sz w:val="24"/>
              </w:rPr>
              <w:t>020702</w:t>
            </w:r>
          </w:p>
        </w:tc>
        <w:tc>
          <w:tcPr>
            <w:tcW w:w="1453" w:type="dxa"/>
            <w:tcBorders>
              <w:top w:val="single" w:color="auto" w:sz="4" w:space="0"/>
              <w:left w:val="nil"/>
              <w:bottom w:val="single" w:color="auto" w:sz="4" w:space="0"/>
              <w:right w:val="single" w:color="auto" w:sz="4" w:space="0"/>
            </w:tcBorders>
            <w:vAlign w:val="center"/>
          </w:tcPr>
          <w:p w14:paraId="0E7B94F7">
            <w:pPr>
              <w:widowControl/>
              <w:adjustRightInd/>
              <w:snapToGrid/>
              <w:spacing w:before="100" w:beforeAutospacing="1" w:after="160" w:line="400" w:lineRule="exact"/>
              <w:ind w:firstLine="0" w:firstLineChars="0"/>
              <w:jc w:val="center"/>
              <w:rPr>
                <w:rFonts w:cs="Times New Roman"/>
                <w:sz w:val="24"/>
              </w:rPr>
            </w:pPr>
            <w:r>
              <w:rPr>
                <w:rFonts w:cs="Times New Roman"/>
                <w:sz w:val="24"/>
              </w:rPr>
              <w:t>化工工艺</w:t>
            </w:r>
          </w:p>
        </w:tc>
        <w:tc>
          <w:tcPr>
            <w:tcW w:w="1625" w:type="dxa"/>
            <w:tcBorders>
              <w:top w:val="single" w:color="auto" w:sz="4" w:space="0"/>
              <w:left w:val="nil"/>
              <w:bottom w:val="single" w:color="auto" w:sz="4" w:space="0"/>
              <w:right w:val="single" w:color="auto" w:sz="4" w:space="0"/>
            </w:tcBorders>
            <w:vAlign w:val="center"/>
          </w:tcPr>
          <w:p w14:paraId="360E7B82">
            <w:pPr>
              <w:widowControl/>
              <w:adjustRightInd/>
              <w:snapToGrid/>
              <w:spacing w:before="100" w:beforeAutospacing="1" w:after="160" w:line="560" w:lineRule="exact"/>
              <w:ind w:firstLine="0" w:firstLineChars="0"/>
              <w:jc w:val="center"/>
              <w:rPr>
                <w:rFonts w:cs="Times New Roman"/>
                <w:sz w:val="24"/>
              </w:rPr>
            </w:pPr>
          </w:p>
        </w:tc>
      </w:tr>
    </w:tbl>
    <w:p w14:paraId="26CE120D">
      <w:pPr>
        <w:autoSpaceDE w:val="0"/>
        <w:autoSpaceDN w:val="0"/>
        <w:ind w:firstLine="560"/>
        <w:rPr>
          <w:rFonts w:eastAsia="仿宋_GB2312" w:cs="Times New Roman"/>
        </w:rPr>
      </w:pPr>
    </w:p>
    <w:p w14:paraId="4A974C72">
      <w:pPr>
        <w:ind w:firstLine="560"/>
        <w:rPr>
          <w:rFonts w:cs="Times New Roman"/>
        </w:rPr>
      </w:pPr>
    </w:p>
    <w:p w14:paraId="295C9572">
      <w:pPr>
        <w:ind w:firstLine="560"/>
        <w:rPr>
          <w:rFonts w:cs="Times New Roman"/>
        </w:rPr>
        <w:sectPr>
          <w:headerReference r:id="rId11" w:type="default"/>
          <w:footerReference r:id="rId12" w:type="default"/>
          <w:pgSz w:w="11907" w:h="16840"/>
          <w:pgMar w:top="1418" w:right="1134" w:bottom="1134" w:left="1588" w:header="851" w:footer="992" w:gutter="0"/>
          <w:pgNumType w:fmt="upperRoman" w:start="1"/>
          <w:cols w:space="720" w:num="1"/>
        </w:sectPr>
      </w:pPr>
    </w:p>
    <w:p w14:paraId="5FDDFCB2">
      <w:pPr>
        <w:pStyle w:val="3"/>
        <w:spacing w:before="0" w:after="240" w:afterLines="100" w:line="800" w:lineRule="exact"/>
        <w:ind w:firstLine="883"/>
        <w:rPr>
          <w:color w:val="auto"/>
          <w:kern w:val="0"/>
        </w:rPr>
      </w:pPr>
      <w:bookmarkStart w:id="2" w:name="_Toc448780489"/>
      <w:bookmarkStart w:id="3" w:name="_Toc449446364"/>
      <w:bookmarkStart w:id="4" w:name="_Toc449442557"/>
      <w:bookmarkStart w:id="5" w:name="_Toc451549870"/>
      <w:bookmarkStart w:id="6" w:name="_Toc160982025"/>
      <w:bookmarkStart w:id="7" w:name="_Toc451550074"/>
      <w:bookmarkStart w:id="8" w:name="_Toc514082012"/>
      <w:bookmarkStart w:id="9" w:name="_Toc448780677"/>
      <w:bookmarkStart w:id="10" w:name="_Toc472085001"/>
      <w:bookmarkStart w:id="11" w:name="_Toc451549672"/>
      <w:bookmarkStart w:id="12" w:name="_Toc160982489"/>
      <w:bookmarkStart w:id="13" w:name="_Toc451715385"/>
      <w:bookmarkStart w:id="14" w:name="_Toc160982370"/>
      <w:bookmarkStart w:id="15" w:name="_Toc9852622"/>
      <w:bookmarkStart w:id="16" w:name="_Toc160982138"/>
      <w:bookmarkStart w:id="17" w:name="_Toc449388987"/>
      <w:bookmarkStart w:id="18" w:name="_Toc215210524"/>
      <w:bookmarkStart w:id="19" w:name="_Toc463820744"/>
      <w:bookmarkStart w:id="20" w:name="_Toc464056253"/>
      <w:bookmarkStart w:id="21" w:name="_Toc448780871"/>
      <w:bookmarkStart w:id="22" w:name="_Toc449443354"/>
      <w:r>
        <w:rPr>
          <w:color w:val="auto"/>
          <w:kern w:val="0"/>
        </w:rPr>
        <w:t>前  言</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14:paraId="2BBB5520">
      <w:pPr>
        <w:ind w:firstLine="560"/>
        <w:rPr>
          <w:rFonts w:hint="eastAsia" w:ascii="宋体" w:hAnsi="宋体"/>
          <w:szCs w:val="28"/>
        </w:rPr>
      </w:pPr>
      <w:r>
        <w:rPr>
          <w:rFonts w:hint="eastAsia" w:ascii="宋体" w:hAnsi="宋体"/>
          <w:szCs w:val="28"/>
        </w:rPr>
        <w:t>云南杉杉新材料有限公司年产30万吨锂离子电池负极材料一体化基地项目</w:t>
      </w:r>
      <w:r>
        <w:rPr>
          <w:rFonts w:ascii="宋体" w:hAnsi="宋体"/>
          <w:szCs w:val="28"/>
        </w:rPr>
        <w:t>位于</w:t>
      </w:r>
      <w:r>
        <w:rPr>
          <w:rFonts w:hint="eastAsia" w:ascii="宋体" w:hAnsi="宋体"/>
          <w:szCs w:val="28"/>
        </w:rPr>
        <w:t>昆明市安宁工业园区草铺片区</w:t>
      </w:r>
      <w:r>
        <w:rPr>
          <w:rFonts w:ascii="宋体" w:hAnsi="宋体"/>
          <w:szCs w:val="28"/>
        </w:rPr>
        <w:t>，</w:t>
      </w:r>
      <w:r>
        <w:rPr>
          <w:rFonts w:hint="eastAsia" w:ascii="宋体" w:hAnsi="宋体"/>
          <w:szCs w:val="28"/>
        </w:rPr>
        <w:t>一期年产16.2万吨锂离子电池负极材料于2024年4月完成项目主体设施设备、辅助生产设施建设完成，于2024年7月逐步开展试车，于2024年11月完成了安全设施竣工验收；余下的产能及公辅设施暂未开始建设。云南杉杉新材料有限公司为</w:t>
      </w:r>
      <w:r>
        <w:rPr>
          <w:rFonts w:ascii="宋体" w:hAnsi="宋体"/>
          <w:szCs w:val="28"/>
        </w:rPr>
        <w:t>改变传统制造生产模式，进行数字化车间的建设</w:t>
      </w:r>
      <w:r>
        <w:rPr>
          <w:rFonts w:hint="eastAsia" w:ascii="宋体" w:hAnsi="宋体"/>
          <w:szCs w:val="28"/>
        </w:rPr>
        <w:t>可以</w:t>
      </w:r>
      <w:r>
        <w:rPr>
          <w:rFonts w:ascii="宋体" w:hAnsi="宋体"/>
          <w:szCs w:val="28"/>
        </w:rPr>
        <w:t>提高生产效率、设备使用效率、产品良率，提升企业的核心竞争力，</w:t>
      </w:r>
      <w:r>
        <w:rPr>
          <w:rFonts w:hint="eastAsia" w:ascii="宋体" w:hAnsi="宋体"/>
          <w:szCs w:val="28"/>
        </w:rPr>
        <w:t>因此对年产16.2万吨锂离子电池负极材料生产设施进行数字化转型。</w:t>
      </w:r>
    </w:p>
    <w:p w14:paraId="13FCA0F1">
      <w:pPr>
        <w:ind w:firstLine="560"/>
        <w:rPr>
          <w:szCs w:val="28"/>
        </w:rPr>
      </w:pPr>
      <w:r>
        <w:rPr>
          <w:rFonts w:hint="eastAsia"/>
          <w:szCs w:val="28"/>
        </w:rPr>
        <w:t>云南杉杉新材料有限公司数字化转型专项建设项目于2025年3月21日取得安宁市发展和改革局（安宁市粮食局）核发的投资项目备案证，项目代码：503-530181-04-02-301470。为认真贯彻落实“安全第一、预防为主、综合治理”的安全生产方针，根据《中华人民共和国安全生产法》及《建设项目安全设施“三同时”监督管理办法》（国家安全生产监督管理总局令第36号，国家安全监管总局令第77号修正）第七条“下列建设项目在进行可行性研究时，生产经营单位应当按照国家规定，进行安全预评价：（一）非煤矿矿山建设项目。（二）生产、储存危险化学品（包括使用长输管道输送危险化学品，下同）的建设项目。（三）生产、储存烟花爆竹的建设项目。（四）金属冶炼建设项目。（五）使用危险化学品从事生产并且使用量达到规定数量的化工建设项目（属于危险化学品生产的除外，以下简称化工建设项目）。（六）法律、行政法规和国务院规定的其他建设项目。”以及第九条“本办法第七条规定以外的其他建设项目，生产经营单位应当对其安全生产条件和设施进行综合分析，形成书面报告备查。”</w:t>
      </w:r>
      <w:r>
        <w:rPr>
          <w:rFonts w:hint="eastAsia" w:ascii="宋体" w:hAnsi="宋体"/>
          <w:szCs w:val="28"/>
        </w:rPr>
        <w:t>的规定，云南杉杉新材料有限公司</w:t>
      </w:r>
      <w:r>
        <w:rPr>
          <w:rFonts w:hint="eastAsia"/>
          <w:szCs w:val="28"/>
        </w:rPr>
        <w:t>数字化转型专项建设项目</w:t>
      </w:r>
      <w:r>
        <w:rPr>
          <w:rFonts w:hint="eastAsia" w:ascii="宋体" w:hAnsi="宋体"/>
          <w:szCs w:val="28"/>
        </w:rPr>
        <w:t>属于第九条的范围。</w:t>
      </w:r>
    </w:p>
    <w:p w14:paraId="5DB6FD3D">
      <w:pPr>
        <w:ind w:firstLine="560"/>
        <w:rPr>
          <w:rFonts w:hint="eastAsia" w:ascii="宋体" w:hAnsi="宋体"/>
          <w:szCs w:val="28"/>
        </w:rPr>
      </w:pPr>
      <w:r>
        <w:rPr>
          <w:rFonts w:hint="eastAsia" w:ascii="宋体" w:hAnsi="宋体"/>
          <w:szCs w:val="28"/>
        </w:rPr>
        <w:t>为严格落实建设项目安全设施“三同时”，云南杉杉新材料有限公司委托江西赣安安全生产科学技术咨询服务中心对云南杉杉新材料有限公司</w:t>
      </w:r>
      <w:r>
        <w:rPr>
          <w:rFonts w:hint="eastAsia"/>
          <w:szCs w:val="28"/>
        </w:rPr>
        <w:t>数字化转型专项建设项目</w:t>
      </w:r>
      <w:r>
        <w:rPr>
          <w:rFonts w:hint="eastAsia" w:ascii="宋体" w:hAnsi="宋体"/>
          <w:szCs w:val="28"/>
        </w:rPr>
        <w:t>开展安全生产条件和设施综合分析。通过了解项目选址、周边环境、总平面布置、生产工艺、设备设施、辅助设施和安全管理等方面的情况，分析其存在的危险、有害因素，确保项目顺利实施。为此，云南杉杉新材料有限公司与江西赣安安全生产科学技术咨询服务中心共同组建分析小组，按照有关法律、法规、规章、标准和规范的要求，对拟建项目进行安全生产条件和设施综合分析，并由江西赣安安全生产科学技术咨询服务中心编制《云南杉杉新材料有限公司</w:t>
      </w:r>
      <w:r>
        <w:rPr>
          <w:rFonts w:hint="eastAsia"/>
          <w:szCs w:val="28"/>
        </w:rPr>
        <w:t>数字化转型专项建设项目</w:t>
      </w:r>
      <w:r>
        <w:rPr>
          <w:rFonts w:hint="eastAsia" w:ascii="宋体" w:hAnsi="宋体"/>
          <w:szCs w:val="28"/>
        </w:rPr>
        <w:t>安全生产条件和设施综合分析报告》。</w:t>
      </w:r>
    </w:p>
    <w:p w14:paraId="3BCE2775">
      <w:pPr>
        <w:ind w:firstLine="560"/>
        <w:rPr>
          <w:rFonts w:hint="eastAsia" w:ascii="宋体" w:hAnsi="宋体"/>
          <w:szCs w:val="28"/>
        </w:rPr>
      </w:pPr>
      <w:r>
        <w:rPr>
          <w:rFonts w:hint="eastAsia" w:ascii="宋体" w:hAnsi="宋体"/>
          <w:szCs w:val="28"/>
        </w:rPr>
        <w:t>在编制《云南杉杉新材料有限公司</w:t>
      </w:r>
      <w:r>
        <w:rPr>
          <w:rFonts w:hint="eastAsia"/>
          <w:szCs w:val="28"/>
        </w:rPr>
        <w:t>数字化转型专项建设项目</w:t>
      </w:r>
      <w:r>
        <w:rPr>
          <w:rFonts w:hint="eastAsia" w:ascii="宋体" w:hAnsi="宋体"/>
          <w:szCs w:val="28"/>
        </w:rPr>
        <w:t>安全生产条件和设施综合分析报告》的过程中，得到云南杉杉新材料有限公司的大力支持，深表感谢！</w:t>
      </w:r>
    </w:p>
    <w:p w14:paraId="6ECC8699">
      <w:pPr>
        <w:pStyle w:val="3"/>
        <w:spacing w:before="0" w:after="240" w:afterLines="100" w:line="460" w:lineRule="exact"/>
        <w:ind w:firstLine="883"/>
        <w:rPr>
          <w:color w:val="auto"/>
          <w:kern w:val="0"/>
          <w:lang w:val="en-US"/>
        </w:rPr>
        <w:sectPr>
          <w:pgSz w:w="11907" w:h="16840"/>
          <w:pgMar w:top="1418" w:right="1134" w:bottom="1134" w:left="1588" w:header="851" w:footer="992" w:gutter="0"/>
          <w:pgNumType w:fmt="upperRoman" w:start="1"/>
          <w:cols w:space="720" w:num="1"/>
        </w:sectPr>
      </w:pPr>
    </w:p>
    <w:p w14:paraId="37548648">
      <w:pPr>
        <w:pStyle w:val="3"/>
        <w:spacing w:before="0" w:after="240" w:afterLines="100" w:line="460" w:lineRule="exact"/>
        <w:ind w:firstLine="883"/>
        <w:rPr>
          <w:color w:val="auto"/>
          <w:kern w:val="0"/>
        </w:rPr>
      </w:pPr>
      <w:bookmarkStart w:id="23" w:name="_Toc160982026"/>
      <w:bookmarkStart w:id="24" w:name="_Toc160982371"/>
      <w:bookmarkStart w:id="25" w:name="_Toc160982139"/>
      <w:bookmarkStart w:id="26" w:name="_Toc160982490"/>
      <w:bookmarkStart w:id="27" w:name="_Toc215210525"/>
      <w:r>
        <w:rPr>
          <w:color w:val="auto"/>
          <w:kern w:val="0"/>
        </w:rPr>
        <w:t>目  录</w:t>
      </w:r>
      <w:bookmarkEnd w:id="23"/>
      <w:bookmarkEnd w:id="24"/>
      <w:bookmarkEnd w:id="25"/>
      <w:bookmarkEnd w:id="26"/>
      <w:bookmarkEnd w:id="27"/>
    </w:p>
    <w:p w14:paraId="5B8745A0">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eastAsia="仿宋_GB2312" w:cs="Times New Roman"/>
          <w:bCs/>
          <w:caps/>
          <w:szCs w:val="28"/>
          <w:lang w:eastAsia="en-US"/>
        </w:rPr>
        <w:fldChar w:fldCharType="begin"/>
      </w:r>
      <w:r>
        <w:rPr>
          <w:rFonts w:eastAsia="仿宋_GB2312" w:cs="Times New Roman"/>
          <w:bCs/>
          <w:caps/>
          <w:szCs w:val="28"/>
        </w:rPr>
        <w:instrText xml:space="preserve"> TOC \o "1-3" \u </w:instrText>
      </w:r>
      <w:r>
        <w:rPr>
          <w:rFonts w:eastAsia="仿宋_GB2312" w:cs="Times New Roman"/>
          <w:bCs/>
          <w:caps/>
          <w:szCs w:val="28"/>
          <w:lang w:eastAsia="en-US"/>
        </w:rPr>
        <w:fldChar w:fldCharType="separate"/>
      </w:r>
      <w:r>
        <w:rPr>
          <w:rFonts w:hint="eastAsia"/>
        </w:rPr>
        <w:t>前  言</w:t>
      </w:r>
      <w:r>
        <w:rPr>
          <w:rFonts w:hint="eastAsia"/>
        </w:rPr>
        <w:tab/>
      </w:r>
      <w:r>
        <w:rPr>
          <w:rFonts w:hint="eastAsia"/>
        </w:rPr>
        <w:fldChar w:fldCharType="begin"/>
      </w:r>
      <w:r>
        <w:rPr>
          <w:rFonts w:hint="eastAsia"/>
        </w:rPr>
        <w:instrText xml:space="preserve"> </w:instrText>
      </w:r>
      <w:r>
        <w:instrText xml:space="preserve">PAGEREF _Toc215210524 \h</w:instrText>
      </w:r>
      <w:r>
        <w:rPr>
          <w:rFonts w:hint="eastAsia"/>
        </w:rPr>
        <w:instrText xml:space="preserve"> </w:instrText>
      </w:r>
      <w:r>
        <w:rPr>
          <w:rFonts w:hint="eastAsia"/>
        </w:rPr>
        <w:fldChar w:fldCharType="separate"/>
      </w:r>
      <w:r>
        <w:t>I</w:t>
      </w:r>
      <w:r>
        <w:rPr>
          <w:rFonts w:hint="eastAsia"/>
        </w:rPr>
        <w:fldChar w:fldCharType="end"/>
      </w:r>
    </w:p>
    <w:p w14:paraId="6F86F0F3">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hint="eastAsia"/>
        </w:rPr>
        <w:t>目  录</w:t>
      </w:r>
      <w:r>
        <w:rPr>
          <w:rFonts w:hint="eastAsia"/>
        </w:rPr>
        <w:tab/>
      </w:r>
      <w:r>
        <w:rPr>
          <w:rFonts w:hint="eastAsia"/>
        </w:rPr>
        <w:fldChar w:fldCharType="begin"/>
      </w:r>
      <w:r>
        <w:rPr>
          <w:rFonts w:hint="eastAsia"/>
        </w:rPr>
        <w:instrText xml:space="preserve"> </w:instrText>
      </w:r>
      <w:r>
        <w:instrText xml:space="preserve">PAGEREF _Toc215210525 \h</w:instrText>
      </w:r>
      <w:r>
        <w:rPr>
          <w:rFonts w:hint="eastAsia"/>
        </w:rPr>
        <w:instrText xml:space="preserve"> </w:instrText>
      </w:r>
      <w:r>
        <w:rPr>
          <w:rFonts w:hint="eastAsia"/>
        </w:rPr>
        <w:fldChar w:fldCharType="separate"/>
      </w:r>
      <w:r>
        <w:t>I</w:t>
      </w:r>
      <w:r>
        <w:rPr>
          <w:rFonts w:hint="eastAsia"/>
        </w:rPr>
        <w:fldChar w:fldCharType="end"/>
      </w:r>
    </w:p>
    <w:p w14:paraId="26D694B6">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hint="eastAsia"/>
        </w:rPr>
        <w:t>第1章 编制说明</w:t>
      </w:r>
      <w:r>
        <w:rPr>
          <w:rFonts w:hint="eastAsia"/>
        </w:rPr>
        <w:tab/>
      </w:r>
      <w:r>
        <w:rPr>
          <w:rFonts w:hint="eastAsia"/>
        </w:rPr>
        <w:fldChar w:fldCharType="begin"/>
      </w:r>
      <w:r>
        <w:rPr>
          <w:rFonts w:hint="eastAsia"/>
        </w:rPr>
        <w:instrText xml:space="preserve"> </w:instrText>
      </w:r>
      <w:r>
        <w:instrText xml:space="preserve">PAGEREF _Toc215210526 \h</w:instrText>
      </w:r>
      <w:r>
        <w:rPr>
          <w:rFonts w:hint="eastAsia"/>
        </w:rPr>
        <w:instrText xml:space="preserve"> </w:instrText>
      </w:r>
      <w:r>
        <w:rPr>
          <w:rFonts w:hint="eastAsia"/>
        </w:rPr>
        <w:fldChar w:fldCharType="separate"/>
      </w:r>
      <w:r>
        <w:t>1</w:t>
      </w:r>
      <w:r>
        <w:rPr>
          <w:rFonts w:hint="eastAsia"/>
        </w:rPr>
        <w:fldChar w:fldCharType="end"/>
      </w:r>
    </w:p>
    <w:p w14:paraId="1113DC77">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1.1概述</w:t>
      </w:r>
      <w:r>
        <w:rPr>
          <w:rFonts w:hint="eastAsia"/>
        </w:rPr>
        <w:tab/>
      </w:r>
      <w:r>
        <w:rPr>
          <w:rFonts w:hint="eastAsia"/>
        </w:rPr>
        <w:fldChar w:fldCharType="begin"/>
      </w:r>
      <w:r>
        <w:rPr>
          <w:rFonts w:hint="eastAsia"/>
        </w:rPr>
        <w:instrText xml:space="preserve"> </w:instrText>
      </w:r>
      <w:r>
        <w:instrText xml:space="preserve">PAGEREF _Toc215210527 \h</w:instrText>
      </w:r>
      <w:r>
        <w:rPr>
          <w:rFonts w:hint="eastAsia"/>
        </w:rPr>
        <w:instrText xml:space="preserve"> </w:instrText>
      </w:r>
      <w:r>
        <w:rPr>
          <w:rFonts w:hint="eastAsia"/>
        </w:rPr>
        <w:fldChar w:fldCharType="separate"/>
      </w:r>
      <w:r>
        <w:t>1</w:t>
      </w:r>
      <w:r>
        <w:rPr>
          <w:rFonts w:hint="eastAsia"/>
        </w:rPr>
        <w:fldChar w:fldCharType="end"/>
      </w:r>
    </w:p>
    <w:p w14:paraId="41FD8C9C">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1.2编制依据</w:t>
      </w:r>
      <w:r>
        <w:rPr>
          <w:rFonts w:hint="eastAsia"/>
        </w:rPr>
        <w:tab/>
      </w:r>
      <w:r>
        <w:rPr>
          <w:rFonts w:hint="eastAsia"/>
        </w:rPr>
        <w:fldChar w:fldCharType="begin"/>
      </w:r>
      <w:r>
        <w:rPr>
          <w:rFonts w:hint="eastAsia"/>
        </w:rPr>
        <w:instrText xml:space="preserve"> </w:instrText>
      </w:r>
      <w:r>
        <w:instrText xml:space="preserve">PAGEREF _Toc215210528 \h</w:instrText>
      </w:r>
      <w:r>
        <w:rPr>
          <w:rFonts w:hint="eastAsia"/>
        </w:rPr>
        <w:instrText xml:space="preserve"> </w:instrText>
      </w:r>
      <w:r>
        <w:rPr>
          <w:rFonts w:hint="eastAsia"/>
        </w:rPr>
        <w:fldChar w:fldCharType="separate"/>
      </w:r>
      <w:r>
        <w:t>2</w:t>
      </w:r>
      <w:r>
        <w:rPr>
          <w:rFonts w:hint="eastAsia"/>
        </w:rPr>
        <w:fldChar w:fldCharType="end"/>
      </w:r>
    </w:p>
    <w:p w14:paraId="37080C2C">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1.2.1法律、法规</w:t>
      </w:r>
      <w:r>
        <w:rPr>
          <w:rFonts w:hint="eastAsia"/>
        </w:rPr>
        <w:tab/>
      </w:r>
      <w:r>
        <w:rPr>
          <w:rFonts w:hint="eastAsia"/>
        </w:rPr>
        <w:fldChar w:fldCharType="begin"/>
      </w:r>
      <w:r>
        <w:rPr>
          <w:rFonts w:hint="eastAsia"/>
        </w:rPr>
        <w:instrText xml:space="preserve"> </w:instrText>
      </w:r>
      <w:r>
        <w:instrText xml:space="preserve">PAGEREF _Toc215210529 \h</w:instrText>
      </w:r>
      <w:r>
        <w:rPr>
          <w:rFonts w:hint="eastAsia"/>
        </w:rPr>
        <w:instrText xml:space="preserve"> </w:instrText>
      </w:r>
      <w:r>
        <w:rPr>
          <w:rFonts w:hint="eastAsia"/>
        </w:rPr>
        <w:fldChar w:fldCharType="separate"/>
      </w:r>
      <w:r>
        <w:t>2</w:t>
      </w:r>
      <w:r>
        <w:rPr>
          <w:rFonts w:hint="eastAsia"/>
        </w:rPr>
        <w:fldChar w:fldCharType="end"/>
      </w:r>
    </w:p>
    <w:p w14:paraId="4AC7C31C">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1.2.2部门规章及规范性文件</w:t>
      </w:r>
      <w:r>
        <w:rPr>
          <w:rFonts w:hint="eastAsia"/>
        </w:rPr>
        <w:tab/>
      </w:r>
      <w:r>
        <w:rPr>
          <w:rFonts w:hint="eastAsia"/>
        </w:rPr>
        <w:fldChar w:fldCharType="begin"/>
      </w:r>
      <w:r>
        <w:rPr>
          <w:rFonts w:hint="eastAsia"/>
        </w:rPr>
        <w:instrText xml:space="preserve"> </w:instrText>
      </w:r>
      <w:r>
        <w:instrText xml:space="preserve">PAGEREF _Toc215210530 \h</w:instrText>
      </w:r>
      <w:r>
        <w:rPr>
          <w:rFonts w:hint="eastAsia"/>
        </w:rPr>
        <w:instrText xml:space="preserve"> </w:instrText>
      </w:r>
      <w:r>
        <w:rPr>
          <w:rFonts w:hint="eastAsia"/>
        </w:rPr>
        <w:fldChar w:fldCharType="separate"/>
      </w:r>
      <w:r>
        <w:t>3</w:t>
      </w:r>
      <w:r>
        <w:rPr>
          <w:rFonts w:hint="eastAsia"/>
        </w:rPr>
        <w:fldChar w:fldCharType="end"/>
      </w:r>
    </w:p>
    <w:p w14:paraId="6C94DBD1">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1.2.3标准、规范</w:t>
      </w:r>
      <w:r>
        <w:rPr>
          <w:rFonts w:hint="eastAsia"/>
        </w:rPr>
        <w:tab/>
      </w:r>
      <w:r>
        <w:rPr>
          <w:rFonts w:hint="eastAsia"/>
        </w:rPr>
        <w:fldChar w:fldCharType="begin"/>
      </w:r>
      <w:r>
        <w:rPr>
          <w:rFonts w:hint="eastAsia"/>
        </w:rPr>
        <w:instrText xml:space="preserve"> </w:instrText>
      </w:r>
      <w:r>
        <w:instrText xml:space="preserve">PAGEREF _Toc215210531 \h</w:instrText>
      </w:r>
      <w:r>
        <w:rPr>
          <w:rFonts w:hint="eastAsia"/>
        </w:rPr>
        <w:instrText xml:space="preserve"> </w:instrText>
      </w:r>
      <w:r>
        <w:rPr>
          <w:rFonts w:hint="eastAsia"/>
        </w:rPr>
        <w:fldChar w:fldCharType="separate"/>
      </w:r>
      <w:r>
        <w:t>5</w:t>
      </w:r>
      <w:r>
        <w:rPr>
          <w:rFonts w:hint="eastAsia"/>
        </w:rPr>
        <w:fldChar w:fldCharType="end"/>
      </w:r>
    </w:p>
    <w:p w14:paraId="25C1C82E">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1.2.4其他依据</w:t>
      </w:r>
      <w:r>
        <w:rPr>
          <w:rFonts w:hint="eastAsia"/>
        </w:rPr>
        <w:tab/>
      </w:r>
      <w:r>
        <w:rPr>
          <w:rFonts w:hint="eastAsia"/>
        </w:rPr>
        <w:fldChar w:fldCharType="begin"/>
      </w:r>
      <w:r>
        <w:rPr>
          <w:rFonts w:hint="eastAsia"/>
        </w:rPr>
        <w:instrText xml:space="preserve"> </w:instrText>
      </w:r>
      <w:r>
        <w:instrText xml:space="preserve">PAGEREF _Toc215210532 \h</w:instrText>
      </w:r>
      <w:r>
        <w:rPr>
          <w:rFonts w:hint="eastAsia"/>
        </w:rPr>
        <w:instrText xml:space="preserve"> </w:instrText>
      </w:r>
      <w:r>
        <w:rPr>
          <w:rFonts w:hint="eastAsia"/>
        </w:rPr>
        <w:fldChar w:fldCharType="separate"/>
      </w:r>
      <w:r>
        <w:t>7</w:t>
      </w:r>
      <w:r>
        <w:rPr>
          <w:rFonts w:hint="eastAsia"/>
        </w:rPr>
        <w:fldChar w:fldCharType="end"/>
      </w:r>
    </w:p>
    <w:p w14:paraId="16294BE1">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1.3综合分析的目的</w:t>
      </w:r>
      <w:r>
        <w:rPr>
          <w:rFonts w:hint="eastAsia"/>
        </w:rPr>
        <w:tab/>
      </w:r>
      <w:r>
        <w:rPr>
          <w:rFonts w:hint="eastAsia"/>
        </w:rPr>
        <w:fldChar w:fldCharType="begin"/>
      </w:r>
      <w:r>
        <w:rPr>
          <w:rFonts w:hint="eastAsia"/>
        </w:rPr>
        <w:instrText xml:space="preserve"> </w:instrText>
      </w:r>
      <w:r>
        <w:instrText xml:space="preserve">PAGEREF _Toc215210533 \h</w:instrText>
      </w:r>
      <w:r>
        <w:rPr>
          <w:rFonts w:hint="eastAsia"/>
        </w:rPr>
        <w:instrText xml:space="preserve"> </w:instrText>
      </w:r>
      <w:r>
        <w:rPr>
          <w:rFonts w:hint="eastAsia"/>
        </w:rPr>
        <w:fldChar w:fldCharType="separate"/>
      </w:r>
      <w:r>
        <w:t>8</w:t>
      </w:r>
      <w:r>
        <w:rPr>
          <w:rFonts w:hint="eastAsia"/>
        </w:rPr>
        <w:fldChar w:fldCharType="end"/>
      </w:r>
    </w:p>
    <w:p w14:paraId="4950AEEF">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1.4综合分析范围</w:t>
      </w:r>
      <w:r>
        <w:rPr>
          <w:rFonts w:hint="eastAsia"/>
        </w:rPr>
        <w:tab/>
      </w:r>
      <w:r>
        <w:rPr>
          <w:rFonts w:hint="eastAsia"/>
        </w:rPr>
        <w:fldChar w:fldCharType="begin"/>
      </w:r>
      <w:r>
        <w:rPr>
          <w:rFonts w:hint="eastAsia"/>
        </w:rPr>
        <w:instrText xml:space="preserve"> </w:instrText>
      </w:r>
      <w:r>
        <w:instrText xml:space="preserve">PAGEREF _Toc215210534 \h</w:instrText>
      </w:r>
      <w:r>
        <w:rPr>
          <w:rFonts w:hint="eastAsia"/>
        </w:rPr>
        <w:instrText xml:space="preserve"> </w:instrText>
      </w:r>
      <w:r>
        <w:rPr>
          <w:rFonts w:hint="eastAsia"/>
        </w:rPr>
        <w:fldChar w:fldCharType="separate"/>
      </w:r>
      <w:r>
        <w:t>8</w:t>
      </w:r>
      <w:r>
        <w:rPr>
          <w:rFonts w:hint="eastAsia"/>
        </w:rPr>
        <w:fldChar w:fldCharType="end"/>
      </w:r>
    </w:p>
    <w:p w14:paraId="3753E981">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hint="eastAsia"/>
        </w:rPr>
        <w:t>第2章 建设项目概况</w:t>
      </w:r>
      <w:r>
        <w:rPr>
          <w:rFonts w:hint="eastAsia"/>
        </w:rPr>
        <w:tab/>
      </w:r>
      <w:r>
        <w:rPr>
          <w:rFonts w:hint="eastAsia"/>
        </w:rPr>
        <w:fldChar w:fldCharType="begin"/>
      </w:r>
      <w:r>
        <w:rPr>
          <w:rFonts w:hint="eastAsia"/>
        </w:rPr>
        <w:instrText xml:space="preserve"> </w:instrText>
      </w:r>
      <w:r>
        <w:instrText xml:space="preserve">PAGEREF _Toc215210535 \h</w:instrText>
      </w:r>
      <w:r>
        <w:rPr>
          <w:rFonts w:hint="eastAsia"/>
        </w:rPr>
        <w:instrText xml:space="preserve"> </w:instrText>
      </w:r>
      <w:r>
        <w:rPr>
          <w:rFonts w:hint="eastAsia"/>
        </w:rPr>
        <w:fldChar w:fldCharType="separate"/>
      </w:r>
      <w:r>
        <w:t>9</w:t>
      </w:r>
      <w:r>
        <w:rPr>
          <w:rFonts w:hint="eastAsia"/>
        </w:rPr>
        <w:fldChar w:fldCharType="end"/>
      </w:r>
    </w:p>
    <w:p w14:paraId="2931DC2C">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2.1建设项目基本情况</w:t>
      </w:r>
      <w:r>
        <w:rPr>
          <w:rFonts w:hint="eastAsia"/>
        </w:rPr>
        <w:tab/>
      </w:r>
      <w:r>
        <w:rPr>
          <w:rFonts w:hint="eastAsia"/>
        </w:rPr>
        <w:fldChar w:fldCharType="begin"/>
      </w:r>
      <w:r>
        <w:rPr>
          <w:rFonts w:hint="eastAsia"/>
        </w:rPr>
        <w:instrText xml:space="preserve"> </w:instrText>
      </w:r>
      <w:r>
        <w:instrText xml:space="preserve">PAGEREF _Toc215210536 \h</w:instrText>
      </w:r>
      <w:r>
        <w:rPr>
          <w:rFonts w:hint="eastAsia"/>
        </w:rPr>
        <w:instrText xml:space="preserve"> </w:instrText>
      </w:r>
      <w:r>
        <w:rPr>
          <w:rFonts w:hint="eastAsia"/>
        </w:rPr>
        <w:fldChar w:fldCharType="separate"/>
      </w:r>
      <w:r>
        <w:t>9</w:t>
      </w:r>
      <w:r>
        <w:rPr>
          <w:rFonts w:hint="eastAsia"/>
        </w:rPr>
        <w:fldChar w:fldCharType="end"/>
      </w:r>
    </w:p>
    <w:p w14:paraId="78D84372">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2.1.1建设单位基本情况</w:t>
      </w:r>
      <w:r>
        <w:rPr>
          <w:rFonts w:hint="eastAsia"/>
        </w:rPr>
        <w:tab/>
      </w:r>
      <w:r>
        <w:rPr>
          <w:rFonts w:hint="eastAsia"/>
        </w:rPr>
        <w:fldChar w:fldCharType="begin"/>
      </w:r>
      <w:r>
        <w:rPr>
          <w:rFonts w:hint="eastAsia"/>
        </w:rPr>
        <w:instrText xml:space="preserve"> </w:instrText>
      </w:r>
      <w:r>
        <w:instrText xml:space="preserve">PAGEREF _Toc215210537 \h</w:instrText>
      </w:r>
      <w:r>
        <w:rPr>
          <w:rFonts w:hint="eastAsia"/>
        </w:rPr>
        <w:instrText xml:space="preserve"> </w:instrText>
      </w:r>
      <w:r>
        <w:rPr>
          <w:rFonts w:hint="eastAsia"/>
        </w:rPr>
        <w:fldChar w:fldCharType="separate"/>
      </w:r>
      <w:r>
        <w:t>9</w:t>
      </w:r>
      <w:r>
        <w:rPr>
          <w:rFonts w:hint="eastAsia"/>
        </w:rPr>
        <w:fldChar w:fldCharType="end"/>
      </w:r>
    </w:p>
    <w:p w14:paraId="1BA066D9">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2.1.2 建设项目基本情况</w:t>
      </w:r>
      <w:r>
        <w:rPr>
          <w:rFonts w:hint="eastAsia"/>
        </w:rPr>
        <w:tab/>
      </w:r>
      <w:r>
        <w:rPr>
          <w:rFonts w:hint="eastAsia"/>
        </w:rPr>
        <w:fldChar w:fldCharType="begin"/>
      </w:r>
      <w:r>
        <w:rPr>
          <w:rFonts w:hint="eastAsia"/>
        </w:rPr>
        <w:instrText xml:space="preserve"> </w:instrText>
      </w:r>
      <w:r>
        <w:instrText xml:space="preserve">PAGEREF _Toc215210538 \h</w:instrText>
      </w:r>
      <w:r>
        <w:rPr>
          <w:rFonts w:hint="eastAsia"/>
        </w:rPr>
        <w:instrText xml:space="preserve"> </w:instrText>
      </w:r>
      <w:r>
        <w:rPr>
          <w:rFonts w:hint="eastAsia"/>
        </w:rPr>
        <w:fldChar w:fldCharType="separate"/>
      </w:r>
      <w:r>
        <w:t>10</w:t>
      </w:r>
      <w:r>
        <w:rPr>
          <w:rFonts w:hint="eastAsia"/>
        </w:rPr>
        <w:fldChar w:fldCharType="end"/>
      </w:r>
    </w:p>
    <w:p w14:paraId="7396652D">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2.1.3 项目建设背景</w:t>
      </w:r>
      <w:r>
        <w:rPr>
          <w:rFonts w:hint="eastAsia"/>
        </w:rPr>
        <w:tab/>
      </w:r>
      <w:r>
        <w:rPr>
          <w:rFonts w:hint="eastAsia"/>
        </w:rPr>
        <w:fldChar w:fldCharType="begin"/>
      </w:r>
      <w:r>
        <w:rPr>
          <w:rFonts w:hint="eastAsia"/>
        </w:rPr>
        <w:instrText xml:space="preserve"> </w:instrText>
      </w:r>
      <w:r>
        <w:instrText xml:space="preserve">PAGEREF _Toc215210539 \h</w:instrText>
      </w:r>
      <w:r>
        <w:rPr>
          <w:rFonts w:hint="eastAsia"/>
        </w:rPr>
        <w:instrText xml:space="preserve"> </w:instrText>
      </w:r>
      <w:r>
        <w:rPr>
          <w:rFonts w:hint="eastAsia"/>
        </w:rPr>
        <w:fldChar w:fldCharType="separate"/>
      </w:r>
      <w:r>
        <w:t>11</w:t>
      </w:r>
      <w:r>
        <w:rPr>
          <w:rFonts w:hint="eastAsia"/>
        </w:rPr>
        <w:fldChar w:fldCharType="end"/>
      </w:r>
    </w:p>
    <w:p w14:paraId="6BB46116">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2.2 自然条件</w:t>
      </w:r>
      <w:r>
        <w:rPr>
          <w:rFonts w:hint="eastAsia"/>
        </w:rPr>
        <w:tab/>
      </w:r>
      <w:r>
        <w:rPr>
          <w:rFonts w:hint="eastAsia"/>
        </w:rPr>
        <w:fldChar w:fldCharType="begin"/>
      </w:r>
      <w:r>
        <w:rPr>
          <w:rFonts w:hint="eastAsia"/>
        </w:rPr>
        <w:instrText xml:space="preserve"> </w:instrText>
      </w:r>
      <w:r>
        <w:instrText xml:space="preserve">PAGEREF _Toc215210540 \h</w:instrText>
      </w:r>
      <w:r>
        <w:rPr>
          <w:rFonts w:hint="eastAsia"/>
        </w:rPr>
        <w:instrText xml:space="preserve"> </w:instrText>
      </w:r>
      <w:r>
        <w:rPr>
          <w:rFonts w:hint="eastAsia"/>
        </w:rPr>
        <w:fldChar w:fldCharType="separate"/>
      </w:r>
      <w:r>
        <w:t>13</w:t>
      </w:r>
      <w:r>
        <w:rPr>
          <w:rFonts w:hint="eastAsia"/>
        </w:rPr>
        <w:fldChar w:fldCharType="end"/>
      </w:r>
    </w:p>
    <w:p w14:paraId="01FD7F02">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2.2.1 地理位置</w:t>
      </w:r>
      <w:r>
        <w:rPr>
          <w:rFonts w:hint="eastAsia"/>
        </w:rPr>
        <w:tab/>
      </w:r>
      <w:r>
        <w:rPr>
          <w:rFonts w:hint="eastAsia"/>
        </w:rPr>
        <w:fldChar w:fldCharType="begin"/>
      </w:r>
      <w:r>
        <w:rPr>
          <w:rFonts w:hint="eastAsia"/>
        </w:rPr>
        <w:instrText xml:space="preserve"> </w:instrText>
      </w:r>
      <w:r>
        <w:instrText xml:space="preserve">PAGEREF _Toc215210541 \h</w:instrText>
      </w:r>
      <w:r>
        <w:rPr>
          <w:rFonts w:hint="eastAsia"/>
        </w:rPr>
        <w:instrText xml:space="preserve"> </w:instrText>
      </w:r>
      <w:r>
        <w:rPr>
          <w:rFonts w:hint="eastAsia"/>
        </w:rPr>
        <w:fldChar w:fldCharType="separate"/>
      </w:r>
      <w:r>
        <w:t>13</w:t>
      </w:r>
      <w:r>
        <w:rPr>
          <w:rFonts w:hint="eastAsia"/>
        </w:rPr>
        <w:fldChar w:fldCharType="end"/>
      </w:r>
    </w:p>
    <w:p w14:paraId="74FE267F">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2.2.2 周边情况</w:t>
      </w:r>
      <w:r>
        <w:rPr>
          <w:rFonts w:hint="eastAsia"/>
        </w:rPr>
        <w:tab/>
      </w:r>
      <w:r>
        <w:rPr>
          <w:rFonts w:hint="eastAsia"/>
        </w:rPr>
        <w:fldChar w:fldCharType="begin"/>
      </w:r>
      <w:r>
        <w:rPr>
          <w:rFonts w:hint="eastAsia"/>
        </w:rPr>
        <w:instrText xml:space="preserve"> </w:instrText>
      </w:r>
      <w:r>
        <w:instrText xml:space="preserve">PAGEREF _Toc215210542 \h</w:instrText>
      </w:r>
      <w:r>
        <w:rPr>
          <w:rFonts w:hint="eastAsia"/>
        </w:rPr>
        <w:instrText xml:space="preserve"> </w:instrText>
      </w:r>
      <w:r>
        <w:rPr>
          <w:rFonts w:hint="eastAsia"/>
        </w:rPr>
        <w:fldChar w:fldCharType="separate"/>
      </w:r>
      <w:r>
        <w:t>14</w:t>
      </w:r>
      <w:r>
        <w:rPr>
          <w:rFonts w:hint="eastAsia"/>
        </w:rPr>
        <w:fldChar w:fldCharType="end"/>
      </w:r>
    </w:p>
    <w:p w14:paraId="5517CDE0">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2.2.3 气象条件</w:t>
      </w:r>
      <w:r>
        <w:rPr>
          <w:rFonts w:hint="eastAsia"/>
        </w:rPr>
        <w:tab/>
      </w:r>
      <w:r>
        <w:rPr>
          <w:rFonts w:hint="eastAsia"/>
        </w:rPr>
        <w:fldChar w:fldCharType="begin"/>
      </w:r>
      <w:r>
        <w:rPr>
          <w:rFonts w:hint="eastAsia"/>
        </w:rPr>
        <w:instrText xml:space="preserve"> </w:instrText>
      </w:r>
      <w:r>
        <w:instrText xml:space="preserve">PAGEREF _Toc215210543 \h</w:instrText>
      </w:r>
      <w:r>
        <w:rPr>
          <w:rFonts w:hint="eastAsia"/>
        </w:rPr>
        <w:instrText xml:space="preserve"> </w:instrText>
      </w:r>
      <w:r>
        <w:rPr>
          <w:rFonts w:hint="eastAsia"/>
        </w:rPr>
        <w:fldChar w:fldCharType="separate"/>
      </w:r>
      <w:r>
        <w:t>15</w:t>
      </w:r>
      <w:r>
        <w:rPr>
          <w:rFonts w:hint="eastAsia"/>
        </w:rPr>
        <w:fldChar w:fldCharType="end"/>
      </w:r>
    </w:p>
    <w:p w14:paraId="0D41DEF9">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2.2.4 地质条件</w:t>
      </w:r>
      <w:r>
        <w:rPr>
          <w:rFonts w:hint="eastAsia"/>
        </w:rPr>
        <w:tab/>
      </w:r>
      <w:r>
        <w:rPr>
          <w:rFonts w:hint="eastAsia"/>
        </w:rPr>
        <w:fldChar w:fldCharType="begin"/>
      </w:r>
      <w:r>
        <w:rPr>
          <w:rFonts w:hint="eastAsia"/>
        </w:rPr>
        <w:instrText xml:space="preserve"> </w:instrText>
      </w:r>
      <w:r>
        <w:instrText xml:space="preserve">PAGEREF _Toc215210544 \h</w:instrText>
      </w:r>
      <w:r>
        <w:rPr>
          <w:rFonts w:hint="eastAsia"/>
        </w:rPr>
        <w:instrText xml:space="preserve"> </w:instrText>
      </w:r>
      <w:r>
        <w:rPr>
          <w:rFonts w:hint="eastAsia"/>
        </w:rPr>
        <w:fldChar w:fldCharType="separate"/>
      </w:r>
      <w:r>
        <w:t>16</w:t>
      </w:r>
      <w:r>
        <w:rPr>
          <w:rFonts w:hint="eastAsia"/>
        </w:rPr>
        <w:fldChar w:fldCharType="end"/>
      </w:r>
    </w:p>
    <w:p w14:paraId="3313ACB5">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2.2.5地震</w:t>
      </w:r>
      <w:r>
        <w:rPr>
          <w:rFonts w:hint="eastAsia"/>
        </w:rPr>
        <w:tab/>
      </w:r>
      <w:r>
        <w:rPr>
          <w:rFonts w:hint="eastAsia"/>
        </w:rPr>
        <w:fldChar w:fldCharType="begin"/>
      </w:r>
      <w:r>
        <w:rPr>
          <w:rFonts w:hint="eastAsia"/>
        </w:rPr>
        <w:instrText xml:space="preserve"> </w:instrText>
      </w:r>
      <w:r>
        <w:instrText xml:space="preserve">PAGEREF _Toc215210545 \h</w:instrText>
      </w:r>
      <w:r>
        <w:rPr>
          <w:rFonts w:hint="eastAsia"/>
        </w:rPr>
        <w:instrText xml:space="preserve"> </w:instrText>
      </w:r>
      <w:r>
        <w:rPr>
          <w:rFonts w:hint="eastAsia"/>
        </w:rPr>
        <w:fldChar w:fldCharType="separate"/>
      </w:r>
      <w:r>
        <w:t>19</w:t>
      </w:r>
      <w:r>
        <w:rPr>
          <w:rFonts w:hint="eastAsia"/>
        </w:rPr>
        <w:fldChar w:fldCharType="end"/>
      </w:r>
    </w:p>
    <w:p w14:paraId="14D562B7">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2.3 生产规模</w:t>
      </w:r>
      <w:r>
        <w:rPr>
          <w:rFonts w:hint="eastAsia"/>
        </w:rPr>
        <w:tab/>
      </w:r>
      <w:r>
        <w:rPr>
          <w:rFonts w:hint="eastAsia"/>
        </w:rPr>
        <w:fldChar w:fldCharType="begin"/>
      </w:r>
      <w:r>
        <w:rPr>
          <w:rFonts w:hint="eastAsia"/>
        </w:rPr>
        <w:instrText xml:space="preserve"> </w:instrText>
      </w:r>
      <w:r>
        <w:instrText xml:space="preserve">PAGEREF _Toc215210546 \h</w:instrText>
      </w:r>
      <w:r>
        <w:rPr>
          <w:rFonts w:hint="eastAsia"/>
        </w:rPr>
        <w:instrText xml:space="preserve"> </w:instrText>
      </w:r>
      <w:r>
        <w:rPr>
          <w:rFonts w:hint="eastAsia"/>
        </w:rPr>
        <w:fldChar w:fldCharType="separate"/>
      </w:r>
      <w:r>
        <w:t>19</w:t>
      </w:r>
      <w:r>
        <w:rPr>
          <w:rFonts w:hint="eastAsia"/>
        </w:rPr>
        <w:fldChar w:fldCharType="end"/>
      </w:r>
    </w:p>
    <w:p w14:paraId="5938BA7B">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2.4拟建项目概述</w:t>
      </w:r>
      <w:r>
        <w:rPr>
          <w:rFonts w:hint="eastAsia"/>
        </w:rPr>
        <w:tab/>
      </w:r>
      <w:r>
        <w:rPr>
          <w:rFonts w:hint="eastAsia"/>
        </w:rPr>
        <w:fldChar w:fldCharType="begin"/>
      </w:r>
      <w:r>
        <w:rPr>
          <w:rFonts w:hint="eastAsia"/>
        </w:rPr>
        <w:instrText xml:space="preserve"> </w:instrText>
      </w:r>
      <w:r>
        <w:instrText xml:space="preserve">PAGEREF _Toc215210547 \h</w:instrText>
      </w:r>
      <w:r>
        <w:rPr>
          <w:rFonts w:hint="eastAsia"/>
        </w:rPr>
        <w:instrText xml:space="preserve"> </w:instrText>
      </w:r>
      <w:r>
        <w:rPr>
          <w:rFonts w:hint="eastAsia"/>
        </w:rPr>
        <w:fldChar w:fldCharType="separate"/>
      </w:r>
      <w:r>
        <w:t>19</w:t>
      </w:r>
      <w:r>
        <w:rPr>
          <w:rFonts w:hint="eastAsia"/>
        </w:rPr>
        <w:fldChar w:fldCharType="end"/>
      </w:r>
    </w:p>
    <w:p w14:paraId="7056DCC5">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2.4.1 项目现状</w:t>
      </w:r>
      <w:r>
        <w:rPr>
          <w:rFonts w:hint="eastAsia"/>
        </w:rPr>
        <w:tab/>
      </w:r>
      <w:r>
        <w:rPr>
          <w:rFonts w:hint="eastAsia"/>
        </w:rPr>
        <w:fldChar w:fldCharType="begin"/>
      </w:r>
      <w:r>
        <w:rPr>
          <w:rFonts w:hint="eastAsia"/>
        </w:rPr>
        <w:instrText xml:space="preserve"> </w:instrText>
      </w:r>
      <w:r>
        <w:instrText xml:space="preserve">PAGEREF _Toc215210548 \h</w:instrText>
      </w:r>
      <w:r>
        <w:rPr>
          <w:rFonts w:hint="eastAsia"/>
        </w:rPr>
        <w:instrText xml:space="preserve"> </w:instrText>
      </w:r>
      <w:r>
        <w:rPr>
          <w:rFonts w:hint="eastAsia"/>
        </w:rPr>
        <w:fldChar w:fldCharType="separate"/>
      </w:r>
      <w:r>
        <w:t>19</w:t>
      </w:r>
      <w:r>
        <w:rPr>
          <w:rFonts w:hint="eastAsia"/>
        </w:rPr>
        <w:fldChar w:fldCharType="end"/>
      </w:r>
    </w:p>
    <w:p w14:paraId="4F605479">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2.4.2智能化生产线</w:t>
      </w:r>
      <w:r>
        <w:rPr>
          <w:rFonts w:hint="eastAsia"/>
        </w:rPr>
        <w:tab/>
      </w:r>
      <w:r>
        <w:rPr>
          <w:rFonts w:hint="eastAsia"/>
        </w:rPr>
        <w:fldChar w:fldCharType="begin"/>
      </w:r>
      <w:r>
        <w:rPr>
          <w:rFonts w:hint="eastAsia"/>
        </w:rPr>
        <w:instrText xml:space="preserve"> </w:instrText>
      </w:r>
      <w:r>
        <w:instrText xml:space="preserve">PAGEREF _Toc215210549 \h</w:instrText>
      </w:r>
      <w:r>
        <w:rPr>
          <w:rFonts w:hint="eastAsia"/>
        </w:rPr>
        <w:instrText xml:space="preserve"> </w:instrText>
      </w:r>
      <w:r>
        <w:rPr>
          <w:rFonts w:hint="eastAsia"/>
        </w:rPr>
        <w:fldChar w:fldCharType="separate"/>
      </w:r>
      <w:r>
        <w:t>34</w:t>
      </w:r>
      <w:r>
        <w:rPr>
          <w:rFonts w:hint="eastAsia"/>
        </w:rPr>
        <w:fldChar w:fldCharType="end"/>
      </w:r>
    </w:p>
    <w:p w14:paraId="3D9576CE">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2.4.3数字化管理平台</w:t>
      </w:r>
      <w:r>
        <w:rPr>
          <w:rFonts w:hint="eastAsia"/>
        </w:rPr>
        <w:tab/>
      </w:r>
      <w:r>
        <w:rPr>
          <w:rFonts w:hint="eastAsia"/>
        </w:rPr>
        <w:fldChar w:fldCharType="begin"/>
      </w:r>
      <w:r>
        <w:rPr>
          <w:rFonts w:hint="eastAsia"/>
        </w:rPr>
        <w:instrText xml:space="preserve"> </w:instrText>
      </w:r>
      <w:r>
        <w:instrText xml:space="preserve">PAGEREF _Toc215210550 \h</w:instrText>
      </w:r>
      <w:r>
        <w:rPr>
          <w:rFonts w:hint="eastAsia"/>
        </w:rPr>
        <w:instrText xml:space="preserve"> </w:instrText>
      </w:r>
      <w:r>
        <w:rPr>
          <w:rFonts w:hint="eastAsia"/>
        </w:rPr>
        <w:fldChar w:fldCharType="separate"/>
      </w:r>
      <w:r>
        <w:t>36</w:t>
      </w:r>
      <w:r>
        <w:rPr>
          <w:rFonts w:hint="eastAsia"/>
        </w:rPr>
        <w:fldChar w:fldCharType="end"/>
      </w:r>
    </w:p>
    <w:p w14:paraId="29FB964D">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2.4.4绿色制造设施</w:t>
      </w:r>
      <w:r>
        <w:rPr>
          <w:rFonts w:hint="eastAsia"/>
        </w:rPr>
        <w:tab/>
      </w:r>
      <w:r>
        <w:rPr>
          <w:rFonts w:hint="eastAsia"/>
        </w:rPr>
        <w:fldChar w:fldCharType="begin"/>
      </w:r>
      <w:r>
        <w:rPr>
          <w:rFonts w:hint="eastAsia"/>
        </w:rPr>
        <w:instrText xml:space="preserve"> </w:instrText>
      </w:r>
      <w:r>
        <w:instrText xml:space="preserve">PAGEREF _Toc215210551 \h</w:instrText>
      </w:r>
      <w:r>
        <w:rPr>
          <w:rFonts w:hint="eastAsia"/>
        </w:rPr>
        <w:instrText xml:space="preserve"> </w:instrText>
      </w:r>
      <w:r>
        <w:rPr>
          <w:rFonts w:hint="eastAsia"/>
        </w:rPr>
        <w:fldChar w:fldCharType="separate"/>
      </w:r>
      <w:r>
        <w:t>37</w:t>
      </w:r>
      <w:r>
        <w:rPr>
          <w:rFonts w:hint="eastAsia"/>
        </w:rPr>
        <w:fldChar w:fldCharType="end"/>
      </w:r>
    </w:p>
    <w:p w14:paraId="33C1DD2B">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2.4.5研发检测中心</w:t>
      </w:r>
      <w:r>
        <w:rPr>
          <w:rFonts w:hint="eastAsia"/>
        </w:rPr>
        <w:tab/>
      </w:r>
      <w:r>
        <w:rPr>
          <w:rFonts w:hint="eastAsia"/>
        </w:rPr>
        <w:fldChar w:fldCharType="begin"/>
      </w:r>
      <w:r>
        <w:rPr>
          <w:rFonts w:hint="eastAsia"/>
        </w:rPr>
        <w:instrText xml:space="preserve"> </w:instrText>
      </w:r>
      <w:r>
        <w:instrText xml:space="preserve">PAGEREF _Toc215210552 \h</w:instrText>
      </w:r>
      <w:r>
        <w:rPr>
          <w:rFonts w:hint="eastAsia"/>
        </w:rPr>
        <w:instrText xml:space="preserve"> </w:instrText>
      </w:r>
      <w:r>
        <w:rPr>
          <w:rFonts w:hint="eastAsia"/>
        </w:rPr>
        <w:fldChar w:fldCharType="separate"/>
      </w:r>
      <w:r>
        <w:t>39</w:t>
      </w:r>
      <w:r>
        <w:rPr>
          <w:rFonts w:hint="eastAsia"/>
        </w:rPr>
        <w:fldChar w:fldCharType="end"/>
      </w:r>
    </w:p>
    <w:p w14:paraId="2F4E8241">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2.4.6主要设备</w:t>
      </w:r>
      <w:r>
        <w:rPr>
          <w:rFonts w:hint="eastAsia"/>
        </w:rPr>
        <w:tab/>
      </w:r>
      <w:r>
        <w:rPr>
          <w:rFonts w:hint="eastAsia"/>
        </w:rPr>
        <w:fldChar w:fldCharType="begin"/>
      </w:r>
      <w:r>
        <w:rPr>
          <w:rFonts w:hint="eastAsia"/>
        </w:rPr>
        <w:instrText xml:space="preserve"> </w:instrText>
      </w:r>
      <w:r>
        <w:instrText xml:space="preserve">PAGEREF _Toc215210553 \h</w:instrText>
      </w:r>
      <w:r>
        <w:rPr>
          <w:rFonts w:hint="eastAsia"/>
        </w:rPr>
        <w:instrText xml:space="preserve"> </w:instrText>
      </w:r>
      <w:r>
        <w:rPr>
          <w:rFonts w:hint="eastAsia"/>
        </w:rPr>
        <w:fldChar w:fldCharType="separate"/>
      </w:r>
      <w:r>
        <w:t>41</w:t>
      </w:r>
      <w:r>
        <w:rPr>
          <w:rFonts w:hint="eastAsia"/>
        </w:rPr>
        <w:fldChar w:fldCharType="end"/>
      </w:r>
    </w:p>
    <w:p w14:paraId="71E7C3F6">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2.6安全管理情况</w:t>
      </w:r>
      <w:r>
        <w:rPr>
          <w:rFonts w:hint="eastAsia"/>
        </w:rPr>
        <w:tab/>
      </w:r>
      <w:r>
        <w:rPr>
          <w:rFonts w:hint="eastAsia"/>
        </w:rPr>
        <w:fldChar w:fldCharType="begin"/>
      </w:r>
      <w:r>
        <w:rPr>
          <w:rFonts w:hint="eastAsia"/>
        </w:rPr>
        <w:instrText xml:space="preserve"> </w:instrText>
      </w:r>
      <w:r>
        <w:instrText xml:space="preserve">PAGEREF _Toc215210554 \h</w:instrText>
      </w:r>
      <w:r>
        <w:rPr>
          <w:rFonts w:hint="eastAsia"/>
        </w:rPr>
        <w:instrText xml:space="preserve"> </w:instrText>
      </w:r>
      <w:r>
        <w:rPr>
          <w:rFonts w:hint="eastAsia"/>
        </w:rPr>
        <w:fldChar w:fldCharType="separate"/>
      </w:r>
      <w:r>
        <w:t>48</w:t>
      </w:r>
      <w:r>
        <w:rPr>
          <w:rFonts w:hint="eastAsia"/>
        </w:rPr>
        <w:fldChar w:fldCharType="end"/>
      </w:r>
    </w:p>
    <w:p w14:paraId="6355B817">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2.5.1安全管理机构</w:t>
      </w:r>
      <w:r>
        <w:rPr>
          <w:rFonts w:hint="eastAsia"/>
        </w:rPr>
        <w:tab/>
      </w:r>
      <w:r>
        <w:rPr>
          <w:rFonts w:hint="eastAsia"/>
        </w:rPr>
        <w:fldChar w:fldCharType="begin"/>
      </w:r>
      <w:r>
        <w:rPr>
          <w:rFonts w:hint="eastAsia"/>
        </w:rPr>
        <w:instrText xml:space="preserve"> </w:instrText>
      </w:r>
      <w:r>
        <w:instrText xml:space="preserve">PAGEREF _Toc215210555 \h</w:instrText>
      </w:r>
      <w:r>
        <w:rPr>
          <w:rFonts w:hint="eastAsia"/>
        </w:rPr>
        <w:instrText xml:space="preserve"> </w:instrText>
      </w:r>
      <w:r>
        <w:rPr>
          <w:rFonts w:hint="eastAsia"/>
        </w:rPr>
        <w:fldChar w:fldCharType="separate"/>
      </w:r>
      <w:r>
        <w:t>48</w:t>
      </w:r>
      <w:r>
        <w:rPr>
          <w:rFonts w:hint="eastAsia"/>
        </w:rPr>
        <w:fldChar w:fldCharType="end"/>
      </w:r>
    </w:p>
    <w:p w14:paraId="6A8430C8">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2.6.2劳动定员</w:t>
      </w:r>
      <w:r>
        <w:rPr>
          <w:rFonts w:hint="eastAsia"/>
        </w:rPr>
        <w:tab/>
      </w:r>
      <w:r>
        <w:rPr>
          <w:rFonts w:hint="eastAsia"/>
        </w:rPr>
        <w:fldChar w:fldCharType="begin"/>
      </w:r>
      <w:r>
        <w:rPr>
          <w:rFonts w:hint="eastAsia"/>
        </w:rPr>
        <w:instrText xml:space="preserve"> </w:instrText>
      </w:r>
      <w:r>
        <w:instrText xml:space="preserve">PAGEREF _Toc215210556 \h</w:instrText>
      </w:r>
      <w:r>
        <w:rPr>
          <w:rFonts w:hint="eastAsia"/>
        </w:rPr>
        <w:instrText xml:space="preserve"> </w:instrText>
      </w:r>
      <w:r>
        <w:rPr>
          <w:rFonts w:hint="eastAsia"/>
        </w:rPr>
        <w:fldChar w:fldCharType="separate"/>
      </w:r>
      <w:r>
        <w:t>49</w:t>
      </w:r>
      <w:r>
        <w:rPr>
          <w:rFonts w:hint="eastAsia"/>
        </w:rPr>
        <w:fldChar w:fldCharType="end"/>
      </w:r>
    </w:p>
    <w:p w14:paraId="6C504E1B">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2.6.3人员教育培训</w:t>
      </w:r>
      <w:r>
        <w:rPr>
          <w:rFonts w:hint="eastAsia"/>
        </w:rPr>
        <w:tab/>
      </w:r>
      <w:r>
        <w:rPr>
          <w:rFonts w:hint="eastAsia"/>
        </w:rPr>
        <w:fldChar w:fldCharType="begin"/>
      </w:r>
      <w:r>
        <w:rPr>
          <w:rFonts w:hint="eastAsia"/>
        </w:rPr>
        <w:instrText xml:space="preserve"> </w:instrText>
      </w:r>
      <w:r>
        <w:instrText xml:space="preserve">PAGEREF _Toc215210557 \h</w:instrText>
      </w:r>
      <w:r>
        <w:rPr>
          <w:rFonts w:hint="eastAsia"/>
        </w:rPr>
        <w:instrText xml:space="preserve"> </w:instrText>
      </w:r>
      <w:r>
        <w:rPr>
          <w:rFonts w:hint="eastAsia"/>
        </w:rPr>
        <w:fldChar w:fldCharType="separate"/>
      </w:r>
      <w:r>
        <w:t>49</w:t>
      </w:r>
      <w:r>
        <w:rPr>
          <w:rFonts w:hint="eastAsia"/>
        </w:rPr>
        <w:fldChar w:fldCharType="end"/>
      </w:r>
    </w:p>
    <w:p w14:paraId="5FD15FC3">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2.7 项目安全设施及投资</w:t>
      </w:r>
      <w:r>
        <w:rPr>
          <w:rFonts w:hint="eastAsia"/>
        </w:rPr>
        <w:tab/>
      </w:r>
      <w:r>
        <w:rPr>
          <w:rFonts w:hint="eastAsia"/>
        </w:rPr>
        <w:fldChar w:fldCharType="begin"/>
      </w:r>
      <w:r>
        <w:rPr>
          <w:rFonts w:hint="eastAsia"/>
        </w:rPr>
        <w:instrText xml:space="preserve"> </w:instrText>
      </w:r>
      <w:r>
        <w:instrText xml:space="preserve">PAGEREF _Toc215210558 \h</w:instrText>
      </w:r>
      <w:r>
        <w:rPr>
          <w:rFonts w:hint="eastAsia"/>
        </w:rPr>
        <w:instrText xml:space="preserve"> </w:instrText>
      </w:r>
      <w:r>
        <w:rPr>
          <w:rFonts w:hint="eastAsia"/>
        </w:rPr>
        <w:fldChar w:fldCharType="separate"/>
      </w:r>
      <w:r>
        <w:t>49</w:t>
      </w:r>
      <w:r>
        <w:rPr>
          <w:rFonts w:hint="eastAsia"/>
        </w:rPr>
        <w:fldChar w:fldCharType="end"/>
      </w:r>
    </w:p>
    <w:p w14:paraId="7E53A2B7">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hint="eastAsia"/>
        </w:rPr>
        <w:t>第3章 主要危险、有害因素辨识与分析</w:t>
      </w:r>
      <w:r>
        <w:rPr>
          <w:rFonts w:hint="eastAsia"/>
        </w:rPr>
        <w:tab/>
      </w:r>
      <w:r>
        <w:rPr>
          <w:rFonts w:hint="eastAsia"/>
        </w:rPr>
        <w:fldChar w:fldCharType="begin"/>
      </w:r>
      <w:r>
        <w:rPr>
          <w:rFonts w:hint="eastAsia"/>
        </w:rPr>
        <w:instrText xml:space="preserve"> </w:instrText>
      </w:r>
      <w:r>
        <w:instrText xml:space="preserve">PAGEREF _Toc215210559 \h</w:instrText>
      </w:r>
      <w:r>
        <w:rPr>
          <w:rFonts w:hint="eastAsia"/>
        </w:rPr>
        <w:instrText xml:space="preserve"> </w:instrText>
      </w:r>
      <w:r>
        <w:rPr>
          <w:rFonts w:hint="eastAsia"/>
        </w:rPr>
        <w:fldChar w:fldCharType="separate"/>
      </w:r>
      <w:r>
        <w:t>50</w:t>
      </w:r>
      <w:r>
        <w:rPr>
          <w:rFonts w:hint="eastAsia"/>
        </w:rPr>
        <w:fldChar w:fldCharType="end"/>
      </w:r>
    </w:p>
    <w:p w14:paraId="69962F61">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3.1主要物质危险、有害因素分析</w:t>
      </w:r>
      <w:r>
        <w:rPr>
          <w:rFonts w:hint="eastAsia"/>
        </w:rPr>
        <w:tab/>
      </w:r>
      <w:r>
        <w:rPr>
          <w:rFonts w:hint="eastAsia"/>
        </w:rPr>
        <w:fldChar w:fldCharType="begin"/>
      </w:r>
      <w:r>
        <w:rPr>
          <w:rFonts w:hint="eastAsia"/>
        </w:rPr>
        <w:instrText xml:space="preserve"> </w:instrText>
      </w:r>
      <w:r>
        <w:instrText xml:space="preserve">PAGEREF _Toc215210560 \h</w:instrText>
      </w:r>
      <w:r>
        <w:rPr>
          <w:rFonts w:hint="eastAsia"/>
        </w:rPr>
        <w:instrText xml:space="preserve"> </w:instrText>
      </w:r>
      <w:r>
        <w:rPr>
          <w:rFonts w:hint="eastAsia"/>
        </w:rPr>
        <w:fldChar w:fldCharType="separate"/>
      </w:r>
      <w:r>
        <w:t>50</w:t>
      </w:r>
      <w:r>
        <w:rPr>
          <w:rFonts w:hint="eastAsia"/>
        </w:rPr>
        <w:fldChar w:fldCharType="end"/>
      </w:r>
    </w:p>
    <w:p w14:paraId="41A48177">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3.1.1主要危险、有害物质</w:t>
      </w:r>
      <w:r>
        <w:rPr>
          <w:rFonts w:hint="eastAsia"/>
        </w:rPr>
        <w:tab/>
      </w:r>
      <w:r>
        <w:rPr>
          <w:rFonts w:hint="eastAsia"/>
        </w:rPr>
        <w:fldChar w:fldCharType="begin"/>
      </w:r>
      <w:r>
        <w:rPr>
          <w:rFonts w:hint="eastAsia"/>
        </w:rPr>
        <w:instrText xml:space="preserve"> </w:instrText>
      </w:r>
      <w:r>
        <w:instrText xml:space="preserve">PAGEREF _Toc215210561 \h</w:instrText>
      </w:r>
      <w:r>
        <w:rPr>
          <w:rFonts w:hint="eastAsia"/>
        </w:rPr>
        <w:instrText xml:space="preserve"> </w:instrText>
      </w:r>
      <w:r>
        <w:rPr>
          <w:rFonts w:hint="eastAsia"/>
        </w:rPr>
        <w:fldChar w:fldCharType="separate"/>
      </w:r>
      <w:r>
        <w:t>50</w:t>
      </w:r>
      <w:r>
        <w:rPr>
          <w:rFonts w:hint="eastAsia"/>
        </w:rPr>
        <w:fldChar w:fldCharType="end"/>
      </w:r>
    </w:p>
    <w:p w14:paraId="5F079B47">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3.1.2危险化学品辨识</w:t>
      </w:r>
      <w:r>
        <w:rPr>
          <w:rFonts w:hint="eastAsia"/>
        </w:rPr>
        <w:tab/>
      </w:r>
      <w:r>
        <w:rPr>
          <w:rFonts w:hint="eastAsia"/>
        </w:rPr>
        <w:fldChar w:fldCharType="begin"/>
      </w:r>
      <w:r>
        <w:rPr>
          <w:rFonts w:hint="eastAsia"/>
        </w:rPr>
        <w:instrText xml:space="preserve"> </w:instrText>
      </w:r>
      <w:r>
        <w:instrText xml:space="preserve">PAGEREF _Toc215210562 \h</w:instrText>
      </w:r>
      <w:r>
        <w:rPr>
          <w:rFonts w:hint="eastAsia"/>
        </w:rPr>
        <w:instrText xml:space="preserve"> </w:instrText>
      </w:r>
      <w:r>
        <w:rPr>
          <w:rFonts w:hint="eastAsia"/>
        </w:rPr>
        <w:fldChar w:fldCharType="separate"/>
      </w:r>
      <w:r>
        <w:t>50</w:t>
      </w:r>
      <w:r>
        <w:rPr>
          <w:rFonts w:hint="eastAsia"/>
        </w:rPr>
        <w:fldChar w:fldCharType="end"/>
      </w:r>
    </w:p>
    <w:p w14:paraId="41DCE5F5">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3.1.3剧毒品、易制毒品、监控化学品、重点监管危险化学品及特别管控化学品辨识</w:t>
      </w:r>
      <w:r>
        <w:rPr>
          <w:rFonts w:hint="eastAsia"/>
        </w:rPr>
        <w:tab/>
      </w:r>
      <w:r>
        <w:rPr>
          <w:rFonts w:hint="eastAsia"/>
        </w:rPr>
        <w:fldChar w:fldCharType="begin"/>
      </w:r>
      <w:r>
        <w:rPr>
          <w:rFonts w:hint="eastAsia"/>
        </w:rPr>
        <w:instrText xml:space="preserve"> </w:instrText>
      </w:r>
      <w:r>
        <w:instrText xml:space="preserve">PAGEREF _Toc215210563 \h</w:instrText>
      </w:r>
      <w:r>
        <w:rPr>
          <w:rFonts w:hint="eastAsia"/>
        </w:rPr>
        <w:instrText xml:space="preserve"> </w:instrText>
      </w:r>
      <w:r>
        <w:rPr>
          <w:rFonts w:hint="eastAsia"/>
        </w:rPr>
        <w:fldChar w:fldCharType="separate"/>
      </w:r>
      <w:r>
        <w:t>50</w:t>
      </w:r>
      <w:r>
        <w:rPr>
          <w:rFonts w:hint="eastAsia"/>
        </w:rPr>
        <w:fldChar w:fldCharType="end"/>
      </w:r>
    </w:p>
    <w:p w14:paraId="526EC8CF">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3.1.4危险、有害物质的主要危险特性</w:t>
      </w:r>
      <w:r>
        <w:rPr>
          <w:rFonts w:hint="eastAsia"/>
        </w:rPr>
        <w:tab/>
      </w:r>
      <w:r>
        <w:rPr>
          <w:rFonts w:hint="eastAsia"/>
        </w:rPr>
        <w:fldChar w:fldCharType="begin"/>
      </w:r>
      <w:r>
        <w:rPr>
          <w:rFonts w:hint="eastAsia"/>
        </w:rPr>
        <w:instrText xml:space="preserve"> </w:instrText>
      </w:r>
      <w:r>
        <w:instrText xml:space="preserve">PAGEREF _Toc215210564 \h</w:instrText>
      </w:r>
      <w:r>
        <w:rPr>
          <w:rFonts w:hint="eastAsia"/>
        </w:rPr>
        <w:instrText xml:space="preserve"> </w:instrText>
      </w:r>
      <w:r>
        <w:rPr>
          <w:rFonts w:hint="eastAsia"/>
        </w:rPr>
        <w:fldChar w:fldCharType="separate"/>
      </w:r>
      <w:r>
        <w:t>51</w:t>
      </w:r>
      <w:r>
        <w:rPr>
          <w:rFonts w:hint="eastAsia"/>
        </w:rPr>
        <w:fldChar w:fldCharType="end"/>
      </w:r>
    </w:p>
    <w:p w14:paraId="7F1AA11C">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3.1.5主要危险化学品理化特性</w:t>
      </w:r>
      <w:r>
        <w:rPr>
          <w:rFonts w:hint="eastAsia"/>
        </w:rPr>
        <w:tab/>
      </w:r>
      <w:r>
        <w:rPr>
          <w:rFonts w:hint="eastAsia"/>
        </w:rPr>
        <w:fldChar w:fldCharType="begin"/>
      </w:r>
      <w:r>
        <w:rPr>
          <w:rFonts w:hint="eastAsia"/>
        </w:rPr>
        <w:instrText xml:space="preserve"> </w:instrText>
      </w:r>
      <w:r>
        <w:instrText xml:space="preserve">PAGEREF _Toc215210565 \h</w:instrText>
      </w:r>
      <w:r>
        <w:rPr>
          <w:rFonts w:hint="eastAsia"/>
        </w:rPr>
        <w:instrText xml:space="preserve"> </w:instrText>
      </w:r>
      <w:r>
        <w:rPr>
          <w:rFonts w:hint="eastAsia"/>
        </w:rPr>
        <w:fldChar w:fldCharType="separate"/>
      </w:r>
      <w:r>
        <w:t>52</w:t>
      </w:r>
      <w:r>
        <w:rPr>
          <w:rFonts w:hint="eastAsia"/>
        </w:rPr>
        <w:fldChar w:fldCharType="end"/>
      </w:r>
    </w:p>
    <w:p w14:paraId="3BA3AF4D">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3.2智能化生产线危险、有害因素分析</w:t>
      </w:r>
      <w:r>
        <w:rPr>
          <w:rFonts w:hint="eastAsia"/>
        </w:rPr>
        <w:tab/>
      </w:r>
      <w:r>
        <w:rPr>
          <w:rFonts w:hint="eastAsia"/>
        </w:rPr>
        <w:fldChar w:fldCharType="begin"/>
      </w:r>
      <w:r>
        <w:rPr>
          <w:rFonts w:hint="eastAsia"/>
        </w:rPr>
        <w:instrText xml:space="preserve"> </w:instrText>
      </w:r>
      <w:r>
        <w:instrText xml:space="preserve">PAGEREF _Toc215210566 \h</w:instrText>
      </w:r>
      <w:r>
        <w:rPr>
          <w:rFonts w:hint="eastAsia"/>
        </w:rPr>
        <w:instrText xml:space="preserve"> </w:instrText>
      </w:r>
      <w:r>
        <w:rPr>
          <w:rFonts w:hint="eastAsia"/>
        </w:rPr>
        <w:fldChar w:fldCharType="separate"/>
      </w:r>
      <w:r>
        <w:t>57</w:t>
      </w:r>
      <w:r>
        <w:rPr>
          <w:rFonts w:hint="eastAsia"/>
        </w:rPr>
        <w:fldChar w:fldCharType="end"/>
      </w:r>
    </w:p>
    <w:p w14:paraId="1188E7D4">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3.2.1原料预处理系统危险、有害因素分析</w:t>
      </w:r>
      <w:r>
        <w:rPr>
          <w:rFonts w:hint="eastAsia"/>
        </w:rPr>
        <w:tab/>
      </w:r>
      <w:r>
        <w:rPr>
          <w:rFonts w:hint="eastAsia"/>
        </w:rPr>
        <w:fldChar w:fldCharType="begin"/>
      </w:r>
      <w:r>
        <w:rPr>
          <w:rFonts w:hint="eastAsia"/>
        </w:rPr>
        <w:instrText xml:space="preserve"> </w:instrText>
      </w:r>
      <w:r>
        <w:instrText xml:space="preserve">PAGEREF _Toc215210567 \h</w:instrText>
      </w:r>
      <w:r>
        <w:rPr>
          <w:rFonts w:hint="eastAsia"/>
        </w:rPr>
        <w:instrText xml:space="preserve"> </w:instrText>
      </w:r>
      <w:r>
        <w:rPr>
          <w:rFonts w:hint="eastAsia"/>
        </w:rPr>
        <w:fldChar w:fldCharType="separate"/>
      </w:r>
      <w:r>
        <w:t>57</w:t>
      </w:r>
      <w:r>
        <w:rPr>
          <w:rFonts w:hint="eastAsia"/>
        </w:rPr>
        <w:fldChar w:fldCharType="end"/>
      </w:r>
    </w:p>
    <w:p w14:paraId="4C327519">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3.2.2石墨化升级危险、有害因素分析</w:t>
      </w:r>
      <w:r>
        <w:rPr>
          <w:rFonts w:hint="eastAsia"/>
        </w:rPr>
        <w:tab/>
      </w:r>
      <w:r>
        <w:rPr>
          <w:rFonts w:hint="eastAsia"/>
        </w:rPr>
        <w:fldChar w:fldCharType="begin"/>
      </w:r>
      <w:r>
        <w:rPr>
          <w:rFonts w:hint="eastAsia"/>
        </w:rPr>
        <w:instrText xml:space="preserve"> </w:instrText>
      </w:r>
      <w:r>
        <w:instrText xml:space="preserve">PAGEREF _Toc215210568 \h</w:instrText>
      </w:r>
      <w:r>
        <w:rPr>
          <w:rFonts w:hint="eastAsia"/>
        </w:rPr>
        <w:instrText xml:space="preserve"> </w:instrText>
      </w:r>
      <w:r>
        <w:rPr>
          <w:rFonts w:hint="eastAsia"/>
        </w:rPr>
        <w:fldChar w:fldCharType="separate"/>
      </w:r>
      <w:r>
        <w:t>58</w:t>
      </w:r>
      <w:r>
        <w:rPr>
          <w:rFonts w:hint="eastAsia"/>
        </w:rPr>
        <w:fldChar w:fldCharType="end"/>
      </w:r>
    </w:p>
    <w:p w14:paraId="46C32C0E">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3.2.3全自动包覆-碳化线危险、有害因素分析</w:t>
      </w:r>
      <w:r>
        <w:rPr>
          <w:rFonts w:hint="eastAsia"/>
        </w:rPr>
        <w:tab/>
      </w:r>
      <w:r>
        <w:rPr>
          <w:rFonts w:hint="eastAsia"/>
        </w:rPr>
        <w:fldChar w:fldCharType="begin"/>
      </w:r>
      <w:r>
        <w:rPr>
          <w:rFonts w:hint="eastAsia"/>
        </w:rPr>
        <w:instrText xml:space="preserve"> </w:instrText>
      </w:r>
      <w:r>
        <w:instrText xml:space="preserve">PAGEREF _Toc215210569 \h</w:instrText>
      </w:r>
      <w:r>
        <w:rPr>
          <w:rFonts w:hint="eastAsia"/>
        </w:rPr>
        <w:instrText xml:space="preserve"> </w:instrText>
      </w:r>
      <w:r>
        <w:rPr>
          <w:rFonts w:hint="eastAsia"/>
        </w:rPr>
        <w:fldChar w:fldCharType="separate"/>
      </w:r>
      <w:r>
        <w:t>59</w:t>
      </w:r>
      <w:r>
        <w:rPr>
          <w:rFonts w:hint="eastAsia"/>
        </w:rPr>
        <w:fldChar w:fldCharType="end"/>
      </w:r>
    </w:p>
    <w:p w14:paraId="487DE51C">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3.2.4成品加工线危险、有害因素分析</w:t>
      </w:r>
      <w:r>
        <w:rPr>
          <w:rFonts w:hint="eastAsia"/>
        </w:rPr>
        <w:tab/>
      </w:r>
      <w:r>
        <w:rPr>
          <w:rFonts w:hint="eastAsia"/>
        </w:rPr>
        <w:fldChar w:fldCharType="begin"/>
      </w:r>
      <w:r>
        <w:rPr>
          <w:rFonts w:hint="eastAsia"/>
        </w:rPr>
        <w:instrText xml:space="preserve"> </w:instrText>
      </w:r>
      <w:r>
        <w:instrText xml:space="preserve">PAGEREF _Toc215210570 \h</w:instrText>
      </w:r>
      <w:r>
        <w:rPr>
          <w:rFonts w:hint="eastAsia"/>
        </w:rPr>
        <w:instrText xml:space="preserve"> </w:instrText>
      </w:r>
      <w:r>
        <w:rPr>
          <w:rFonts w:hint="eastAsia"/>
        </w:rPr>
        <w:fldChar w:fldCharType="separate"/>
      </w:r>
      <w:r>
        <w:t>59</w:t>
      </w:r>
      <w:r>
        <w:rPr>
          <w:rFonts w:hint="eastAsia"/>
        </w:rPr>
        <w:fldChar w:fldCharType="end"/>
      </w:r>
    </w:p>
    <w:p w14:paraId="20CB3CB7">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3.3数字化管理平台危险、有害因素分析</w:t>
      </w:r>
      <w:r>
        <w:rPr>
          <w:rFonts w:hint="eastAsia"/>
        </w:rPr>
        <w:tab/>
      </w:r>
      <w:r>
        <w:rPr>
          <w:rFonts w:hint="eastAsia"/>
        </w:rPr>
        <w:fldChar w:fldCharType="begin"/>
      </w:r>
      <w:r>
        <w:rPr>
          <w:rFonts w:hint="eastAsia"/>
        </w:rPr>
        <w:instrText xml:space="preserve"> </w:instrText>
      </w:r>
      <w:r>
        <w:instrText xml:space="preserve">PAGEREF _Toc215210571 \h</w:instrText>
      </w:r>
      <w:r>
        <w:rPr>
          <w:rFonts w:hint="eastAsia"/>
        </w:rPr>
        <w:instrText xml:space="preserve"> </w:instrText>
      </w:r>
      <w:r>
        <w:rPr>
          <w:rFonts w:hint="eastAsia"/>
        </w:rPr>
        <w:fldChar w:fldCharType="separate"/>
      </w:r>
      <w:r>
        <w:t>60</w:t>
      </w:r>
      <w:r>
        <w:rPr>
          <w:rFonts w:hint="eastAsia"/>
        </w:rPr>
        <w:fldChar w:fldCharType="end"/>
      </w:r>
    </w:p>
    <w:p w14:paraId="2FE4EE48">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3.4绿色制造设施危险、有害因素分析</w:t>
      </w:r>
      <w:r>
        <w:rPr>
          <w:rFonts w:hint="eastAsia"/>
        </w:rPr>
        <w:tab/>
      </w:r>
      <w:r>
        <w:rPr>
          <w:rFonts w:hint="eastAsia"/>
        </w:rPr>
        <w:fldChar w:fldCharType="begin"/>
      </w:r>
      <w:r>
        <w:rPr>
          <w:rFonts w:hint="eastAsia"/>
        </w:rPr>
        <w:instrText xml:space="preserve"> </w:instrText>
      </w:r>
      <w:r>
        <w:instrText xml:space="preserve">PAGEREF _Toc215210572 \h</w:instrText>
      </w:r>
      <w:r>
        <w:rPr>
          <w:rFonts w:hint="eastAsia"/>
        </w:rPr>
        <w:instrText xml:space="preserve"> </w:instrText>
      </w:r>
      <w:r>
        <w:rPr>
          <w:rFonts w:hint="eastAsia"/>
        </w:rPr>
        <w:fldChar w:fldCharType="separate"/>
      </w:r>
      <w:r>
        <w:t>61</w:t>
      </w:r>
      <w:r>
        <w:rPr>
          <w:rFonts w:hint="eastAsia"/>
        </w:rPr>
        <w:fldChar w:fldCharType="end"/>
      </w:r>
    </w:p>
    <w:p w14:paraId="7C9603AA">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3.5研发检测中心危险、有害因素分析</w:t>
      </w:r>
      <w:r>
        <w:rPr>
          <w:rFonts w:hint="eastAsia"/>
        </w:rPr>
        <w:tab/>
      </w:r>
      <w:r>
        <w:rPr>
          <w:rFonts w:hint="eastAsia"/>
        </w:rPr>
        <w:fldChar w:fldCharType="begin"/>
      </w:r>
      <w:r>
        <w:rPr>
          <w:rFonts w:hint="eastAsia"/>
        </w:rPr>
        <w:instrText xml:space="preserve"> </w:instrText>
      </w:r>
      <w:r>
        <w:instrText xml:space="preserve">PAGEREF _Toc215210573 \h</w:instrText>
      </w:r>
      <w:r>
        <w:rPr>
          <w:rFonts w:hint="eastAsia"/>
        </w:rPr>
        <w:instrText xml:space="preserve"> </w:instrText>
      </w:r>
      <w:r>
        <w:rPr>
          <w:rFonts w:hint="eastAsia"/>
        </w:rPr>
        <w:fldChar w:fldCharType="separate"/>
      </w:r>
      <w:r>
        <w:t>65</w:t>
      </w:r>
      <w:r>
        <w:rPr>
          <w:rFonts w:hint="eastAsia"/>
        </w:rPr>
        <w:fldChar w:fldCharType="end"/>
      </w:r>
    </w:p>
    <w:p w14:paraId="221783DA">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3.8.7.1腐蚀灼伤</w:t>
      </w:r>
      <w:r>
        <w:rPr>
          <w:rFonts w:hint="eastAsia"/>
        </w:rPr>
        <w:tab/>
      </w:r>
      <w:r>
        <w:rPr>
          <w:rFonts w:hint="eastAsia"/>
        </w:rPr>
        <w:fldChar w:fldCharType="begin"/>
      </w:r>
      <w:r>
        <w:rPr>
          <w:rFonts w:hint="eastAsia"/>
        </w:rPr>
        <w:instrText xml:space="preserve"> </w:instrText>
      </w:r>
      <w:r>
        <w:instrText xml:space="preserve">PAGEREF _Toc215210574 \h</w:instrText>
      </w:r>
      <w:r>
        <w:rPr>
          <w:rFonts w:hint="eastAsia"/>
        </w:rPr>
        <w:instrText xml:space="preserve"> </w:instrText>
      </w:r>
      <w:r>
        <w:rPr>
          <w:rFonts w:hint="eastAsia"/>
        </w:rPr>
        <w:fldChar w:fldCharType="separate"/>
      </w:r>
      <w:r>
        <w:t>65</w:t>
      </w:r>
      <w:r>
        <w:rPr>
          <w:rFonts w:hint="eastAsia"/>
        </w:rPr>
        <w:fldChar w:fldCharType="end"/>
      </w:r>
    </w:p>
    <w:p w14:paraId="7B29F5AB">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3.8.7.2火灾爆炸</w:t>
      </w:r>
      <w:r>
        <w:rPr>
          <w:rFonts w:hint="eastAsia"/>
        </w:rPr>
        <w:tab/>
      </w:r>
      <w:r>
        <w:rPr>
          <w:rFonts w:hint="eastAsia"/>
        </w:rPr>
        <w:fldChar w:fldCharType="begin"/>
      </w:r>
      <w:r>
        <w:rPr>
          <w:rFonts w:hint="eastAsia"/>
        </w:rPr>
        <w:instrText xml:space="preserve"> </w:instrText>
      </w:r>
      <w:r>
        <w:instrText xml:space="preserve">PAGEREF _Toc215210575 \h</w:instrText>
      </w:r>
      <w:r>
        <w:rPr>
          <w:rFonts w:hint="eastAsia"/>
        </w:rPr>
        <w:instrText xml:space="preserve"> </w:instrText>
      </w:r>
      <w:r>
        <w:rPr>
          <w:rFonts w:hint="eastAsia"/>
        </w:rPr>
        <w:fldChar w:fldCharType="separate"/>
      </w:r>
      <w:r>
        <w:t>65</w:t>
      </w:r>
      <w:r>
        <w:rPr>
          <w:rFonts w:hint="eastAsia"/>
        </w:rPr>
        <w:fldChar w:fldCharType="end"/>
      </w:r>
    </w:p>
    <w:p w14:paraId="13C29929">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3.8.7.2中毒和窒息</w:t>
      </w:r>
      <w:r>
        <w:rPr>
          <w:rFonts w:hint="eastAsia"/>
        </w:rPr>
        <w:tab/>
      </w:r>
      <w:r>
        <w:rPr>
          <w:rFonts w:hint="eastAsia"/>
        </w:rPr>
        <w:fldChar w:fldCharType="begin"/>
      </w:r>
      <w:r>
        <w:rPr>
          <w:rFonts w:hint="eastAsia"/>
        </w:rPr>
        <w:instrText xml:space="preserve"> </w:instrText>
      </w:r>
      <w:r>
        <w:instrText xml:space="preserve">PAGEREF _Toc215210576 \h</w:instrText>
      </w:r>
      <w:r>
        <w:rPr>
          <w:rFonts w:hint="eastAsia"/>
        </w:rPr>
        <w:instrText xml:space="preserve"> </w:instrText>
      </w:r>
      <w:r>
        <w:rPr>
          <w:rFonts w:hint="eastAsia"/>
        </w:rPr>
        <w:fldChar w:fldCharType="separate"/>
      </w:r>
      <w:r>
        <w:t>66</w:t>
      </w:r>
      <w:r>
        <w:rPr>
          <w:rFonts w:hint="eastAsia"/>
        </w:rPr>
        <w:fldChar w:fldCharType="end"/>
      </w:r>
    </w:p>
    <w:p w14:paraId="2B7A6D12">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3.8.7.3触电</w:t>
      </w:r>
      <w:r>
        <w:rPr>
          <w:rFonts w:hint="eastAsia"/>
        </w:rPr>
        <w:tab/>
      </w:r>
      <w:r>
        <w:rPr>
          <w:rFonts w:hint="eastAsia"/>
        </w:rPr>
        <w:fldChar w:fldCharType="begin"/>
      </w:r>
      <w:r>
        <w:rPr>
          <w:rFonts w:hint="eastAsia"/>
        </w:rPr>
        <w:instrText xml:space="preserve"> </w:instrText>
      </w:r>
      <w:r>
        <w:instrText xml:space="preserve">PAGEREF _Toc215210577 \h</w:instrText>
      </w:r>
      <w:r>
        <w:rPr>
          <w:rFonts w:hint="eastAsia"/>
        </w:rPr>
        <w:instrText xml:space="preserve"> </w:instrText>
      </w:r>
      <w:r>
        <w:rPr>
          <w:rFonts w:hint="eastAsia"/>
        </w:rPr>
        <w:fldChar w:fldCharType="separate"/>
      </w:r>
      <w:r>
        <w:t>66</w:t>
      </w:r>
      <w:r>
        <w:rPr>
          <w:rFonts w:hint="eastAsia"/>
        </w:rPr>
        <w:fldChar w:fldCharType="end"/>
      </w:r>
    </w:p>
    <w:p w14:paraId="12B727B4">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3.8.7.4机械伤害</w:t>
      </w:r>
      <w:r>
        <w:rPr>
          <w:rFonts w:hint="eastAsia"/>
        </w:rPr>
        <w:tab/>
      </w:r>
      <w:r>
        <w:rPr>
          <w:rFonts w:hint="eastAsia"/>
        </w:rPr>
        <w:fldChar w:fldCharType="begin"/>
      </w:r>
      <w:r>
        <w:rPr>
          <w:rFonts w:hint="eastAsia"/>
        </w:rPr>
        <w:instrText xml:space="preserve"> </w:instrText>
      </w:r>
      <w:r>
        <w:instrText xml:space="preserve">PAGEREF _Toc215210578 \h</w:instrText>
      </w:r>
      <w:r>
        <w:rPr>
          <w:rFonts w:hint="eastAsia"/>
        </w:rPr>
        <w:instrText xml:space="preserve"> </w:instrText>
      </w:r>
      <w:r>
        <w:rPr>
          <w:rFonts w:hint="eastAsia"/>
        </w:rPr>
        <w:fldChar w:fldCharType="separate"/>
      </w:r>
      <w:r>
        <w:t>66</w:t>
      </w:r>
      <w:r>
        <w:rPr>
          <w:rFonts w:hint="eastAsia"/>
        </w:rPr>
        <w:fldChar w:fldCharType="end"/>
      </w:r>
    </w:p>
    <w:p w14:paraId="177AE7E7">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3.8.7.5高温灼烫</w:t>
      </w:r>
      <w:r>
        <w:rPr>
          <w:rFonts w:hint="eastAsia"/>
        </w:rPr>
        <w:tab/>
      </w:r>
      <w:r>
        <w:rPr>
          <w:rFonts w:hint="eastAsia"/>
        </w:rPr>
        <w:fldChar w:fldCharType="begin"/>
      </w:r>
      <w:r>
        <w:rPr>
          <w:rFonts w:hint="eastAsia"/>
        </w:rPr>
        <w:instrText xml:space="preserve"> </w:instrText>
      </w:r>
      <w:r>
        <w:instrText xml:space="preserve">PAGEREF _Toc215210579 \h</w:instrText>
      </w:r>
      <w:r>
        <w:rPr>
          <w:rFonts w:hint="eastAsia"/>
        </w:rPr>
        <w:instrText xml:space="preserve"> </w:instrText>
      </w:r>
      <w:r>
        <w:rPr>
          <w:rFonts w:hint="eastAsia"/>
        </w:rPr>
        <w:fldChar w:fldCharType="separate"/>
      </w:r>
      <w:r>
        <w:t>66</w:t>
      </w:r>
      <w:r>
        <w:rPr>
          <w:rFonts w:hint="eastAsia"/>
        </w:rPr>
        <w:fldChar w:fldCharType="end"/>
      </w:r>
    </w:p>
    <w:p w14:paraId="611F55A5">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3.3建设工程危险有害因素分析</w:t>
      </w:r>
      <w:r>
        <w:rPr>
          <w:rFonts w:hint="eastAsia"/>
        </w:rPr>
        <w:tab/>
      </w:r>
      <w:r>
        <w:rPr>
          <w:rFonts w:hint="eastAsia"/>
        </w:rPr>
        <w:fldChar w:fldCharType="begin"/>
      </w:r>
      <w:r>
        <w:rPr>
          <w:rFonts w:hint="eastAsia"/>
        </w:rPr>
        <w:instrText xml:space="preserve"> </w:instrText>
      </w:r>
      <w:r>
        <w:instrText xml:space="preserve">PAGEREF _Toc215210580 \h</w:instrText>
      </w:r>
      <w:r>
        <w:rPr>
          <w:rFonts w:hint="eastAsia"/>
        </w:rPr>
        <w:instrText xml:space="preserve"> </w:instrText>
      </w:r>
      <w:r>
        <w:rPr>
          <w:rFonts w:hint="eastAsia"/>
        </w:rPr>
        <w:fldChar w:fldCharType="separate"/>
      </w:r>
      <w:r>
        <w:t>66</w:t>
      </w:r>
      <w:r>
        <w:rPr>
          <w:rFonts w:hint="eastAsia"/>
        </w:rPr>
        <w:fldChar w:fldCharType="end"/>
      </w:r>
    </w:p>
    <w:p w14:paraId="0A2574C9">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3.4安全管理危险有害因素分析</w:t>
      </w:r>
      <w:r>
        <w:rPr>
          <w:rFonts w:hint="eastAsia"/>
        </w:rPr>
        <w:tab/>
      </w:r>
      <w:r>
        <w:rPr>
          <w:rFonts w:hint="eastAsia"/>
        </w:rPr>
        <w:fldChar w:fldCharType="begin"/>
      </w:r>
      <w:r>
        <w:rPr>
          <w:rFonts w:hint="eastAsia"/>
        </w:rPr>
        <w:instrText xml:space="preserve"> </w:instrText>
      </w:r>
      <w:r>
        <w:instrText xml:space="preserve">PAGEREF _Toc215210581 \h</w:instrText>
      </w:r>
      <w:r>
        <w:rPr>
          <w:rFonts w:hint="eastAsia"/>
        </w:rPr>
        <w:instrText xml:space="preserve"> </w:instrText>
      </w:r>
      <w:r>
        <w:rPr>
          <w:rFonts w:hint="eastAsia"/>
        </w:rPr>
        <w:fldChar w:fldCharType="separate"/>
      </w:r>
      <w:r>
        <w:t>67</w:t>
      </w:r>
      <w:r>
        <w:rPr>
          <w:rFonts w:hint="eastAsia"/>
        </w:rPr>
        <w:fldChar w:fldCharType="end"/>
      </w:r>
    </w:p>
    <w:p w14:paraId="59FDEE54">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hint="eastAsia"/>
        </w:rPr>
        <w:t>第4章 重大危险源辨识及危险、有害程度分析</w:t>
      </w:r>
      <w:r>
        <w:rPr>
          <w:rFonts w:hint="eastAsia"/>
        </w:rPr>
        <w:tab/>
      </w:r>
      <w:r>
        <w:rPr>
          <w:rFonts w:hint="eastAsia"/>
        </w:rPr>
        <w:fldChar w:fldCharType="begin"/>
      </w:r>
      <w:r>
        <w:rPr>
          <w:rFonts w:hint="eastAsia"/>
        </w:rPr>
        <w:instrText xml:space="preserve"> </w:instrText>
      </w:r>
      <w:r>
        <w:instrText xml:space="preserve">PAGEREF _Toc215210582 \h</w:instrText>
      </w:r>
      <w:r>
        <w:rPr>
          <w:rFonts w:hint="eastAsia"/>
        </w:rPr>
        <w:instrText xml:space="preserve"> </w:instrText>
      </w:r>
      <w:r>
        <w:rPr>
          <w:rFonts w:hint="eastAsia"/>
        </w:rPr>
        <w:fldChar w:fldCharType="separate"/>
      </w:r>
      <w:r>
        <w:t>69</w:t>
      </w:r>
      <w:r>
        <w:rPr>
          <w:rFonts w:hint="eastAsia"/>
        </w:rPr>
        <w:fldChar w:fldCharType="end"/>
      </w:r>
    </w:p>
    <w:p w14:paraId="7DACE5E7">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4.1危险化学品重大危险源辨识</w:t>
      </w:r>
      <w:r>
        <w:rPr>
          <w:rFonts w:hint="eastAsia"/>
        </w:rPr>
        <w:tab/>
      </w:r>
      <w:r>
        <w:rPr>
          <w:rFonts w:hint="eastAsia"/>
        </w:rPr>
        <w:fldChar w:fldCharType="begin"/>
      </w:r>
      <w:r>
        <w:rPr>
          <w:rFonts w:hint="eastAsia"/>
        </w:rPr>
        <w:instrText xml:space="preserve"> </w:instrText>
      </w:r>
      <w:r>
        <w:instrText xml:space="preserve">PAGEREF _Toc215210583 \h</w:instrText>
      </w:r>
      <w:r>
        <w:rPr>
          <w:rFonts w:hint="eastAsia"/>
        </w:rPr>
        <w:instrText xml:space="preserve"> </w:instrText>
      </w:r>
      <w:r>
        <w:rPr>
          <w:rFonts w:hint="eastAsia"/>
        </w:rPr>
        <w:fldChar w:fldCharType="separate"/>
      </w:r>
      <w:r>
        <w:t>69</w:t>
      </w:r>
      <w:r>
        <w:rPr>
          <w:rFonts w:hint="eastAsia"/>
        </w:rPr>
        <w:fldChar w:fldCharType="end"/>
      </w:r>
    </w:p>
    <w:p w14:paraId="6CFCC381">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4.1.1方法介绍</w:t>
      </w:r>
      <w:r>
        <w:rPr>
          <w:rFonts w:hint="eastAsia"/>
        </w:rPr>
        <w:tab/>
      </w:r>
      <w:r>
        <w:rPr>
          <w:rFonts w:hint="eastAsia"/>
        </w:rPr>
        <w:fldChar w:fldCharType="begin"/>
      </w:r>
      <w:r>
        <w:rPr>
          <w:rFonts w:hint="eastAsia"/>
        </w:rPr>
        <w:instrText xml:space="preserve"> </w:instrText>
      </w:r>
      <w:r>
        <w:instrText xml:space="preserve">PAGEREF _Toc215210584 \h</w:instrText>
      </w:r>
      <w:r>
        <w:rPr>
          <w:rFonts w:hint="eastAsia"/>
        </w:rPr>
        <w:instrText xml:space="preserve"> </w:instrText>
      </w:r>
      <w:r>
        <w:rPr>
          <w:rFonts w:hint="eastAsia"/>
        </w:rPr>
        <w:fldChar w:fldCharType="separate"/>
      </w:r>
      <w:r>
        <w:t>69</w:t>
      </w:r>
      <w:r>
        <w:rPr>
          <w:rFonts w:hint="eastAsia"/>
        </w:rPr>
        <w:fldChar w:fldCharType="end"/>
      </w:r>
    </w:p>
    <w:p w14:paraId="37E51DFB">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4.4.2辨识过程</w:t>
      </w:r>
      <w:r>
        <w:rPr>
          <w:rFonts w:hint="eastAsia"/>
        </w:rPr>
        <w:tab/>
      </w:r>
      <w:r>
        <w:rPr>
          <w:rFonts w:hint="eastAsia"/>
        </w:rPr>
        <w:fldChar w:fldCharType="begin"/>
      </w:r>
      <w:r>
        <w:rPr>
          <w:rFonts w:hint="eastAsia"/>
        </w:rPr>
        <w:instrText xml:space="preserve"> </w:instrText>
      </w:r>
      <w:r>
        <w:instrText xml:space="preserve">PAGEREF _Toc215210585 \h</w:instrText>
      </w:r>
      <w:r>
        <w:rPr>
          <w:rFonts w:hint="eastAsia"/>
        </w:rPr>
        <w:instrText xml:space="preserve"> </w:instrText>
      </w:r>
      <w:r>
        <w:rPr>
          <w:rFonts w:hint="eastAsia"/>
        </w:rPr>
        <w:fldChar w:fldCharType="separate"/>
      </w:r>
      <w:r>
        <w:t>70</w:t>
      </w:r>
      <w:r>
        <w:rPr>
          <w:rFonts w:hint="eastAsia"/>
        </w:rPr>
        <w:fldChar w:fldCharType="end"/>
      </w:r>
    </w:p>
    <w:p w14:paraId="6BBBF23C">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rPr>
        <w:t>4.4.3辨识结果</w:t>
      </w:r>
      <w:r>
        <w:rPr>
          <w:rFonts w:hint="eastAsia"/>
        </w:rPr>
        <w:tab/>
      </w:r>
      <w:r>
        <w:rPr>
          <w:rFonts w:hint="eastAsia"/>
        </w:rPr>
        <w:fldChar w:fldCharType="begin"/>
      </w:r>
      <w:r>
        <w:rPr>
          <w:rFonts w:hint="eastAsia"/>
        </w:rPr>
        <w:instrText xml:space="preserve"> </w:instrText>
      </w:r>
      <w:r>
        <w:instrText xml:space="preserve">PAGEREF _Toc215210586 \h</w:instrText>
      </w:r>
      <w:r>
        <w:rPr>
          <w:rFonts w:hint="eastAsia"/>
        </w:rPr>
        <w:instrText xml:space="preserve"> </w:instrText>
      </w:r>
      <w:r>
        <w:rPr>
          <w:rFonts w:hint="eastAsia"/>
        </w:rPr>
        <w:fldChar w:fldCharType="separate"/>
      </w:r>
      <w:r>
        <w:t>70</w:t>
      </w:r>
      <w:r>
        <w:rPr>
          <w:rFonts w:hint="eastAsia"/>
        </w:rPr>
        <w:fldChar w:fldCharType="end"/>
      </w:r>
    </w:p>
    <w:p w14:paraId="2448CFA6">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4.2本章小节</w:t>
      </w:r>
      <w:r>
        <w:rPr>
          <w:rFonts w:hint="eastAsia"/>
        </w:rPr>
        <w:tab/>
      </w:r>
      <w:r>
        <w:rPr>
          <w:rFonts w:hint="eastAsia"/>
        </w:rPr>
        <w:fldChar w:fldCharType="begin"/>
      </w:r>
      <w:r>
        <w:rPr>
          <w:rFonts w:hint="eastAsia"/>
        </w:rPr>
        <w:instrText xml:space="preserve"> </w:instrText>
      </w:r>
      <w:r>
        <w:instrText xml:space="preserve">PAGEREF _Toc215210587 \h</w:instrText>
      </w:r>
      <w:r>
        <w:rPr>
          <w:rFonts w:hint="eastAsia"/>
        </w:rPr>
        <w:instrText xml:space="preserve"> </w:instrText>
      </w:r>
      <w:r>
        <w:rPr>
          <w:rFonts w:hint="eastAsia"/>
        </w:rPr>
        <w:fldChar w:fldCharType="separate"/>
      </w:r>
      <w:r>
        <w:t>70</w:t>
      </w:r>
      <w:r>
        <w:rPr>
          <w:rFonts w:hint="eastAsia"/>
        </w:rPr>
        <w:fldChar w:fldCharType="end"/>
      </w:r>
    </w:p>
    <w:p w14:paraId="1852E3DB">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hint="eastAsia"/>
        </w:rPr>
        <w:t>第5章 安全生产条件和设施分析</w:t>
      </w:r>
      <w:r>
        <w:rPr>
          <w:rFonts w:hint="eastAsia"/>
        </w:rPr>
        <w:tab/>
      </w:r>
      <w:r>
        <w:rPr>
          <w:rFonts w:hint="eastAsia"/>
        </w:rPr>
        <w:fldChar w:fldCharType="begin"/>
      </w:r>
      <w:r>
        <w:rPr>
          <w:rFonts w:hint="eastAsia"/>
        </w:rPr>
        <w:instrText xml:space="preserve"> </w:instrText>
      </w:r>
      <w:r>
        <w:instrText xml:space="preserve">PAGEREF _Toc215210588 \h</w:instrText>
      </w:r>
      <w:r>
        <w:rPr>
          <w:rFonts w:hint="eastAsia"/>
        </w:rPr>
        <w:instrText xml:space="preserve"> </w:instrText>
      </w:r>
      <w:r>
        <w:rPr>
          <w:rFonts w:hint="eastAsia"/>
        </w:rPr>
        <w:fldChar w:fldCharType="separate"/>
      </w:r>
      <w:r>
        <w:t>71</w:t>
      </w:r>
      <w:r>
        <w:rPr>
          <w:rFonts w:hint="eastAsia"/>
        </w:rPr>
        <w:fldChar w:fldCharType="end"/>
      </w:r>
    </w:p>
    <w:p w14:paraId="3EFC0626">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5.1 总体安全条件分析</w:t>
      </w:r>
      <w:r>
        <w:rPr>
          <w:rFonts w:hint="eastAsia"/>
        </w:rPr>
        <w:tab/>
      </w:r>
      <w:r>
        <w:rPr>
          <w:rFonts w:hint="eastAsia"/>
        </w:rPr>
        <w:fldChar w:fldCharType="begin"/>
      </w:r>
      <w:r>
        <w:rPr>
          <w:rFonts w:hint="eastAsia"/>
        </w:rPr>
        <w:instrText xml:space="preserve"> </w:instrText>
      </w:r>
      <w:r>
        <w:instrText xml:space="preserve">PAGEREF _Toc215210589 \h</w:instrText>
      </w:r>
      <w:r>
        <w:rPr>
          <w:rFonts w:hint="eastAsia"/>
        </w:rPr>
        <w:instrText xml:space="preserve"> </w:instrText>
      </w:r>
      <w:r>
        <w:rPr>
          <w:rFonts w:hint="eastAsia"/>
        </w:rPr>
        <w:fldChar w:fldCharType="separate"/>
      </w:r>
      <w:r>
        <w:t>71</w:t>
      </w:r>
      <w:r>
        <w:rPr>
          <w:rFonts w:hint="eastAsia"/>
        </w:rPr>
        <w:fldChar w:fldCharType="end"/>
      </w:r>
    </w:p>
    <w:p w14:paraId="6584C57B">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snapToGrid w:val="0"/>
        </w:rPr>
        <w:t>5.1.1总平面布置安全检查表</w:t>
      </w:r>
      <w:r>
        <w:rPr>
          <w:rFonts w:hint="eastAsia"/>
        </w:rPr>
        <w:tab/>
      </w:r>
      <w:r>
        <w:rPr>
          <w:rFonts w:hint="eastAsia"/>
        </w:rPr>
        <w:fldChar w:fldCharType="begin"/>
      </w:r>
      <w:r>
        <w:rPr>
          <w:rFonts w:hint="eastAsia"/>
        </w:rPr>
        <w:instrText xml:space="preserve"> </w:instrText>
      </w:r>
      <w:r>
        <w:instrText xml:space="preserve">PAGEREF _Toc215210590 \h</w:instrText>
      </w:r>
      <w:r>
        <w:rPr>
          <w:rFonts w:hint="eastAsia"/>
        </w:rPr>
        <w:instrText xml:space="preserve"> </w:instrText>
      </w:r>
      <w:r>
        <w:rPr>
          <w:rFonts w:hint="eastAsia"/>
        </w:rPr>
        <w:fldChar w:fldCharType="separate"/>
      </w:r>
      <w:r>
        <w:t>71</w:t>
      </w:r>
      <w:r>
        <w:rPr>
          <w:rFonts w:hint="eastAsia"/>
        </w:rPr>
        <w:fldChar w:fldCharType="end"/>
      </w:r>
    </w:p>
    <w:p w14:paraId="3198EC2E">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snapToGrid w:val="0"/>
        </w:rPr>
        <w:t>5.1.2周边环境影响分析</w:t>
      </w:r>
      <w:r>
        <w:rPr>
          <w:rFonts w:hint="eastAsia"/>
        </w:rPr>
        <w:tab/>
      </w:r>
      <w:r>
        <w:rPr>
          <w:rFonts w:hint="eastAsia"/>
        </w:rPr>
        <w:fldChar w:fldCharType="begin"/>
      </w:r>
      <w:r>
        <w:rPr>
          <w:rFonts w:hint="eastAsia"/>
        </w:rPr>
        <w:instrText xml:space="preserve"> </w:instrText>
      </w:r>
      <w:r>
        <w:instrText xml:space="preserve">PAGEREF _Toc215210591 \h</w:instrText>
      </w:r>
      <w:r>
        <w:rPr>
          <w:rFonts w:hint="eastAsia"/>
        </w:rPr>
        <w:instrText xml:space="preserve"> </w:instrText>
      </w:r>
      <w:r>
        <w:rPr>
          <w:rFonts w:hint="eastAsia"/>
        </w:rPr>
        <w:fldChar w:fldCharType="separate"/>
      </w:r>
      <w:r>
        <w:t>74</w:t>
      </w:r>
      <w:r>
        <w:rPr>
          <w:rFonts w:hint="eastAsia"/>
        </w:rPr>
        <w:fldChar w:fldCharType="end"/>
      </w:r>
    </w:p>
    <w:p w14:paraId="52A97B26">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snapToGrid w:val="0"/>
        </w:rPr>
        <w:t>5.1.3自然条件影响分析</w:t>
      </w:r>
      <w:r>
        <w:rPr>
          <w:rFonts w:hint="eastAsia"/>
        </w:rPr>
        <w:tab/>
      </w:r>
      <w:r>
        <w:rPr>
          <w:rFonts w:hint="eastAsia"/>
        </w:rPr>
        <w:fldChar w:fldCharType="begin"/>
      </w:r>
      <w:r>
        <w:rPr>
          <w:rFonts w:hint="eastAsia"/>
        </w:rPr>
        <w:instrText xml:space="preserve"> </w:instrText>
      </w:r>
      <w:r>
        <w:instrText xml:space="preserve">PAGEREF _Toc215210592 \h</w:instrText>
      </w:r>
      <w:r>
        <w:rPr>
          <w:rFonts w:hint="eastAsia"/>
        </w:rPr>
        <w:instrText xml:space="preserve"> </w:instrText>
      </w:r>
      <w:r>
        <w:rPr>
          <w:rFonts w:hint="eastAsia"/>
        </w:rPr>
        <w:fldChar w:fldCharType="separate"/>
      </w:r>
      <w:r>
        <w:t>74</w:t>
      </w:r>
      <w:r>
        <w:rPr>
          <w:rFonts w:hint="eastAsia"/>
        </w:rPr>
        <w:fldChar w:fldCharType="end"/>
      </w:r>
    </w:p>
    <w:p w14:paraId="4AE643DC">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snapToGrid w:val="0"/>
        </w:rPr>
        <w:t>5.1.4评价小结</w:t>
      </w:r>
      <w:r>
        <w:rPr>
          <w:rFonts w:hint="eastAsia"/>
        </w:rPr>
        <w:tab/>
      </w:r>
      <w:r>
        <w:rPr>
          <w:rFonts w:hint="eastAsia"/>
        </w:rPr>
        <w:fldChar w:fldCharType="begin"/>
      </w:r>
      <w:r>
        <w:rPr>
          <w:rFonts w:hint="eastAsia"/>
        </w:rPr>
        <w:instrText xml:space="preserve"> </w:instrText>
      </w:r>
      <w:r>
        <w:instrText xml:space="preserve">PAGEREF _Toc215210593 \h</w:instrText>
      </w:r>
      <w:r>
        <w:rPr>
          <w:rFonts w:hint="eastAsia"/>
        </w:rPr>
        <w:instrText xml:space="preserve"> </w:instrText>
      </w:r>
      <w:r>
        <w:rPr>
          <w:rFonts w:hint="eastAsia"/>
        </w:rPr>
        <w:fldChar w:fldCharType="separate"/>
      </w:r>
      <w:r>
        <w:t>75</w:t>
      </w:r>
      <w:r>
        <w:rPr>
          <w:rFonts w:hint="eastAsia"/>
        </w:rPr>
        <w:fldChar w:fldCharType="end"/>
      </w:r>
    </w:p>
    <w:p w14:paraId="7EC62DB4">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5.2 工艺及设施分析</w:t>
      </w:r>
      <w:r>
        <w:rPr>
          <w:rFonts w:hint="eastAsia"/>
        </w:rPr>
        <w:tab/>
      </w:r>
      <w:r>
        <w:rPr>
          <w:rFonts w:hint="eastAsia"/>
        </w:rPr>
        <w:fldChar w:fldCharType="begin"/>
      </w:r>
      <w:r>
        <w:rPr>
          <w:rFonts w:hint="eastAsia"/>
        </w:rPr>
        <w:instrText xml:space="preserve"> </w:instrText>
      </w:r>
      <w:r>
        <w:instrText xml:space="preserve">PAGEREF _Toc215210594 \h</w:instrText>
      </w:r>
      <w:r>
        <w:rPr>
          <w:rFonts w:hint="eastAsia"/>
        </w:rPr>
        <w:instrText xml:space="preserve"> </w:instrText>
      </w:r>
      <w:r>
        <w:rPr>
          <w:rFonts w:hint="eastAsia"/>
        </w:rPr>
        <w:fldChar w:fldCharType="separate"/>
      </w:r>
      <w:r>
        <w:t>75</w:t>
      </w:r>
      <w:r>
        <w:rPr>
          <w:rFonts w:hint="eastAsia"/>
        </w:rPr>
        <w:fldChar w:fldCharType="end"/>
      </w:r>
    </w:p>
    <w:p w14:paraId="13D449FB">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snapToGrid w:val="0"/>
        </w:rPr>
        <w:t>5.2.1工艺及装置安全检查表</w:t>
      </w:r>
      <w:r>
        <w:rPr>
          <w:rFonts w:hint="eastAsia"/>
        </w:rPr>
        <w:tab/>
      </w:r>
      <w:r>
        <w:rPr>
          <w:rFonts w:hint="eastAsia"/>
        </w:rPr>
        <w:fldChar w:fldCharType="begin"/>
      </w:r>
      <w:r>
        <w:rPr>
          <w:rFonts w:hint="eastAsia"/>
        </w:rPr>
        <w:instrText xml:space="preserve"> </w:instrText>
      </w:r>
      <w:r>
        <w:instrText xml:space="preserve">PAGEREF _Toc215210595 \h</w:instrText>
      </w:r>
      <w:r>
        <w:rPr>
          <w:rFonts w:hint="eastAsia"/>
        </w:rPr>
        <w:instrText xml:space="preserve"> </w:instrText>
      </w:r>
      <w:r>
        <w:rPr>
          <w:rFonts w:hint="eastAsia"/>
        </w:rPr>
        <w:fldChar w:fldCharType="separate"/>
      </w:r>
      <w:r>
        <w:t>75</w:t>
      </w:r>
      <w:r>
        <w:rPr>
          <w:rFonts w:hint="eastAsia"/>
        </w:rPr>
        <w:fldChar w:fldCharType="end"/>
      </w:r>
    </w:p>
    <w:p w14:paraId="5226D1C3">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snapToGrid w:val="0"/>
        </w:rPr>
        <w:t>5.2.2先进性和可靠性分析</w:t>
      </w:r>
      <w:r>
        <w:rPr>
          <w:rFonts w:hint="eastAsia"/>
        </w:rPr>
        <w:tab/>
      </w:r>
      <w:r>
        <w:rPr>
          <w:rFonts w:hint="eastAsia"/>
        </w:rPr>
        <w:fldChar w:fldCharType="begin"/>
      </w:r>
      <w:r>
        <w:rPr>
          <w:rFonts w:hint="eastAsia"/>
        </w:rPr>
        <w:instrText xml:space="preserve"> </w:instrText>
      </w:r>
      <w:r>
        <w:instrText xml:space="preserve">PAGEREF _Toc215210596 \h</w:instrText>
      </w:r>
      <w:r>
        <w:rPr>
          <w:rFonts w:hint="eastAsia"/>
        </w:rPr>
        <w:instrText xml:space="preserve"> </w:instrText>
      </w:r>
      <w:r>
        <w:rPr>
          <w:rFonts w:hint="eastAsia"/>
        </w:rPr>
        <w:fldChar w:fldCharType="separate"/>
      </w:r>
      <w:r>
        <w:t>78</w:t>
      </w:r>
      <w:r>
        <w:rPr>
          <w:rFonts w:hint="eastAsia"/>
        </w:rPr>
        <w:fldChar w:fldCharType="end"/>
      </w:r>
    </w:p>
    <w:p w14:paraId="364A0CCB">
      <w:pPr>
        <w:pStyle w:val="36"/>
        <w:tabs>
          <w:tab w:val="right" w:leader="dot" w:pos="9175"/>
        </w:tabs>
        <w:ind w:left="1120"/>
        <w:rPr>
          <w:rFonts w:hint="eastAsia" w:asciiTheme="minorHAnsi" w:hAnsiTheme="minorHAnsi" w:eastAsiaTheme="minorEastAsia" w:cstheme="minorBidi"/>
          <w:kern w:val="2"/>
          <w:sz w:val="22"/>
          <w14:ligatures w14:val="standardContextual"/>
        </w:rPr>
      </w:pPr>
      <w:r>
        <w:rPr>
          <w:rFonts w:hint="eastAsia"/>
          <w:snapToGrid w:val="0"/>
        </w:rPr>
        <w:t>5.2.3评价小结</w:t>
      </w:r>
      <w:r>
        <w:rPr>
          <w:rFonts w:hint="eastAsia"/>
        </w:rPr>
        <w:tab/>
      </w:r>
      <w:r>
        <w:rPr>
          <w:rFonts w:hint="eastAsia"/>
        </w:rPr>
        <w:fldChar w:fldCharType="begin"/>
      </w:r>
      <w:r>
        <w:rPr>
          <w:rFonts w:hint="eastAsia"/>
        </w:rPr>
        <w:instrText xml:space="preserve"> </w:instrText>
      </w:r>
      <w:r>
        <w:instrText xml:space="preserve">PAGEREF _Toc215210597 \h</w:instrText>
      </w:r>
      <w:r>
        <w:rPr>
          <w:rFonts w:hint="eastAsia"/>
        </w:rPr>
        <w:instrText xml:space="preserve"> </w:instrText>
      </w:r>
      <w:r>
        <w:rPr>
          <w:rFonts w:hint="eastAsia"/>
        </w:rPr>
        <w:fldChar w:fldCharType="separate"/>
      </w:r>
      <w:r>
        <w:t>79</w:t>
      </w:r>
      <w:r>
        <w:rPr>
          <w:rFonts w:hint="eastAsia"/>
        </w:rPr>
        <w:fldChar w:fldCharType="end"/>
      </w:r>
    </w:p>
    <w:p w14:paraId="51D99140">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hint="eastAsia"/>
        </w:rPr>
        <w:t>第6章 所采取的安全防范对策措施</w:t>
      </w:r>
      <w:r>
        <w:rPr>
          <w:rFonts w:hint="eastAsia"/>
        </w:rPr>
        <w:tab/>
      </w:r>
      <w:r>
        <w:rPr>
          <w:rFonts w:hint="eastAsia"/>
        </w:rPr>
        <w:fldChar w:fldCharType="begin"/>
      </w:r>
      <w:r>
        <w:rPr>
          <w:rFonts w:hint="eastAsia"/>
        </w:rPr>
        <w:instrText xml:space="preserve"> </w:instrText>
      </w:r>
      <w:r>
        <w:instrText xml:space="preserve">PAGEREF _Toc215210598 \h</w:instrText>
      </w:r>
      <w:r>
        <w:rPr>
          <w:rFonts w:hint="eastAsia"/>
        </w:rPr>
        <w:instrText xml:space="preserve"> </w:instrText>
      </w:r>
      <w:r>
        <w:rPr>
          <w:rFonts w:hint="eastAsia"/>
        </w:rPr>
        <w:fldChar w:fldCharType="separate"/>
      </w:r>
      <w:r>
        <w:t>80</w:t>
      </w:r>
      <w:r>
        <w:rPr>
          <w:rFonts w:hint="eastAsia"/>
        </w:rPr>
        <w:fldChar w:fldCharType="end"/>
      </w:r>
    </w:p>
    <w:p w14:paraId="22A6255C">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6.2.1总平面布置方面的安全对策措施</w:t>
      </w:r>
      <w:r>
        <w:rPr>
          <w:rFonts w:hint="eastAsia"/>
        </w:rPr>
        <w:tab/>
      </w:r>
      <w:r>
        <w:rPr>
          <w:rFonts w:hint="eastAsia"/>
        </w:rPr>
        <w:fldChar w:fldCharType="begin"/>
      </w:r>
      <w:r>
        <w:rPr>
          <w:rFonts w:hint="eastAsia"/>
        </w:rPr>
        <w:instrText xml:space="preserve"> </w:instrText>
      </w:r>
      <w:r>
        <w:instrText xml:space="preserve">PAGEREF _Toc215210599 \h</w:instrText>
      </w:r>
      <w:r>
        <w:rPr>
          <w:rFonts w:hint="eastAsia"/>
        </w:rPr>
        <w:instrText xml:space="preserve"> </w:instrText>
      </w:r>
      <w:r>
        <w:rPr>
          <w:rFonts w:hint="eastAsia"/>
        </w:rPr>
        <w:fldChar w:fldCharType="separate"/>
      </w:r>
      <w:r>
        <w:t>80</w:t>
      </w:r>
      <w:r>
        <w:rPr>
          <w:rFonts w:hint="eastAsia"/>
        </w:rPr>
        <w:fldChar w:fldCharType="end"/>
      </w:r>
    </w:p>
    <w:p w14:paraId="5AF3FD7B">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6.2.2工艺系统安全对策措施</w:t>
      </w:r>
      <w:r>
        <w:rPr>
          <w:rFonts w:hint="eastAsia"/>
        </w:rPr>
        <w:tab/>
      </w:r>
      <w:r>
        <w:rPr>
          <w:rFonts w:hint="eastAsia"/>
        </w:rPr>
        <w:fldChar w:fldCharType="begin"/>
      </w:r>
      <w:r>
        <w:rPr>
          <w:rFonts w:hint="eastAsia"/>
        </w:rPr>
        <w:instrText xml:space="preserve"> </w:instrText>
      </w:r>
      <w:r>
        <w:instrText xml:space="preserve">PAGEREF _Toc215210600 \h</w:instrText>
      </w:r>
      <w:r>
        <w:rPr>
          <w:rFonts w:hint="eastAsia"/>
        </w:rPr>
        <w:instrText xml:space="preserve"> </w:instrText>
      </w:r>
      <w:r>
        <w:rPr>
          <w:rFonts w:hint="eastAsia"/>
        </w:rPr>
        <w:fldChar w:fldCharType="separate"/>
      </w:r>
      <w:r>
        <w:t>80</w:t>
      </w:r>
      <w:r>
        <w:rPr>
          <w:rFonts w:hint="eastAsia"/>
        </w:rPr>
        <w:fldChar w:fldCharType="end"/>
      </w:r>
    </w:p>
    <w:p w14:paraId="5D504753">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6.2.3</w:t>
      </w:r>
      <w:r>
        <w:rPr>
          <w:rFonts w:hint="eastAsia"/>
          <w:snapToGrid w:val="0"/>
        </w:rPr>
        <w:t>仪表自控系统</w:t>
      </w:r>
      <w:r>
        <w:rPr>
          <w:rFonts w:hint="eastAsia"/>
        </w:rPr>
        <w:t>安全对策措施</w:t>
      </w:r>
      <w:r>
        <w:rPr>
          <w:rFonts w:hint="eastAsia"/>
        </w:rPr>
        <w:tab/>
      </w:r>
      <w:r>
        <w:rPr>
          <w:rFonts w:hint="eastAsia"/>
        </w:rPr>
        <w:fldChar w:fldCharType="begin"/>
      </w:r>
      <w:r>
        <w:rPr>
          <w:rFonts w:hint="eastAsia"/>
        </w:rPr>
        <w:instrText xml:space="preserve"> </w:instrText>
      </w:r>
      <w:r>
        <w:instrText xml:space="preserve">PAGEREF _Toc215210601 \h</w:instrText>
      </w:r>
      <w:r>
        <w:rPr>
          <w:rFonts w:hint="eastAsia"/>
        </w:rPr>
        <w:instrText xml:space="preserve"> </w:instrText>
      </w:r>
      <w:r>
        <w:rPr>
          <w:rFonts w:hint="eastAsia"/>
        </w:rPr>
        <w:fldChar w:fldCharType="separate"/>
      </w:r>
      <w:r>
        <w:t>81</w:t>
      </w:r>
      <w:r>
        <w:rPr>
          <w:rFonts w:hint="eastAsia"/>
        </w:rPr>
        <w:fldChar w:fldCharType="end"/>
      </w:r>
    </w:p>
    <w:p w14:paraId="6BCD2DB7">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6.2.4安全管理方面的安全对策措施</w:t>
      </w:r>
      <w:r>
        <w:rPr>
          <w:rFonts w:hint="eastAsia"/>
        </w:rPr>
        <w:tab/>
      </w:r>
      <w:r>
        <w:rPr>
          <w:rFonts w:hint="eastAsia"/>
        </w:rPr>
        <w:fldChar w:fldCharType="begin"/>
      </w:r>
      <w:r>
        <w:rPr>
          <w:rFonts w:hint="eastAsia"/>
        </w:rPr>
        <w:instrText xml:space="preserve"> </w:instrText>
      </w:r>
      <w:r>
        <w:instrText xml:space="preserve">PAGEREF _Toc215210602 \h</w:instrText>
      </w:r>
      <w:r>
        <w:rPr>
          <w:rFonts w:hint="eastAsia"/>
        </w:rPr>
        <w:instrText xml:space="preserve"> </w:instrText>
      </w:r>
      <w:r>
        <w:rPr>
          <w:rFonts w:hint="eastAsia"/>
        </w:rPr>
        <w:fldChar w:fldCharType="separate"/>
      </w:r>
      <w:r>
        <w:t>82</w:t>
      </w:r>
      <w:r>
        <w:rPr>
          <w:rFonts w:hint="eastAsia"/>
        </w:rPr>
        <w:fldChar w:fldCharType="end"/>
      </w:r>
    </w:p>
    <w:p w14:paraId="395FBB45">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6.2.5施工期的安全对策措施建议</w:t>
      </w:r>
      <w:r>
        <w:rPr>
          <w:rFonts w:hint="eastAsia"/>
        </w:rPr>
        <w:tab/>
      </w:r>
      <w:r>
        <w:rPr>
          <w:rFonts w:hint="eastAsia"/>
        </w:rPr>
        <w:fldChar w:fldCharType="begin"/>
      </w:r>
      <w:r>
        <w:rPr>
          <w:rFonts w:hint="eastAsia"/>
        </w:rPr>
        <w:instrText xml:space="preserve"> </w:instrText>
      </w:r>
      <w:r>
        <w:instrText xml:space="preserve">PAGEREF _Toc215210603 \h</w:instrText>
      </w:r>
      <w:r>
        <w:rPr>
          <w:rFonts w:hint="eastAsia"/>
        </w:rPr>
        <w:instrText xml:space="preserve"> </w:instrText>
      </w:r>
      <w:r>
        <w:rPr>
          <w:rFonts w:hint="eastAsia"/>
        </w:rPr>
        <w:fldChar w:fldCharType="separate"/>
      </w:r>
      <w:r>
        <w:t>82</w:t>
      </w:r>
      <w:r>
        <w:rPr>
          <w:rFonts w:hint="eastAsia"/>
        </w:rPr>
        <w:fldChar w:fldCharType="end"/>
      </w:r>
    </w:p>
    <w:p w14:paraId="28A00E39">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hint="eastAsia"/>
        </w:rPr>
        <w:t>第7章 建设项目所达到的安全水平及综合分析结论</w:t>
      </w:r>
      <w:r>
        <w:rPr>
          <w:rFonts w:hint="eastAsia"/>
        </w:rPr>
        <w:tab/>
      </w:r>
      <w:r>
        <w:rPr>
          <w:rFonts w:hint="eastAsia"/>
        </w:rPr>
        <w:fldChar w:fldCharType="begin"/>
      </w:r>
      <w:r>
        <w:rPr>
          <w:rFonts w:hint="eastAsia"/>
        </w:rPr>
        <w:instrText xml:space="preserve"> </w:instrText>
      </w:r>
      <w:r>
        <w:instrText xml:space="preserve">PAGEREF _Toc215210604 \h</w:instrText>
      </w:r>
      <w:r>
        <w:rPr>
          <w:rFonts w:hint="eastAsia"/>
        </w:rPr>
        <w:instrText xml:space="preserve"> </w:instrText>
      </w:r>
      <w:r>
        <w:rPr>
          <w:rFonts w:hint="eastAsia"/>
        </w:rPr>
        <w:fldChar w:fldCharType="separate"/>
      </w:r>
      <w:r>
        <w:t>85</w:t>
      </w:r>
      <w:r>
        <w:rPr>
          <w:rFonts w:hint="eastAsia"/>
        </w:rPr>
        <w:fldChar w:fldCharType="end"/>
      </w:r>
    </w:p>
    <w:p w14:paraId="1F4E777A">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7.1 安全条件和与周边的安全防护距离</w:t>
      </w:r>
      <w:r>
        <w:rPr>
          <w:rFonts w:hint="eastAsia"/>
        </w:rPr>
        <w:tab/>
      </w:r>
      <w:r>
        <w:rPr>
          <w:rFonts w:hint="eastAsia"/>
        </w:rPr>
        <w:fldChar w:fldCharType="begin"/>
      </w:r>
      <w:r>
        <w:rPr>
          <w:rFonts w:hint="eastAsia"/>
        </w:rPr>
        <w:instrText xml:space="preserve"> </w:instrText>
      </w:r>
      <w:r>
        <w:instrText xml:space="preserve">PAGEREF _Toc215210605 \h</w:instrText>
      </w:r>
      <w:r>
        <w:rPr>
          <w:rFonts w:hint="eastAsia"/>
        </w:rPr>
        <w:instrText xml:space="preserve"> </w:instrText>
      </w:r>
      <w:r>
        <w:rPr>
          <w:rFonts w:hint="eastAsia"/>
        </w:rPr>
        <w:fldChar w:fldCharType="separate"/>
      </w:r>
      <w:r>
        <w:t>85</w:t>
      </w:r>
      <w:r>
        <w:rPr>
          <w:rFonts w:hint="eastAsia"/>
        </w:rPr>
        <w:fldChar w:fldCharType="end"/>
      </w:r>
    </w:p>
    <w:p w14:paraId="204A43D6">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7.2 工艺系统及设施</w:t>
      </w:r>
      <w:r>
        <w:rPr>
          <w:rFonts w:hint="eastAsia"/>
        </w:rPr>
        <w:tab/>
      </w:r>
      <w:r>
        <w:rPr>
          <w:rFonts w:hint="eastAsia"/>
        </w:rPr>
        <w:fldChar w:fldCharType="begin"/>
      </w:r>
      <w:r>
        <w:rPr>
          <w:rFonts w:hint="eastAsia"/>
        </w:rPr>
        <w:instrText xml:space="preserve"> </w:instrText>
      </w:r>
      <w:r>
        <w:instrText xml:space="preserve">PAGEREF _Toc215210606 \h</w:instrText>
      </w:r>
      <w:r>
        <w:rPr>
          <w:rFonts w:hint="eastAsia"/>
        </w:rPr>
        <w:instrText xml:space="preserve"> </w:instrText>
      </w:r>
      <w:r>
        <w:rPr>
          <w:rFonts w:hint="eastAsia"/>
        </w:rPr>
        <w:fldChar w:fldCharType="separate"/>
      </w:r>
      <w:r>
        <w:t>85</w:t>
      </w:r>
      <w:r>
        <w:rPr>
          <w:rFonts w:hint="eastAsia"/>
        </w:rPr>
        <w:fldChar w:fldCharType="end"/>
      </w:r>
    </w:p>
    <w:p w14:paraId="5C192B47">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7.2 建设项目采用的安全设施水平</w:t>
      </w:r>
      <w:r>
        <w:rPr>
          <w:rFonts w:hint="eastAsia"/>
        </w:rPr>
        <w:tab/>
      </w:r>
      <w:r>
        <w:rPr>
          <w:rFonts w:hint="eastAsia"/>
        </w:rPr>
        <w:fldChar w:fldCharType="begin"/>
      </w:r>
      <w:r>
        <w:rPr>
          <w:rFonts w:hint="eastAsia"/>
        </w:rPr>
        <w:instrText xml:space="preserve"> </w:instrText>
      </w:r>
      <w:r>
        <w:instrText xml:space="preserve">PAGEREF _Toc215210607 \h</w:instrText>
      </w:r>
      <w:r>
        <w:rPr>
          <w:rFonts w:hint="eastAsia"/>
        </w:rPr>
        <w:instrText xml:space="preserve"> </w:instrText>
      </w:r>
      <w:r>
        <w:rPr>
          <w:rFonts w:hint="eastAsia"/>
        </w:rPr>
        <w:fldChar w:fldCharType="separate"/>
      </w:r>
      <w:r>
        <w:t>85</w:t>
      </w:r>
      <w:r>
        <w:rPr>
          <w:rFonts w:hint="eastAsia"/>
        </w:rPr>
        <w:fldChar w:fldCharType="end"/>
      </w:r>
    </w:p>
    <w:p w14:paraId="4C9E2805">
      <w:pPr>
        <w:pStyle w:val="51"/>
        <w:tabs>
          <w:tab w:val="right" w:leader="dot" w:pos="9175"/>
        </w:tabs>
        <w:ind w:left="560"/>
        <w:rPr>
          <w:rFonts w:hint="eastAsia" w:asciiTheme="minorHAnsi" w:hAnsiTheme="minorHAnsi" w:eastAsiaTheme="minorEastAsia" w:cstheme="minorBidi"/>
          <w:kern w:val="2"/>
          <w:sz w:val="22"/>
          <w14:ligatures w14:val="standardContextual"/>
        </w:rPr>
      </w:pPr>
      <w:r>
        <w:rPr>
          <w:rFonts w:hint="eastAsia"/>
        </w:rPr>
        <w:t>7.5 综合分析结论</w:t>
      </w:r>
      <w:r>
        <w:rPr>
          <w:rFonts w:hint="eastAsia"/>
        </w:rPr>
        <w:tab/>
      </w:r>
      <w:r>
        <w:rPr>
          <w:rFonts w:hint="eastAsia"/>
        </w:rPr>
        <w:fldChar w:fldCharType="begin"/>
      </w:r>
      <w:r>
        <w:rPr>
          <w:rFonts w:hint="eastAsia"/>
        </w:rPr>
        <w:instrText xml:space="preserve"> </w:instrText>
      </w:r>
      <w:r>
        <w:instrText xml:space="preserve">PAGEREF _Toc215210608 \h</w:instrText>
      </w:r>
      <w:r>
        <w:rPr>
          <w:rFonts w:hint="eastAsia"/>
        </w:rPr>
        <w:instrText xml:space="preserve"> </w:instrText>
      </w:r>
      <w:r>
        <w:rPr>
          <w:rFonts w:hint="eastAsia"/>
        </w:rPr>
        <w:fldChar w:fldCharType="separate"/>
      </w:r>
      <w:r>
        <w:t>85</w:t>
      </w:r>
      <w:r>
        <w:rPr>
          <w:rFonts w:hint="eastAsia"/>
        </w:rPr>
        <w:fldChar w:fldCharType="end"/>
      </w:r>
    </w:p>
    <w:p w14:paraId="6A7230DD">
      <w:pPr>
        <w:pStyle w:val="43"/>
        <w:tabs>
          <w:tab w:val="right" w:leader="dot" w:pos="9175"/>
        </w:tabs>
        <w:rPr>
          <w:rFonts w:hint="eastAsia" w:asciiTheme="minorHAnsi" w:hAnsiTheme="minorHAnsi" w:eastAsiaTheme="minorEastAsia" w:cstheme="minorBidi"/>
          <w:b w:val="0"/>
          <w:kern w:val="2"/>
          <w:sz w:val="22"/>
          <w14:ligatures w14:val="standardContextual"/>
        </w:rPr>
      </w:pPr>
      <w:r>
        <w:rPr>
          <w:rFonts w:hint="eastAsia"/>
        </w:rPr>
        <w:t>附件</w:t>
      </w:r>
      <w:r>
        <w:rPr>
          <w:rFonts w:hint="eastAsia"/>
        </w:rPr>
        <w:tab/>
      </w:r>
      <w:r>
        <w:rPr>
          <w:rFonts w:hint="eastAsia"/>
        </w:rPr>
        <w:fldChar w:fldCharType="begin"/>
      </w:r>
      <w:r>
        <w:rPr>
          <w:rFonts w:hint="eastAsia"/>
        </w:rPr>
        <w:instrText xml:space="preserve"> </w:instrText>
      </w:r>
      <w:r>
        <w:instrText xml:space="preserve">PAGEREF _Toc215210609 \h</w:instrText>
      </w:r>
      <w:r>
        <w:rPr>
          <w:rFonts w:hint="eastAsia"/>
        </w:rPr>
        <w:instrText xml:space="preserve"> </w:instrText>
      </w:r>
      <w:r>
        <w:rPr>
          <w:rFonts w:hint="eastAsia"/>
        </w:rPr>
        <w:fldChar w:fldCharType="separate"/>
      </w:r>
      <w:r>
        <w:t>86</w:t>
      </w:r>
      <w:r>
        <w:rPr>
          <w:rFonts w:hint="eastAsia"/>
        </w:rPr>
        <w:fldChar w:fldCharType="end"/>
      </w:r>
    </w:p>
    <w:p w14:paraId="592B998C">
      <w:pPr>
        <w:ind w:firstLine="560"/>
        <w:rPr>
          <w:rFonts w:eastAsia="仿宋_GB2312" w:cs="Times New Roman"/>
          <w:szCs w:val="28"/>
        </w:rPr>
        <w:sectPr>
          <w:pgSz w:w="11907" w:h="16840"/>
          <w:pgMar w:top="1418" w:right="1134" w:bottom="1134" w:left="1588" w:header="851" w:footer="992" w:gutter="0"/>
          <w:pgNumType w:fmt="upperRoman" w:start="1"/>
          <w:cols w:space="720" w:num="1"/>
        </w:sectPr>
      </w:pPr>
      <w:r>
        <w:rPr>
          <w:rFonts w:eastAsia="仿宋_GB2312" w:cs="Times New Roman"/>
          <w:bCs/>
          <w:caps/>
          <w:szCs w:val="28"/>
          <w:lang w:eastAsia="en-US"/>
        </w:rPr>
        <w:fldChar w:fldCharType="end"/>
      </w:r>
      <w:bookmarkStart w:id="586" w:name="_GoBack"/>
      <w:bookmarkEnd w:id="586"/>
    </w:p>
    <w:p w14:paraId="78AE7F46">
      <w:pPr>
        <w:pStyle w:val="3"/>
        <w:ind w:firstLine="883"/>
        <w:rPr>
          <w:color w:val="auto"/>
        </w:rPr>
      </w:pPr>
      <w:bookmarkStart w:id="28" w:name="_Toc160982028"/>
      <w:bookmarkStart w:id="29" w:name="_Toc160982492"/>
      <w:bookmarkStart w:id="30" w:name="_Toc160982141"/>
      <w:bookmarkStart w:id="31" w:name="_Toc160982373"/>
      <w:bookmarkStart w:id="32" w:name="_Toc215210526"/>
      <w:r>
        <w:rPr>
          <w:color w:val="auto"/>
        </w:rPr>
        <w:t xml:space="preserve">第1章 </w:t>
      </w:r>
      <w:bookmarkEnd w:id="28"/>
      <w:bookmarkEnd w:id="29"/>
      <w:bookmarkEnd w:id="30"/>
      <w:bookmarkEnd w:id="31"/>
      <w:r>
        <w:rPr>
          <w:color w:val="auto"/>
        </w:rPr>
        <w:t>编制说明</w:t>
      </w:r>
      <w:bookmarkEnd w:id="32"/>
    </w:p>
    <w:p w14:paraId="5955A474">
      <w:pPr>
        <w:pStyle w:val="5"/>
        <w:rPr>
          <w:color w:val="auto"/>
        </w:rPr>
      </w:pPr>
      <w:bookmarkStart w:id="33" w:name="_Toc304470738"/>
      <w:bookmarkStart w:id="34" w:name="_Toc310092650"/>
      <w:bookmarkStart w:id="35" w:name="_Toc191728088"/>
      <w:bookmarkStart w:id="36" w:name="_Toc6248"/>
      <w:bookmarkStart w:id="37" w:name="_Toc231835916"/>
      <w:bookmarkStart w:id="38" w:name="_Toc249429935"/>
      <w:bookmarkStart w:id="39" w:name="_Toc451549674"/>
      <w:bookmarkStart w:id="40" w:name="_Toc231983366"/>
      <w:bookmarkStart w:id="41" w:name="_Toc449443356"/>
      <w:bookmarkStart w:id="42" w:name="_Toc281079428"/>
      <w:bookmarkStart w:id="43" w:name="_Toc370242925"/>
      <w:bookmarkStart w:id="44" w:name="_Toc310369688"/>
      <w:bookmarkStart w:id="45" w:name="_Toc304298899"/>
      <w:bookmarkStart w:id="46" w:name="_Toc249354442"/>
      <w:bookmarkStart w:id="47" w:name="_Toc369180124"/>
      <w:bookmarkStart w:id="48" w:name="_Toc272582097"/>
      <w:bookmarkStart w:id="49" w:name="_Toc191729648"/>
      <w:bookmarkStart w:id="50" w:name="_Toc26417"/>
      <w:bookmarkStart w:id="51" w:name="_Toc232084103"/>
      <w:bookmarkStart w:id="52" w:name="_Toc17626"/>
      <w:bookmarkStart w:id="53" w:name="_Toc160982029"/>
      <w:bookmarkStart w:id="54" w:name="_Toc160982374"/>
      <w:bookmarkStart w:id="55" w:name="_Toc339981192"/>
      <w:bookmarkStart w:id="56" w:name="_Toc160982493"/>
      <w:bookmarkStart w:id="57" w:name="_Toc273523531"/>
      <w:bookmarkStart w:id="58" w:name="_Toc310286942"/>
      <w:bookmarkStart w:id="59" w:name="_Toc191729966"/>
      <w:bookmarkStart w:id="60" w:name="_Toc235587785"/>
      <w:bookmarkStart w:id="61" w:name="_Toc449388989"/>
      <w:bookmarkStart w:id="62" w:name="_Toc9852625"/>
      <w:bookmarkStart w:id="63" w:name="_Toc262638418"/>
      <w:bookmarkStart w:id="64" w:name="_Toc231982057"/>
      <w:bookmarkStart w:id="65" w:name="_Toc250471495"/>
      <w:bookmarkStart w:id="66" w:name="_Toc275435827"/>
      <w:bookmarkStart w:id="67" w:name="_Toc236123653"/>
      <w:bookmarkStart w:id="68" w:name="_Toc262743319"/>
      <w:bookmarkStart w:id="69" w:name="_Toc451549872"/>
      <w:bookmarkStart w:id="70" w:name="_Toc233515684"/>
      <w:bookmarkStart w:id="71" w:name="_Toc262653566"/>
      <w:bookmarkStart w:id="72" w:name="_Toc13139"/>
      <w:bookmarkStart w:id="73" w:name="_Toc10320"/>
      <w:bookmarkStart w:id="74" w:name="_Toc463820746"/>
      <w:bookmarkStart w:id="75" w:name="_Toc194389863"/>
      <w:bookmarkStart w:id="76" w:name="_Toc280194917"/>
      <w:bookmarkStart w:id="77" w:name="_Toc448780491"/>
      <w:bookmarkStart w:id="78" w:name="_Toc436687572"/>
      <w:bookmarkStart w:id="79" w:name="_Toc304545714"/>
      <w:bookmarkStart w:id="80" w:name="_Toc160982142"/>
      <w:bookmarkStart w:id="81" w:name="_Toc448780873"/>
      <w:bookmarkStart w:id="82" w:name="_Toc304280307"/>
      <w:bookmarkStart w:id="83" w:name="_Toc449442559"/>
      <w:bookmarkStart w:id="84" w:name="_Toc215210527"/>
      <w:r>
        <w:rPr>
          <w:color w:val="auto"/>
        </w:rPr>
        <w:t>1.1</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rPr>
          <w:rFonts w:hint="eastAsia"/>
          <w:color w:val="auto"/>
        </w:rPr>
        <w:t>概述</w:t>
      </w:r>
      <w:bookmarkEnd w:id="84"/>
    </w:p>
    <w:p w14:paraId="515B0B02">
      <w:pPr>
        <w:ind w:firstLine="560"/>
        <w:rPr>
          <w:rFonts w:cs="Times New Roman"/>
          <w:snapToGrid w:val="0"/>
        </w:rPr>
      </w:pPr>
      <w:bookmarkStart w:id="85" w:name="_Toc121910185"/>
      <w:r>
        <w:rPr>
          <w:rFonts w:hint="eastAsia" w:cs="Times New Roman"/>
          <w:snapToGrid w:val="0"/>
        </w:rPr>
        <w:t>为贯彻落实以人为本，坚持安全发展，坚持“安全第一、预防为主、综合治理”的安全方针，根据《安全生产法》（中华人民共和国主席令第13号）、《建设项目安全设施“三同时”监督管理办法》（原国家安全生产监督管理总局令第36号，根据原国家安全生产监督管理总局令第77号修改）等国家有关安全生产法律法规的相关要求，新建、改建、扩建项目符合《建设项目安全设施“三同时”监督管理办法》第九条规定的，生产经营单位应当对其安全生产条件和设施进行综合分析，形成书面报告备查。</w:t>
      </w:r>
    </w:p>
    <w:p w14:paraId="2CC21E00">
      <w:pPr>
        <w:ind w:firstLine="560"/>
        <w:rPr>
          <w:rFonts w:cs="Times New Roman"/>
          <w:snapToGrid w:val="0"/>
        </w:rPr>
      </w:pPr>
      <w:r>
        <w:rPr>
          <w:rFonts w:hint="eastAsia" w:cs="Times New Roman"/>
          <w:snapToGrid w:val="0"/>
        </w:rPr>
        <w:t>根据国家相关安全生产法律、法规、部门规章的要求，本安全生产条件和设施综合分析报告主要包括以下内容：</w:t>
      </w:r>
    </w:p>
    <w:p w14:paraId="2E05AA69">
      <w:pPr>
        <w:ind w:firstLine="560"/>
        <w:rPr>
          <w:rFonts w:cs="Times New Roman"/>
          <w:snapToGrid w:val="0"/>
        </w:rPr>
      </w:pPr>
      <w:r>
        <w:rPr>
          <w:rFonts w:hint="eastAsia" w:cs="Times New Roman"/>
          <w:snapToGrid w:val="0"/>
        </w:rPr>
        <w:t>1、项目建设的依据；</w:t>
      </w:r>
    </w:p>
    <w:p w14:paraId="2A6751C4">
      <w:pPr>
        <w:ind w:firstLine="560"/>
        <w:rPr>
          <w:rFonts w:cs="Times New Roman"/>
          <w:snapToGrid w:val="0"/>
        </w:rPr>
      </w:pPr>
      <w:r>
        <w:rPr>
          <w:rFonts w:hint="eastAsia" w:cs="Times New Roman"/>
          <w:snapToGrid w:val="0"/>
        </w:rPr>
        <w:t>2、建设项目概况；</w:t>
      </w:r>
    </w:p>
    <w:p w14:paraId="58B89AF4">
      <w:pPr>
        <w:ind w:firstLine="560"/>
        <w:rPr>
          <w:rFonts w:cs="Times New Roman"/>
          <w:snapToGrid w:val="0"/>
        </w:rPr>
      </w:pPr>
      <w:r>
        <w:rPr>
          <w:rFonts w:hint="eastAsia" w:cs="Times New Roman"/>
          <w:snapToGrid w:val="0"/>
        </w:rPr>
        <w:t>3、建设项目危险、有害因素及危险、有害程度分析；</w:t>
      </w:r>
    </w:p>
    <w:p w14:paraId="3D1D58CF">
      <w:pPr>
        <w:ind w:firstLine="560"/>
        <w:rPr>
          <w:rFonts w:cs="Times New Roman"/>
          <w:snapToGrid w:val="0"/>
        </w:rPr>
      </w:pPr>
      <w:r>
        <w:rPr>
          <w:rFonts w:hint="eastAsia" w:cs="Times New Roman"/>
          <w:snapToGrid w:val="0"/>
        </w:rPr>
        <w:t>4、安全生产条件和设施分析；</w:t>
      </w:r>
    </w:p>
    <w:p w14:paraId="29E4D2B2">
      <w:pPr>
        <w:ind w:firstLine="560"/>
        <w:rPr>
          <w:rFonts w:cs="Times New Roman"/>
          <w:snapToGrid w:val="0"/>
        </w:rPr>
      </w:pPr>
      <w:r>
        <w:rPr>
          <w:rFonts w:hint="eastAsia" w:cs="Times New Roman"/>
          <w:snapToGrid w:val="0"/>
        </w:rPr>
        <w:t>5、所采取的安全防范措施；</w:t>
      </w:r>
    </w:p>
    <w:p w14:paraId="4A73B3CE">
      <w:pPr>
        <w:ind w:firstLine="560"/>
        <w:rPr>
          <w:rFonts w:cs="Times New Roman"/>
          <w:snapToGrid w:val="0"/>
        </w:rPr>
      </w:pPr>
      <w:r>
        <w:rPr>
          <w:rFonts w:hint="eastAsia" w:cs="Times New Roman"/>
          <w:snapToGrid w:val="0"/>
        </w:rPr>
        <w:t>6、建设项目所达到的安全水平及综合分析结论；</w:t>
      </w:r>
    </w:p>
    <w:p w14:paraId="53C5C811">
      <w:pPr>
        <w:ind w:firstLine="560"/>
        <w:rPr>
          <w:rFonts w:cs="Times New Roman"/>
          <w:snapToGrid w:val="0"/>
        </w:rPr>
      </w:pPr>
      <w:r>
        <w:rPr>
          <w:rFonts w:hint="eastAsia" w:cs="Times New Roman"/>
          <w:snapToGrid w:val="0"/>
        </w:rPr>
        <w:t>7、附件。</w:t>
      </w:r>
    </w:p>
    <w:p w14:paraId="3A61B49F">
      <w:pPr>
        <w:ind w:firstLine="560"/>
        <w:rPr>
          <w:rFonts w:cs="Times New Roman"/>
          <w:snapToGrid w:val="0"/>
        </w:rPr>
      </w:pPr>
      <w:r>
        <w:rPr>
          <w:rFonts w:hint="eastAsia" w:cs="Times New Roman"/>
          <w:snapToGrid w:val="0"/>
        </w:rPr>
        <w:t>在安全生产条件和设施综合分析过程中通过现场勘查和资料收集，对收集的资料依据国家法律、法规和标准，通过类比分析、工程分析、危险有害因素分析和选择相关的定性、定量分析及评价方法等一系列的分析论证工作，在遵循合法性、科学性、公正性、针对性等原则编制报告。</w:t>
      </w:r>
    </w:p>
    <w:p w14:paraId="07FC588A">
      <w:pPr>
        <w:pStyle w:val="5"/>
        <w:rPr>
          <w:color w:val="auto"/>
        </w:rPr>
      </w:pPr>
      <w:bookmarkStart w:id="86" w:name="_Toc215210528"/>
      <w:bookmarkStart w:id="87" w:name="_Toc160982144"/>
      <w:bookmarkStart w:id="88" w:name="_Toc160982376"/>
      <w:bookmarkStart w:id="89" w:name="_Toc160982031"/>
      <w:bookmarkStart w:id="90" w:name="_Toc160982495"/>
      <w:r>
        <w:rPr>
          <w:color w:val="auto"/>
        </w:rPr>
        <w:t>1.</w:t>
      </w:r>
      <w:r>
        <w:rPr>
          <w:rFonts w:hint="eastAsia"/>
          <w:color w:val="auto"/>
        </w:rPr>
        <w:t>2编制</w:t>
      </w:r>
      <w:r>
        <w:rPr>
          <w:color w:val="auto"/>
        </w:rPr>
        <w:t>依据</w:t>
      </w:r>
      <w:bookmarkEnd w:id="86"/>
      <w:bookmarkEnd w:id="87"/>
      <w:bookmarkEnd w:id="88"/>
      <w:bookmarkEnd w:id="89"/>
      <w:bookmarkEnd w:id="90"/>
    </w:p>
    <w:p w14:paraId="76DD6871">
      <w:pPr>
        <w:pStyle w:val="9"/>
        <w:rPr>
          <w:color w:val="auto"/>
        </w:rPr>
      </w:pPr>
      <w:bookmarkStart w:id="91" w:name="_Toc448780673"/>
      <w:bookmarkStart w:id="92" w:name="_Toc434310449"/>
      <w:bookmarkStart w:id="93" w:name="_Toc160982032"/>
      <w:bookmarkStart w:id="94" w:name="_Toc160982145"/>
      <w:bookmarkStart w:id="95" w:name="_Toc410377077"/>
      <w:bookmarkStart w:id="96" w:name="_Toc451715538"/>
      <w:bookmarkStart w:id="97" w:name="_Toc160982377"/>
      <w:bookmarkStart w:id="98" w:name="_Toc160982496"/>
      <w:bookmarkStart w:id="99" w:name="_Toc9023898"/>
      <w:bookmarkStart w:id="100" w:name="_Toc215210529"/>
      <w:bookmarkStart w:id="101" w:name="_Toc451549861"/>
      <w:r>
        <w:rPr>
          <w:color w:val="auto"/>
        </w:rPr>
        <w:t>1.</w:t>
      </w:r>
      <w:r>
        <w:rPr>
          <w:rFonts w:hint="eastAsia"/>
          <w:color w:val="auto"/>
        </w:rPr>
        <w:t>2</w:t>
      </w:r>
      <w:r>
        <w:rPr>
          <w:color w:val="auto"/>
        </w:rPr>
        <w:t>.1法律、法规</w:t>
      </w:r>
      <w:bookmarkEnd w:id="91"/>
      <w:bookmarkEnd w:id="92"/>
      <w:bookmarkEnd w:id="93"/>
      <w:bookmarkEnd w:id="94"/>
      <w:bookmarkEnd w:id="95"/>
      <w:bookmarkEnd w:id="96"/>
      <w:bookmarkEnd w:id="97"/>
      <w:bookmarkEnd w:id="98"/>
      <w:bookmarkEnd w:id="99"/>
      <w:bookmarkEnd w:id="100"/>
      <w:bookmarkEnd w:id="101"/>
    </w:p>
    <w:p w14:paraId="26FCADBD">
      <w:pPr>
        <w:numPr>
          <w:ilvl w:val="0"/>
          <w:numId w:val="3"/>
        </w:numPr>
        <w:tabs>
          <w:tab w:val="left" w:pos="574"/>
        </w:tabs>
        <w:ind w:left="0" w:firstLine="560"/>
        <w:rPr>
          <w:rFonts w:cs="Times New Roman"/>
          <w:kern w:val="2"/>
          <w:szCs w:val="20"/>
        </w:rPr>
      </w:pPr>
      <w:r>
        <w:rPr>
          <w:rFonts w:cs="Times New Roman"/>
          <w:kern w:val="2"/>
          <w:szCs w:val="20"/>
        </w:rPr>
        <w:t>《中华人民共和国安全生产法》（中华人民共和国主席令第88号，2021年9月1日施行）</w:t>
      </w:r>
    </w:p>
    <w:p w14:paraId="46A1FAB6">
      <w:pPr>
        <w:numPr>
          <w:ilvl w:val="0"/>
          <w:numId w:val="3"/>
        </w:numPr>
        <w:tabs>
          <w:tab w:val="left" w:pos="574"/>
        </w:tabs>
        <w:ind w:left="0" w:firstLine="560"/>
        <w:rPr>
          <w:rFonts w:cs="Times New Roman"/>
          <w:kern w:val="2"/>
          <w:szCs w:val="20"/>
        </w:rPr>
      </w:pPr>
      <w:r>
        <w:rPr>
          <w:rFonts w:cs="Times New Roman"/>
          <w:kern w:val="2"/>
          <w:szCs w:val="20"/>
        </w:rPr>
        <w:t>《中华人民共和国消防法》（中华人民共和国主席令第29号，第十三届全国人民代表大会常务委员会第十次会议修正，2019年4月23日施行）</w:t>
      </w:r>
    </w:p>
    <w:p w14:paraId="4F1BE3CB">
      <w:pPr>
        <w:numPr>
          <w:ilvl w:val="0"/>
          <w:numId w:val="3"/>
        </w:numPr>
        <w:tabs>
          <w:tab w:val="left" w:pos="574"/>
        </w:tabs>
        <w:ind w:left="0" w:firstLine="560"/>
        <w:rPr>
          <w:rFonts w:cs="Times New Roman"/>
          <w:kern w:val="2"/>
          <w:szCs w:val="20"/>
        </w:rPr>
      </w:pPr>
      <w:r>
        <w:rPr>
          <w:rFonts w:cs="Times New Roman"/>
          <w:kern w:val="2"/>
          <w:szCs w:val="20"/>
        </w:rPr>
        <w:t>《中华人民共和国防震减灾法》（中华人民共和国主席令第7号，2008年12月27日第十一届全国人民代表大会常务委员会第六次会议修订，2009年5月1日起施行）</w:t>
      </w:r>
    </w:p>
    <w:p w14:paraId="7BFECE1D">
      <w:pPr>
        <w:numPr>
          <w:ilvl w:val="0"/>
          <w:numId w:val="3"/>
        </w:numPr>
        <w:tabs>
          <w:tab w:val="left" w:pos="574"/>
        </w:tabs>
        <w:ind w:left="0" w:firstLine="560"/>
        <w:rPr>
          <w:rFonts w:cs="Times New Roman"/>
          <w:kern w:val="2"/>
          <w:szCs w:val="20"/>
        </w:rPr>
      </w:pPr>
      <w:r>
        <w:rPr>
          <w:rFonts w:cs="Times New Roman"/>
          <w:kern w:val="2"/>
          <w:szCs w:val="20"/>
        </w:rPr>
        <w:t>《中华人民共和国突发事件应对法》（中华人民共和国主席令第69号，2007年11月1日起施行</w:t>
      </w:r>
      <w:r>
        <w:rPr>
          <w:rFonts w:hint="eastAsia" w:cs="Times New Roman"/>
          <w:kern w:val="2"/>
          <w:szCs w:val="20"/>
        </w:rPr>
        <w:t>；2007年8月30日第十届全国人民代表大会常务委员会第二十九次会议通过，2024年6月28日第十四届全国人民代表大会常务委员会第十次会议修订</w:t>
      </w:r>
      <w:r>
        <w:rPr>
          <w:rFonts w:cs="Times New Roman"/>
          <w:kern w:val="2"/>
          <w:szCs w:val="20"/>
        </w:rPr>
        <w:t>）</w:t>
      </w:r>
    </w:p>
    <w:p w14:paraId="793639E6">
      <w:pPr>
        <w:numPr>
          <w:ilvl w:val="0"/>
          <w:numId w:val="3"/>
        </w:numPr>
        <w:tabs>
          <w:tab w:val="left" w:pos="574"/>
        </w:tabs>
        <w:ind w:left="0" w:firstLine="560"/>
        <w:rPr>
          <w:rFonts w:cs="Times New Roman"/>
          <w:kern w:val="2"/>
          <w:szCs w:val="20"/>
        </w:rPr>
      </w:pPr>
      <w:r>
        <w:rPr>
          <w:rFonts w:cs="Times New Roman"/>
          <w:kern w:val="2"/>
          <w:szCs w:val="20"/>
        </w:rPr>
        <w:t>《中华人民共和国水法》（中华人民共和国主席令第74号，根据2016年7月2日第十二届全国人民代表大会常务委员会第二十一次会议《关于修改〈中华人民共和国节约能源法〉等六部法律的决定》第二次修正）</w:t>
      </w:r>
    </w:p>
    <w:p w14:paraId="1A6245DF">
      <w:pPr>
        <w:numPr>
          <w:ilvl w:val="0"/>
          <w:numId w:val="3"/>
        </w:numPr>
        <w:tabs>
          <w:tab w:val="left" w:pos="574"/>
        </w:tabs>
        <w:ind w:left="0" w:firstLine="470" w:firstLineChars="168"/>
        <w:rPr>
          <w:rFonts w:cs="Times New Roman"/>
          <w:kern w:val="2"/>
          <w:szCs w:val="20"/>
        </w:rPr>
      </w:pPr>
      <w:r>
        <w:rPr>
          <w:rFonts w:cs="Times New Roman"/>
          <w:kern w:val="2"/>
          <w:szCs w:val="20"/>
        </w:rPr>
        <w:t>《中华人民共和国特种设备安全法》（2013年6月29日中华人民共和国主席令第4号，2014年1月1日起施行）</w:t>
      </w:r>
    </w:p>
    <w:p w14:paraId="471F473D">
      <w:pPr>
        <w:numPr>
          <w:ilvl w:val="0"/>
          <w:numId w:val="3"/>
        </w:numPr>
        <w:tabs>
          <w:tab w:val="left" w:pos="574"/>
        </w:tabs>
        <w:ind w:left="0" w:firstLine="470" w:firstLineChars="168"/>
        <w:rPr>
          <w:rFonts w:cs="Times New Roman"/>
          <w:kern w:val="2"/>
          <w:szCs w:val="20"/>
        </w:rPr>
      </w:pPr>
      <w:r>
        <w:rPr>
          <w:rFonts w:cs="Times New Roman"/>
          <w:kern w:val="2"/>
          <w:szCs w:val="20"/>
        </w:rPr>
        <w:t>《地质灾害防治条例》（中华人民共和国国务院令第394号，自2004年3月1日起施行）</w:t>
      </w:r>
    </w:p>
    <w:p w14:paraId="15FCD717">
      <w:pPr>
        <w:numPr>
          <w:ilvl w:val="0"/>
          <w:numId w:val="3"/>
        </w:numPr>
        <w:tabs>
          <w:tab w:val="left" w:pos="574"/>
        </w:tabs>
        <w:ind w:left="0" w:firstLine="470" w:firstLineChars="168"/>
        <w:rPr>
          <w:rFonts w:cs="Times New Roman"/>
          <w:kern w:val="2"/>
          <w:szCs w:val="20"/>
        </w:rPr>
      </w:pPr>
      <w:r>
        <w:rPr>
          <w:rFonts w:cs="Times New Roman"/>
          <w:kern w:val="2"/>
          <w:szCs w:val="20"/>
        </w:rPr>
        <w:t>《城镇燃气管理条例》（2010年11月19日中华人民共和国国务院令第583号公布，根据2016年2月6日《国务院关于修改部分行政法规的决定》修订）</w:t>
      </w:r>
    </w:p>
    <w:p w14:paraId="1FD43E5C">
      <w:pPr>
        <w:numPr>
          <w:ilvl w:val="0"/>
          <w:numId w:val="3"/>
        </w:numPr>
        <w:tabs>
          <w:tab w:val="left" w:pos="574"/>
        </w:tabs>
        <w:ind w:left="0" w:firstLine="470" w:firstLineChars="168"/>
        <w:rPr>
          <w:rFonts w:cs="Times New Roman"/>
          <w:kern w:val="2"/>
          <w:szCs w:val="20"/>
        </w:rPr>
      </w:pPr>
      <w:r>
        <w:rPr>
          <w:rFonts w:cs="Times New Roman"/>
          <w:kern w:val="2"/>
          <w:szCs w:val="20"/>
        </w:rPr>
        <w:t>《建设工程安全生产管理条例》（中华人民共和国国务院令第393号，2004年2月1日起施行）</w:t>
      </w:r>
    </w:p>
    <w:p w14:paraId="2C692152">
      <w:pPr>
        <w:numPr>
          <w:ilvl w:val="0"/>
          <w:numId w:val="3"/>
        </w:numPr>
        <w:tabs>
          <w:tab w:val="left" w:pos="574"/>
        </w:tabs>
        <w:ind w:left="0" w:firstLine="470" w:firstLineChars="168"/>
        <w:rPr>
          <w:rFonts w:cs="Times New Roman"/>
          <w:kern w:val="2"/>
          <w:szCs w:val="20"/>
        </w:rPr>
      </w:pPr>
      <w:r>
        <w:rPr>
          <w:rFonts w:cs="Times New Roman"/>
          <w:kern w:val="2"/>
          <w:szCs w:val="20"/>
        </w:rPr>
        <w:t>《危险化学品安全管理条例》（2002年1月26日中华人民共和国国务院令第344号公布，2011年2月16日国务院第144次常务会议修订通过，根据2013年12月7日《国务院关于修改部分行政法规的决定》修订）</w:t>
      </w:r>
    </w:p>
    <w:p w14:paraId="58300EB8">
      <w:pPr>
        <w:numPr>
          <w:ilvl w:val="0"/>
          <w:numId w:val="3"/>
        </w:numPr>
        <w:tabs>
          <w:tab w:val="left" w:pos="574"/>
        </w:tabs>
        <w:ind w:left="0" w:firstLine="470" w:firstLineChars="168"/>
        <w:rPr>
          <w:rFonts w:cs="Times New Roman"/>
          <w:kern w:val="2"/>
          <w:szCs w:val="20"/>
        </w:rPr>
      </w:pPr>
      <w:r>
        <w:rPr>
          <w:rFonts w:cs="Times New Roman"/>
          <w:kern w:val="2"/>
          <w:szCs w:val="20"/>
        </w:rPr>
        <w:t>《特种设备安全监察条例》（中华人民共和国国务院令第373号公布，中华人民共和国国务院令第549号修订，修订自2009年5月1日施行）</w:t>
      </w:r>
    </w:p>
    <w:p w14:paraId="050FC64A">
      <w:pPr>
        <w:numPr>
          <w:ilvl w:val="0"/>
          <w:numId w:val="3"/>
        </w:numPr>
        <w:tabs>
          <w:tab w:val="left" w:pos="574"/>
        </w:tabs>
        <w:ind w:left="0" w:firstLine="470" w:firstLineChars="168"/>
        <w:rPr>
          <w:rFonts w:cs="Times New Roman"/>
          <w:kern w:val="2"/>
          <w:szCs w:val="20"/>
        </w:rPr>
      </w:pPr>
      <w:r>
        <w:rPr>
          <w:rFonts w:cs="Times New Roman"/>
          <w:kern w:val="2"/>
          <w:szCs w:val="20"/>
        </w:rPr>
        <w:t>《生产安全事故应急条例》（国务院令708号，2019年4月1日施行）</w:t>
      </w:r>
    </w:p>
    <w:p w14:paraId="50D5EF6A">
      <w:pPr>
        <w:numPr>
          <w:ilvl w:val="0"/>
          <w:numId w:val="3"/>
        </w:numPr>
        <w:tabs>
          <w:tab w:val="left" w:pos="574"/>
        </w:tabs>
        <w:ind w:left="0" w:firstLine="470" w:firstLineChars="168"/>
        <w:rPr>
          <w:rFonts w:cs="Times New Roman"/>
          <w:kern w:val="2"/>
          <w:szCs w:val="20"/>
        </w:rPr>
      </w:pPr>
      <w:r>
        <w:rPr>
          <w:rFonts w:cs="Times New Roman"/>
          <w:kern w:val="2"/>
          <w:szCs w:val="20"/>
        </w:rPr>
        <w:t>《云南省安全生产条例》（云南省第十届人民代表大会常务委员会第三十二次会议审议通过，云南省第十二届人大常委会第三十八次会议修订，2018年1月1日起施行）</w:t>
      </w:r>
    </w:p>
    <w:p w14:paraId="3A4EA30E">
      <w:pPr>
        <w:numPr>
          <w:ilvl w:val="0"/>
          <w:numId w:val="3"/>
        </w:numPr>
        <w:tabs>
          <w:tab w:val="left" w:pos="574"/>
        </w:tabs>
        <w:ind w:left="0" w:firstLine="470" w:firstLineChars="168"/>
        <w:rPr>
          <w:rFonts w:cs="Times New Roman"/>
          <w:kern w:val="2"/>
          <w:szCs w:val="20"/>
        </w:rPr>
      </w:pPr>
      <w:r>
        <w:rPr>
          <w:rFonts w:cs="Times New Roman"/>
          <w:kern w:val="2"/>
          <w:szCs w:val="20"/>
        </w:rPr>
        <w:t>《云南省消防条例》（2010年9月30日云南省第十一届人民代表大会常务委员会第十九次会议通过，根据2020年11月25日云南省第十三届人民代表大会常务委员会第二十一次会议《云南省人民代表大会常务委员会关于修改部分地方性法规的决定》修正）</w:t>
      </w:r>
    </w:p>
    <w:p w14:paraId="18159800">
      <w:pPr>
        <w:pStyle w:val="9"/>
        <w:rPr>
          <w:color w:val="auto"/>
        </w:rPr>
      </w:pPr>
      <w:bookmarkStart w:id="102" w:name="_Toc9023899"/>
      <w:bookmarkStart w:id="103" w:name="_Toc160982146"/>
      <w:bookmarkStart w:id="104" w:name="_Toc160982497"/>
      <w:bookmarkStart w:id="105" w:name="_Toc451549862"/>
      <w:bookmarkStart w:id="106" w:name="_Toc160982033"/>
      <w:bookmarkStart w:id="107" w:name="_Toc160982378"/>
      <w:bookmarkStart w:id="108" w:name="_Toc451715539"/>
      <w:bookmarkStart w:id="109" w:name="_Toc215210530"/>
      <w:r>
        <w:rPr>
          <w:color w:val="auto"/>
        </w:rPr>
        <w:t>1.</w:t>
      </w:r>
      <w:r>
        <w:rPr>
          <w:rFonts w:hint="eastAsia"/>
          <w:color w:val="auto"/>
        </w:rPr>
        <w:t>2</w:t>
      </w:r>
      <w:r>
        <w:rPr>
          <w:color w:val="auto"/>
        </w:rPr>
        <w:t>.2部门规章及规范性文件</w:t>
      </w:r>
      <w:bookmarkEnd w:id="102"/>
      <w:bookmarkEnd w:id="103"/>
      <w:bookmarkEnd w:id="104"/>
      <w:bookmarkEnd w:id="105"/>
      <w:bookmarkEnd w:id="106"/>
      <w:bookmarkEnd w:id="107"/>
      <w:bookmarkEnd w:id="108"/>
      <w:bookmarkEnd w:id="109"/>
    </w:p>
    <w:p w14:paraId="0F74F5AB">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《建设项目安全设施“三同时”监督管理办法》（2010年12月14日国家安全生产监督管理总局令第36号公布，自2011年2月1日起施行；根据2015年4月2日国家安全生产监督管理总局令第77号修正）</w:t>
      </w:r>
    </w:p>
    <w:p w14:paraId="15016768">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w:t>
      </w:r>
      <w:r>
        <w:fldChar w:fldCharType="begin"/>
      </w:r>
      <w:r>
        <w:instrText xml:space="preserve"> HYPERLINK "http://www.chinasafety.gov.cn/newpage/Contents/Channel_6288/2015/0309/247025/files_founder_1579016810/2845817799.doc" \t "http://www.chinasafety.gov.cn/newpage/Contents/Channel_6288/2015/0309/247025/_self" </w:instrText>
      </w:r>
      <w:r>
        <w:fldChar w:fldCharType="separate"/>
      </w:r>
      <w:r>
        <w:rPr>
          <w:rFonts w:cs="Times New Roman"/>
          <w:kern w:val="2"/>
          <w:szCs w:val="20"/>
        </w:rPr>
        <w:t>危险化学品目录（2015版）</w:t>
      </w:r>
      <w:r>
        <w:rPr>
          <w:rFonts w:cs="Times New Roman"/>
          <w:kern w:val="2"/>
          <w:szCs w:val="20"/>
        </w:rPr>
        <w:fldChar w:fldCharType="end"/>
      </w:r>
      <w:r>
        <w:rPr>
          <w:rFonts w:cs="Times New Roman"/>
          <w:kern w:val="2"/>
          <w:szCs w:val="20"/>
        </w:rPr>
        <w:t>》（国家安全生产监督管理总局 中华人民共和国工业和信息化部 中华人民共和国公安部 中华人民共和国环境保护部 中华人民共和国交通运输部中华人民共和国农业部 中华人民共和国国家卫生和计划生育委员会 中华人民共和国国家质量监督检验检疫总局 国家铁路局 中国民用航空局公告2015年第5号，应急管理部等10部门公告2022年第8号修订）</w:t>
      </w:r>
    </w:p>
    <w:p w14:paraId="0985C090">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《易制爆危险化学品名录（2017版）》（2017年5月11日公安部发布）</w:t>
      </w:r>
    </w:p>
    <w:p w14:paraId="7834E321">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《特别管控危险化学品目录（第一版）》</w:t>
      </w:r>
      <w:r>
        <w:rPr>
          <w:rFonts w:hint="eastAsia" w:cs="Times New Roman"/>
          <w:kern w:val="2"/>
          <w:szCs w:val="20"/>
        </w:rPr>
        <w:t>（</w:t>
      </w:r>
      <w:r>
        <w:rPr>
          <w:rFonts w:cs="Times New Roman"/>
          <w:kern w:val="2"/>
          <w:szCs w:val="20"/>
        </w:rPr>
        <w:t>应急管理部、工业和信息化部、公安部、交通运输部公告2020年第3号</w:t>
      </w:r>
      <w:r>
        <w:rPr>
          <w:rFonts w:hint="eastAsia" w:cs="Times New Roman"/>
          <w:kern w:val="2"/>
          <w:szCs w:val="20"/>
        </w:rPr>
        <w:t>）</w:t>
      </w:r>
    </w:p>
    <w:p w14:paraId="6B390D7B">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《国家安全监管总局办公厅关于印发首批重点监管的危险化学品安全措施和应急处置原则的通知》（安监总厅管三〔2011〕142号）</w:t>
      </w:r>
    </w:p>
    <w:p w14:paraId="4886B520">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《国家安全监管总局关于公布第二批重点监管的危险化学品名录的通知》</w:t>
      </w:r>
      <w:r>
        <w:rPr>
          <w:rFonts w:hint="eastAsia" w:cs="Times New Roman"/>
          <w:kern w:val="2"/>
          <w:szCs w:val="20"/>
        </w:rPr>
        <w:t>（</w:t>
      </w:r>
      <w:r>
        <w:rPr>
          <w:rFonts w:cs="Times New Roman"/>
          <w:kern w:val="2"/>
          <w:szCs w:val="20"/>
        </w:rPr>
        <w:t>安监总管三【2013】12号，2013年2月5日</w:t>
      </w:r>
      <w:r>
        <w:rPr>
          <w:rFonts w:hint="eastAsia" w:cs="Times New Roman"/>
          <w:kern w:val="2"/>
          <w:szCs w:val="20"/>
        </w:rPr>
        <w:t>）</w:t>
      </w:r>
    </w:p>
    <w:p w14:paraId="06C7183B">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《防雷减灾管理办法》（2011年7月21日中国气象局第20号令公布，根据2013年5月31日公布的《中国气象局关于修改&lt;防雷减灾管理办法&gt;的决定》修订）</w:t>
      </w:r>
    </w:p>
    <w:p w14:paraId="1EF93C51">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《国家安全监管总局关于修改&lt;生产安全事故报告和调查处理条例&gt;罚款处罚暂行规定等四部规章的决定》（国家安全生产监督管理总局令第77号）</w:t>
      </w:r>
    </w:p>
    <w:p w14:paraId="5A8BC1B2">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《国家安全监管总局关于废止和修改劳动防护用品和安全培训等领域十部规章的决定》（国家安全生产监督管理总局令第80号）</w:t>
      </w:r>
    </w:p>
    <w:p w14:paraId="3E92B470">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生产安全事故应急预案管理办法》（国家安全生产监督管理总局令第88号，2019年6月24日《应急管理部关于修改〈生产安全事故应急预案管理办法〉的决定》经应急管理部第20次部务会议审议通过，于2019年7月11日公布，自2019年9月1日起施行）</w:t>
      </w:r>
    </w:p>
    <w:p w14:paraId="1D21004F">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《安全生产培训管理办法》（国家安全生产监督管理总局令第44号，根据2013年8月29日国家安全监管总局令第63号第一次修正，根据2015年5月29日国家安全生产监督管理总局令第80号第二次修正）</w:t>
      </w:r>
    </w:p>
    <w:p w14:paraId="1615A574">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《关于印发&lt;企业安全生产费用提取和使用管理办法&gt;的通知》（财资〔2022〕136号，自2022年11月21日起施行）</w:t>
      </w:r>
    </w:p>
    <w:p w14:paraId="577902F2">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《国务院安全生产委员会关于印发&lt;全国城镇燃气安全专项整治工作方案&gt;的通知》（安委〔2023〕3号，2023年8月9日）</w:t>
      </w:r>
    </w:p>
    <w:p w14:paraId="5872D368">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《消防监督检查规定》（2009年4月30日中华人民共和国公安部令第107号发布，根据2012年7月17日《公安部关于修改&lt;消防监督检查规定&gt;的决定（中华人民共和国公安部令第120号）》修订）</w:t>
      </w:r>
    </w:p>
    <w:p w14:paraId="0720659C">
      <w:pPr>
        <w:numPr>
          <w:ilvl w:val="0"/>
          <w:numId w:val="4"/>
        </w:numPr>
        <w:tabs>
          <w:tab w:val="left" w:pos="574"/>
        </w:tabs>
        <w:spacing w:line="500" w:lineRule="exact"/>
        <w:ind w:left="0" w:firstLine="470" w:firstLineChars="168"/>
        <w:rPr>
          <w:rFonts w:cs="Times New Roman"/>
          <w:kern w:val="2"/>
          <w:szCs w:val="20"/>
        </w:rPr>
      </w:pPr>
      <w:r>
        <w:rPr>
          <w:rFonts w:hint="eastAsia" w:cs="Times New Roman"/>
          <w:kern w:val="2"/>
          <w:szCs w:val="20"/>
        </w:rPr>
        <w:t>《财政部</w:t>
      </w:r>
      <w:r>
        <w:rPr>
          <w:rFonts w:cs="Times New Roman"/>
          <w:kern w:val="2"/>
          <w:szCs w:val="20"/>
        </w:rPr>
        <w:t xml:space="preserve"> 应急部关于印发《企业安全生产费用提取和使用管理办法》的通知</w:t>
      </w:r>
      <w:r>
        <w:rPr>
          <w:rFonts w:hint="eastAsia" w:cs="Times New Roman"/>
          <w:kern w:val="2"/>
          <w:szCs w:val="20"/>
        </w:rPr>
        <w:t>》（财资〔</w:t>
      </w:r>
      <w:r>
        <w:rPr>
          <w:rFonts w:cs="Times New Roman"/>
          <w:kern w:val="2"/>
          <w:szCs w:val="20"/>
        </w:rPr>
        <w:t>2022〕136号</w:t>
      </w:r>
      <w:r>
        <w:rPr>
          <w:rFonts w:hint="eastAsia" w:cs="Times New Roman"/>
          <w:kern w:val="2"/>
          <w:szCs w:val="20"/>
        </w:rPr>
        <w:t>，</w:t>
      </w:r>
      <w:r>
        <w:rPr>
          <w:rFonts w:cs="Times New Roman"/>
          <w:kern w:val="2"/>
          <w:szCs w:val="20"/>
        </w:rPr>
        <w:t>2022年11月21日</w:t>
      </w:r>
      <w:r>
        <w:rPr>
          <w:rFonts w:hint="eastAsia" w:cs="Times New Roman"/>
          <w:kern w:val="2"/>
          <w:szCs w:val="20"/>
        </w:rPr>
        <w:t>）</w:t>
      </w:r>
      <w:r>
        <w:rPr>
          <w:rFonts w:cs="Times New Roman"/>
          <w:kern w:val="2"/>
          <w:szCs w:val="20"/>
        </w:rPr>
        <w:t xml:space="preserve"> </w:t>
      </w:r>
    </w:p>
    <w:p w14:paraId="47F777DB">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w:t>
      </w:r>
      <w:r>
        <w:rPr>
          <w:rFonts w:hint="eastAsia" w:cs="Times New Roman"/>
          <w:kern w:val="2"/>
          <w:szCs w:val="20"/>
        </w:rPr>
        <w:t>工贸企业有限空间作业安全规定</w:t>
      </w:r>
      <w:r>
        <w:rPr>
          <w:rFonts w:cs="Times New Roman"/>
          <w:kern w:val="2"/>
          <w:szCs w:val="20"/>
        </w:rPr>
        <w:t>》</w:t>
      </w:r>
      <w:r>
        <w:rPr>
          <w:rFonts w:hint="eastAsia" w:cs="Times New Roman"/>
          <w:kern w:val="2"/>
          <w:szCs w:val="20"/>
        </w:rPr>
        <w:t>（</w:t>
      </w:r>
      <w:r>
        <w:rPr>
          <w:rFonts w:cs="Times New Roman"/>
          <w:kern w:val="2"/>
          <w:szCs w:val="20"/>
        </w:rPr>
        <w:t>应急管理部令第</w:t>
      </w:r>
      <w:r>
        <w:rPr>
          <w:rFonts w:hint="eastAsia" w:cs="Times New Roman"/>
          <w:kern w:val="2"/>
          <w:szCs w:val="20"/>
        </w:rPr>
        <w:t>1</w:t>
      </w:r>
      <w:r>
        <w:rPr>
          <w:rFonts w:cs="Times New Roman"/>
          <w:kern w:val="2"/>
          <w:szCs w:val="20"/>
        </w:rPr>
        <w:t>3号，2024年1月1日</w:t>
      </w:r>
      <w:r>
        <w:rPr>
          <w:rFonts w:hint="eastAsia" w:cs="Times New Roman"/>
          <w:kern w:val="2"/>
          <w:szCs w:val="20"/>
        </w:rPr>
        <w:t>）</w:t>
      </w:r>
    </w:p>
    <w:p w14:paraId="51DE093D">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w:t>
      </w:r>
      <w:r>
        <w:rPr>
          <w:rFonts w:hint="eastAsia" w:cs="Times New Roman"/>
          <w:kern w:val="2"/>
          <w:szCs w:val="20"/>
        </w:rPr>
        <w:t>应急管理部办公厅关于印发工贸企业有限空间重点监管目录的通知</w:t>
      </w:r>
      <w:r>
        <w:rPr>
          <w:rFonts w:cs="Times New Roman"/>
          <w:kern w:val="2"/>
          <w:szCs w:val="20"/>
        </w:rPr>
        <w:t>》</w:t>
      </w:r>
      <w:r>
        <w:rPr>
          <w:rFonts w:hint="eastAsia" w:cs="Times New Roman"/>
          <w:kern w:val="2"/>
          <w:szCs w:val="20"/>
        </w:rPr>
        <w:t>（应急厅〔</w:t>
      </w:r>
      <w:r>
        <w:rPr>
          <w:rFonts w:cs="Times New Roman"/>
          <w:kern w:val="2"/>
          <w:szCs w:val="20"/>
        </w:rPr>
        <w:t>2023〕37号，</w:t>
      </w:r>
      <w:r>
        <w:rPr>
          <w:rFonts w:hint="eastAsia" w:cs="Times New Roman"/>
          <w:kern w:val="2"/>
          <w:szCs w:val="20"/>
        </w:rPr>
        <w:t>2</w:t>
      </w:r>
      <w:r>
        <w:rPr>
          <w:rFonts w:cs="Times New Roman"/>
          <w:kern w:val="2"/>
          <w:szCs w:val="20"/>
        </w:rPr>
        <w:t>023年</w:t>
      </w:r>
      <w:r>
        <w:rPr>
          <w:rFonts w:hint="eastAsia" w:cs="Times New Roman"/>
          <w:kern w:val="2"/>
          <w:szCs w:val="20"/>
        </w:rPr>
        <w:t>1</w:t>
      </w:r>
      <w:r>
        <w:rPr>
          <w:rFonts w:cs="Times New Roman"/>
          <w:kern w:val="2"/>
          <w:szCs w:val="20"/>
        </w:rPr>
        <w:t>2月</w:t>
      </w:r>
      <w:r>
        <w:rPr>
          <w:rFonts w:hint="eastAsia" w:cs="Times New Roman"/>
          <w:kern w:val="2"/>
          <w:szCs w:val="20"/>
        </w:rPr>
        <w:t>1</w:t>
      </w:r>
      <w:r>
        <w:rPr>
          <w:rFonts w:cs="Times New Roman"/>
          <w:kern w:val="2"/>
          <w:szCs w:val="20"/>
        </w:rPr>
        <w:t>5日</w:t>
      </w:r>
      <w:r>
        <w:rPr>
          <w:rFonts w:hint="eastAsia" w:cs="Times New Roman"/>
          <w:kern w:val="2"/>
          <w:szCs w:val="20"/>
        </w:rPr>
        <w:t>）</w:t>
      </w:r>
    </w:p>
    <w:p w14:paraId="0327CDBC">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《机关、团体、企业、事业单位消防安全管理规定》</w:t>
      </w:r>
      <w:r>
        <w:rPr>
          <w:rFonts w:hint="eastAsia" w:cs="Times New Roman"/>
          <w:kern w:val="2"/>
          <w:szCs w:val="20"/>
        </w:rPr>
        <w:t>（</w:t>
      </w:r>
      <w:r>
        <w:rPr>
          <w:rFonts w:cs="Times New Roman"/>
          <w:kern w:val="2"/>
          <w:szCs w:val="20"/>
        </w:rPr>
        <w:t>公安部令第61号，2002年5月1日</w:t>
      </w:r>
      <w:r>
        <w:rPr>
          <w:rFonts w:hint="eastAsia" w:cs="Times New Roman"/>
          <w:kern w:val="2"/>
          <w:szCs w:val="20"/>
        </w:rPr>
        <w:t>）</w:t>
      </w:r>
    </w:p>
    <w:p w14:paraId="1D8A0E60">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《原国家安全监管总局关于印发开展工贸企业较大危险因素辨识管控提升防范事故能力行动计划的通知》</w:t>
      </w:r>
      <w:r>
        <w:rPr>
          <w:rFonts w:hint="eastAsia" w:cs="Times New Roman"/>
          <w:kern w:val="2"/>
          <w:szCs w:val="20"/>
        </w:rPr>
        <w:t>（</w:t>
      </w:r>
      <w:r>
        <w:rPr>
          <w:rFonts w:cs="Times New Roman"/>
          <w:kern w:val="2"/>
          <w:szCs w:val="20"/>
        </w:rPr>
        <w:t>安监总管四〔2016〕31号，2016年3月29日</w:t>
      </w:r>
      <w:r>
        <w:rPr>
          <w:rFonts w:hint="eastAsia" w:cs="Times New Roman"/>
          <w:kern w:val="2"/>
          <w:szCs w:val="20"/>
        </w:rPr>
        <w:t>）</w:t>
      </w:r>
    </w:p>
    <w:p w14:paraId="2345FB14">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《原国家安全监管总局关于印发工贸行业遏制重特大事故工作意见的通知》</w:t>
      </w:r>
      <w:r>
        <w:rPr>
          <w:rFonts w:hint="eastAsia" w:cs="Times New Roman"/>
          <w:kern w:val="2"/>
          <w:szCs w:val="20"/>
        </w:rPr>
        <w:t>（</w:t>
      </w:r>
      <w:r>
        <w:rPr>
          <w:rFonts w:cs="Times New Roman"/>
          <w:kern w:val="2"/>
          <w:szCs w:val="20"/>
        </w:rPr>
        <w:t>安监总管四〔2016〕68号，2016年6月28日</w:t>
      </w:r>
      <w:r>
        <w:rPr>
          <w:rFonts w:hint="eastAsia" w:cs="Times New Roman"/>
          <w:kern w:val="2"/>
          <w:szCs w:val="20"/>
        </w:rPr>
        <w:t>）</w:t>
      </w:r>
    </w:p>
    <w:p w14:paraId="1287B45E">
      <w:pPr>
        <w:numPr>
          <w:ilvl w:val="0"/>
          <w:numId w:val="4"/>
        </w:numPr>
        <w:tabs>
          <w:tab w:val="left" w:pos="574"/>
        </w:tabs>
        <w:spacing w:line="500" w:lineRule="exact"/>
        <w:ind w:left="0" w:firstLine="470" w:firstLineChars="168"/>
        <w:rPr>
          <w:rFonts w:cs="Times New Roman"/>
          <w:kern w:val="2"/>
          <w:szCs w:val="20"/>
        </w:rPr>
      </w:pPr>
      <w:r>
        <w:rPr>
          <w:rFonts w:hint="eastAsia" w:cs="Times New Roman"/>
          <w:kern w:val="2"/>
          <w:szCs w:val="20"/>
        </w:rPr>
        <w:t>《工贸企业重大事故隐患判定标准》（应急管理部令10号</w:t>
      </w:r>
      <w:r>
        <w:rPr>
          <w:rFonts w:cs="Times New Roman"/>
          <w:kern w:val="2"/>
          <w:szCs w:val="20"/>
        </w:rPr>
        <w:t>，2023年5月15日</w:t>
      </w:r>
      <w:r>
        <w:rPr>
          <w:rFonts w:hint="eastAsia" w:cs="Times New Roman"/>
          <w:kern w:val="2"/>
          <w:szCs w:val="20"/>
        </w:rPr>
        <w:t>）</w:t>
      </w:r>
    </w:p>
    <w:p w14:paraId="7B9C88E5">
      <w:pPr>
        <w:numPr>
          <w:ilvl w:val="0"/>
          <w:numId w:val="4"/>
        </w:numPr>
        <w:tabs>
          <w:tab w:val="left" w:pos="574"/>
        </w:tabs>
        <w:spacing w:line="500" w:lineRule="exact"/>
        <w:ind w:left="0" w:firstLine="470" w:firstLineChars="168"/>
        <w:rPr>
          <w:rFonts w:cs="Times New Roman"/>
          <w:kern w:val="2"/>
          <w:szCs w:val="20"/>
        </w:rPr>
      </w:pPr>
      <w:r>
        <w:rPr>
          <w:rFonts w:cs="Times New Roman"/>
          <w:kern w:val="2"/>
          <w:szCs w:val="20"/>
        </w:rPr>
        <w:t>《产业结构调整指导目录（2024年本）》</w:t>
      </w:r>
      <w:r>
        <w:rPr>
          <w:rFonts w:hint="eastAsia" w:cs="Times New Roman"/>
          <w:kern w:val="2"/>
          <w:szCs w:val="20"/>
        </w:rPr>
        <w:t>（</w:t>
      </w:r>
      <w:r>
        <w:rPr>
          <w:rFonts w:cs="Times New Roman"/>
          <w:kern w:val="2"/>
          <w:szCs w:val="20"/>
        </w:rPr>
        <w:t>中华人民共和国国家发展和改革委员会令第7号，2024年2月1日</w:t>
      </w:r>
      <w:r>
        <w:rPr>
          <w:rFonts w:hint="eastAsia" w:cs="Times New Roman"/>
          <w:kern w:val="2"/>
          <w:szCs w:val="20"/>
        </w:rPr>
        <w:t>）</w:t>
      </w:r>
    </w:p>
    <w:p w14:paraId="43E0AD12">
      <w:pPr>
        <w:numPr>
          <w:ilvl w:val="0"/>
          <w:numId w:val="4"/>
        </w:numPr>
        <w:tabs>
          <w:tab w:val="left" w:pos="574"/>
        </w:tabs>
        <w:spacing w:line="500" w:lineRule="exact"/>
        <w:ind w:left="0" w:firstLine="470" w:firstLineChars="168"/>
        <w:rPr>
          <w:rFonts w:cs="Times New Roman"/>
          <w:kern w:val="2"/>
          <w:szCs w:val="20"/>
        </w:rPr>
      </w:pPr>
      <w:r>
        <w:rPr>
          <w:rFonts w:hint="eastAsia" w:cs="Times New Roman"/>
          <w:kern w:val="2"/>
          <w:szCs w:val="20"/>
        </w:rPr>
        <w:t>工业和信息化部 应急管理部关于印发《“工业互联网+安全生产”行动计划（2021-2023年）》的通知（工信部联信发〔2020〕157号，2020年10月10日）</w:t>
      </w:r>
    </w:p>
    <w:p w14:paraId="48252049">
      <w:pPr>
        <w:pStyle w:val="9"/>
        <w:rPr>
          <w:color w:val="auto"/>
        </w:rPr>
      </w:pPr>
      <w:bookmarkStart w:id="110" w:name="_Toc410377078"/>
      <w:bookmarkStart w:id="111" w:name="_Toc160982147"/>
      <w:bookmarkStart w:id="112" w:name="_Toc448780674"/>
      <w:bookmarkStart w:id="113" w:name="_Toc451715540"/>
      <w:bookmarkStart w:id="114" w:name="_Toc9023900"/>
      <w:bookmarkStart w:id="115" w:name="_Toc160982498"/>
      <w:bookmarkStart w:id="116" w:name="_Toc434310450"/>
      <w:bookmarkStart w:id="117" w:name="_Toc451549863"/>
      <w:bookmarkStart w:id="118" w:name="_Toc160982379"/>
      <w:bookmarkStart w:id="119" w:name="_Toc160982034"/>
      <w:bookmarkStart w:id="120" w:name="_Toc215210531"/>
      <w:r>
        <w:rPr>
          <w:color w:val="auto"/>
        </w:rPr>
        <w:t>1.</w:t>
      </w:r>
      <w:r>
        <w:rPr>
          <w:rFonts w:hint="eastAsia"/>
          <w:color w:val="auto"/>
        </w:rPr>
        <w:t>2</w:t>
      </w:r>
      <w:r>
        <w:rPr>
          <w:color w:val="auto"/>
        </w:rPr>
        <w:t>.3标准、规范</w:t>
      </w:r>
      <w:bookmarkEnd w:id="110"/>
      <w:bookmarkEnd w:id="111"/>
      <w:bookmarkEnd w:id="112"/>
      <w:bookmarkEnd w:id="113"/>
      <w:bookmarkEnd w:id="114"/>
      <w:bookmarkEnd w:id="115"/>
      <w:bookmarkEnd w:id="116"/>
      <w:bookmarkEnd w:id="117"/>
      <w:bookmarkEnd w:id="118"/>
      <w:bookmarkEnd w:id="119"/>
      <w:bookmarkEnd w:id="120"/>
    </w:p>
    <w:p w14:paraId="535472C0">
      <w:pPr>
        <w:pStyle w:val="11"/>
        <w:rPr>
          <w:color w:val="auto"/>
        </w:rPr>
      </w:pPr>
      <w:bookmarkStart w:id="121" w:name="_Toc451715541"/>
      <w:bookmarkStart w:id="122" w:name="_Toc9023901"/>
      <w:bookmarkStart w:id="123" w:name="_Toc451549864"/>
      <w:r>
        <w:rPr>
          <w:color w:val="auto"/>
        </w:rPr>
        <w:t>1.</w:t>
      </w:r>
      <w:r>
        <w:rPr>
          <w:rFonts w:hint="eastAsia"/>
          <w:color w:val="auto"/>
        </w:rPr>
        <w:t>2</w:t>
      </w:r>
      <w:r>
        <w:rPr>
          <w:color w:val="auto"/>
        </w:rPr>
        <w:t>.3.1国家标准、规范</w:t>
      </w:r>
      <w:bookmarkEnd w:id="121"/>
      <w:bookmarkEnd w:id="122"/>
      <w:bookmarkEnd w:id="123"/>
    </w:p>
    <w:p w14:paraId="53E341B2">
      <w:pPr>
        <w:numPr>
          <w:ilvl w:val="0"/>
          <w:numId w:val="5"/>
        </w:numPr>
        <w:tabs>
          <w:tab w:val="left" w:pos="574"/>
        </w:tabs>
        <w:spacing w:line="500" w:lineRule="exact"/>
        <w:ind w:left="0" w:firstLine="470" w:firstLineChars="168"/>
        <w:rPr>
          <w:rFonts w:cs="Times New Roman"/>
          <w:bCs/>
          <w:szCs w:val="28"/>
        </w:rPr>
      </w:pPr>
      <w:bookmarkStart w:id="124" w:name="OLE_LINK3"/>
      <w:r>
        <w:rPr>
          <w:rFonts w:cs="Times New Roman"/>
          <w:bCs/>
          <w:szCs w:val="28"/>
        </w:rPr>
        <w:t>《工业企业总平面设计规范》（GB50187-2012）</w:t>
      </w:r>
    </w:p>
    <w:p w14:paraId="6BB5ABEE">
      <w:pPr>
        <w:numPr>
          <w:ilvl w:val="0"/>
          <w:numId w:val="5"/>
        </w:numPr>
        <w:tabs>
          <w:tab w:val="left" w:pos="574"/>
        </w:tabs>
        <w:spacing w:line="500" w:lineRule="exact"/>
        <w:ind w:left="0" w:firstLine="470" w:firstLineChars="168"/>
        <w:rPr>
          <w:rFonts w:cs="Times New Roman"/>
          <w:bCs/>
          <w:szCs w:val="28"/>
        </w:rPr>
      </w:pPr>
      <w:r>
        <w:rPr>
          <w:rFonts w:cs="Times New Roman"/>
          <w:bCs/>
          <w:szCs w:val="28"/>
        </w:rPr>
        <w:t>《工业企业设计卫生标准》</w:t>
      </w:r>
      <w:r>
        <w:rPr>
          <w:rFonts w:hint="eastAsia" w:cs="Times New Roman"/>
          <w:bCs/>
          <w:szCs w:val="28"/>
        </w:rPr>
        <w:t>（</w:t>
      </w:r>
      <w:r>
        <w:rPr>
          <w:rFonts w:cs="Times New Roman"/>
          <w:bCs/>
          <w:szCs w:val="28"/>
        </w:rPr>
        <w:t>GBZ 1-2010</w:t>
      </w:r>
      <w:r>
        <w:rPr>
          <w:rFonts w:hint="eastAsia" w:cs="Times New Roman"/>
          <w:bCs/>
          <w:szCs w:val="28"/>
        </w:rPr>
        <w:t>）</w:t>
      </w:r>
    </w:p>
    <w:p w14:paraId="40C025E3">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《安全标志及其使用导则》（GB2894-2008）</w:t>
      </w:r>
    </w:p>
    <w:p w14:paraId="267A4D35">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《生产设备安全卫生设计总则》（GB5083-1999）</w:t>
      </w:r>
    </w:p>
    <w:p w14:paraId="3CF0B8A1">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《生产过程安全卫生要求总则》（GB/T12801-2008）</w:t>
      </w:r>
    </w:p>
    <w:p w14:paraId="66DE82D1">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《生产过程危险和有害因素分类与代码》</w:t>
      </w:r>
      <w:r>
        <w:rPr>
          <w:rFonts w:hint="eastAsia" w:cs="Times New Roman"/>
          <w:kern w:val="2"/>
          <w:szCs w:val="20"/>
        </w:rPr>
        <w:t>（</w:t>
      </w:r>
      <w:r>
        <w:rPr>
          <w:rFonts w:cs="Times New Roman"/>
          <w:kern w:val="2"/>
          <w:szCs w:val="20"/>
        </w:rPr>
        <w:t>GB/T 13861-2022</w:t>
      </w:r>
      <w:r>
        <w:rPr>
          <w:rFonts w:hint="eastAsia" w:cs="Times New Roman"/>
          <w:kern w:val="2"/>
          <w:szCs w:val="20"/>
        </w:rPr>
        <w:t>）</w:t>
      </w:r>
    </w:p>
    <w:p w14:paraId="79E7D22D">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《生产经营单位生产安全事故应急预案编制导则》（GB/T29639-2020）</w:t>
      </w:r>
    </w:p>
    <w:p w14:paraId="3375228A">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《建筑设计防火规范（2018年版）》（GB50016-2014）</w:t>
      </w:r>
    </w:p>
    <w:p w14:paraId="2FBAD6F5">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《建筑防火通用规范》（GB55037-2022）</w:t>
      </w:r>
    </w:p>
    <w:p w14:paraId="6BBD0073">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《消防设施通用规范》（GB55036-2022）</w:t>
      </w:r>
    </w:p>
    <w:p w14:paraId="0E164ED2">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《建筑抗震设计规范（</w:t>
      </w:r>
      <w:r>
        <w:rPr>
          <w:rFonts w:hint="eastAsia" w:cs="Times New Roman"/>
          <w:kern w:val="2"/>
          <w:szCs w:val="20"/>
        </w:rPr>
        <w:t>2024年版</w:t>
      </w:r>
      <w:r>
        <w:rPr>
          <w:rFonts w:cs="Times New Roman"/>
          <w:kern w:val="2"/>
          <w:szCs w:val="20"/>
        </w:rPr>
        <w:t>）》（GB50011-2010）</w:t>
      </w:r>
    </w:p>
    <w:p w14:paraId="08DA7927">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《建筑照明设计标准》（GB50034-20</w:t>
      </w:r>
      <w:r>
        <w:rPr>
          <w:rFonts w:hint="eastAsia" w:cs="Times New Roman"/>
          <w:kern w:val="2"/>
          <w:szCs w:val="20"/>
        </w:rPr>
        <w:t>24</w:t>
      </w:r>
      <w:r>
        <w:rPr>
          <w:rFonts w:cs="Times New Roman"/>
          <w:kern w:val="2"/>
          <w:szCs w:val="20"/>
        </w:rPr>
        <w:t>）</w:t>
      </w:r>
    </w:p>
    <w:p w14:paraId="40667CBF">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《建筑物防雷设计规范》（GB50057-2010）</w:t>
      </w:r>
    </w:p>
    <w:p w14:paraId="36CC9257">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《建筑灭火器配置设计规范》（GB50140-2005）</w:t>
      </w:r>
    </w:p>
    <w:p w14:paraId="7A5734EC">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《3～110kV高压配电装置设计规范》（GB50060-2008）</w:t>
      </w:r>
    </w:p>
    <w:p w14:paraId="66525B96">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《20kV及以下变电所设计规范》（GB50053-2013）</w:t>
      </w:r>
    </w:p>
    <w:p w14:paraId="41925F45">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《电力装置的继电保护和自动装置设计规范》（GB/T50062-2008）</w:t>
      </w:r>
    </w:p>
    <w:p w14:paraId="275DBB40">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《供配电系统设计规范》（GB50052-2009）</w:t>
      </w:r>
    </w:p>
    <w:p w14:paraId="51E55BBE">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《重要电力用户供电电源及自备应急电源配置技术规范》（</w:t>
      </w:r>
      <w:r>
        <w:rPr>
          <w:rFonts w:cs="Times New Roman"/>
          <w:bCs/>
          <w:kern w:val="2"/>
          <w:szCs w:val="20"/>
        </w:rPr>
        <w:t>GB/T 29328-2018</w:t>
      </w:r>
      <w:r>
        <w:rPr>
          <w:rFonts w:cs="Times New Roman"/>
          <w:kern w:val="2"/>
          <w:szCs w:val="20"/>
        </w:rPr>
        <w:t>）</w:t>
      </w:r>
    </w:p>
    <w:p w14:paraId="66FD6B87">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《室外给水设计标准》（</w:t>
      </w:r>
      <w:r>
        <w:rPr>
          <w:rFonts w:cs="Times New Roman"/>
          <w:bCs/>
          <w:kern w:val="2"/>
          <w:szCs w:val="20"/>
        </w:rPr>
        <w:t>GB50013-2018</w:t>
      </w:r>
      <w:r>
        <w:rPr>
          <w:rFonts w:cs="Times New Roman"/>
          <w:kern w:val="2"/>
          <w:szCs w:val="20"/>
        </w:rPr>
        <w:t>）</w:t>
      </w:r>
    </w:p>
    <w:p w14:paraId="2312FC47">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《室外排水设计标准》（</w:t>
      </w:r>
      <w:r>
        <w:rPr>
          <w:rFonts w:cs="Times New Roman"/>
          <w:bCs/>
          <w:kern w:val="2"/>
          <w:szCs w:val="20"/>
        </w:rPr>
        <w:t>GB50014-2021</w:t>
      </w:r>
      <w:r>
        <w:rPr>
          <w:rFonts w:cs="Times New Roman"/>
          <w:kern w:val="2"/>
          <w:szCs w:val="20"/>
        </w:rPr>
        <w:t>）</w:t>
      </w:r>
    </w:p>
    <w:p w14:paraId="2A64E84A">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《交流电气装置的过电压保护和绝缘配合设计规范》（GB/T50064-2014）</w:t>
      </w:r>
    </w:p>
    <w:p w14:paraId="0D9C9456">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《工业电视系统工程设计标准》（GB50115-2019）</w:t>
      </w:r>
    </w:p>
    <w:p w14:paraId="758D0F45">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《&lt;工作场所有害因素职业接触限值 第1部分:化学有害因素&gt;行业标准第1号修改单》（GBZ 2.1-2019/XG1-2022）</w:t>
      </w:r>
    </w:p>
    <w:p w14:paraId="3F8FC938">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《工作场所有害因素职业接触限值第2部分，物理因素》（GBZ2.2-2007）</w:t>
      </w:r>
    </w:p>
    <w:p w14:paraId="68E4679A">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w:t>
      </w:r>
      <w:r>
        <w:rPr>
          <w:rFonts w:cs="Times New Roman"/>
          <w:bCs/>
          <w:kern w:val="2"/>
          <w:szCs w:val="20"/>
        </w:rPr>
        <w:t>机械安全 防护装置 固定式和活动式防护装置的设计与制造一般要求</w:t>
      </w:r>
      <w:r>
        <w:rPr>
          <w:rFonts w:cs="Times New Roman"/>
          <w:kern w:val="2"/>
          <w:szCs w:val="20"/>
        </w:rPr>
        <w:t>》</w:t>
      </w:r>
      <w:r>
        <w:rPr>
          <w:rFonts w:hint="eastAsia" w:cs="Times New Roman"/>
          <w:kern w:val="2"/>
          <w:szCs w:val="20"/>
        </w:rPr>
        <w:t>（</w:t>
      </w:r>
      <w:r>
        <w:rPr>
          <w:rFonts w:cs="Times New Roman"/>
          <w:kern w:val="2"/>
          <w:szCs w:val="20"/>
        </w:rPr>
        <w:t>GB/T 8196-2018</w:t>
      </w:r>
      <w:r>
        <w:rPr>
          <w:rFonts w:hint="eastAsia" w:cs="Times New Roman"/>
          <w:kern w:val="2"/>
          <w:szCs w:val="20"/>
        </w:rPr>
        <w:t>）</w:t>
      </w:r>
    </w:p>
    <w:p w14:paraId="4E0B0279">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《机械安全 接近机械的固定设施 第2部分：工作平台与通道》</w:t>
      </w:r>
      <w:r>
        <w:rPr>
          <w:rFonts w:hint="eastAsia" w:cs="Times New Roman"/>
          <w:kern w:val="2"/>
          <w:szCs w:val="20"/>
        </w:rPr>
        <w:t>（</w:t>
      </w:r>
      <w:r>
        <w:rPr>
          <w:rFonts w:cs="Times New Roman"/>
          <w:kern w:val="2"/>
          <w:szCs w:val="20"/>
        </w:rPr>
        <w:t>GB/T 17888.2-2020</w:t>
      </w:r>
      <w:r>
        <w:rPr>
          <w:rFonts w:hint="eastAsia" w:cs="Times New Roman"/>
          <w:kern w:val="2"/>
          <w:szCs w:val="20"/>
        </w:rPr>
        <w:t>）</w:t>
      </w:r>
    </w:p>
    <w:p w14:paraId="19D66EC1">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《起重机械安全规程 第1部分：总则》</w:t>
      </w:r>
      <w:r>
        <w:rPr>
          <w:rFonts w:hint="eastAsia" w:cs="Times New Roman"/>
          <w:kern w:val="2"/>
          <w:szCs w:val="20"/>
        </w:rPr>
        <w:t>（</w:t>
      </w:r>
      <w:r>
        <w:rPr>
          <w:rFonts w:cs="Times New Roman"/>
          <w:kern w:val="2"/>
          <w:szCs w:val="20"/>
        </w:rPr>
        <w:t>GB 6067.1-2010</w:t>
      </w:r>
      <w:r>
        <w:rPr>
          <w:rFonts w:hint="eastAsia" w:cs="Times New Roman"/>
          <w:kern w:val="2"/>
          <w:szCs w:val="20"/>
        </w:rPr>
        <w:t>）</w:t>
      </w:r>
    </w:p>
    <w:p w14:paraId="562A397F">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《固定式钢梯及平台安全要求第1部分：钢直梯》</w:t>
      </w:r>
      <w:r>
        <w:rPr>
          <w:rFonts w:hint="eastAsia" w:cs="Times New Roman"/>
          <w:kern w:val="2"/>
          <w:szCs w:val="20"/>
        </w:rPr>
        <w:t>（</w:t>
      </w:r>
      <w:r>
        <w:rPr>
          <w:rFonts w:cs="Times New Roman"/>
          <w:kern w:val="2"/>
          <w:szCs w:val="20"/>
        </w:rPr>
        <w:t>GB 4053.1-2009</w:t>
      </w:r>
      <w:r>
        <w:rPr>
          <w:rFonts w:hint="eastAsia" w:cs="Times New Roman"/>
          <w:kern w:val="2"/>
          <w:szCs w:val="20"/>
        </w:rPr>
        <w:t>）</w:t>
      </w:r>
    </w:p>
    <w:p w14:paraId="72262F63">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《固定式钢梯及平台安全要求第2部分：钢斜梯》</w:t>
      </w:r>
      <w:r>
        <w:rPr>
          <w:rFonts w:hint="eastAsia" w:cs="Times New Roman"/>
          <w:kern w:val="2"/>
          <w:szCs w:val="20"/>
        </w:rPr>
        <w:t>（</w:t>
      </w:r>
      <w:r>
        <w:rPr>
          <w:rFonts w:cs="Times New Roman"/>
          <w:kern w:val="2"/>
          <w:szCs w:val="20"/>
        </w:rPr>
        <w:t>GB 4053.</w:t>
      </w:r>
      <w:r>
        <w:rPr>
          <w:rFonts w:hint="eastAsia" w:cs="Times New Roman"/>
          <w:kern w:val="2"/>
          <w:szCs w:val="20"/>
        </w:rPr>
        <w:t>2</w:t>
      </w:r>
      <w:r>
        <w:rPr>
          <w:rFonts w:cs="Times New Roman"/>
          <w:kern w:val="2"/>
          <w:szCs w:val="20"/>
        </w:rPr>
        <w:t>-2009</w:t>
      </w:r>
      <w:r>
        <w:rPr>
          <w:rFonts w:hint="eastAsia" w:cs="Times New Roman"/>
          <w:kern w:val="2"/>
          <w:szCs w:val="20"/>
        </w:rPr>
        <w:t>）</w:t>
      </w:r>
    </w:p>
    <w:p w14:paraId="08DED22F">
      <w:pPr>
        <w:numPr>
          <w:ilvl w:val="0"/>
          <w:numId w:val="5"/>
        </w:numPr>
        <w:tabs>
          <w:tab w:val="left" w:pos="574"/>
        </w:tabs>
        <w:spacing w:line="500" w:lineRule="exact"/>
        <w:ind w:left="0" w:firstLine="470" w:firstLineChars="168"/>
        <w:rPr>
          <w:rFonts w:cs="Times New Roman"/>
          <w:kern w:val="2"/>
          <w:szCs w:val="20"/>
        </w:rPr>
      </w:pPr>
      <w:r>
        <w:rPr>
          <w:rFonts w:cs="Times New Roman"/>
          <w:kern w:val="2"/>
          <w:szCs w:val="20"/>
        </w:rPr>
        <w:t>《固定式钢梯及平台安全要求第3部分：工业防护栏杆及钢平台》</w:t>
      </w:r>
      <w:r>
        <w:rPr>
          <w:rFonts w:hint="eastAsia" w:cs="Times New Roman"/>
          <w:kern w:val="2"/>
          <w:szCs w:val="20"/>
        </w:rPr>
        <w:t>（</w:t>
      </w:r>
      <w:r>
        <w:rPr>
          <w:rFonts w:cs="Times New Roman"/>
          <w:kern w:val="2"/>
          <w:szCs w:val="20"/>
        </w:rPr>
        <w:t>GB 4053.</w:t>
      </w:r>
      <w:r>
        <w:rPr>
          <w:rFonts w:hint="eastAsia" w:cs="Times New Roman"/>
          <w:kern w:val="2"/>
          <w:szCs w:val="20"/>
        </w:rPr>
        <w:t>3</w:t>
      </w:r>
      <w:r>
        <w:rPr>
          <w:rFonts w:cs="Times New Roman"/>
          <w:kern w:val="2"/>
          <w:szCs w:val="20"/>
        </w:rPr>
        <w:t>-2009</w:t>
      </w:r>
      <w:r>
        <w:rPr>
          <w:rFonts w:hint="eastAsia" w:cs="Times New Roman"/>
          <w:kern w:val="2"/>
          <w:szCs w:val="20"/>
        </w:rPr>
        <w:t>）</w:t>
      </w:r>
    </w:p>
    <w:p w14:paraId="3B39F921">
      <w:pPr>
        <w:numPr>
          <w:ilvl w:val="0"/>
          <w:numId w:val="5"/>
        </w:numPr>
        <w:tabs>
          <w:tab w:val="left" w:pos="574"/>
        </w:tabs>
        <w:spacing w:line="500" w:lineRule="exact"/>
        <w:ind w:firstLineChars="0"/>
        <w:rPr>
          <w:rFonts w:cs="Times New Roman"/>
          <w:kern w:val="2"/>
          <w:szCs w:val="20"/>
        </w:rPr>
      </w:pPr>
      <w:r>
        <w:rPr>
          <w:rFonts w:hint="eastAsia" w:cs="Times New Roman"/>
          <w:kern w:val="2"/>
          <w:szCs w:val="20"/>
        </w:rPr>
        <w:t>《智能工厂 安全控制要求》（</w:t>
      </w:r>
      <w:r>
        <w:rPr>
          <w:rFonts w:cs="Times New Roman"/>
          <w:kern w:val="2"/>
          <w:szCs w:val="20"/>
        </w:rPr>
        <w:t>GB/T 38129-2019</w:t>
      </w:r>
      <w:r>
        <w:rPr>
          <w:rFonts w:hint="eastAsia" w:cs="Times New Roman"/>
          <w:kern w:val="2"/>
          <w:szCs w:val="20"/>
        </w:rPr>
        <w:t>）</w:t>
      </w:r>
    </w:p>
    <w:p w14:paraId="3A1746D2">
      <w:pPr>
        <w:numPr>
          <w:ilvl w:val="0"/>
          <w:numId w:val="5"/>
        </w:numPr>
        <w:tabs>
          <w:tab w:val="left" w:pos="574"/>
        </w:tabs>
        <w:spacing w:line="500" w:lineRule="exact"/>
        <w:ind w:firstLineChars="0"/>
        <w:rPr>
          <w:rFonts w:cs="Times New Roman"/>
          <w:kern w:val="2"/>
          <w:szCs w:val="20"/>
        </w:rPr>
      </w:pPr>
      <w:r>
        <w:rPr>
          <w:rFonts w:hint="eastAsia" w:cs="Times New Roman"/>
          <w:kern w:val="2"/>
          <w:szCs w:val="20"/>
        </w:rPr>
        <w:t>《智能工厂</w:t>
      </w:r>
      <w:r>
        <w:rPr>
          <w:rFonts w:cs="Times New Roman"/>
          <w:kern w:val="2"/>
          <w:szCs w:val="20"/>
        </w:rPr>
        <w:t xml:space="preserve"> 通用技术要求</w:t>
      </w:r>
      <w:r>
        <w:rPr>
          <w:rFonts w:hint="eastAsia" w:cs="Times New Roman"/>
          <w:kern w:val="2"/>
          <w:szCs w:val="20"/>
        </w:rPr>
        <w:t>》（</w:t>
      </w:r>
      <w:r>
        <w:rPr>
          <w:rFonts w:cs="Times New Roman"/>
          <w:kern w:val="2"/>
          <w:szCs w:val="20"/>
        </w:rPr>
        <w:t>GB/T 41255-2022</w:t>
      </w:r>
      <w:r>
        <w:rPr>
          <w:rFonts w:hint="eastAsia" w:cs="Times New Roman"/>
          <w:kern w:val="2"/>
          <w:szCs w:val="20"/>
        </w:rPr>
        <w:t>）</w:t>
      </w:r>
    </w:p>
    <w:p w14:paraId="2A04CC58">
      <w:pPr>
        <w:numPr>
          <w:ilvl w:val="0"/>
          <w:numId w:val="5"/>
        </w:numPr>
        <w:tabs>
          <w:tab w:val="left" w:pos="574"/>
        </w:tabs>
        <w:spacing w:line="500" w:lineRule="exact"/>
        <w:ind w:firstLineChars="0"/>
        <w:rPr>
          <w:rFonts w:cs="Times New Roman"/>
          <w:kern w:val="2"/>
          <w:szCs w:val="20"/>
        </w:rPr>
      </w:pPr>
      <w:r>
        <w:rPr>
          <w:rFonts w:hint="eastAsia" w:cs="Times New Roman"/>
          <w:kern w:val="2"/>
          <w:szCs w:val="20"/>
        </w:rPr>
        <w:t>《电气</w:t>
      </w:r>
      <w:r>
        <w:rPr>
          <w:rFonts w:cs="Times New Roman"/>
          <w:kern w:val="2"/>
          <w:szCs w:val="20"/>
        </w:rPr>
        <w:t>/电子/可编程电子安全相关系统的功能安全 第4部分：定义和缩略语</w:t>
      </w:r>
      <w:r>
        <w:rPr>
          <w:rFonts w:hint="eastAsia" w:cs="Times New Roman"/>
          <w:kern w:val="2"/>
          <w:szCs w:val="20"/>
        </w:rPr>
        <w:t>》（</w:t>
      </w:r>
      <w:r>
        <w:rPr>
          <w:rFonts w:cs="Times New Roman"/>
          <w:kern w:val="2"/>
          <w:szCs w:val="20"/>
        </w:rPr>
        <w:t>GB/T 20438.4-2017</w:t>
      </w:r>
      <w:r>
        <w:rPr>
          <w:rFonts w:hint="eastAsia" w:cs="Times New Roman"/>
          <w:kern w:val="2"/>
          <w:szCs w:val="20"/>
        </w:rPr>
        <w:t>）</w:t>
      </w:r>
    </w:p>
    <w:p w14:paraId="15200E95">
      <w:pPr>
        <w:numPr>
          <w:ilvl w:val="0"/>
          <w:numId w:val="5"/>
        </w:numPr>
        <w:tabs>
          <w:tab w:val="left" w:pos="574"/>
        </w:tabs>
        <w:spacing w:line="500" w:lineRule="exact"/>
        <w:ind w:firstLineChars="0"/>
        <w:rPr>
          <w:rFonts w:cs="Times New Roman"/>
          <w:kern w:val="2"/>
          <w:szCs w:val="20"/>
        </w:rPr>
      </w:pPr>
      <w:r>
        <w:rPr>
          <w:rFonts w:hint="eastAsia" w:cs="Times New Roman"/>
          <w:kern w:val="2"/>
          <w:szCs w:val="20"/>
        </w:rPr>
        <w:t>《过程工业领域安全仪表系统的功能安全</w:t>
      </w:r>
      <w:r>
        <w:rPr>
          <w:rFonts w:cs="Times New Roman"/>
          <w:kern w:val="2"/>
          <w:szCs w:val="20"/>
        </w:rPr>
        <w:t xml:space="preserve"> 第1部分：框架、定义、系统、硬件和应用编程要求</w:t>
      </w:r>
      <w:r>
        <w:rPr>
          <w:rFonts w:hint="eastAsia" w:cs="Times New Roman"/>
          <w:kern w:val="2"/>
          <w:szCs w:val="20"/>
        </w:rPr>
        <w:t>》（</w:t>
      </w:r>
      <w:r>
        <w:rPr>
          <w:rFonts w:cs="Times New Roman"/>
          <w:kern w:val="2"/>
          <w:szCs w:val="20"/>
        </w:rPr>
        <w:t>GB/T 21109.1-2022</w:t>
      </w:r>
      <w:r>
        <w:rPr>
          <w:rFonts w:hint="eastAsia" w:cs="Times New Roman"/>
          <w:kern w:val="2"/>
          <w:szCs w:val="20"/>
        </w:rPr>
        <w:t>）</w:t>
      </w:r>
    </w:p>
    <w:p w14:paraId="09DC2FF7">
      <w:pPr>
        <w:numPr>
          <w:ilvl w:val="0"/>
          <w:numId w:val="5"/>
        </w:numPr>
        <w:tabs>
          <w:tab w:val="left" w:pos="574"/>
        </w:tabs>
        <w:spacing w:line="500" w:lineRule="exact"/>
        <w:ind w:firstLineChars="0"/>
        <w:rPr>
          <w:rFonts w:cs="Times New Roman"/>
          <w:kern w:val="2"/>
          <w:szCs w:val="20"/>
        </w:rPr>
      </w:pPr>
      <w:r>
        <w:rPr>
          <w:rFonts w:hint="eastAsia" w:cs="Times New Roman"/>
          <w:kern w:val="2"/>
          <w:szCs w:val="20"/>
        </w:rPr>
        <w:t>《工业自动化产品安全要求 第1部分：总则》（</w:t>
      </w:r>
      <w:r>
        <w:rPr>
          <w:rFonts w:cs="Times New Roman"/>
          <w:kern w:val="2"/>
          <w:szCs w:val="20"/>
        </w:rPr>
        <w:t>GB 30439.1-2013</w:t>
      </w:r>
      <w:r>
        <w:rPr>
          <w:rFonts w:hint="eastAsia" w:cs="Times New Roman"/>
          <w:kern w:val="2"/>
          <w:szCs w:val="20"/>
        </w:rPr>
        <w:t>，2015年1月1日）</w:t>
      </w:r>
    </w:p>
    <w:p w14:paraId="2A02EEFC">
      <w:pPr>
        <w:numPr>
          <w:ilvl w:val="0"/>
          <w:numId w:val="5"/>
        </w:numPr>
        <w:tabs>
          <w:tab w:val="left" w:pos="574"/>
        </w:tabs>
        <w:spacing w:line="500" w:lineRule="exact"/>
        <w:ind w:firstLineChars="0"/>
        <w:rPr>
          <w:rFonts w:cs="Times New Roman"/>
          <w:kern w:val="2"/>
          <w:szCs w:val="20"/>
        </w:rPr>
      </w:pPr>
      <w:r>
        <w:rPr>
          <w:rFonts w:hint="eastAsia" w:cs="Times New Roman"/>
          <w:kern w:val="2"/>
          <w:szCs w:val="20"/>
        </w:rPr>
        <w:t>《自动化仪表工程施工及质量验收规范》（</w:t>
      </w:r>
      <w:r>
        <w:rPr>
          <w:rFonts w:cs="Times New Roman"/>
          <w:kern w:val="2"/>
          <w:szCs w:val="20"/>
        </w:rPr>
        <w:t>GB 50093-2013</w:t>
      </w:r>
      <w:r>
        <w:rPr>
          <w:rFonts w:hint="eastAsia" w:cs="Times New Roman"/>
          <w:kern w:val="2"/>
          <w:szCs w:val="20"/>
        </w:rPr>
        <w:t>）</w:t>
      </w:r>
    </w:p>
    <w:bookmarkEnd w:id="124"/>
    <w:p w14:paraId="703E18D1">
      <w:pPr>
        <w:pStyle w:val="11"/>
        <w:rPr>
          <w:color w:val="auto"/>
        </w:rPr>
      </w:pPr>
      <w:bookmarkStart w:id="125" w:name="_Toc451549865"/>
      <w:bookmarkStart w:id="126" w:name="_Toc9023902"/>
      <w:bookmarkStart w:id="127" w:name="_Toc451715542"/>
      <w:r>
        <w:rPr>
          <w:color w:val="auto"/>
        </w:rPr>
        <w:t>1.</w:t>
      </w:r>
      <w:r>
        <w:rPr>
          <w:rFonts w:hint="eastAsia"/>
          <w:color w:val="auto"/>
        </w:rPr>
        <w:t>2</w:t>
      </w:r>
      <w:r>
        <w:rPr>
          <w:color w:val="auto"/>
        </w:rPr>
        <w:t>.3.2行业标准、规范</w:t>
      </w:r>
      <w:bookmarkEnd w:id="125"/>
      <w:bookmarkEnd w:id="126"/>
      <w:bookmarkEnd w:id="127"/>
    </w:p>
    <w:p w14:paraId="194AFC45">
      <w:pPr>
        <w:numPr>
          <w:ilvl w:val="0"/>
          <w:numId w:val="6"/>
        </w:numPr>
        <w:tabs>
          <w:tab w:val="left" w:pos="574"/>
        </w:tabs>
        <w:spacing w:line="500" w:lineRule="exact"/>
        <w:ind w:firstLine="560"/>
        <w:rPr>
          <w:rFonts w:cs="Times New Roman"/>
          <w:kern w:val="2"/>
          <w:szCs w:val="20"/>
        </w:rPr>
      </w:pPr>
      <w:bookmarkStart w:id="128" w:name="OLE_LINK6"/>
      <w:r>
        <w:rPr>
          <w:rFonts w:cs="Times New Roman"/>
          <w:kern w:val="2"/>
          <w:szCs w:val="20"/>
        </w:rPr>
        <w:t>《安全预评价导则》（AQ8002-2007）</w:t>
      </w:r>
    </w:p>
    <w:p w14:paraId="6CBC9DBC">
      <w:pPr>
        <w:numPr>
          <w:ilvl w:val="0"/>
          <w:numId w:val="6"/>
        </w:numPr>
        <w:tabs>
          <w:tab w:val="left" w:pos="574"/>
        </w:tabs>
        <w:spacing w:line="500" w:lineRule="exact"/>
        <w:ind w:firstLine="560"/>
        <w:rPr>
          <w:rFonts w:cs="Times New Roman"/>
          <w:kern w:val="2"/>
          <w:szCs w:val="20"/>
        </w:rPr>
      </w:pPr>
      <w:r>
        <w:rPr>
          <w:rFonts w:cs="Times New Roman"/>
          <w:kern w:val="2"/>
          <w:szCs w:val="20"/>
        </w:rPr>
        <w:t>《安全评价通则》（AQ8001-2007）</w:t>
      </w:r>
    </w:p>
    <w:p w14:paraId="79BCF563">
      <w:pPr>
        <w:numPr>
          <w:ilvl w:val="0"/>
          <w:numId w:val="6"/>
        </w:numPr>
        <w:tabs>
          <w:tab w:val="left" w:pos="574"/>
        </w:tabs>
        <w:spacing w:line="500" w:lineRule="exact"/>
        <w:ind w:firstLine="560"/>
        <w:rPr>
          <w:rFonts w:cs="Times New Roman"/>
          <w:kern w:val="2"/>
          <w:szCs w:val="20"/>
        </w:rPr>
      </w:pPr>
      <w:r>
        <w:rPr>
          <w:rFonts w:cs="Times New Roman"/>
          <w:kern w:val="2"/>
          <w:szCs w:val="20"/>
        </w:rPr>
        <w:t>《</w:t>
      </w:r>
      <w:r>
        <w:rPr>
          <w:rFonts w:cs="Times New Roman"/>
          <w:bCs/>
          <w:kern w:val="2"/>
          <w:szCs w:val="20"/>
        </w:rPr>
        <w:t>生产安全事故应急演练基本规范</w:t>
      </w:r>
      <w:r>
        <w:rPr>
          <w:rFonts w:cs="Times New Roman"/>
          <w:kern w:val="2"/>
          <w:szCs w:val="20"/>
        </w:rPr>
        <w:t>》（</w:t>
      </w:r>
      <w:r>
        <w:rPr>
          <w:rFonts w:hint="eastAsia" w:cs="Times New Roman"/>
          <w:kern w:val="2"/>
          <w:szCs w:val="20"/>
        </w:rPr>
        <w:t>YJ</w:t>
      </w:r>
      <w:r>
        <w:rPr>
          <w:rFonts w:cs="Times New Roman"/>
          <w:kern w:val="2"/>
          <w:szCs w:val="20"/>
        </w:rPr>
        <w:t>/T9007-2019）</w:t>
      </w:r>
    </w:p>
    <w:p w14:paraId="451B677B">
      <w:pPr>
        <w:numPr>
          <w:ilvl w:val="0"/>
          <w:numId w:val="6"/>
        </w:numPr>
        <w:tabs>
          <w:tab w:val="left" w:pos="574"/>
        </w:tabs>
        <w:spacing w:line="500" w:lineRule="exact"/>
        <w:ind w:firstLine="560"/>
        <w:rPr>
          <w:rFonts w:cs="Times New Roman"/>
          <w:kern w:val="2"/>
          <w:szCs w:val="20"/>
        </w:rPr>
      </w:pPr>
      <w:r>
        <w:fldChar w:fldCharType="begin"/>
      </w:r>
      <w:r>
        <w:instrText xml:space="preserve"> HYPERLINK "http://www.npqi.gov.cn/cms/siteresource/article.shtml?id=880165564109370000" \t "_blank" </w:instrText>
      </w:r>
      <w:r>
        <w:fldChar w:fldCharType="separate"/>
      </w:r>
      <w:r>
        <w:rPr>
          <w:rFonts w:cs="Times New Roman"/>
          <w:kern w:val="2"/>
          <w:szCs w:val="20"/>
        </w:rPr>
        <w:t>《固定式压力容器安全技术监察规程》（TSG21-2016</w:t>
      </w:r>
      <w:r>
        <w:rPr>
          <w:rFonts w:cs="Times New Roman"/>
          <w:kern w:val="2"/>
          <w:szCs w:val="20"/>
        </w:rPr>
        <w:fldChar w:fldCharType="end"/>
      </w:r>
      <w:r>
        <w:rPr>
          <w:rFonts w:cs="Times New Roman"/>
          <w:kern w:val="2"/>
          <w:szCs w:val="20"/>
        </w:rPr>
        <w:t>）</w:t>
      </w:r>
    </w:p>
    <w:bookmarkEnd w:id="128"/>
    <w:p w14:paraId="3052B037">
      <w:pPr>
        <w:pStyle w:val="9"/>
        <w:rPr>
          <w:color w:val="auto"/>
        </w:rPr>
      </w:pPr>
      <w:bookmarkStart w:id="129" w:name="_Toc9023904"/>
      <w:bookmarkStart w:id="130" w:name="_Toc160982499"/>
      <w:bookmarkStart w:id="131" w:name="_Toc215210532"/>
      <w:bookmarkStart w:id="132" w:name="_Toc160982380"/>
      <w:bookmarkStart w:id="133" w:name="_Toc451715544"/>
      <w:bookmarkStart w:id="134" w:name="_Toc160982148"/>
      <w:bookmarkStart w:id="135" w:name="_Toc160982035"/>
      <w:bookmarkStart w:id="136" w:name="_Toc451549867"/>
      <w:r>
        <w:rPr>
          <w:color w:val="auto"/>
        </w:rPr>
        <w:t>1.</w:t>
      </w:r>
      <w:r>
        <w:rPr>
          <w:rFonts w:hint="eastAsia"/>
          <w:color w:val="auto"/>
        </w:rPr>
        <w:t>2</w:t>
      </w:r>
      <w:r>
        <w:rPr>
          <w:color w:val="auto"/>
        </w:rPr>
        <w:t>.4</w:t>
      </w:r>
      <w:bookmarkStart w:id="137" w:name="_Hlk193452988"/>
      <w:r>
        <w:rPr>
          <w:color w:val="auto"/>
        </w:rPr>
        <w:t>其他依据</w:t>
      </w:r>
      <w:bookmarkEnd w:id="129"/>
      <w:bookmarkEnd w:id="130"/>
      <w:bookmarkEnd w:id="131"/>
      <w:bookmarkEnd w:id="132"/>
      <w:bookmarkEnd w:id="133"/>
      <w:bookmarkEnd w:id="134"/>
      <w:bookmarkEnd w:id="135"/>
      <w:bookmarkEnd w:id="136"/>
      <w:bookmarkEnd w:id="137"/>
    </w:p>
    <w:p w14:paraId="6F3F08DE">
      <w:pPr>
        <w:numPr>
          <w:ilvl w:val="0"/>
          <w:numId w:val="7"/>
        </w:numPr>
        <w:spacing w:line="500" w:lineRule="exact"/>
        <w:ind w:left="0" w:firstLine="560"/>
        <w:rPr>
          <w:rFonts w:cs="Times New Roman"/>
        </w:rPr>
      </w:pPr>
      <w:r>
        <w:rPr>
          <w:rFonts w:cs="Times New Roman"/>
        </w:rPr>
        <w:t>委托江西赣安安全生产科学技术咨询服务中心进行安全评价的委托书；</w:t>
      </w:r>
    </w:p>
    <w:p w14:paraId="60441326">
      <w:pPr>
        <w:numPr>
          <w:ilvl w:val="0"/>
          <w:numId w:val="7"/>
        </w:numPr>
        <w:spacing w:line="500" w:lineRule="exact"/>
        <w:ind w:left="0" w:firstLine="560"/>
        <w:rPr>
          <w:rFonts w:cs="Times New Roman"/>
        </w:rPr>
      </w:pPr>
      <w:bookmarkStart w:id="138" w:name="_Hlk161038517"/>
      <w:r>
        <w:rPr>
          <w:rFonts w:cs="Times New Roman"/>
        </w:rPr>
        <w:t>《</w:t>
      </w:r>
      <w:r>
        <w:rPr>
          <w:rFonts w:hint="eastAsia"/>
          <w:szCs w:val="28"/>
        </w:rPr>
        <w:t>云南杉杉新材料有限公司数字化转型专项建设项目</w:t>
      </w:r>
      <w:r>
        <w:rPr>
          <w:rFonts w:cs="Times New Roman"/>
        </w:rPr>
        <w:t>云南省固定资产投资项目备案证》（备案号：</w:t>
      </w:r>
      <w:r>
        <w:rPr>
          <w:rFonts w:hint="eastAsia"/>
          <w:szCs w:val="28"/>
        </w:rPr>
        <w:t>503-530181-04-02-301470</w:t>
      </w:r>
      <w:r>
        <w:rPr>
          <w:rFonts w:cs="Times New Roman"/>
        </w:rPr>
        <w:t>）；</w:t>
      </w:r>
    </w:p>
    <w:p w14:paraId="6307659C">
      <w:pPr>
        <w:numPr>
          <w:ilvl w:val="0"/>
          <w:numId w:val="7"/>
        </w:numPr>
        <w:spacing w:line="500" w:lineRule="exact"/>
        <w:ind w:left="0" w:firstLine="560"/>
        <w:rPr>
          <w:rFonts w:cs="Times New Roman"/>
        </w:rPr>
      </w:pPr>
      <w:r>
        <w:rPr>
          <w:rFonts w:hint="eastAsia" w:cs="Times New Roman"/>
          <w:kern w:val="2"/>
          <w:szCs w:val="28"/>
          <w:lang w:val="zh-CN"/>
        </w:rPr>
        <w:t>《云南杉杉新材料有限公司</w:t>
      </w:r>
      <w:r>
        <w:rPr>
          <w:rFonts w:hint="eastAsia" w:cs="Times New Roman"/>
          <w:szCs w:val="28"/>
        </w:rPr>
        <w:t>年产30万吨（一期年产16.2万吨）锂离子电池负极材料一体化基地项目安全</w:t>
      </w:r>
      <w:r>
        <w:rPr>
          <w:rFonts w:hint="eastAsia" w:cs="Times New Roman"/>
          <w:kern w:val="2"/>
          <w:szCs w:val="28"/>
        </w:rPr>
        <w:t>验收评价报告</w:t>
      </w:r>
      <w:r>
        <w:rPr>
          <w:rFonts w:hint="eastAsia" w:cs="Times New Roman"/>
          <w:kern w:val="2"/>
          <w:szCs w:val="28"/>
          <w:lang w:val="zh-CN"/>
        </w:rPr>
        <w:t>》（昭通市鼎安科技有限公司</w:t>
      </w:r>
      <w:r>
        <w:rPr>
          <w:rFonts w:hint="eastAsia" w:cs="Times New Roman"/>
          <w:kern w:val="2"/>
          <w:szCs w:val="28"/>
        </w:rPr>
        <w:t>2024年11月</w:t>
      </w:r>
      <w:r>
        <w:rPr>
          <w:rFonts w:hint="eastAsia" w:cs="Times New Roman"/>
          <w:kern w:val="2"/>
          <w:szCs w:val="28"/>
          <w:lang w:val="zh-CN"/>
        </w:rPr>
        <w:t>）；</w:t>
      </w:r>
      <w:r>
        <w:rPr>
          <w:rFonts w:cs="Times New Roman"/>
        </w:rPr>
        <w:t xml:space="preserve"> </w:t>
      </w:r>
    </w:p>
    <w:p w14:paraId="75A060EC">
      <w:pPr>
        <w:numPr>
          <w:ilvl w:val="0"/>
          <w:numId w:val="7"/>
        </w:numPr>
        <w:spacing w:line="500" w:lineRule="exact"/>
        <w:ind w:left="0" w:firstLine="560"/>
        <w:rPr>
          <w:rFonts w:cs="Times New Roman"/>
        </w:rPr>
      </w:pPr>
      <w:r>
        <w:rPr>
          <w:rFonts w:cs="Times New Roman"/>
        </w:rPr>
        <w:t>《</w:t>
      </w:r>
      <w:r>
        <w:rPr>
          <w:rFonts w:hint="eastAsia"/>
          <w:szCs w:val="28"/>
        </w:rPr>
        <w:t>云南杉杉新材料有限公司数字化转型专项建设项目项目建议书</w:t>
      </w:r>
      <w:r>
        <w:rPr>
          <w:rFonts w:cs="Times New Roman"/>
        </w:rPr>
        <w:t>》（</w:t>
      </w:r>
      <w:r>
        <w:rPr>
          <w:rFonts w:hint="eastAsia"/>
          <w:szCs w:val="28"/>
        </w:rPr>
        <w:t>云南杉杉新材料有限公司</w:t>
      </w:r>
      <w:r>
        <w:rPr>
          <w:rFonts w:cs="Times New Roman"/>
        </w:rPr>
        <w:t>，202</w:t>
      </w:r>
      <w:r>
        <w:rPr>
          <w:rFonts w:hint="eastAsia" w:cs="Times New Roman"/>
        </w:rPr>
        <w:t>5</w:t>
      </w:r>
      <w:r>
        <w:rPr>
          <w:rFonts w:cs="Times New Roman"/>
        </w:rPr>
        <w:t>年3月</w:t>
      </w:r>
      <w:r>
        <w:rPr>
          <w:rFonts w:hint="eastAsia" w:cs="Times New Roman"/>
        </w:rPr>
        <w:t>18</w:t>
      </w:r>
      <w:r>
        <w:rPr>
          <w:rFonts w:cs="Times New Roman"/>
        </w:rPr>
        <w:t>日）；</w:t>
      </w:r>
    </w:p>
    <w:p w14:paraId="42869BEB">
      <w:pPr>
        <w:numPr>
          <w:ilvl w:val="0"/>
          <w:numId w:val="7"/>
        </w:numPr>
        <w:spacing w:line="500" w:lineRule="exact"/>
        <w:ind w:left="0" w:firstLine="560"/>
        <w:rPr>
          <w:rFonts w:cs="Times New Roman"/>
          <w:kern w:val="2"/>
          <w:szCs w:val="28"/>
          <w:lang w:val="zh-CN"/>
        </w:rPr>
      </w:pPr>
      <w:r>
        <w:rPr>
          <w:rFonts w:hint="eastAsia" w:cs="Times New Roman"/>
          <w:kern w:val="2"/>
          <w:szCs w:val="28"/>
          <w:lang w:val="zh-CN"/>
        </w:rPr>
        <w:t>云南杉杉新材料有限公司</w:t>
      </w:r>
      <w:r>
        <w:rPr>
          <w:rFonts w:cs="Times New Roman"/>
          <w:kern w:val="2"/>
          <w:szCs w:val="28"/>
          <w:lang w:val="zh-CN"/>
        </w:rPr>
        <w:t>提供的有关资料。</w:t>
      </w:r>
    </w:p>
    <w:bookmarkEnd w:id="138"/>
    <w:p w14:paraId="79A31066">
      <w:pPr>
        <w:pStyle w:val="5"/>
        <w:rPr>
          <w:rFonts w:hint="eastAsia" w:ascii="宋体" w:hAnsi="宋体" w:eastAsia="宋体" w:cs="宋体"/>
          <w:color w:val="auto"/>
          <w:sz w:val="28"/>
          <w:szCs w:val="28"/>
        </w:rPr>
      </w:pPr>
      <w:bookmarkStart w:id="139" w:name="_Toc448780874"/>
      <w:bookmarkStart w:id="140" w:name="_Toc9852627"/>
      <w:bookmarkStart w:id="141" w:name="_Toc448780492"/>
      <w:bookmarkStart w:id="142" w:name="_Toc451549873"/>
      <w:bookmarkStart w:id="143" w:name="_Toc449388990"/>
      <w:bookmarkStart w:id="144" w:name="_Toc449442560"/>
      <w:bookmarkStart w:id="145" w:name="_Toc463820747"/>
      <w:bookmarkStart w:id="146" w:name="_Toc160982500"/>
      <w:bookmarkStart w:id="147" w:name="_Toc449443357"/>
      <w:bookmarkStart w:id="148" w:name="_Toc160982036"/>
      <w:bookmarkStart w:id="149" w:name="_Toc451549675"/>
      <w:bookmarkStart w:id="150" w:name="_Toc160982149"/>
      <w:bookmarkStart w:id="151" w:name="_Toc160982381"/>
      <w:bookmarkStart w:id="152" w:name="_Toc215210533"/>
      <w:r>
        <w:rPr>
          <w:color w:val="auto"/>
        </w:rPr>
        <w:t>1.</w:t>
      </w:r>
      <w:r>
        <w:rPr>
          <w:rFonts w:hint="eastAsia"/>
          <w:color w:val="auto"/>
        </w:rPr>
        <w:t>3</w:t>
      </w:r>
      <w:bookmarkEnd w:id="139"/>
      <w:bookmarkEnd w:id="140"/>
      <w:bookmarkEnd w:id="141"/>
      <w:bookmarkEnd w:id="142"/>
      <w:bookmarkEnd w:id="143"/>
      <w:bookmarkEnd w:id="144"/>
      <w:bookmarkEnd w:id="145"/>
      <w:bookmarkEnd w:id="146"/>
      <w:bookmarkEnd w:id="147"/>
      <w:bookmarkEnd w:id="148"/>
      <w:bookmarkEnd w:id="149"/>
      <w:bookmarkEnd w:id="150"/>
      <w:bookmarkEnd w:id="151"/>
      <w:r>
        <w:rPr>
          <w:rFonts w:hint="eastAsia"/>
          <w:color w:val="auto"/>
        </w:rPr>
        <w:t>综合分析的目的</w:t>
      </w:r>
      <w:bookmarkEnd w:id="152"/>
    </w:p>
    <w:p w14:paraId="3ED5C405">
      <w:pPr>
        <w:numPr>
          <w:ilvl w:val="0"/>
          <w:numId w:val="8"/>
        </w:numPr>
        <w:ind w:left="0" w:firstLine="560"/>
        <w:rPr>
          <w:rFonts w:cs="Times New Roman"/>
        </w:rPr>
      </w:pPr>
      <w:r>
        <w:rPr>
          <w:rFonts w:hint="eastAsia" w:cs="Times New Roman"/>
        </w:rPr>
        <w:t>根据本建设项目的建构筑物、设备设施及操作条件等，分析确定建设项目中可能存在的主要危险、有害因素的种类、特点、分布情况及危险性；</w:t>
      </w:r>
    </w:p>
    <w:p w14:paraId="29CDBE99">
      <w:pPr>
        <w:numPr>
          <w:ilvl w:val="0"/>
          <w:numId w:val="8"/>
        </w:numPr>
        <w:ind w:left="0" w:firstLine="560"/>
        <w:rPr>
          <w:rFonts w:cs="Times New Roman"/>
        </w:rPr>
      </w:pPr>
      <w:r>
        <w:rPr>
          <w:rFonts w:hint="eastAsia" w:cs="Times New Roman"/>
        </w:rPr>
        <w:t>综合分析建设项目安全生产条件的符合性；</w:t>
      </w:r>
    </w:p>
    <w:p w14:paraId="5515B1B2">
      <w:pPr>
        <w:numPr>
          <w:ilvl w:val="0"/>
          <w:numId w:val="8"/>
        </w:numPr>
        <w:ind w:left="0" w:firstLine="560"/>
        <w:rPr>
          <w:rFonts w:cs="Times New Roman"/>
        </w:rPr>
      </w:pPr>
      <w:r>
        <w:rPr>
          <w:rFonts w:hint="eastAsia" w:cs="Times New Roman"/>
        </w:rPr>
        <w:t>综合分析建构筑物、设备设施的可靠性；</w:t>
      </w:r>
    </w:p>
    <w:p w14:paraId="3C4EE9C2">
      <w:pPr>
        <w:numPr>
          <w:ilvl w:val="0"/>
          <w:numId w:val="8"/>
        </w:numPr>
        <w:ind w:left="0" w:firstLine="560"/>
        <w:rPr>
          <w:rFonts w:cs="Times New Roman"/>
        </w:rPr>
      </w:pPr>
      <w:r>
        <w:rPr>
          <w:rFonts w:hint="eastAsia" w:cs="Times New Roman"/>
        </w:rPr>
        <w:t>明确安全生产条件和设施是否能满足国家规定的安全生产要求，对特殊情况如安全生产条件受限，涉及新工艺及设施的提出相应要求；</w:t>
      </w:r>
    </w:p>
    <w:p w14:paraId="4AC5E719">
      <w:pPr>
        <w:numPr>
          <w:ilvl w:val="0"/>
          <w:numId w:val="8"/>
        </w:numPr>
        <w:ind w:left="0" w:firstLine="560"/>
        <w:rPr>
          <w:rFonts w:cs="Times New Roman"/>
        </w:rPr>
      </w:pPr>
      <w:r>
        <w:rPr>
          <w:rFonts w:hint="eastAsia" w:cs="Times New Roman"/>
        </w:rPr>
        <w:t>通过安全生产条件和设施综合分析，为应急管理部门安全条件审查、安全监管提供依据。</w:t>
      </w:r>
    </w:p>
    <w:p w14:paraId="38626856">
      <w:pPr>
        <w:pStyle w:val="5"/>
        <w:rPr>
          <w:color w:val="auto"/>
        </w:rPr>
      </w:pPr>
      <w:bookmarkStart w:id="153" w:name="_Toc448780875"/>
      <w:bookmarkStart w:id="154" w:name="_Toc448780493"/>
      <w:bookmarkStart w:id="155" w:name="_Toc160982037"/>
      <w:bookmarkStart w:id="156" w:name="_Toc451549676"/>
      <w:bookmarkStart w:id="157" w:name="_Toc449388991"/>
      <w:bookmarkStart w:id="158" w:name="_Toc463820748"/>
      <w:bookmarkStart w:id="159" w:name="_Toc160982501"/>
      <w:bookmarkStart w:id="160" w:name="_Toc160982382"/>
      <w:bookmarkStart w:id="161" w:name="_Toc449443358"/>
      <w:bookmarkStart w:id="162" w:name="_Toc449442561"/>
      <w:bookmarkStart w:id="163" w:name="_Toc451549874"/>
      <w:bookmarkStart w:id="164" w:name="_Toc160982150"/>
      <w:bookmarkStart w:id="165" w:name="_Toc9852628"/>
      <w:bookmarkStart w:id="166" w:name="_Toc215210534"/>
      <w:r>
        <w:rPr>
          <w:color w:val="auto"/>
        </w:rPr>
        <w:t>1.</w:t>
      </w:r>
      <w:r>
        <w:rPr>
          <w:rFonts w:hint="eastAsia"/>
          <w:color w:val="auto"/>
        </w:rPr>
        <w:t>4</w:t>
      </w:r>
      <w:bookmarkEnd w:id="153"/>
      <w:bookmarkEnd w:id="154"/>
      <w:bookmarkEnd w:id="155"/>
      <w:bookmarkEnd w:id="156"/>
      <w:bookmarkEnd w:id="157"/>
      <w:bookmarkEnd w:id="158"/>
      <w:bookmarkEnd w:id="159"/>
      <w:bookmarkEnd w:id="160"/>
      <w:bookmarkEnd w:id="161"/>
      <w:bookmarkEnd w:id="162"/>
      <w:bookmarkEnd w:id="163"/>
      <w:bookmarkEnd w:id="164"/>
      <w:bookmarkEnd w:id="165"/>
      <w:r>
        <w:rPr>
          <w:rFonts w:hint="eastAsia"/>
          <w:color w:val="auto"/>
        </w:rPr>
        <w:t>综合分析范围</w:t>
      </w:r>
      <w:bookmarkEnd w:id="166"/>
    </w:p>
    <w:p w14:paraId="3249889B">
      <w:pPr>
        <w:ind w:firstLine="560"/>
        <w:rPr>
          <w:rFonts w:cs="Times New Roman"/>
          <w:snapToGrid w:val="0"/>
        </w:rPr>
      </w:pPr>
      <w:r>
        <w:rPr>
          <w:rFonts w:hint="eastAsia" w:cs="Times New Roman"/>
          <w:snapToGrid w:val="0"/>
        </w:rPr>
        <w:t>本次安全生产条件和设施综合分析范围：</w:t>
      </w:r>
      <w:r>
        <w:rPr>
          <w:rFonts w:hint="eastAsia"/>
          <w:szCs w:val="28"/>
        </w:rPr>
        <w:t>云南杉杉新材料有限公司数字化转型专项建设项目</w:t>
      </w:r>
      <w:r>
        <w:rPr>
          <w:rFonts w:hint="eastAsia" w:cs="Times New Roman"/>
          <w:snapToGrid w:val="0"/>
        </w:rPr>
        <w:t>装置的安全生产条件（周边环境、自然条件、总平面布置等）、设备设施的符合性及可靠性。</w:t>
      </w:r>
    </w:p>
    <w:p w14:paraId="4A0A6239">
      <w:pPr>
        <w:ind w:firstLine="560"/>
        <w:rPr>
          <w:rFonts w:cs="Times New Roman"/>
          <w:snapToGrid w:val="0"/>
        </w:rPr>
      </w:pPr>
      <w:r>
        <w:rPr>
          <w:rFonts w:hint="eastAsia" w:cs="Times New Roman"/>
          <w:snapToGrid w:val="0"/>
        </w:rPr>
        <w:t>厂外运输、境保护、职业卫生、施工期的安全等不在安全生产条件和设施综合分析范围内，但在报告中有所提及，企业应执行相应的法律法规、标准规范。</w:t>
      </w:r>
    </w:p>
    <w:p w14:paraId="63E4E684">
      <w:pPr>
        <w:ind w:firstLine="560"/>
        <w:rPr>
          <w:rFonts w:cs="Times New Roman"/>
        </w:rPr>
      </w:pPr>
    </w:p>
    <w:p w14:paraId="5F6C315D">
      <w:pPr>
        <w:pStyle w:val="3"/>
        <w:ind w:firstLine="883"/>
        <w:rPr>
          <w:color w:val="auto"/>
        </w:rPr>
      </w:pPr>
      <w:r>
        <w:rPr>
          <w:color w:val="auto"/>
        </w:rPr>
        <w:br w:type="page"/>
      </w:r>
      <w:bookmarkStart w:id="167" w:name="_Toc9852630"/>
      <w:bookmarkStart w:id="168" w:name="_Toc448780876"/>
      <w:bookmarkStart w:id="169" w:name="_Toc160982384"/>
      <w:bookmarkStart w:id="170" w:name="_Toc463820749"/>
      <w:bookmarkStart w:id="171" w:name="_Toc448780494"/>
      <w:bookmarkStart w:id="172" w:name="_Toc160982503"/>
      <w:bookmarkStart w:id="173" w:name="_Toc160982039"/>
      <w:bookmarkStart w:id="174" w:name="_Toc451549875"/>
      <w:bookmarkStart w:id="175" w:name="_Toc160982152"/>
      <w:bookmarkStart w:id="176" w:name="_Toc449442562"/>
      <w:bookmarkStart w:id="177" w:name="_Toc449388992"/>
      <w:bookmarkStart w:id="178" w:name="_Toc215210535"/>
      <w:bookmarkStart w:id="179" w:name="_Toc449443359"/>
      <w:bookmarkStart w:id="180" w:name="_Toc451549677"/>
      <w:r>
        <w:rPr>
          <w:color w:val="auto"/>
        </w:rPr>
        <w:t>第2章 建设项目概况</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p>
    <w:p w14:paraId="54AEADB3">
      <w:pPr>
        <w:pStyle w:val="5"/>
        <w:rPr>
          <w:color w:val="auto"/>
        </w:rPr>
      </w:pPr>
      <w:bookmarkStart w:id="181" w:name="_Toc160982504"/>
      <w:bookmarkStart w:id="182" w:name="_Toc160982040"/>
      <w:bookmarkStart w:id="183" w:name="_Toc160982153"/>
      <w:bookmarkStart w:id="184" w:name="_Toc160982385"/>
      <w:bookmarkStart w:id="185" w:name="_Toc215210536"/>
      <w:r>
        <w:rPr>
          <w:color w:val="auto"/>
        </w:rPr>
        <w:t>2.1建设项目基本情况</w:t>
      </w:r>
      <w:bookmarkEnd w:id="181"/>
      <w:bookmarkEnd w:id="182"/>
      <w:bookmarkEnd w:id="183"/>
      <w:bookmarkEnd w:id="184"/>
      <w:bookmarkEnd w:id="185"/>
    </w:p>
    <w:p w14:paraId="4C4AA1F7">
      <w:pPr>
        <w:pStyle w:val="9"/>
        <w:rPr>
          <w:color w:val="auto"/>
        </w:rPr>
      </w:pPr>
      <w:bookmarkStart w:id="186" w:name="_Toc449443360"/>
      <w:bookmarkStart w:id="187" w:name="_Toc448780495"/>
      <w:bookmarkStart w:id="188" w:name="_Toc9852631"/>
      <w:bookmarkStart w:id="189" w:name="_Toc463820750"/>
      <w:bookmarkStart w:id="190" w:name="_Toc451549876"/>
      <w:bookmarkStart w:id="191" w:name="_Toc449442563"/>
      <w:bookmarkStart w:id="192" w:name="_Toc451549678"/>
      <w:bookmarkStart w:id="193" w:name="_Toc448780877"/>
      <w:bookmarkStart w:id="194" w:name="_Toc449388993"/>
      <w:bookmarkStart w:id="195" w:name="_Toc160982505"/>
      <w:bookmarkStart w:id="196" w:name="_Toc160982386"/>
      <w:bookmarkStart w:id="197" w:name="_Toc160982041"/>
      <w:bookmarkStart w:id="198" w:name="_Toc160982154"/>
      <w:bookmarkStart w:id="199" w:name="_Toc215210537"/>
      <w:r>
        <w:rPr>
          <w:color w:val="auto"/>
        </w:rPr>
        <w:t>2.1.1</w:t>
      </w:r>
      <w:bookmarkEnd w:id="186"/>
      <w:bookmarkEnd w:id="187"/>
      <w:bookmarkEnd w:id="188"/>
      <w:bookmarkEnd w:id="189"/>
      <w:bookmarkEnd w:id="190"/>
      <w:bookmarkEnd w:id="191"/>
      <w:bookmarkEnd w:id="192"/>
      <w:bookmarkEnd w:id="193"/>
      <w:bookmarkEnd w:id="194"/>
      <w:r>
        <w:rPr>
          <w:color w:val="auto"/>
        </w:rPr>
        <w:t>建设单位</w:t>
      </w:r>
      <w:bookmarkEnd w:id="195"/>
      <w:bookmarkEnd w:id="196"/>
      <w:bookmarkEnd w:id="197"/>
      <w:bookmarkEnd w:id="198"/>
      <w:r>
        <w:rPr>
          <w:rFonts w:hint="eastAsia"/>
          <w:color w:val="auto"/>
        </w:rPr>
        <w:t>基本情况</w:t>
      </w:r>
      <w:bookmarkEnd w:id="199"/>
    </w:p>
    <w:p w14:paraId="2480E72B">
      <w:pPr>
        <w:pStyle w:val="798"/>
        <w:rPr>
          <w:rFonts w:hint="eastAsia" w:ascii="宋体" w:hAnsi="宋体" w:eastAsia="宋体"/>
          <w:szCs w:val="28"/>
        </w:rPr>
      </w:pPr>
      <w:r>
        <w:rPr>
          <w:rFonts w:ascii="宋体" w:hAnsi="宋体" w:eastAsia="宋体"/>
          <w:szCs w:val="28"/>
        </w:rPr>
        <w:t>云南杉杉新材料有限公司是国家高新技术企业，隶属于宁波杉杉股份有限公司（杉杉股份，600884.SH），由上海杉杉锂电材料科技有限公司全资控股。公司是杉杉股份在云南布局的锂离子电池负极材料一体化基地，建有磨粉、改性、石墨化、二次包覆、碳化、成品加工等六大工序车间，主要产品为高性能人造石墨，主要客户包括宁德时代、比亚迪、LGC、SKON、远景动力等国内外头部企业。</w:t>
      </w:r>
    </w:p>
    <w:p w14:paraId="3F42D853">
      <w:pPr>
        <w:ind w:firstLine="560"/>
        <w:rPr>
          <w:rFonts w:hint="eastAsia" w:ascii="宋体" w:hAnsi="宋体"/>
          <w:szCs w:val="28"/>
        </w:rPr>
      </w:pPr>
      <w:r>
        <w:rPr>
          <w:rFonts w:ascii="宋体" w:hAnsi="宋体"/>
          <w:szCs w:val="28"/>
        </w:rPr>
        <w:t>杉杉集团自1999年开始产业化负极材料，在锂电池负极材料领域已有20多年的研发和产业化生产实践，是锂电池负极材料产业的先行者和技术引领者，主营产品在锂电负极材料市场市占率和出货量排名蝉联全球第一。集团是锂电行业首家通过IATF16949认证企业和首家智能制造新模式企业，拥有云南、上海、宁波、宁德等11大研发生产基地。集团建立了国家企业技术中心，在高能量密度、高安全性锂离子电池及其关键材料制造技术领域，获得国家科学技术进步二等奖；在动力锂离子电池用人造石墨负极材料制造方面，获得国家制造业单项冠军表彰；同时，获有中国产学研合作创新与促进奖、国家级专精特新小巨人等荣誉。近年宁德时代、比亚迪、ATL、中石油对杉杉集团负极材料板块完成战略投资，深化产业链上下游协同优势。</w:t>
      </w:r>
    </w:p>
    <w:p w14:paraId="4C7CB7BD">
      <w:pPr>
        <w:ind w:firstLine="560"/>
        <w:rPr>
          <w:rFonts w:hint="eastAsia" w:ascii="宋体" w:hAnsi="宋体"/>
          <w:szCs w:val="28"/>
        </w:rPr>
      </w:pPr>
      <w:r>
        <w:rPr>
          <w:rFonts w:hint="eastAsia" w:ascii="宋体" w:hAnsi="宋体"/>
          <w:szCs w:val="28"/>
        </w:rPr>
        <w:t>公司</w:t>
      </w:r>
      <w:r>
        <w:rPr>
          <w:rFonts w:ascii="宋体" w:hAnsi="宋体"/>
          <w:szCs w:val="28"/>
        </w:rPr>
        <w:t>名称：</w:t>
      </w:r>
      <w:r>
        <w:rPr>
          <w:rFonts w:hint="eastAsia" w:ascii="宋体" w:hAnsi="宋体"/>
          <w:szCs w:val="28"/>
        </w:rPr>
        <w:t>云南杉杉新材料有限公司</w:t>
      </w:r>
    </w:p>
    <w:p w14:paraId="67A19896">
      <w:pPr>
        <w:ind w:firstLine="560"/>
        <w:rPr>
          <w:rFonts w:hint="eastAsia" w:ascii="宋体" w:hAnsi="宋体"/>
          <w:szCs w:val="28"/>
        </w:rPr>
      </w:pPr>
      <w:r>
        <w:rPr>
          <w:rFonts w:hint="eastAsia" w:ascii="宋体" w:hAnsi="宋体"/>
          <w:szCs w:val="28"/>
        </w:rPr>
        <w:t>公司</w:t>
      </w:r>
      <w:r>
        <w:rPr>
          <w:rFonts w:ascii="宋体" w:hAnsi="宋体"/>
          <w:szCs w:val="28"/>
        </w:rPr>
        <w:t>类型：</w:t>
      </w:r>
      <w:r>
        <w:rPr>
          <w:rFonts w:hint="eastAsia" w:ascii="宋体" w:hAnsi="宋体"/>
          <w:szCs w:val="28"/>
        </w:rPr>
        <w:t>有限责任公司（非自然人投资或控股的法人独资)</w:t>
      </w:r>
    </w:p>
    <w:p w14:paraId="3D67A4E8">
      <w:pPr>
        <w:ind w:firstLine="560"/>
        <w:rPr>
          <w:rFonts w:hint="eastAsia" w:ascii="宋体" w:hAnsi="宋体"/>
          <w:szCs w:val="28"/>
        </w:rPr>
      </w:pPr>
      <w:r>
        <w:rPr>
          <w:rFonts w:hint="eastAsia" w:ascii="宋体" w:hAnsi="宋体"/>
          <w:szCs w:val="28"/>
        </w:rPr>
        <w:t>注册地址</w:t>
      </w:r>
      <w:r>
        <w:rPr>
          <w:rFonts w:ascii="宋体" w:hAnsi="宋体"/>
          <w:szCs w:val="28"/>
        </w:rPr>
        <w:t>：</w:t>
      </w:r>
      <w:r>
        <w:rPr>
          <w:rFonts w:hint="eastAsia" w:ascii="宋体" w:hAnsi="宋体"/>
        </w:rPr>
        <w:t>云南省昆明市安宁市草铺街道青龙哨片区云南杉杉新材料有限公司</w:t>
      </w:r>
    </w:p>
    <w:p w14:paraId="4C2E4022">
      <w:pPr>
        <w:ind w:firstLine="560"/>
        <w:rPr>
          <w:rFonts w:hint="eastAsia" w:ascii="宋体" w:hAnsi="宋体"/>
          <w:szCs w:val="28"/>
        </w:rPr>
      </w:pPr>
      <w:r>
        <w:rPr>
          <w:rFonts w:ascii="宋体" w:hAnsi="宋体"/>
          <w:szCs w:val="28"/>
        </w:rPr>
        <w:t>法定代表人：</w:t>
      </w:r>
      <w:r>
        <w:rPr>
          <w:rFonts w:hint="eastAsia" w:ascii="宋体" w:hAnsi="宋体"/>
          <w:szCs w:val="28"/>
        </w:rPr>
        <w:t>耿海龙</w:t>
      </w:r>
    </w:p>
    <w:p w14:paraId="255F28C0">
      <w:pPr>
        <w:ind w:firstLine="560"/>
        <w:rPr>
          <w:rFonts w:hint="eastAsia" w:ascii="宋体" w:hAnsi="宋体"/>
          <w:szCs w:val="28"/>
        </w:rPr>
      </w:pPr>
      <w:r>
        <w:rPr>
          <w:rFonts w:ascii="宋体" w:hAnsi="宋体"/>
          <w:szCs w:val="28"/>
        </w:rPr>
        <w:t>注册资本：</w:t>
      </w:r>
      <w:r>
        <w:rPr>
          <w:rFonts w:hint="eastAsia" w:ascii="宋体" w:hAnsi="宋体"/>
          <w:szCs w:val="28"/>
        </w:rPr>
        <w:t>贰拾亿伍仟万元整</w:t>
      </w:r>
    </w:p>
    <w:p w14:paraId="4EAB23C4">
      <w:pPr>
        <w:ind w:firstLine="560"/>
        <w:rPr>
          <w:rFonts w:hint="eastAsia" w:ascii="宋体" w:hAnsi="宋体"/>
          <w:szCs w:val="28"/>
        </w:rPr>
      </w:pPr>
      <w:r>
        <w:rPr>
          <w:rFonts w:ascii="宋体" w:hAnsi="宋体"/>
          <w:szCs w:val="28"/>
        </w:rPr>
        <w:t>成立日期：20</w:t>
      </w:r>
      <w:r>
        <w:rPr>
          <w:rFonts w:hint="eastAsia" w:ascii="宋体" w:hAnsi="宋体"/>
          <w:szCs w:val="28"/>
        </w:rPr>
        <w:t>2</w:t>
      </w:r>
      <w:r>
        <w:rPr>
          <w:rFonts w:ascii="宋体" w:hAnsi="宋体"/>
          <w:szCs w:val="28"/>
        </w:rPr>
        <w:t>2年</w:t>
      </w:r>
      <w:r>
        <w:rPr>
          <w:rFonts w:hint="eastAsia" w:ascii="宋体" w:hAnsi="宋体"/>
          <w:szCs w:val="28"/>
        </w:rPr>
        <w:t>4</w:t>
      </w:r>
      <w:r>
        <w:rPr>
          <w:rFonts w:ascii="宋体" w:hAnsi="宋体"/>
          <w:szCs w:val="28"/>
        </w:rPr>
        <w:t>月</w:t>
      </w:r>
      <w:r>
        <w:rPr>
          <w:rFonts w:hint="eastAsia" w:ascii="宋体" w:hAnsi="宋体"/>
          <w:szCs w:val="28"/>
        </w:rPr>
        <w:t>22</w:t>
      </w:r>
      <w:r>
        <w:rPr>
          <w:rFonts w:ascii="宋体" w:hAnsi="宋体"/>
          <w:szCs w:val="28"/>
        </w:rPr>
        <w:t>日</w:t>
      </w:r>
    </w:p>
    <w:p w14:paraId="16880420">
      <w:pPr>
        <w:ind w:firstLine="560"/>
        <w:rPr>
          <w:rFonts w:hint="eastAsia" w:ascii="宋体" w:hAnsi="宋体"/>
          <w:szCs w:val="28"/>
        </w:rPr>
      </w:pPr>
      <w:bookmarkStart w:id="200" w:name="_Toc22937"/>
      <w:r>
        <w:rPr>
          <w:rFonts w:ascii="宋体" w:hAnsi="宋体"/>
          <w:szCs w:val="28"/>
        </w:rPr>
        <w:t>统一社会信用代码：</w:t>
      </w:r>
      <w:r>
        <w:rPr>
          <w:rFonts w:hint="eastAsia" w:ascii="宋体" w:hAnsi="宋体"/>
          <w:szCs w:val="28"/>
        </w:rPr>
        <w:t>91530181MA7MYLWH5E</w:t>
      </w:r>
      <w:bookmarkEnd w:id="200"/>
    </w:p>
    <w:p w14:paraId="62454481">
      <w:pPr>
        <w:ind w:firstLine="560"/>
        <w:rPr>
          <w:rFonts w:hint="eastAsia" w:ascii="宋体" w:hAnsi="宋体"/>
          <w:lang w:val="zh-CN"/>
        </w:rPr>
      </w:pPr>
      <w:r>
        <w:rPr>
          <w:rFonts w:ascii="宋体" w:hAnsi="宋体"/>
          <w:szCs w:val="28"/>
        </w:rPr>
        <w:t>经营范围：</w:t>
      </w:r>
      <w:r>
        <w:rPr>
          <w:rFonts w:hint="eastAsia" w:ascii="宋体" w:hAnsi="宋体"/>
          <w:szCs w:val="28"/>
        </w:rPr>
        <w:t>许可项目：保税物流中心经营（依法须经批准的项目，经相关部门批准后方可开展经营活动，具体经营项目以相关部门批准文件或许可证件为准)一般项目：石及碳素制品制造，新材料技术研发；新材料技术推广服务；石墨及碳素制品销售；技术服务、技术开发、技术咨询、技术交流、技术转让、技术推广；技术进出口；普通货物仓储服务（不含危险化学品等需许可审批的项目)；货物进出口，进出口代理（除依法须经批准的项目外，凭营业执照依法自主开展经营活动)</w:t>
      </w:r>
      <w:r>
        <w:rPr>
          <w:rFonts w:ascii="宋体" w:hAnsi="宋体"/>
          <w:szCs w:val="28"/>
        </w:rPr>
        <w:t>。</w:t>
      </w:r>
    </w:p>
    <w:p w14:paraId="55840F19">
      <w:pPr>
        <w:pStyle w:val="9"/>
        <w:rPr>
          <w:color w:val="auto"/>
        </w:rPr>
      </w:pPr>
      <w:bookmarkStart w:id="201" w:name="_Toc21901"/>
      <w:bookmarkStart w:id="202" w:name="_Toc215210538"/>
      <w:r>
        <w:rPr>
          <w:rFonts w:hint="eastAsia"/>
          <w:color w:val="auto"/>
        </w:rPr>
        <w:t>2.1.2 建设项目基本情况</w:t>
      </w:r>
      <w:bookmarkEnd w:id="201"/>
      <w:bookmarkEnd w:id="202"/>
    </w:p>
    <w:p w14:paraId="46441D3B">
      <w:pPr>
        <w:pStyle w:val="529"/>
        <w:ind w:firstLine="562"/>
        <w:rPr>
          <w:rFonts w:hint="eastAsia" w:ascii="宋体" w:hAnsi="宋体" w:cs="宋体"/>
        </w:rPr>
      </w:pPr>
      <w:r>
        <w:rPr>
          <w:rStyle w:val="719"/>
          <w:rFonts w:hint="eastAsia" w:hAnsi="宋体" w:eastAsia="宋体"/>
        </w:rPr>
        <w:t>申办单位：</w:t>
      </w:r>
      <w:r>
        <w:rPr>
          <w:rFonts w:hint="eastAsia" w:ascii="宋体" w:hAnsi="宋体"/>
          <w:szCs w:val="28"/>
        </w:rPr>
        <w:t>云南杉杉新材料有限公司</w:t>
      </w:r>
    </w:p>
    <w:p w14:paraId="3E223088">
      <w:pPr>
        <w:pStyle w:val="529"/>
        <w:ind w:firstLine="562"/>
        <w:rPr>
          <w:rFonts w:hint="eastAsia" w:ascii="宋体" w:hAnsi="宋体" w:cs="宋体"/>
        </w:rPr>
      </w:pPr>
      <w:r>
        <w:rPr>
          <w:rStyle w:val="719"/>
          <w:rFonts w:hint="eastAsia" w:hAnsi="宋体" w:eastAsia="宋体"/>
        </w:rPr>
        <w:t>项目名称：</w:t>
      </w:r>
      <w:r>
        <w:rPr>
          <w:rFonts w:hint="eastAsia"/>
          <w:szCs w:val="28"/>
        </w:rPr>
        <w:t>云南杉杉新材料有限公司</w:t>
      </w:r>
      <w:r>
        <w:rPr>
          <w:rFonts w:hint="eastAsia"/>
          <w:szCs w:val="28"/>
          <w:lang w:val="en-US"/>
        </w:rPr>
        <w:t>数字化转型专项建设项目</w:t>
      </w:r>
    </w:p>
    <w:p w14:paraId="40ACB1EA">
      <w:pPr>
        <w:pStyle w:val="529"/>
        <w:ind w:firstLine="562"/>
        <w:rPr>
          <w:rFonts w:hint="eastAsia" w:ascii="宋体" w:hAnsi="宋体" w:cs="宋体"/>
        </w:rPr>
      </w:pPr>
      <w:r>
        <w:rPr>
          <w:rStyle w:val="719"/>
          <w:rFonts w:hint="eastAsia" w:hAnsi="宋体" w:eastAsia="宋体"/>
        </w:rPr>
        <w:t>项目建设地点：</w:t>
      </w:r>
      <w:r>
        <w:rPr>
          <w:rFonts w:hint="eastAsia" w:ascii="宋体" w:hAnsi="宋体"/>
          <w:lang w:val="en-US"/>
        </w:rPr>
        <w:t>云南省安宁市草铺街道青龙哨片区云南杉杉新材料有限公司</w:t>
      </w:r>
    </w:p>
    <w:p w14:paraId="3C32360D">
      <w:pPr>
        <w:pStyle w:val="529"/>
        <w:ind w:firstLine="562"/>
        <w:rPr>
          <w:rFonts w:hint="eastAsia" w:ascii="宋体" w:hAnsi="宋体" w:cs="宋体"/>
          <w:lang w:val="en-US"/>
        </w:rPr>
      </w:pPr>
      <w:r>
        <w:rPr>
          <w:rStyle w:val="719"/>
          <w:rFonts w:hint="eastAsia" w:hAnsi="宋体" w:eastAsia="宋体"/>
        </w:rPr>
        <w:t>建设性质：</w:t>
      </w:r>
      <w:r>
        <w:rPr>
          <w:rFonts w:hint="eastAsia" w:ascii="宋体" w:hAnsi="宋体" w:cs="宋体"/>
          <w:lang w:val="en-US"/>
        </w:rPr>
        <w:t>改建</w:t>
      </w:r>
    </w:p>
    <w:p w14:paraId="6D50549B">
      <w:pPr>
        <w:pStyle w:val="529"/>
        <w:ind w:firstLine="562"/>
        <w:rPr>
          <w:rFonts w:hint="eastAsia" w:ascii="宋体" w:hAnsi="宋体" w:cs="宋体"/>
          <w:lang w:val="en-US"/>
        </w:rPr>
      </w:pPr>
      <w:r>
        <w:rPr>
          <w:rStyle w:val="719"/>
          <w:rFonts w:hint="eastAsia" w:eastAsia="宋体"/>
        </w:rPr>
        <w:t>所属行业：</w:t>
      </w:r>
      <w:r>
        <w:rPr>
          <w:rFonts w:hint="eastAsia" w:ascii="宋体" w:hAnsi="宋体" w:cs="宋体"/>
          <w:lang w:val="en-US"/>
        </w:rPr>
        <w:t>信息化</w:t>
      </w:r>
    </w:p>
    <w:p w14:paraId="3DCAADE1">
      <w:pPr>
        <w:pStyle w:val="720"/>
        <w:ind w:firstLine="560"/>
        <w:rPr>
          <w:rFonts w:hint="eastAsia" w:hAnsi="宋体" w:eastAsia="宋体"/>
          <w:b w:val="0"/>
          <w:bCs w:val="0"/>
        </w:rPr>
      </w:pPr>
      <w:r>
        <w:rPr>
          <w:rStyle w:val="719"/>
          <w:rFonts w:hint="eastAsia" w:eastAsia="宋体"/>
          <w:b w:val="0"/>
          <w:bCs w:val="0"/>
          <w:lang w:val="zh-CN"/>
        </w:rPr>
        <w:t>主要建设内容及规模：</w:t>
      </w:r>
      <w:r>
        <w:rPr>
          <w:rFonts w:hint="eastAsia" w:hAnsi="宋体" w:eastAsia="宋体"/>
          <w:b w:val="0"/>
          <w:bCs w:val="0"/>
        </w:rPr>
        <w:t>本项目聚焦新能源电池核心材料——人造石墨负极的数字化、自动化、绿色化生产。通过建设智能化产线、数字化管理平台及绿色制造设施、研发检测中心数字化，实现年产30万吨高端负极材料，覆盖动力电池、3C电子及储能领域，目标良品率≥98%，单位成本下降18%-22%，打造行业标杆级智能工厂。</w:t>
      </w:r>
    </w:p>
    <w:p w14:paraId="237D560D">
      <w:pPr>
        <w:pStyle w:val="529"/>
        <w:ind w:firstLine="560"/>
        <w:rPr>
          <w:rFonts w:hint="eastAsia" w:ascii="宋体" w:hAnsi="宋体" w:cs="宋体"/>
          <w:szCs w:val="20"/>
          <w:lang w:val="en-US"/>
        </w:rPr>
      </w:pPr>
      <w:r>
        <w:rPr>
          <w:rFonts w:hint="eastAsia" w:ascii="宋体" w:hAnsi="宋体" w:cs="宋体"/>
          <w:szCs w:val="20"/>
          <w:lang w:val="en-US"/>
        </w:rPr>
        <w:t>项目总投资：27000万元</w:t>
      </w:r>
    </w:p>
    <w:p w14:paraId="1A5AE4E0">
      <w:pPr>
        <w:pStyle w:val="529"/>
        <w:ind w:firstLine="560"/>
        <w:rPr>
          <w:rFonts w:hint="eastAsia" w:ascii="宋体" w:hAnsi="宋体" w:cs="宋体"/>
          <w:szCs w:val="20"/>
          <w:lang w:val="en-US"/>
        </w:rPr>
      </w:pPr>
      <w:r>
        <w:rPr>
          <w:rFonts w:hint="eastAsia" w:ascii="宋体" w:hAnsi="宋体" w:cs="宋体"/>
          <w:szCs w:val="20"/>
          <w:lang w:val="en-US"/>
        </w:rPr>
        <w:t>备案证审批机关：安宁市发展和改革局（安宁市粮食局）</w:t>
      </w:r>
    </w:p>
    <w:p w14:paraId="433218EF">
      <w:pPr>
        <w:pStyle w:val="529"/>
        <w:ind w:firstLine="560"/>
        <w:rPr>
          <w:rFonts w:hint="eastAsia" w:ascii="宋体" w:hAnsi="宋体" w:cs="宋体"/>
          <w:szCs w:val="20"/>
          <w:lang w:val="en-US"/>
        </w:rPr>
      </w:pPr>
      <w:r>
        <w:rPr>
          <w:rFonts w:hint="eastAsia" w:ascii="宋体" w:hAnsi="宋体" w:cs="宋体"/>
          <w:szCs w:val="20"/>
          <w:lang w:val="en-US"/>
        </w:rPr>
        <w:t>备案证审批时间：2025年3月21日</w:t>
      </w:r>
    </w:p>
    <w:p w14:paraId="45C6C0F9">
      <w:pPr>
        <w:pStyle w:val="529"/>
        <w:ind w:firstLine="560"/>
        <w:rPr>
          <w:rFonts w:hint="eastAsia" w:ascii="宋体" w:hAnsi="宋体" w:cs="宋体"/>
          <w:szCs w:val="20"/>
          <w:lang w:val="en-US"/>
        </w:rPr>
      </w:pPr>
    </w:p>
    <w:p w14:paraId="3D7C3FC6">
      <w:pPr>
        <w:pStyle w:val="658"/>
        <w:widowControl/>
        <w:numPr>
          <w:ilvl w:val="0"/>
          <w:numId w:val="9"/>
        </w:numPr>
        <w:adjustRightInd/>
        <w:snapToGrid/>
        <w:ind w:firstLineChars="0"/>
        <w:jc w:val="center"/>
        <w:textAlignment w:val="baseline"/>
        <w:rPr>
          <w:rFonts w:cs="Times New Roman"/>
          <w:b/>
          <w:bCs/>
          <w:sz w:val="24"/>
        </w:rPr>
      </w:pPr>
      <w:r>
        <w:rPr>
          <w:rFonts w:hint="eastAsia" w:cs="Times New Roman"/>
          <w:b/>
          <w:bCs/>
          <w:sz w:val="24"/>
        </w:rPr>
        <w:t>主要建设内容一览表</w:t>
      </w:r>
    </w:p>
    <w:tbl>
      <w:tblPr>
        <w:tblStyle w:val="60"/>
        <w:tblW w:w="933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31"/>
        <w:gridCol w:w="4135"/>
        <w:gridCol w:w="4465"/>
      </w:tblGrid>
      <w:tr w14:paraId="228091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731" w:type="dxa"/>
            <w:vAlign w:val="center"/>
          </w:tcPr>
          <w:p w14:paraId="5AC2799F">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序号</w:t>
            </w:r>
          </w:p>
        </w:tc>
        <w:tc>
          <w:tcPr>
            <w:tcW w:w="4135" w:type="dxa"/>
            <w:vAlign w:val="center"/>
          </w:tcPr>
          <w:p w14:paraId="71C0AC6A">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hint="eastAsia" w:ascii="宋体" w:hAnsi="宋体" w:eastAsia="宋体" w:cstheme="minorBidi"/>
                <w:bCs/>
                <w:sz w:val="21"/>
                <w:szCs w:val="21"/>
              </w:rPr>
              <w:t>数字化</w:t>
            </w:r>
            <w:r>
              <w:rPr>
                <w:rFonts w:ascii="宋体" w:hAnsi="宋体" w:eastAsia="宋体" w:cstheme="minorBidi"/>
                <w:bCs/>
                <w:sz w:val="21"/>
                <w:szCs w:val="21"/>
              </w:rPr>
              <w:t>优化项</w:t>
            </w:r>
          </w:p>
        </w:tc>
        <w:tc>
          <w:tcPr>
            <w:tcW w:w="4465" w:type="dxa"/>
            <w:vAlign w:val="center"/>
          </w:tcPr>
          <w:p w14:paraId="07A365AF">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优化效果</w:t>
            </w:r>
          </w:p>
        </w:tc>
      </w:tr>
      <w:tr w14:paraId="4C0299C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3964BF9B">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1</w:t>
            </w:r>
          </w:p>
        </w:tc>
        <w:tc>
          <w:tcPr>
            <w:tcW w:w="4135" w:type="dxa"/>
            <w:vMerge w:val="restart"/>
            <w:vAlign w:val="center"/>
          </w:tcPr>
          <w:p w14:paraId="69176803">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智能化生产线</w:t>
            </w:r>
          </w:p>
        </w:tc>
        <w:tc>
          <w:tcPr>
            <w:tcW w:w="4465" w:type="dxa"/>
            <w:vAlign w:val="center"/>
          </w:tcPr>
          <w:p w14:paraId="41FE189A">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原料预处理系统：AI粒度监测+自动分选，年处理</w:t>
            </w:r>
            <w:r>
              <w:rPr>
                <w:rFonts w:hint="eastAsia" w:ascii="宋体" w:hAnsi="宋体" w:eastAsia="宋体" w:cstheme="minorBidi"/>
                <w:bCs/>
                <w:sz w:val="21"/>
                <w:szCs w:val="21"/>
              </w:rPr>
              <w:t>30</w:t>
            </w:r>
            <w:r>
              <w:rPr>
                <w:rFonts w:ascii="宋体" w:hAnsi="宋体" w:eastAsia="宋体" w:cstheme="minorBidi"/>
                <w:bCs/>
                <w:sz w:val="21"/>
                <w:szCs w:val="21"/>
              </w:rPr>
              <w:t>万吨，精度提升30%。</w:t>
            </w:r>
          </w:p>
        </w:tc>
      </w:tr>
      <w:tr w14:paraId="104AEB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1AD2F663">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2</w:t>
            </w:r>
          </w:p>
        </w:tc>
        <w:tc>
          <w:tcPr>
            <w:tcW w:w="4135" w:type="dxa"/>
            <w:vMerge w:val="continue"/>
            <w:vAlign w:val="center"/>
          </w:tcPr>
          <w:p w14:paraId="2A42EE30">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p>
        </w:tc>
        <w:tc>
          <w:tcPr>
            <w:tcW w:w="4465" w:type="dxa"/>
            <w:vAlign w:val="center"/>
          </w:tcPr>
          <w:p w14:paraId="64B86015">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石墨化升级：数字化炉群（</w:t>
            </w:r>
            <w:r>
              <w:rPr>
                <w:rFonts w:hint="eastAsia" w:ascii="宋体" w:hAnsi="宋体" w:eastAsia="宋体" w:cstheme="minorBidi"/>
                <w:bCs/>
                <w:sz w:val="21"/>
                <w:szCs w:val="21"/>
              </w:rPr>
              <w:t>196</w:t>
            </w:r>
            <w:r>
              <w:rPr>
                <w:rFonts w:ascii="宋体" w:hAnsi="宋体" w:eastAsia="宋体" w:cstheme="minorBidi"/>
                <w:bCs/>
                <w:sz w:val="21"/>
                <w:szCs w:val="21"/>
              </w:rPr>
              <w:t>台），能耗降15%，单炉产能增20%。</w:t>
            </w:r>
          </w:p>
        </w:tc>
      </w:tr>
      <w:tr w14:paraId="376800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25433B0F">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3</w:t>
            </w:r>
          </w:p>
        </w:tc>
        <w:tc>
          <w:tcPr>
            <w:tcW w:w="4135" w:type="dxa"/>
            <w:vMerge w:val="continue"/>
            <w:vAlign w:val="center"/>
          </w:tcPr>
          <w:p w14:paraId="1F3D702A">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p>
        </w:tc>
        <w:tc>
          <w:tcPr>
            <w:tcW w:w="4465" w:type="dxa"/>
            <w:vAlign w:val="center"/>
          </w:tcPr>
          <w:p w14:paraId="1304BA33">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改性车间：全自动包覆-碳化线（±0.1μm精度），在线缺陷检测零漏判。</w:t>
            </w:r>
          </w:p>
        </w:tc>
      </w:tr>
      <w:tr w14:paraId="2DE9C5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2BDBD3C2">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4</w:t>
            </w:r>
          </w:p>
        </w:tc>
        <w:tc>
          <w:tcPr>
            <w:tcW w:w="4135" w:type="dxa"/>
            <w:vMerge w:val="continue"/>
            <w:vAlign w:val="center"/>
          </w:tcPr>
          <w:p w14:paraId="2B57744C">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p>
        </w:tc>
        <w:tc>
          <w:tcPr>
            <w:tcW w:w="4465" w:type="dxa"/>
            <w:vAlign w:val="center"/>
          </w:tcPr>
          <w:p w14:paraId="551551A3">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成品加工线：气流粉碎+自动包装，粒径D50误差≤0.5μm，年处理</w:t>
            </w:r>
            <w:r>
              <w:rPr>
                <w:rFonts w:hint="eastAsia" w:ascii="宋体" w:hAnsi="宋体" w:eastAsia="宋体" w:cstheme="minorBidi"/>
                <w:bCs/>
                <w:sz w:val="21"/>
                <w:szCs w:val="21"/>
              </w:rPr>
              <w:t>30</w:t>
            </w:r>
            <w:r>
              <w:rPr>
                <w:rFonts w:ascii="宋体" w:hAnsi="宋体" w:eastAsia="宋体" w:cstheme="minorBidi"/>
                <w:bCs/>
                <w:sz w:val="21"/>
                <w:szCs w:val="21"/>
              </w:rPr>
              <w:t>万吨。</w:t>
            </w:r>
          </w:p>
        </w:tc>
      </w:tr>
      <w:tr w14:paraId="1B0205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7C53B03C">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5</w:t>
            </w:r>
          </w:p>
        </w:tc>
        <w:tc>
          <w:tcPr>
            <w:tcW w:w="4135" w:type="dxa"/>
            <w:vMerge w:val="restart"/>
            <w:vAlign w:val="center"/>
          </w:tcPr>
          <w:p w14:paraId="319CE010">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p>
          <w:p w14:paraId="6A4C9FCD">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数字化管理平台</w:t>
            </w:r>
          </w:p>
        </w:tc>
        <w:tc>
          <w:tcPr>
            <w:tcW w:w="4465" w:type="dxa"/>
            <w:vAlign w:val="center"/>
          </w:tcPr>
          <w:p w14:paraId="189B5B15">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IIoT系统：500+传感器全流程覆盖，设备互联率100%。</w:t>
            </w:r>
          </w:p>
        </w:tc>
      </w:tr>
      <w:tr w14:paraId="4AF2CF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37A47245">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hint="eastAsia" w:ascii="宋体" w:hAnsi="宋体" w:eastAsia="宋体" w:cstheme="minorBidi"/>
                <w:bCs/>
                <w:sz w:val="21"/>
                <w:szCs w:val="21"/>
              </w:rPr>
              <w:t>6</w:t>
            </w:r>
          </w:p>
        </w:tc>
        <w:tc>
          <w:tcPr>
            <w:tcW w:w="4135" w:type="dxa"/>
            <w:vMerge w:val="continue"/>
            <w:vAlign w:val="center"/>
          </w:tcPr>
          <w:p w14:paraId="3AC085C7">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p>
        </w:tc>
        <w:tc>
          <w:tcPr>
            <w:tcW w:w="4465" w:type="dxa"/>
            <w:vAlign w:val="center"/>
          </w:tcPr>
          <w:p w14:paraId="06D8EC6D">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数字孪生平台：石墨化炉三维仿真，工艺优化响应速度提升50%。</w:t>
            </w:r>
          </w:p>
        </w:tc>
      </w:tr>
      <w:tr w14:paraId="2C2AFD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9" w:hRule="atLeast"/>
          <w:jc w:val="center"/>
        </w:trPr>
        <w:tc>
          <w:tcPr>
            <w:tcW w:w="731" w:type="dxa"/>
            <w:vAlign w:val="center"/>
          </w:tcPr>
          <w:p w14:paraId="601D28F3">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hint="eastAsia" w:ascii="宋体" w:hAnsi="宋体" w:eastAsia="宋体" w:cstheme="minorBidi"/>
                <w:bCs/>
                <w:sz w:val="21"/>
                <w:szCs w:val="21"/>
              </w:rPr>
              <w:t>7</w:t>
            </w:r>
          </w:p>
        </w:tc>
        <w:tc>
          <w:tcPr>
            <w:tcW w:w="4135" w:type="dxa"/>
            <w:vMerge w:val="continue"/>
            <w:vAlign w:val="center"/>
          </w:tcPr>
          <w:p w14:paraId="59B8E00C">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p>
        </w:tc>
        <w:tc>
          <w:tcPr>
            <w:tcW w:w="4465" w:type="dxa"/>
            <w:vAlign w:val="center"/>
          </w:tcPr>
          <w:p w14:paraId="24780A2C">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EMS能源管理：年节能8%-12%。</w:t>
            </w:r>
          </w:p>
        </w:tc>
      </w:tr>
      <w:tr w14:paraId="6BDD00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0845FE20">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hint="eastAsia" w:ascii="宋体" w:hAnsi="宋体" w:eastAsia="宋体" w:cstheme="minorBidi"/>
                <w:bCs/>
                <w:sz w:val="21"/>
                <w:szCs w:val="21"/>
              </w:rPr>
              <w:t>8</w:t>
            </w:r>
          </w:p>
        </w:tc>
        <w:tc>
          <w:tcPr>
            <w:tcW w:w="4135" w:type="dxa"/>
            <w:vMerge w:val="restart"/>
            <w:vAlign w:val="center"/>
          </w:tcPr>
          <w:p w14:paraId="0032CD59">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绿色制造设施</w:t>
            </w:r>
          </w:p>
        </w:tc>
        <w:tc>
          <w:tcPr>
            <w:tcW w:w="4465" w:type="dxa"/>
            <w:vAlign w:val="center"/>
          </w:tcPr>
          <w:p w14:paraId="37FC79E4">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废气处理：RTO焚烧（VOCs去除率≥98%），超国标排放限值。</w:t>
            </w:r>
          </w:p>
        </w:tc>
      </w:tr>
      <w:tr w14:paraId="4822F3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185FE9CD">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hint="eastAsia" w:ascii="宋体" w:hAnsi="宋体" w:eastAsia="宋体" w:cstheme="minorBidi"/>
                <w:bCs/>
                <w:sz w:val="21"/>
                <w:szCs w:val="21"/>
              </w:rPr>
              <w:t>9</w:t>
            </w:r>
          </w:p>
        </w:tc>
        <w:tc>
          <w:tcPr>
            <w:tcW w:w="4135" w:type="dxa"/>
            <w:vMerge w:val="continue"/>
            <w:vAlign w:val="center"/>
          </w:tcPr>
          <w:p w14:paraId="329920D6">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p>
        </w:tc>
        <w:tc>
          <w:tcPr>
            <w:tcW w:w="4465" w:type="dxa"/>
            <w:vAlign w:val="center"/>
          </w:tcPr>
          <w:p w14:paraId="378D7088">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粉尘回收：微米级脉冲除尘（效率≥99.5%），实现微米级颗粒物循环利用 。</w:t>
            </w:r>
          </w:p>
        </w:tc>
      </w:tr>
      <w:tr w14:paraId="59FC20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7FE3D354">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1</w:t>
            </w:r>
            <w:r>
              <w:rPr>
                <w:rFonts w:hint="eastAsia" w:ascii="宋体" w:hAnsi="宋体" w:eastAsia="宋体" w:cstheme="minorBidi"/>
                <w:bCs/>
                <w:sz w:val="21"/>
                <w:szCs w:val="21"/>
              </w:rPr>
              <w:t>0</w:t>
            </w:r>
          </w:p>
        </w:tc>
        <w:tc>
          <w:tcPr>
            <w:tcW w:w="4135" w:type="dxa"/>
            <w:vMerge w:val="continue"/>
            <w:vAlign w:val="center"/>
          </w:tcPr>
          <w:p w14:paraId="622F444F">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p>
        </w:tc>
        <w:tc>
          <w:tcPr>
            <w:tcW w:w="4465" w:type="dxa"/>
            <w:vAlign w:val="center"/>
          </w:tcPr>
          <w:p w14:paraId="4A5C8236">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废水零排放：反渗透+蒸发结晶，中水回用率≥95%。</w:t>
            </w:r>
          </w:p>
        </w:tc>
      </w:tr>
      <w:tr w14:paraId="6CB5DF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387B2BEE">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1</w:t>
            </w:r>
            <w:r>
              <w:rPr>
                <w:rFonts w:hint="eastAsia" w:ascii="宋体" w:hAnsi="宋体" w:eastAsia="宋体" w:cstheme="minorBidi"/>
                <w:bCs/>
                <w:sz w:val="21"/>
                <w:szCs w:val="21"/>
              </w:rPr>
              <w:t>1</w:t>
            </w:r>
          </w:p>
        </w:tc>
        <w:tc>
          <w:tcPr>
            <w:tcW w:w="4135" w:type="dxa"/>
            <w:vMerge w:val="restart"/>
            <w:vAlign w:val="center"/>
          </w:tcPr>
          <w:p w14:paraId="68511297">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研发检测中心</w:t>
            </w:r>
          </w:p>
        </w:tc>
        <w:tc>
          <w:tcPr>
            <w:tcW w:w="4465" w:type="dxa"/>
            <w:vAlign w:val="center"/>
          </w:tcPr>
          <w:p w14:paraId="09430F7D">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材料分析：BET、SEM、XRD等设备，检测精度达纳米级。</w:t>
            </w:r>
          </w:p>
        </w:tc>
      </w:tr>
      <w:tr w14:paraId="32A212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185436E4">
            <w:pPr>
              <w:pStyle w:val="293"/>
              <w:overflowPunct/>
              <w:spacing w:before="0" w:after="0" w:line="240" w:lineRule="auto"/>
              <w:ind w:firstLine="0" w:firstLineChars="0"/>
              <w:jc w:val="center"/>
              <w:textAlignment w:val="auto"/>
              <w:rPr>
                <w:rFonts w:hint="eastAsia" w:ascii="宋体" w:hAnsi="宋体" w:eastAsia="宋体"/>
                <w:sz w:val="21"/>
                <w:szCs w:val="21"/>
              </w:rPr>
            </w:pPr>
            <w:r>
              <w:rPr>
                <w:rFonts w:ascii="宋体" w:hAnsi="宋体" w:eastAsia="宋体" w:cstheme="minorBidi"/>
                <w:bCs/>
                <w:sz w:val="21"/>
                <w:szCs w:val="21"/>
              </w:rPr>
              <w:t>1</w:t>
            </w:r>
            <w:r>
              <w:rPr>
                <w:rFonts w:hint="eastAsia" w:ascii="宋体" w:hAnsi="宋体" w:eastAsia="宋体" w:cstheme="minorBidi"/>
                <w:bCs/>
                <w:sz w:val="21"/>
                <w:szCs w:val="21"/>
              </w:rPr>
              <w:t>2</w:t>
            </w:r>
          </w:p>
        </w:tc>
        <w:tc>
          <w:tcPr>
            <w:tcW w:w="4135" w:type="dxa"/>
            <w:vMerge w:val="continue"/>
            <w:vAlign w:val="center"/>
          </w:tcPr>
          <w:p w14:paraId="71CA8059">
            <w:pPr>
              <w:pStyle w:val="293"/>
              <w:ind w:left="560" w:right="-99" w:firstLine="420"/>
              <w:jc w:val="left"/>
              <w:rPr>
                <w:rFonts w:hint="eastAsia" w:ascii="宋体" w:hAnsi="宋体" w:eastAsia="宋体"/>
                <w:sz w:val="21"/>
                <w:szCs w:val="21"/>
              </w:rPr>
            </w:pPr>
          </w:p>
        </w:tc>
        <w:tc>
          <w:tcPr>
            <w:tcW w:w="4465" w:type="dxa"/>
            <w:vAlign w:val="center"/>
          </w:tcPr>
          <w:p w14:paraId="00AAC707">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电化学平台：年测10万组样品，支持快充/长循环性能开发。</w:t>
            </w:r>
          </w:p>
        </w:tc>
      </w:tr>
      <w:tr w14:paraId="1FB792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0EA18414">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ascii="宋体" w:hAnsi="宋体" w:eastAsia="宋体" w:cstheme="minorBidi"/>
                <w:bCs/>
                <w:sz w:val="21"/>
                <w:szCs w:val="21"/>
              </w:rPr>
              <w:t>1</w:t>
            </w:r>
            <w:r>
              <w:rPr>
                <w:rFonts w:hint="eastAsia" w:ascii="宋体" w:hAnsi="宋体" w:eastAsia="宋体" w:cstheme="minorBidi"/>
                <w:bCs/>
                <w:sz w:val="21"/>
                <w:szCs w:val="21"/>
              </w:rPr>
              <w:t>3</w:t>
            </w:r>
          </w:p>
        </w:tc>
        <w:tc>
          <w:tcPr>
            <w:tcW w:w="4135" w:type="dxa"/>
            <w:vMerge w:val="continue"/>
            <w:vAlign w:val="center"/>
          </w:tcPr>
          <w:p w14:paraId="6554A5CE">
            <w:pPr>
              <w:pStyle w:val="293"/>
              <w:ind w:left="560" w:right="-99" w:firstLine="420"/>
              <w:jc w:val="left"/>
              <w:rPr>
                <w:rFonts w:hint="eastAsia" w:ascii="宋体" w:hAnsi="宋体" w:eastAsia="宋体"/>
                <w:sz w:val="21"/>
                <w:szCs w:val="21"/>
              </w:rPr>
            </w:pPr>
          </w:p>
        </w:tc>
        <w:tc>
          <w:tcPr>
            <w:tcW w:w="4465" w:type="dxa"/>
            <w:vAlign w:val="center"/>
          </w:tcPr>
          <w:p w14:paraId="7B69AA4F">
            <w:pPr>
              <w:pStyle w:val="293"/>
              <w:overflowPunct/>
              <w:spacing w:before="0" w:after="0" w:line="240" w:lineRule="auto"/>
              <w:ind w:firstLine="0" w:firstLineChars="0"/>
              <w:jc w:val="left"/>
              <w:textAlignment w:val="auto"/>
              <w:rPr>
                <w:rFonts w:hint="eastAsia" w:ascii="宋体" w:hAnsi="宋体" w:eastAsia="宋体" w:cstheme="minorBidi"/>
                <w:bCs/>
                <w:sz w:val="21"/>
                <w:szCs w:val="21"/>
              </w:rPr>
            </w:pPr>
            <w:r>
              <w:rPr>
                <w:rFonts w:ascii="宋体" w:hAnsi="宋体" w:eastAsia="宋体" w:cstheme="minorBidi"/>
                <w:bCs/>
                <w:sz w:val="21"/>
                <w:szCs w:val="21"/>
              </w:rPr>
              <w:t>AI材料设计：材料基因组系统，研发周期缩短40%。</w:t>
            </w:r>
          </w:p>
        </w:tc>
      </w:tr>
      <w:tr w14:paraId="5B73E3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31" w:type="dxa"/>
            <w:vAlign w:val="center"/>
          </w:tcPr>
          <w:p w14:paraId="607792D7">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r>
              <w:rPr>
                <w:rFonts w:hint="eastAsia" w:ascii="宋体" w:hAnsi="宋体" w:eastAsia="宋体" w:cstheme="minorBidi"/>
                <w:bCs/>
                <w:sz w:val="21"/>
                <w:szCs w:val="21"/>
              </w:rPr>
              <w:t>14</w:t>
            </w:r>
          </w:p>
        </w:tc>
        <w:tc>
          <w:tcPr>
            <w:tcW w:w="4135" w:type="dxa"/>
            <w:vMerge w:val="continue"/>
            <w:vAlign w:val="center"/>
          </w:tcPr>
          <w:p w14:paraId="664928C1">
            <w:pPr>
              <w:pStyle w:val="293"/>
              <w:overflowPunct/>
              <w:spacing w:before="0" w:after="0" w:line="240" w:lineRule="auto"/>
              <w:ind w:firstLine="0" w:firstLineChars="0"/>
              <w:jc w:val="center"/>
              <w:textAlignment w:val="auto"/>
              <w:rPr>
                <w:rFonts w:hint="eastAsia" w:ascii="宋体" w:hAnsi="宋体" w:eastAsia="宋体" w:cstheme="minorBidi"/>
                <w:bCs/>
                <w:sz w:val="21"/>
                <w:szCs w:val="21"/>
              </w:rPr>
            </w:pPr>
          </w:p>
        </w:tc>
        <w:tc>
          <w:tcPr>
            <w:tcW w:w="4465" w:type="dxa"/>
            <w:vAlign w:val="center"/>
          </w:tcPr>
          <w:p w14:paraId="1FAD6E79">
            <w:pPr>
              <w:spacing w:line="240" w:lineRule="auto"/>
              <w:ind w:firstLine="0" w:firstLineChars="0"/>
              <w:jc w:val="left"/>
              <w:rPr>
                <w:rFonts w:hint="eastAsia" w:ascii="宋体" w:hAnsi="宋体" w:cstheme="minorBidi"/>
                <w:bCs/>
                <w:sz w:val="21"/>
                <w:szCs w:val="21"/>
              </w:rPr>
            </w:pPr>
            <w:r>
              <w:rPr>
                <w:rFonts w:ascii="宋体" w:hAnsi="宋体" w:cstheme="minorBidi"/>
                <w:bCs/>
                <w:kern w:val="2"/>
                <w:sz w:val="21"/>
                <w:szCs w:val="21"/>
              </w:rPr>
              <w:t>Lims</w:t>
            </w:r>
            <w:r>
              <w:rPr>
                <w:rFonts w:hint="eastAsia" w:ascii="宋体" w:hAnsi="宋体" w:cstheme="minorBidi"/>
                <w:bCs/>
                <w:kern w:val="2"/>
                <w:sz w:val="21"/>
                <w:szCs w:val="21"/>
              </w:rPr>
              <w:t>系统：实现检验业务处理、检验监控、检验原始记录、检验数据汇总</w:t>
            </w:r>
            <w:r>
              <w:rPr>
                <w:rFonts w:ascii="宋体" w:hAnsi="宋体"/>
              </w:rPr>
              <w:fldChar w:fldCharType="begin"/>
            </w:r>
            <w:r>
              <w:rPr>
                <w:rFonts w:ascii="宋体" w:hAnsi="宋体"/>
              </w:rPr>
              <w:instrText xml:space="preserve">HYPERLINK "https://baike.baidu.com/item/%E7%BB%9F%E8%AE%A1%E6%8A%A5%E8%A1%A8/5099887?fromModule=lemma_inlink"</w:instrText>
            </w:r>
            <w:r>
              <w:rPr>
                <w:rFonts w:ascii="宋体" w:hAnsi="宋体"/>
              </w:rPr>
              <w:fldChar w:fldCharType="separate"/>
            </w:r>
            <w:r>
              <w:rPr>
                <w:rFonts w:hint="eastAsia" w:ascii="宋体" w:hAnsi="宋体" w:cstheme="minorBidi"/>
                <w:bCs/>
                <w:kern w:val="2"/>
                <w:sz w:val="21"/>
                <w:szCs w:val="21"/>
              </w:rPr>
              <w:t>统计报表</w:t>
            </w:r>
            <w:r>
              <w:rPr>
                <w:rFonts w:ascii="宋体" w:hAnsi="宋体"/>
              </w:rPr>
              <w:fldChar w:fldCharType="end"/>
            </w:r>
            <w:r>
              <w:rPr>
                <w:rFonts w:hint="eastAsia" w:ascii="宋体" w:hAnsi="宋体" w:cstheme="minorBidi"/>
                <w:bCs/>
                <w:kern w:val="2"/>
                <w:sz w:val="21"/>
                <w:szCs w:val="21"/>
              </w:rPr>
              <w:t>、日常办公、系统与安全设置管理，从收样、分样到检测报告进行全程化管控，自动生成检测任务全过程对应表以及各类统计、分析报告，提高检测效率及准确率，保证检测数据真实和可追溯性。</w:t>
            </w:r>
          </w:p>
        </w:tc>
      </w:tr>
    </w:tbl>
    <w:p w14:paraId="73F35A6B">
      <w:pPr>
        <w:pStyle w:val="9"/>
        <w:rPr>
          <w:color w:val="auto"/>
        </w:rPr>
      </w:pPr>
      <w:bookmarkStart w:id="203" w:name="_Toc22810"/>
      <w:bookmarkStart w:id="204" w:name="_Toc215210539"/>
      <w:bookmarkStart w:id="205" w:name="_Toc24094"/>
      <w:r>
        <w:rPr>
          <w:rFonts w:hint="eastAsia"/>
          <w:color w:val="auto"/>
        </w:rPr>
        <w:t>2.1.3 项目建设背景</w:t>
      </w:r>
      <w:bookmarkEnd w:id="203"/>
      <w:bookmarkEnd w:id="204"/>
      <w:bookmarkEnd w:id="205"/>
    </w:p>
    <w:p w14:paraId="73CA5843">
      <w:pPr>
        <w:numPr>
          <w:ilvl w:val="0"/>
          <w:numId w:val="10"/>
        </w:numPr>
        <w:ind w:left="0" w:firstLine="560"/>
        <w:rPr>
          <w:rFonts w:cs="Times New Roman"/>
        </w:rPr>
      </w:pPr>
      <w:bookmarkStart w:id="206" w:name="_Toc19064"/>
      <w:bookmarkStart w:id="207" w:name="_Toc32623"/>
      <w:r>
        <w:rPr>
          <w:rFonts w:cs="Times New Roman"/>
        </w:rPr>
        <w:t>提升企业自身竞争力，扩大市场份额</w:t>
      </w:r>
      <w:bookmarkEnd w:id="206"/>
      <w:bookmarkEnd w:id="207"/>
    </w:p>
    <w:p w14:paraId="34A8F25C">
      <w:pPr>
        <w:pStyle w:val="529"/>
        <w:ind w:firstLine="560"/>
        <w:rPr>
          <w:rFonts w:hint="eastAsia" w:ascii="宋体" w:hAnsi="宋体" w:cs="宋体"/>
          <w:lang w:val="en-US"/>
        </w:rPr>
      </w:pPr>
      <w:r>
        <w:rPr>
          <w:rFonts w:ascii="宋体" w:hAnsi="宋体" w:cs="宋体"/>
          <w:lang w:val="en-US"/>
        </w:rPr>
        <w:t>随着市场规模的不断扩大，负极材料的市场需求也将不断增加。</w:t>
      </w:r>
      <w:r>
        <w:rPr>
          <w:rFonts w:hint="eastAsia" w:ascii="宋体" w:hAnsi="宋体" w:cs="宋体"/>
          <w:lang w:val="en-US"/>
        </w:rPr>
        <w:t>根据GGII的预测，到2025年，中国负极材料市场规模将达到114亿元，到2030年将达到244亿元。其中动力电池领域占据主导地位，储能领域次之，数码电子领域也有一定市场。</w:t>
      </w:r>
    </w:p>
    <w:p w14:paraId="50667C2D">
      <w:pPr>
        <w:pStyle w:val="529"/>
        <w:ind w:firstLine="560"/>
        <w:rPr>
          <w:rFonts w:hint="eastAsia" w:ascii="宋体" w:hAnsi="宋体" w:cs="宋体"/>
          <w:lang w:val="en-US"/>
        </w:rPr>
      </w:pPr>
      <w:r>
        <w:rPr>
          <w:rFonts w:ascii="宋体" w:hAnsi="宋体" w:cs="宋体"/>
          <w:lang w:val="en-US"/>
        </w:rPr>
        <w:t>锂离子电池具有能量密度大、使用寿命长、无记忆效应和不含镉、铅等重金属的优点，目前已在手机、笔记本电脑、照相机等便携设备广泛应用。锂离子电池在电动工具和电动自行车等小型动力电池的应用中，也可以替代目前对环境有影响的Cd-Ni电池和铅酸电池，这使锂电池行业的发展空间带来了更多的机遇。近年来，随着新能源汽车行业的加速推进，动力电池迅速成为企业界投资的热点，开发具有自主知识产权的高性能、高安全、低成本的锂离子动力电池迫在眉睫，而锂电池所用的负极材料是决定其性能的关键因素之一。</w:t>
      </w:r>
      <w:r>
        <w:rPr>
          <w:rFonts w:hint="eastAsia" w:ascii="宋体" w:hAnsi="宋体" w:cs="宋体"/>
          <w:lang w:val="en-US"/>
        </w:rPr>
        <w:t>云南</w:t>
      </w:r>
      <w:r>
        <w:rPr>
          <w:rFonts w:ascii="宋体" w:hAnsi="宋体" w:cs="宋体"/>
          <w:lang w:val="en-US"/>
        </w:rPr>
        <w:t>杉杉新材料有限公司</w:t>
      </w:r>
      <w:r>
        <w:rPr>
          <w:rFonts w:hint="eastAsia" w:ascii="宋体" w:hAnsi="宋体" w:cs="宋体"/>
          <w:lang w:val="en-US"/>
        </w:rPr>
        <w:t>是当前行业内建设单体规模最大的负极一体化基地</w:t>
      </w:r>
      <w:r>
        <w:rPr>
          <w:rFonts w:ascii="宋体" w:hAnsi="宋体" w:cs="宋体"/>
          <w:lang w:val="en-US"/>
        </w:rPr>
        <w:t>，改变传统制造生产模式，进行数字化车间的建设</w:t>
      </w:r>
      <w:r>
        <w:rPr>
          <w:rFonts w:hint="eastAsia" w:ascii="宋体" w:hAnsi="宋体" w:cs="宋体"/>
          <w:lang w:val="en-US"/>
        </w:rPr>
        <w:t>可以</w:t>
      </w:r>
      <w:r>
        <w:rPr>
          <w:rFonts w:ascii="宋体" w:hAnsi="宋体" w:cs="宋体"/>
          <w:lang w:val="en-US"/>
        </w:rPr>
        <w:t>提高生产效率、设备使用效率、产品良率，提升企业的核心竞争力，进一步扩大公司在锂电负极材料领域的市场份额。</w:t>
      </w:r>
    </w:p>
    <w:p w14:paraId="06B6B280">
      <w:pPr>
        <w:numPr>
          <w:ilvl w:val="0"/>
          <w:numId w:val="10"/>
        </w:numPr>
        <w:ind w:left="0" w:firstLine="560"/>
        <w:rPr>
          <w:rFonts w:cs="Times New Roman"/>
        </w:rPr>
      </w:pPr>
      <w:bookmarkStart w:id="208" w:name="_Toc582"/>
      <w:bookmarkStart w:id="209" w:name="_Toc23856"/>
      <w:r>
        <w:rPr>
          <w:rFonts w:cs="Times New Roman"/>
        </w:rPr>
        <w:t>提高锂电材料的产品性能，替代进口</w:t>
      </w:r>
      <w:bookmarkEnd w:id="208"/>
      <w:bookmarkEnd w:id="209"/>
    </w:p>
    <w:p w14:paraId="29EA9E69">
      <w:pPr>
        <w:pStyle w:val="529"/>
        <w:ind w:firstLine="560"/>
        <w:rPr>
          <w:rFonts w:hint="eastAsia" w:ascii="宋体" w:hAnsi="宋体" w:cs="宋体"/>
          <w:lang w:val="en-US"/>
        </w:rPr>
      </w:pPr>
      <w:r>
        <w:rPr>
          <w:rFonts w:ascii="宋体" w:hAnsi="宋体" w:cs="宋体"/>
          <w:lang w:val="en-US"/>
        </w:rPr>
        <w:t>随着信息化、工业化飞速发展，锂电负极材料行业竞争日趋激烈，提升产品一致性、稳定性、提高生产效率、降低能耗和运营成本，无疑成为企业竞争的最大优势。国内外锂电负极材料的性能差异主要由生产装备的智能化水平决定。新能源汽车动力电池材料智能工厂的建设通过以智能制造标准、核心软件和工业互联网基础与信息安全系统为支撑，大力推进核心智能制造装备的应用，满足产品设计、工艺、制造、检测等环节的智能化要求。</w:t>
      </w:r>
      <w:r>
        <w:rPr>
          <w:rFonts w:hint="eastAsia" w:ascii="宋体" w:hAnsi="宋体" w:cs="宋体"/>
          <w:lang w:val="en-US"/>
        </w:rPr>
        <w:t>亟需</w:t>
      </w:r>
      <w:r>
        <w:rPr>
          <w:rFonts w:ascii="宋体" w:hAnsi="宋体" w:cs="宋体"/>
          <w:lang w:val="en-US"/>
        </w:rPr>
        <w:t>工厂</w:t>
      </w:r>
      <w:r>
        <w:rPr>
          <w:rFonts w:hint="eastAsia" w:ascii="宋体" w:hAnsi="宋体" w:cs="宋体"/>
          <w:lang w:val="en-US"/>
        </w:rPr>
        <w:t>数字化转型</w:t>
      </w:r>
      <w:r>
        <w:rPr>
          <w:rFonts w:ascii="宋体" w:hAnsi="宋体" w:cs="宋体"/>
          <w:lang w:val="en-US"/>
        </w:rPr>
        <w:t>解决传统生产过程中存在的设备利用率不高、数据采集问题、产品质量和生产效率不高等问题，提高产品性能，进军国内锂电负极材料高端市场，替代进口产品。</w:t>
      </w:r>
    </w:p>
    <w:p w14:paraId="28CBE7AE">
      <w:pPr>
        <w:numPr>
          <w:ilvl w:val="0"/>
          <w:numId w:val="10"/>
        </w:numPr>
        <w:ind w:left="0" w:firstLine="560"/>
        <w:rPr>
          <w:rFonts w:cs="Times New Roman"/>
        </w:rPr>
      </w:pPr>
      <w:bookmarkStart w:id="210" w:name="_Toc7057"/>
      <w:bookmarkStart w:id="211" w:name="_Toc10928"/>
      <w:r>
        <w:rPr>
          <w:rFonts w:cs="Times New Roman"/>
        </w:rPr>
        <w:t>为国内锂电材料企业开展智能制造提供示范</w:t>
      </w:r>
      <w:bookmarkEnd w:id="210"/>
      <w:bookmarkEnd w:id="211"/>
    </w:p>
    <w:p w14:paraId="3183C744">
      <w:pPr>
        <w:pStyle w:val="529"/>
        <w:ind w:firstLine="560"/>
        <w:rPr>
          <w:rFonts w:hint="eastAsia" w:ascii="宋体" w:hAnsi="宋体" w:cs="宋体"/>
          <w:lang w:val="en-US"/>
        </w:rPr>
      </w:pPr>
      <w:r>
        <w:rPr>
          <w:rFonts w:ascii="宋体" w:hAnsi="宋体" w:cs="宋体"/>
          <w:lang w:val="en-US"/>
        </w:rPr>
        <w:t>本项目是在动力电池材料工艺流程基础上进行升级改造，形成新型的锂电负极材料智能工厂。智能制造着力发展智能装备，推进生产过程的智能化，培育新型自动化、个性化和可视化的生产方式，全面提升企业研发、生产、管理和服务的智能化水平。强化应用牵引，建立智能制造产业联盟，协同推动智能装备和产品研发、系统集成创新与产业化。促进工业互联网、云计算、大数据在企业研发设计、生产制造、经营管理、销售服务等全流程和全产业链的综合集成应用。</w:t>
      </w:r>
    </w:p>
    <w:p w14:paraId="2780595E">
      <w:pPr>
        <w:pStyle w:val="529"/>
        <w:ind w:firstLine="560"/>
        <w:rPr>
          <w:rFonts w:hint="eastAsia" w:ascii="宋体" w:hAnsi="宋体" w:cs="宋体"/>
          <w:lang w:val="en-US"/>
        </w:rPr>
      </w:pPr>
      <w:r>
        <w:rPr>
          <w:rFonts w:ascii="宋体" w:hAnsi="宋体" w:cs="宋体"/>
          <w:lang w:val="en-US"/>
        </w:rPr>
        <w:t>长期以来，我国锂电行业主要集中在中低端环节，产业附加值低。发展智能制造业已经成为实现我国制造业从低端制造向高端制造转变的重要途径，本项目的成功实施对于国内其他锂电企业在现有基础上引进新技术、进行智能化制造改造升级，具有很好的示范作用。</w:t>
      </w:r>
    </w:p>
    <w:p w14:paraId="01F12094">
      <w:pPr>
        <w:numPr>
          <w:ilvl w:val="0"/>
          <w:numId w:val="10"/>
        </w:numPr>
        <w:ind w:left="0" w:firstLine="560"/>
        <w:rPr>
          <w:rFonts w:cs="Times New Roman"/>
        </w:rPr>
      </w:pPr>
      <w:bookmarkStart w:id="212" w:name="_Toc26996"/>
      <w:bookmarkStart w:id="213" w:name="_Toc20002"/>
      <w:r>
        <w:rPr>
          <w:rFonts w:cs="Times New Roman"/>
        </w:rPr>
        <w:t>推动我国制造业的</w:t>
      </w:r>
      <w:r>
        <w:rPr>
          <w:rFonts w:hint="eastAsia" w:cs="Times New Roman"/>
        </w:rPr>
        <w:t>数字化转型</w:t>
      </w:r>
      <w:r>
        <w:rPr>
          <w:rFonts w:cs="Times New Roman"/>
        </w:rPr>
        <w:t>，提高国际竞争力</w:t>
      </w:r>
      <w:bookmarkEnd w:id="212"/>
      <w:bookmarkEnd w:id="213"/>
    </w:p>
    <w:p w14:paraId="1B36F387">
      <w:pPr>
        <w:pStyle w:val="529"/>
        <w:ind w:firstLine="560"/>
        <w:rPr>
          <w:rFonts w:hint="eastAsia" w:ascii="宋体" w:hAnsi="宋体" w:cs="宋体"/>
          <w:lang w:val="en-US"/>
        </w:rPr>
      </w:pPr>
      <w:r>
        <w:rPr>
          <w:rFonts w:ascii="宋体" w:hAnsi="宋体" w:cs="宋体"/>
          <w:lang w:val="en-US"/>
        </w:rPr>
        <w:t>我国制造业面临来自发达国家加速重振制造业与发展中国家以更低生产成本承接国际产业转移的“双向挤压”。我国必须加快推进</w:t>
      </w:r>
      <w:r>
        <w:rPr>
          <w:rFonts w:hint="eastAsia" w:ascii="宋体" w:hAnsi="宋体" w:cs="宋体"/>
          <w:lang w:val="en-US"/>
        </w:rPr>
        <w:t>数字化转型</w:t>
      </w:r>
      <w:r>
        <w:rPr>
          <w:rFonts w:ascii="宋体" w:hAnsi="宋体" w:cs="宋体"/>
          <w:lang w:val="en-US"/>
        </w:rPr>
        <w:t>，提高其产业化水平，以应对传统低成本优势削弱所面临的挑战。发展智能制造业是加快我国</w:t>
      </w:r>
      <w:r>
        <w:rPr>
          <w:rFonts w:hint="eastAsia" w:ascii="宋体" w:hAnsi="宋体" w:cs="宋体"/>
          <w:lang w:val="en-US"/>
        </w:rPr>
        <w:t>数字化转型</w:t>
      </w:r>
      <w:r>
        <w:rPr>
          <w:rFonts w:ascii="宋体" w:hAnsi="宋体" w:cs="宋体"/>
          <w:lang w:val="en-US"/>
        </w:rPr>
        <w:t>的客观需要。此外，</w:t>
      </w:r>
      <w:r>
        <w:rPr>
          <w:rFonts w:hint="eastAsia" w:ascii="宋体" w:hAnsi="宋体" w:cs="宋体"/>
          <w:lang w:val="en-US"/>
        </w:rPr>
        <w:t>数字化转型</w:t>
      </w:r>
      <w:r>
        <w:rPr>
          <w:rFonts w:ascii="宋体" w:hAnsi="宋体" w:cs="宋体"/>
          <w:lang w:val="en-US"/>
        </w:rPr>
        <w:t>可以应用更节能环保的先进装备和智能优化技术，有助于从根本上解决我国生产制造过程的节能减排问题。</w:t>
      </w:r>
      <w:r>
        <w:rPr>
          <w:rFonts w:hint="eastAsia" w:ascii="宋体" w:hAnsi="宋体" w:cs="宋体"/>
          <w:lang w:val="en-US"/>
        </w:rPr>
        <w:t>数字化转型</w:t>
      </w:r>
      <w:r>
        <w:rPr>
          <w:rFonts w:ascii="宋体" w:hAnsi="宋体" w:cs="宋体"/>
          <w:lang w:val="en-US"/>
        </w:rPr>
        <w:t>是自动化升级的技术关键，更是工业自动化水平的最高体现。新能源汽车动力电池材料</w:t>
      </w:r>
      <w:r>
        <w:rPr>
          <w:rFonts w:hint="eastAsia" w:ascii="宋体" w:hAnsi="宋体" w:cs="宋体"/>
          <w:lang w:val="en-US"/>
        </w:rPr>
        <w:t>数字化</w:t>
      </w:r>
      <w:r>
        <w:rPr>
          <w:rFonts w:ascii="宋体" w:hAnsi="宋体" w:cs="宋体"/>
          <w:lang w:val="en-US"/>
        </w:rPr>
        <w:t>的建设，促进产业迈向中高端水平，以制造业提质增效升级保证经济实现高速增长，推动我国制造业的</w:t>
      </w:r>
      <w:r>
        <w:rPr>
          <w:rFonts w:hint="eastAsia" w:ascii="宋体" w:hAnsi="宋体" w:cs="宋体"/>
          <w:lang w:val="en-US"/>
        </w:rPr>
        <w:t>数字化</w:t>
      </w:r>
      <w:r>
        <w:rPr>
          <w:rFonts w:ascii="宋体" w:hAnsi="宋体" w:cs="宋体"/>
          <w:lang w:val="en-US"/>
        </w:rPr>
        <w:t>水平，提高国际竞争力。</w:t>
      </w:r>
    </w:p>
    <w:p w14:paraId="77DDB6E5">
      <w:pPr>
        <w:pStyle w:val="5"/>
        <w:rPr>
          <w:color w:val="auto"/>
        </w:rPr>
      </w:pPr>
      <w:bookmarkStart w:id="214" w:name="_Toc10000"/>
      <w:bookmarkStart w:id="215" w:name="_Toc215210540"/>
      <w:r>
        <w:rPr>
          <w:rFonts w:hint="eastAsia"/>
          <w:color w:val="auto"/>
        </w:rPr>
        <w:t>2.2 自然条件</w:t>
      </w:r>
      <w:bookmarkEnd w:id="214"/>
      <w:bookmarkEnd w:id="215"/>
    </w:p>
    <w:p w14:paraId="0FBE64AF">
      <w:pPr>
        <w:pStyle w:val="9"/>
        <w:rPr>
          <w:color w:val="auto"/>
        </w:rPr>
      </w:pPr>
      <w:bookmarkStart w:id="216" w:name="_Toc215210541"/>
      <w:bookmarkStart w:id="217" w:name="_Toc21433"/>
      <w:r>
        <w:rPr>
          <w:rFonts w:hint="eastAsia"/>
          <w:color w:val="auto"/>
        </w:rPr>
        <w:t>2.2.1 地理位置</w:t>
      </w:r>
      <w:bookmarkEnd w:id="216"/>
      <w:bookmarkEnd w:id="217"/>
    </w:p>
    <w:p w14:paraId="42339291">
      <w:pPr>
        <w:pStyle w:val="529"/>
        <w:ind w:firstLine="560"/>
        <w:rPr>
          <w:rFonts w:hint="eastAsia" w:ascii="宋体" w:hAnsi="宋体" w:cs="宋体"/>
          <w:lang w:val="en-US"/>
        </w:rPr>
      </w:pPr>
      <w:r>
        <w:rPr>
          <w:rFonts w:hint="eastAsia" w:ascii="宋体" w:hAnsi="宋体" w:cs="宋体"/>
          <w:lang w:val="en-US"/>
        </w:rPr>
        <w:t>拟建</w:t>
      </w:r>
      <w:r>
        <w:rPr>
          <w:rFonts w:ascii="宋体" w:hAnsi="宋体" w:cs="宋体"/>
          <w:lang w:val="en-US"/>
        </w:rPr>
        <w:t>项目位于</w:t>
      </w:r>
      <w:r>
        <w:rPr>
          <w:rFonts w:hint="eastAsia" w:ascii="宋体" w:hAnsi="宋体" w:cs="宋体"/>
          <w:lang w:val="en-US"/>
        </w:rPr>
        <w:t>云南安宁产业园区草铺化工园区，属于云南安宁产业园区草铺化工园区范围，厂址距昆明主城区直线距离约40km，距安宁城区14km，用地周边分布有安禄公路、320国道和G56杭瑞高速，交通便利，方便运输。</w:t>
      </w:r>
      <w:r>
        <w:rPr>
          <w:rFonts w:ascii="宋体" w:hAnsi="宋体" w:cs="宋体"/>
          <w:lang w:val="en-US"/>
        </w:rPr>
        <w:t>项目交通位置如图2-1所示。</w:t>
      </w:r>
    </w:p>
    <w:p w14:paraId="469D6DCF">
      <w:pPr>
        <w:pStyle w:val="529"/>
        <w:ind w:firstLine="0" w:firstLineChars="0"/>
        <w:jc w:val="center"/>
        <w:rPr>
          <w:rFonts w:hint="eastAsia" w:ascii="宋体" w:hAnsi="宋体" w:cs="宋体"/>
        </w:rPr>
      </w:pPr>
      <w:r>
        <w:drawing>
          <wp:inline distT="0" distB="0" distL="0" distR="0">
            <wp:extent cx="5393690" cy="3356610"/>
            <wp:effectExtent l="0" t="0" r="0" b="0"/>
            <wp:docPr id="1700304190" name="图片 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04190" name="图片 1" descr="地图&#10;&#10;AI 生成的内容可能不正确。"/>
                    <pic:cNvPicPr>
                      <a:picLocks noChangeAspect="1"/>
                    </pic:cNvPicPr>
                  </pic:nvPicPr>
                  <pic:blipFill>
                    <a:blip r:embed="rId16"/>
                    <a:stretch>
                      <a:fillRect/>
                    </a:stretch>
                  </pic:blipFill>
                  <pic:spPr>
                    <a:xfrm>
                      <a:off x="0" y="0"/>
                      <a:ext cx="5398319" cy="3359842"/>
                    </a:xfrm>
                    <a:prstGeom prst="rect">
                      <a:avLst/>
                    </a:prstGeom>
                  </pic:spPr>
                </pic:pic>
              </a:graphicData>
            </a:graphic>
          </wp:inline>
        </w:drawing>
      </w:r>
    </w:p>
    <w:p w14:paraId="208A8394">
      <w:pPr>
        <w:pStyle w:val="574"/>
        <w:widowControl/>
        <w:numPr>
          <w:ilvl w:val="0"/>
          <w:numId w:val="11"/>
        </w:numPr>
        <w:spacing w:before="120" w:after="120" w:line="240" w:lineRule="auto"/>
        <w:ind w:left="482" w:hanging="482" w:hangingChars="200"/>
        <w:jc w:val="center"/>
        <w:textAlignment w:val="baseline"/>
        <w:rPr>
          <w:rFonts w:ascii="Times New Roman" w:hAnsi="Times New Roman" w:cs="Times New Roman"/>
          <w:b/>
          <w:bCs/>
          <w:sz w:val="24"/>
          <w:szCs w:val="24"/>
        </w:rPr>
      </w:pPr>
      <w:r>
        <w:rPr>
          <w:rFonts w:hint="eastAsia" w:ascii="Times New Roman" w:hAnsi="Times New Roman" w:cs="Times New Roman"/>
          <w:b/>
          <w:bCs/>
          <w:sz w:val="24"/>
          <w:szCs w:val="24"/>
        </w:rPr>
        <w:t>地理位置图</w:t>
      </w:r>
    </w:p>
    <w:p w14:paraId="1C2EE10A">
      <w:pPr>
        <w:pStyle w:val="9"/>
        <w:rPr>
          <w:color w:val="auto"/>
        </w:rPr>
      </w:pPr>
      <w:bookmarkStart w:id="218" w:name="_Toc215210542"/>
      <w:r>
        <w:rPr>
          <w:rFonts w:hint="eastAsia"/>
          <w:color w:val="auto"/>
        </w:rPr>
        <w:t>2.2.2 周边情况</w:t>
      </w:r>
      <w:bookmarkEnd w:id="218"/>
    </w:p>
    <w:p w14:paraId="4D7BF08F">
      <w:pPr>
        <w:ind w:firstLine="560"/>
        <w:rPr>
          <w:szCs w:val="28"/>
        </w:rPr>
      </w:pPr>
      <w:r>
        <w:rPr>
          <w:rFonts w:hint="eastAsia"/>
          <w:szCs w:val="28"/>
        </w:rPr>
        <w:t>拟建项目</w:t>
      </w:r>
      <w:r>
        <w:rPr>
          <w:szCs w:val="28"/>
        </w:rPr>
        <w:t>位于</w:t>
      </w:r>
      <w:r>
        <w:rPr>
          <w:rFonts w:hint="eastAsia"/>
          <w:szCs w:val="28"/>
        </w:rPr>
        <w:t>安宁市320线与G320交叉口正南方向</w:t>
      </w:r>
      <w:r>
        <w:rPr>
          <w:szCs w:val="28"/>
        </w:rPr>
        <w:t>，</w:t>
      </w:r>
      <w:r>
        <w:rPr>
          <w:rFonts w:hint="eastAsia"/>
          <w:szCs w:val="28"/>
        </w:rPr>
        <w:t>用地西侧、南侧均临近山林及边坡，西侧还分布有高压电力线、砂石破碎站，其中：最近高压塔架距离碳化成品仓库（戊类）50m，距砂石破碎站约100m；办公楼东南侧2200m为云南天安化工有限公司厂区边界，东南侧4.8km为中石油安宁炼油厂所在地；东南侧3000m为昆明钢铁厂，自东向北分布有安禄公路及西南管道公司油气管道（2条成品油、1条原油、1条天然气）。其中：本项目与油气管道高差为45m，项目位于高处。油气管道位于边坡底部，场地边界距燃气管道最近距离7m，项目场地边坡变量放坡，下边坡系数1:1.5-1:2，上边坡1:0.5-1:2，每级坡高8-10m不等，填方区坡高45m，挖方区最高65m。</w:t>
      </w:r>
      <w:r>
        <w:rPr>
          <w:szCs w:val="28"/>
        </w:rPr>
        <w:t>厂区与周边的情况如</w:t>
      </w:r>
      <w:r>
        <w:rPr>
          <w:rFonts w:hint="eastAsia"/>
          <w:szCs w:val="28"/>
        </w:rPr>
        <w:t>下</w:t>
      </w:r>
      <w:r>
        <w:rPr>
          <w:szCs w:val="28"/>
        </w:rPr>
        <w:t>表所示。</w:t>
      </w:r>
    </w:p>
    <w:p w14:paraId="26C87312">
      <w:pPr>
        <w:pStyle w:val="658"/>
        <w:widowControl/>
        <w:numPr>
          <w:ilvl w:val="0"/>
          <w:numId w:val="9"/>
        </w:numPr>
        <w:adjustRightInd/>
        <w:snapToGrid/>
        <w:ind w:firstLineChars="0"/>
        <w:jc w:val="center"/>
        <w:textAlignment w:val="baseline"/>
        <w:rPr>
          <w:rFonts w:cs="Times New Roman"/>
          <w:b/>
          <w:bCs/>
          <w:sz w:val="24"/>
        </w:rPr>
      </w:pPr>
      <w:r>
        <w:rPr>
          <w:rFonts w:cs="Times New Roman"/>
          <w:b/>
          <w:bCs/>
          <w:sz w:val="24"/>
        </w:rPr>
        <w:t>厂区周边环境表</w:t>
      </w:r>
    </w:p>
    <w:tbl>
      <w:tblPr>
        <w:tblStyle w:val="59"/>
        <w:tblW w:w="92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850"/>
        <w:gridCol w:w="730"/>
        <w:gridCol w:w="1129"/>
        <w:gridCol w:w="1289"/>
        <w:gridCol w:w="1279"/>
        <w:gridCol w:w="1640"/>
        <w:gridCol w:w="902"/>
        <w:gridCol w:w="901"/>
      </w:tblGrid>
      <w:tr w14:paraId="298E0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9" w:type="dxa"/>
            <w:vAlign w:val="center"/>
          </w:tcPr>
          <w:p w14:paraId="72F33A33">
            <w:pPr>
              <w:spacing w:line="240" w:lineRule="auto"/>
              <w:ind w:firstLine="0" w:firstLineChars="0"/>
              <w:jc w:val="center"/>
              <w:rPr>
                <w:sz w:val="21"/>
                <w:szCs w:val="21"/>
              </w:rPr>
            </w:pPr>
            <w:r>
              <w:rPr>
                <w:rFonts w:hint="eastAsia"/>
                <w:sz w:val="21"/>
                <w:szCs w:val="21"/>
              </w:rPr>
              <w:t>序号</w:t>
            </w:r>
          </w:p>
        </w:tc>
        <w:tc>
          <w:tcPr>
            <w:tcW w:w="850" w:type="dxa"/>
            <w:vAlign w:val="center"/>
          </w:tcPr>
          <w:p w14:paraId="780CAD5C">
            <w:pPr>
              <w:spacing w:line="240" w:lineRule="auto"/>
              <w:ind w:firstLine="0" w:firstLineChars="0"/>
              <w:jc w:val="center"/>
              <w:rPr>
                <w:sz w:val="21"/>
                <w:szCs w:val="21"/>
              </w:rPr>
            </w:pPr>
            <w:r>
              <w:rPr>
                <w:rFonts w:hint="eastAsia"/>
                <w:sz w:val="21"/>
                <w:szCs w:val="21"/>
              </w:rPr>
              <w:t>建构筑物名称</w:t>
            </w:r>
          </w:p>
        </w:tc>
        <w:tc>
          <w:tcPr>
            <w:tcW w:w="730" w:type="dxa"/>
            <w:vAlign w:val="center"/>
          </w:tcPr>
          <w:p w14:paraId="1963A5EC">
            <w:pPr>
              <w:spacing w:line="240" w:lineRule="auto"/>
              <w:ind w:firstLine="0" w:firstLineChars="0"/>
              <w:jc w:val="center"/>
              <w:rPr>
                <w:sz w:val="21"/>
                <w:szCs w:val="21"/>
              </w:rPr>
            </w:pPr>
            <w:r>
              <w:rPr>
                <w:rFonts w:hint="eastAsia"/>
                <w:sz w:val="21"/>
                <w:szCs w:val="21"/>
              </w:rPr>
              <w:t>厂区</w:t>
            </w:r>
          </w:p>
          <w:p w14:paraId="1EE1202F">
            <w:pPr>
              <w:spacing w:line="240" w:lineRule="auto"/>
              <w:ind w:firstLine="0" w:firstLineChars="0"/>
              <w:jc w:val="center"/>
              <w:rPr>
                <w:sz w:val="21"/>
                <w:szCs w:val="21"/>
              </w:rPr>
            </w:pPr>
            <w:r>
              <w:rPr>
                <w:rFonts w:hint="eastAsia"/>
                <w:sz w:val="21"/>
                <w:szCs w:val="21"/>
              </w:rPr>
              <w:t>方位</w:t>
            </w:r>
          </w:p>
        </w:tc>
        <w:tc>
          <w:tcPr>
            <w:tcW w:w="1130" w:type="dxa"/>
            <w:vAlign w:val="center"/>
          </w:tcPr>
          <w:p w14:paraId="3D9C6F8F">
            <w:pPr>
              <w:spacing w:line="240" w:lineRule="auto"/>
              <w:ind w:firstLine="0" w:firstLineChars="0"/>
              <w:jc w:val="center"/>
              <w:rPr>
                <w:sz w:val="21"/>
                <w:szCs w:val="21"/>
              </w:rPr>
            </w:pPr>
            <w:r>
              <w:rPr>
                <w:rFonts w:hint="eastAsia"/>
                <w:sz w:val="21"/>
                <w:szCs w:val="21"/>
              </w:rPr>
              <w:t>外部建构筑物名称</w:t>
            </w:r>
          </w:p>
        </w:tc>
        <w:tc>
          <w:tcPr>
            <w:tcW w:w="1290" w:type="dxa"/>
            <w:vAlign w:val="center"/>
          </w:tcPr>
          <w:p w14:paraId="35709B8A">
            <w:pPr>
              <w:spacing w:line="240" w:lineRule="auto"/>
              <w:ind w:firstLine="0" w:firstLineChars="0"/>
              <w:jc w:val="center"/>
              <w:rPr>
                <w:sz w:val="21"/>
                <w:szCs w:val="21"/>
              </w:rPr>
            </w:pPr>
            <w:r>
              <w:rPr>
                <w:rFonts w:hint="eastAsia"/>
                <w:sz w:val="21"/>
                <w:szCs w:val="21"/>
              </w:rPr>
              <w:t>外部建构筑物耐火等级</w:t>
            </w:r>
          </w:p>
        </w:tc>
        <w:tc>
          <w:tcPr>
            <w:tcW w:w="1280" w:type="dxa"/>
            <w:vAlign w:val="center"/>
          </w:tcPr>
          <w:p w14:paraId="3C0BC7C3">
            <w:pPr>
              <w:spacing w:line="240" w:lineRule="auto"/>
              <w:ind w:firstLine="0" w:firstLineChars="0"/>
              <w:jc w:val="center"/>
              <w:rPr>
                <w:sz w:val="21"/>
                <w:szCs w:val="21"/>
              </w:rPr>
            </w:pPr>
            <w:r>
              <w:rPr>
                <w:rFonts w:hint="eastAsia"/>
                <w:sz w:val="21"/>
                <w:szCs w:val="21"/>
              </w:rPr>
              <w:t>外部建构筑物火灾级别</w:t>
            </w:r>
          </w:p>
        </w:tc>
        <w:tc>
          <w:tcPr>
            <w:tcW w:w="1635" w:type="dxa"/>
            <w:vAlign w:val="center"/>
          </w:tcPr>
          <w:p w14:paraId="2AFB5A62">
            <w:pPr>
              <w:spacing w:line="240" w:lineRule="auto"/>
              <w:ind w:firstLine="0" w:firstLineChars="0"/>
              <w:jc w:val="center"/>
              <w:rPr>
                <w:sz w:val="21"/>
                <w:szCs w:val="21"/>
              </w:rPr>
            </w:pPr>
            <w:r>
              <w:rPr>
                <w:rFonts w:hint="eastAsia"/>
                <w:sz w:val="21"/>
                <w:szCs w:val="21"/>
              </w:rPr>
              <w:t>建筑设计</w:t>
            </w:r>
          </w:p>
          <w:p w14:paraId="07C73394">
            <w:pPr>
              <w:spacing w:line="240" w:lineRule="auto"/>
              <w:ind w:firstLine="0" w:firstLineChars="0"/>
              <w:jc w:val="center"/>
              <w:rPr>
                <w:sz w:val="21"/>
                <w:szCs w:val="21"/>
              </w:rPr>
            </w:pPr>
            <w:r>
              <w:rPr>
                <w:rFonts w:hint="eastAsia"/>
                <w:sz w:val="21"/>
                <w:szCs w:val="21"/>
              </w:rPr>
              <w:t>防火距离</w:t>
            </w:r>
          </w:p>
        </w:tc>
        <w:tc>
          <w:tcPr>
            <w:tcW w:w="902" w:type="dxa"/>
            <w:vAlign w:val="center"/>
          </w:tcPr>
          <w:p w14:paraId="00125D4E">
            <w:pPr>
              <w:spacing w:line="240" w:lineRule="auto"/>
              <w:ind w:firstLine="0" w:firstLineChars="0"/>
              <w:jc w:val="center"/>
              <w:rPr>
                <w:sz w:val="21"/>
                <w:szCs w:val="21"/>
              </w:rPr>
            </w:pPr>
            <w:r>
              <w:rPr>
                <w:rFonts w:hint="eastAsia"/>
                <w:sz w:val="21"/>
                <w:szCs w:val="21"/>
              </w:rPr>
              <w:t>实测</w:t>
            </w:r>
          </w:p>
          <w:p w14:paraId="5B923713">
            <w:pPr>
              <w:spacing w:line="240" w:lineRule="auto"/>
              <w:ind w:firstLine="0" w:firstLineChars="0"/>
              <w:jc w:val="center"/>
              <w:rPr>
                <w:sz w:val="21"/>
                <w:szCs w:val="21"/>
              </w:rPr>
            </w:pPr>
            <w:r>
              <w:rPr>
                <w:rFonts w:hint="eastAsia"/>
                <w:sz w:val="21"/>
                <w:szCs w:val="21"/>
              </w:rPr>
              <w:t>距离</w:t>
            </w:r>
          </w:p>
        </w:tc>
        <w:tc>
          <w:tcPr>
            <w:tcW w:w="902" w:type="dxa"/>
            <w:vAlign w:val="center"/>
          </w:tcPr>
          <w:p w14:paraId="1357C785">
            <w:pPr>
              <w:spacing w:line="240" w:lineRule="auto"/>
              <w:ind w:firstLine="0" w:firstLineChars="0"/>
              <w:jc w:val="center"/>
              <w:rPr>
                <w:sz w:val="21"/>
                <w:szCs w:val="21"/>
              </w:rPr>
            </w:pPr>
            <w:r>
              <w:rPr>
                <w:rFonts w:hint="eastAsia"/>
                <w:sz w:val="21"/>
                <w:szCs w:val="21"/>
              </w:rPr>
              <w:t>符合性</w:t>
            </w:r>
          </w:p>
        </w:tc>
      </w:tr>
      <w:tr w14:paraId="6C23E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9" w:type="dxa"/>
            <w:vAlign w:val="center"/>
          </w:tcPr>
          <w:p w14:paraId="485CAFE7">
            <w:pPr>
              <w:spacing w:line="240" w:lineRule="auto"/>
              <w:ind w:firstLine="0" w:firstLineChars="0"/>
              <w:jc w:val="center"/>
              <w:rPr>
                <w:sz w:val="21"/>
                <w:szCs w:val="21"/>
              </w:rPr>
            </w:pPr>
            <w:r>
              <w:rPr>
                <w:rFonts w:hint="eastAsia"/>
                <w:sz w:val="21"/>
                <w:szCs w:val="21"/>
              </w:rPr>
              <w:t>1</w:t>
            </w:r>
          </w:p>
        </w:tc>
        <w:tc>
          <w:tcPr>
            <w:tcW w:w="850" w:type="dxa"/>
            <w:vAlign w:val="center"/>
          </w:tcPr>
          <w:p w14:paraId="26D51E2A">
            <w:pPr>
              <w:spacing w:line="240" w:lineRule="auto"/>
              <w:ind w:firstLine="0" w:firstLineChars="0"/>
              <w:jc w:val="center"/>
              <w:rPr>
                <w:sz w:val="21"/>
                <w:szCs w:val="21"/>
              </w:rPr>
            </w:pPr>
            <w:r>
              <w:rPr>
                <w:rFonts w:hint="eastAsia"/>
                <w:sz w:val="21"/>
                <w:szCs w:val="21"/>
              </w:rPr>
              <w:t>场地</w:t>
            </w:r>
          </w:p>
          <w:p w14:paraId="58F304A7">
            <w:pPr>
              <w:spacing w:line="240" w:lineRule="auto"/>
              <w:ind w:firstLine="0" w:firstLineChars="0"/>
              <w:jc w:val="center"/>
              <w:rPr>
                <w:sz w:val="21"/>
                <w:szCs w:val="21"/>
              </w:rPr>
            </w:pPr>
            <w:r>
              <w:rPr>
                <w:rFonts w:hint="eastAsia"/>
                <w:sz w:val="21"/>
                <w:szCs w:val="21"/>
              </w:rPr>
              <w:t>边界</w:t>
            </w:r>
          </w:p>
        </w:tc>
        <w:tc>
          <w:tcPr>
            <w:tcW w:w="730" w:type="dxa"/>
            <w:vAlign w:val="center"/>
          </w:tcPr>
          <w:p w14:paraId="7E065ADF">
            <w:pPr>
              <w:spacing w:line="240" w:lineRule="auto"/>
              <w:ind w:firstLine="0" w:firstLineChars="0"/>
              <w:jc w:val="center"/>
              <w:rPr>
                <w:sz w:val="21"/>
                <w:szCs w:val="21"/>
              </w:rPr>
            </w:pPr>
            <w:r>
              <w:rPr>
                <w:rFonts w:hint="eastAsia"/>
                <w:sz w:val="21"/>
                <w:szCs w:val="21"/>
              </w:rPr>
              <w:t>自东向北</w:t>
            </w:r>
          </w:p>
        </w:tc>
        <w:tc>
          <w:tcPr>
            <w:tcW w:w="1130" w:type="dxa"/>
            <w:vAlign w:val="center"/>
          </w:tcPr>
          <w:p w14:paraId="54D925E8">
            <w:pPr>
              <w:spacing w:line="240" w:lineRule="auto"/>
              <w:ind w:firstLine="0" w:firstLineChars="0"/>
              <w:jc w:val="center"/>
              <w:rPr>
                <w:sz w:val="21"/>
                <w:szCs w:val="21"/>
              </w:rPr>
            </w:pPr>
            <w:r>
              <w:rPr>
                <w:rFonts w:hint="eastAsia"/>
                <w:sz w:val="21"/>
                <w:szCs w:val="21"/>
              </w:rPr>
              <w:t>油气管道</w:t>
            </w:r>
          </w:p>
        </w:tc>
        <w:tc>
          <w:tcPr>
            <w:tcW w:w="1290" w:type="dxa"/>
            <w:vAlign w:val="center"/>
          </w:tcPr>
          <w:p w14:paraId="299009BA">
            <w:pPr>
              <w:spacing w:line="240" w:lineRule="auto"/>
              <w:ind w:firstLine="0" w:firstLineChars="0"/>
              <w:jc w:val="center"/>
              <w:rPr>
                <w:sz w:val="21"/>
                <w:szCs w:val="21"/>
              </w:rPr>
            </w:pPr>
            <w:r>
              <w:rPr>
                <w:rFonts w:hint="eastAsia"/>
                <w:sz w:val="21"/>
                <w:szCs w:val="21"/>
              </w:rPr>
              <w:t>/</w:t>
            </w:r>
          </w:p>
        </w:tc>
        <w:tc>
          <w:tcPr>
            <w:tcW w:w="1280" w:type="dxa"/>
            <w:vAlign w:val="center"/>
          </w:tcPr>
          <w:p w14:paraId="15D1F33F">
            <w:pPr>
              <w:spacing w:line="240" w:lineRule="auto"/>
              <w:ind w:firstLine="0" w:firstLineChars="0"/>
              <w:jc w:val="center"/>
              <w:rPr>
                <w:sz w:val="21"/>
                <w:szCs w:val="21"/>
              </w:rPr>
            </w:pPr>
            <w:r>
              <w:rPr>
                <w:rFonts w:hint="eastAsia"/>
                <w:sz w:val="21"/>
                <w:szCs w:val="21"/>
              </w:rPr>
              <w:t>/</w:t>
            </w:r>
          </w:p>
        </w:tc>
        <w:tc>
          <w:tcPr>
            <w:tcW w:w="1635" w:type="dxa"/>
            <w:vAlign w:val="center"/>
          </w:tcPr>
          <w:p w14:paraId="326D8716">
            <w:pPr>
              <w:spacing w:line="240" w:lineRule="auto"/>
              <w:ind w:firstLine="0" w:firstLineChars="0"/>
              <w:jc w:val="center"/>
              <w:rPr>
                <w:sz w:val="21"/>
                <w:szCs w:val="21"/>
              </w:rPr>
            </w:pPr>
            <w:r>
              <w:rPr>
                <w:rFonts w:hint="eastAsia"/>
                <w:sz w:val="21"/>
                <w:szCs w:val="21"/>
              </w:rPr>
              <w:t>《中华人民共和国石油天然气管道保护法》第三十条，5m</w:t>
            </w:r>
          </w:p>
        </w:tc>
        <w:tc>
          <w:tcPr>
            <w:tcW w:w="902" w:type="dxa"/>
            <w:vAlign w:val="center"/>
          </w:tcPr>
          <w:p w14:paraId="2EE4309C">
            <w:pPr>
              <w:spacing w:line="240" w:lineRule="auto"/>
              <w:ind w:firstLine="0" w:firstLineChars="0"/>
              <w:jc w:val="center"/>
              <w:rPr>
                <w:sz w:val="21"/>
                <w:szCs w:val="21"/>
              </w:rPr>
            </w:pPr>
            <w:r>
              <w:rPr>
                <w:rFonts w:hint="eastAsia"/>
                <w:sz w:val="21"/>
                <w:szCs w:val="21"/>
              </w:rPr>
              <w:t>7m</w:t>
            </w:r>
          </w:p>
        </w:tc>
        <w:tc>
          <w:tcPr>
            <w:tcW w:w="902" w:type="dxa"/>
            <w:vAlign w:val="center"/>
          </w:tcPr>
          <w:p w14:paraId="03298D71">
            <w:pPr>
              <w:spacing w:line="240" w:lineRule="auto"/>
              <w:ind w:firstLine="0" w:firstLineChars="0"/>
              <w:jc w:val="center"/>
              <w:rPr>
                <w:sz w:val="21"/>
                <w:szCs w:val="21"/>
              </w:rPr>
            </w:pPr>
            <w:r>
              <w:rPr>
                <w:rFonts w:hint="eastAsia"/>
                <w:sz w:val="21"/>
                <w:szCs w:val="21"/>
              </w:rPr>
              <w:t>符合</w:t>
            </w:r>
          </w:p>
        </w:tc>
      </w:tr>
      <w:tr w14:paraId="284D9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9" w:type="dxa"/>
            <w:vAlign w:val="center"/>
          </w:tcPr>
          <w:p w14:paraId="3872A728">
            <w:pPr>
              <w:spacing w:line="240" w:lineRule="auto"/>
              <w:ind w:firstLine="0" w:firstLineChars="0"/>
              <w:jc w:val="center"/>
              <w:rPr>
                <w:sz w:val="21"/>
                <w:szCs w:val="21"/>
              </w:rPr>
            </w:pPr>
            <w:r>
              <w:rPr>
                <w:rFonts w:hint="eastAsia"/>
                <w:sz w:val="21"/>
                <w:szCs w:val="21"/>
              </w:rPr>
              <w:t>2</w:t>
            </w:r>
          </w:p>
        </w:tc>
        <w:tc>
          <w:tcPr>
            <w:tcW w:w="850" w:type="dxa"/>
            <w:vAlign w:val="center"/>
          </w:tcPr>
          <w:p w14:paraId="2183707E">
            <w:pPr>
              <w:spacing w:line="240" w:lineRule="auto"/>
              <w:ind w:firstLine="0" w:firstLineChars="0"/>
              <w:jc w:val="center"/>
              <w:rPr>
                <w:sz w:val="21"/>
                <w:szCs w:val="21"/>
              </w:rPr>
            </w:pPr>
            <w:r>
              <w:rPr>
                <w:rFonts w:hint="eastAsia"/>
                <w:sz w:val="21"/>
                <w:szCs w:val="21"/>
              </w:rPr>
              <w:t>丁、戊类厂房</w:t>
            </w:r>
          </w:p>
        </w:tc>
        <w:tc>
          <w:tcPr>
            <w:tcW w:w="730" w:type="dxa"/>
            <w:vAlign w:val="center"/>
          </w:tcPr>
          <w:p w14:paraId="4A7F45C6">
            <w:pPr>
              <w:spacing w:line="240" w:lineRule="auto"/>
              <w:ind w:firstLine="0" w:firstLineChars="0"/>
              <w:jc w:val="center"/>
              <w:rPr>
                <w:sz w:val="21"/>
                <w:szCs w:val="21"/>
              </w:rPr>
            </w:pPr>
            <w:r>
              <w:rPr>
                <w:rFonts w:hint="eastAsia"/>
                <w:sz w:val="21"/>
                <w:szCs w:val="21"/>
              </w:rPr>
              <w:t>西、南面</w:t>
            </w:r>
          </w:p>
        </w:tc>
        <w:tc>
          <w:tcPr>
            <w:tcW w:w="1130" w:type="dxa"/>
            <w:vAlign w:val="center"/>
          </w:tcPr>
          <w:p w14:paraId="0FA49905">
            <w:pPr>
              <w:spacing w:line="240" w:lineRule="auto"/>
              <w:ind w:firstLine="0" w:firstLineChars="0"/>
              <w:jc w:val="center"/>
              <w:rPr>
                <w:sz w:val="21"/>
                <w:szCs w:val="21"/>
              </w:rPr>
            </w:pPr>
            <w:r>
              <w:rPr>
                <w:rFonts w:hint="eastAsia"/>
                <w:sz w:val="21"/>
                <w:szCs w:val="21"/>
              </w:rPr>
              <w:t>山林、</w:t>
            </w:r>
          </w:p>
          <w:p w14:paraId="388F115C">
            <w:pPr>
              <w:spacing w:line="240" w:lineRule="auto"/>
              <w:ind w:firstLine="0" w:firstLineChars="0"/>
              <w:jc w:val="center"/>
              <w:rPr>
                <w:sz w:val="21"/>
                <w:szCs w:val="21"/>
              </w:rPr>
            </w:pPr>
            <w:r>
              <w:rPr>
                <w:rFonts w:hint="eastAsia"/>
                <w:sz w:val="21"/>
                <w:szCs w:val="21"/>
              </w:rPr>
              <w:t>边坡</w:t>
            </w:r>
          </w:p>
        </w:tc>
        <w:tc>
          <w:tcPr>
            <w:tcW w:w="1290" w:type="dxa"/>
            <w:vAlign w:val="center"/>
          </w:tcPr>
          <w:p w14:paraId="6399C745">
            <w:pPr>
              <w:spacing w:line="240" w:lineRule="auto"/>
              <w:ind w:firstLine="0" w:firstLineChars="0"/>
              <w:jc w:val="center"/>
              <w:rPr>
                <w:sz w:val="21"/>
                <w:szCs w:val="21"/>
              </w:rPr>
            </w:pPr>
            <w:r>
              <w:rPr>
                <w:rFonts w:hint="eastAsia"/>
                <w:sz w:val="21"/>
                <w:szCs w:val="21"/>
              </w:rPr>
              <w:t>/</w:t>
            </w:r>
          </w:p>
        </w:tc>
        <w:tc>
          <w:tcPr>
            <w:tcW w:w="1280" w:type="dxa"/>
            <w:vAlign w:val="center"/>
          </w:tcPr>
          <w:p w14:paraId="1D7E7B89">
            <w:pPr>
              <w:spacing w:line="240" w:lineRule="auto"/>
              <w:ind w:firstLine="0" w:firstLineChars="0"/>
              <w:jc w:val="center"/>
              <w:rPr>
                <w:sz w:val="21"/>
                <w:szCs w:val="21"/>
              </w:rPr>
            </w:pPr>
            <w:r>
              <w:rPr>
                <w:rFonts w:hint="eastAsia"/>
                <w:sz w:val="21"/>
                <w:szCs w:val="21"/>
              </w:rPr>
              <w:t>/</w:t>
            </w:r>
          </w:p>
        </w:tc>
        <w:tc>
          <w:tcPr>
            <w:tcW w:w="1635" w:type="dxa"/>
            <w:vAlign w:val="center"/>
          </w:tcPr>
          <w:p w14:paraId="1855E59A">
            <w:pPr>
              <w:spacing w:line="240" w:lineRule="auto"/>
              <w:ind w:firstLine="0" w:firstLineChars="0"/>
              <w:jc w:val="center"/>
              <w:rPr>
                <w:sz w:val="21"/>
                <w:szCs w:val="21"/>
              </w:rPr>
            </w:pPr>
            <w:r>
              <w:rPr>
                <w:rFonts w:hint="eastAsia"/>
                <w:sz w:val="21"/>
                <w:szCs w:val="21"/>
              </w:rPr>
              <w:t>《建筑设计防火规范》表3.4.1，未规定</w:t>
            </w:r>
          </w:p>
        </w:tc>
        <w:tc>
          <w:tcPr>
            <w:tcW w:w="902" w:type="dxa"/>
            <w:vAlign w:val="center"/>
          </w:tcPr>
          <w:p w14:paraId="32560C94">
            <w:pPr>
              <w:spacing w:line="240" w:lineRule="auto"/>
              <w:ind w:firstLine="0" w:firstLineChars="0"/>
              <w:jc w:val="center"/>
              <w:rPr>
                <w:sz w:val="21"/>
                <w:szCs w:val="21"/>
              </w:rPr>
            </w:pPr>
            <w:r>
              <w:rPr>
                <w:rFonts w:hint="eastAsia"/>
                <w:sz w:val="21"/>
                <w:szCs w:val="21"/>
              </w:rPr>
              <w:t>最近处15m</w:t>
            </w:r>
          </w:p>
        </w:tc>
        <w:tc>
          <w:tcPr>
            <w:tcW w:w="902" w:type="dxa"/>
            <w:vAlign w:val="center"/>
          </w:tcPr>
          <w:p w14:paraId="2A2D561F">
            <w:pPr>
              <w:spacing w:line="240" w:lineRule="auto"/>
              <w:ind w:firstLine="0" w:firstLineChars="0"/>
              <w:jc w:val="center"/>
              <w:rPr>
                <w:sz w:val="21"/>
                <w:szCs w:val="21"/>
              </w:rPr>
            </w:pPr>
            <w:r>
              <w:rPr>
                <w:rFonts w:hint="eastAsia"/>
                <w:sz w:val="21"/>
                <w:szCs w:val="21"/>
              </w:rPr>
              <w:t>符合</w:t>
            </w:r>
          </w:p>
        </w:tc>
      </w:tr>
      <w:tr w14:paraId="68FD6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9" w:type="dxa"/>
            <w:vAlign w:val="center"/>
          </w:tcPr>
          <w:p w14:paraId="4423BC41">
            <w:pPr>
              <w:spacing w:line="240" w:lineRule="auto"/>
              <w:ind w:firstLine="0" w:firstLineChars="0"/>
              <w:jc w:val="center"/>
              <w:rPr>
                <w:sz w:val="21"/>
                <w:szCs w:val="21"/>
              </w:rPr>
            </w:pPr>
            <w:r>
              <w:rPr>
                <w:rFonts w:hint="eastAsia"/>
                <w:sz w:val="21"/>
                <w:szCs w:val="21"/>
              </w:rPr>
              <w:t>3</w:t>
            </w:r>
          </w:p>
        </w:tc>
        <w:tc>
          <w:tcPr>
            <w:tcW w:w="850" w:type="dxa"/>
            <w:vAlign w:val="center"/>
          </w:tcPr>
          <w:p w14:paraId="29F9E122">
            <w:pPr>
              <w:spacing w:line="240" w:lineRule="auto"/>
              <w:ind w:firstLine="0" w:firstLineChars="0"/>
              <w:jc w:val="center"/>
              <w:rPr>
                <w:sz w:val="21"/>
                <w:szCs w:val="21"/>
              </w:rPr>
            </w:pPr>
            <w:r>
              <w:rPr>
                <w:rFonts w:hint="eastAsia"/>
                <w:sz w:val="21"/>
                <w:szCs w:val="21"/>
              </w:rPr>
              <w:t>丁、戊类厂房</w:t>
            </w:r>
          </w:p>
        </w:tc>
        <w:tc>
          <w:tcPr>
            <w:tcW w:w="730" w:type="dxa"/>
            <w:vAlign w:val="center"/>
          </w:tcPr>
          <w:p w14:paraId="723E8ED2">
            <w:pPr>
              <w:spacing w:line="240" w:lineRule="auto"/>
              <w:ind w:firstLine="0" w:firstLineChars="0"/>
              <w:jc w:val="center"/>
              <w:rPr>
                <w:sz w:val="21"/>
                <w:szCs w:val="21"/>
              </w:rPr>
            </w:pPr>
            <w:r>
              <w:rPr>
                <w:rFonts w:hint="eastAsia"/>
                <w:sz w:val="21"/>
                <w:szCs w:val="21"/>
              </w:rPr>
              <w:t>西面</w:t>
            </w:r>
          </w:p>
        </w:tc>
        <w:tc>
          <w:tcPr>
            <w:tcW w:w="1130" w:type="dxa"/>
            <w:vAlign w:val="center"/>
          </w:tcPr>
          <w:p w14:paraId="64F9F457">
            <w:pPr>
              <w:spacing w:line="240" w:lineRule="auto"/>
              <w:ind w:firstLine="0" w:firstLineChars="0"/>
              <w:jc w:val="center"/>
              <w:rPr>
                <w:sz w:val="21"/>
                <w:szCs w:val="21"/>
              </w:rPr>
            </w:pPr>
            <w:r>
              <w:rPr>
                <w:rFonts w:hint="eastAsia"/>
                <w:sz w:val="21"/>
                <w:szCs w:val="21"/>
              </w:rPr>
              <w:t>220kV高压电力线</w:t>
            </w:r>
          </w:p>
        </w:tc>
        <w:tc>
          <w:tcPr>
            <w:tcW w:w="1290" w:type="dxa"/>
            <w:vAlign w:val="center"/>
          </w:tcPr>
          <w:p w14:paraId="641F96BA">
            <w:pPr>
              <w:spacing w:line="240" w:lineRule="auto"/>
              <w:ind w:firstLine="0" w:firstLineChars="0"/>
              <w:jc w:val="center"/>
              <w:rPr>
                <w:sz w:val="21"/>
                <w:szCs w:val="21"/>
              </w:rPr>
            </w:pPr>
            <w:r>
              <w:rPr>
                <w:rFonts w:hint="eastAsia"/>
                <w:sz w:val="21"/>
                <w:szCs w:val="21"/>
              </w:rPr>
              <w:t>/</w:t>
            </w:r>
          </w:p>
        </w:tc>
        <w:tc>
          <w:tcPr>
            <w:tcW w:w="1280" w:type="dxa"/>
            <w:vAlign w:val="center"/>
          </w:tcPr>
          <w:p w14:paraId="2AE657B4">
            <w:pPr>
              <w:spacing w:line="240" w:lineRule="auto"/>
              <w:ind w:firstLine="0" w:firstLineChars="0"/>
              <w:jc w:val="center"/>
              <w:rPr>
                <w:sz w:val="21"/>
                <w:szCs w:val="21"/>
              </w:rPr>
            </w:pPr>
            <w:r>
              <w:rPr>
                <w:rFonts w:hint="eastAsia"/>
                <w:sz w:val="21"/>
                <w:szCs w:val="21"/>
              </w:rPr>
              <w:t>/</w:t>
            </w:r>
          </w:p>
        </w:tc>
        <w:tc>
          <w:tcPr>
            <w:tcW w:w="1635" w:type="dxa"/>
            <w:vAlign w:val="center"/>
          </w:tcPr>
          <w:p w14:paraId="61BF7113">
            <w:pPr>
              <w:spacing w:line="240" w:lineRule="auto"/>
              <w:ind w:firstLine="0" w:firstLineChars="0"/>
              <w:jc w:val="center"/>
              <w:rPr>
                <w:sz w:val="21"/>
                <w:szCs w:val="21"/>
              </w:rPr>
            </w:pPr>
            <w:r>
              <w:rPr>
                <w:rFonts w:hint="eastAsia"/>
                <w:sz w:val="21"/>
                <w:szCs w:val="21"/>
              </w:rPr>
              <w:t>《110kV-750kV架空输电线路施工及验收规范》表A.0.2-2，5m</w:t>
            </w:r>
          </w:p>
        </w:tc>
        <w:tc>
          <w:tcPr>
            <w:tcW w:w="902" w:type="dxa"/>
            <w:vAlign w:val="center"/>
          </w:tcPr>
          <w:p w14:paraId="0861DA32">
            <w:pPr>
              <w:spacing w:line="240" w:lineRule="auto"/>
              <w:ind w:firstLine="0" w:firstLineChars="0"/>
              <w:jc w:val="center"/>
              <w:rPr>
                <w:sz w:val="21"/>
                <w:szCs w:val="21"/>
              </w:rPr>
            </w:pPr>
            <w:r>
              <w:rPr>
                <w:rFonts w:hint="eastAsia"/>
                <w:sz w:val="21"/>
                <w:szCs w:val="21"/>
              </w:rPr>
              <w:t>最近处20m</w:t>
            </w:r>
          </w:p>
        </w:tc>
        <w:tc>
          <w:tcPr>
            <w:tcW w:w="902" w:type="dxa"/>
            <w:vAlign w:val="center"/>
          </w:tcPr>
          <w:p w14:paraId="2CFC600B">
            <w:pPr>
              <w:spacing w:line="240" w:lineRule="auto"/>
              <w:ind w:firstLine="0" w:firstLineChars="0"/>
              <w:jc w:val="center"/>
              <w:rPr>
                <w:sz w:val="21"/>
                <w:szCs w:val="21"/>
              </w:rPr>
            </w:pPr>
            <w:r>
              <w:rPr>
                <w:rFonts w:hint="eastAsia"/>
                <w:sz w:val="21"/>
                <w:szCs w:val="21"/>
              </w:rPr>
              <w:t>符合</w:t>
            </w:r>
          </w:p>
        </w:tc>
      </w:tr>
      <w:tr w14:paraId="6A0DE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9" w:type="dxa"/>
            <w:vAlign w:val="center"/>
          </w:tcPr>
          <w:p w14:paraId="5BB701E3">
            <w:pPr>
              <w:spacing w:line="240" w:lineRule="auto"/>
              <w:ind w:firstLine="0" w:firstLineChars="0"/>
              <w:jc w:val="center"/>
              <w:rPr>
                <w:sz w:val="21"/>
                <w:szCs w:val="21"/>
              </w:rPr>
            </w:pPr>
            <w:r>
              <w:rPr>
                <w:rFonts w:hint="eastAsia"/>
                <w:sz w:val="21"/>
                <w:szCs w:val="21"/>
              </w:rPr>
              <w:t>4</w:t>
            </w:r>
          </w:p>
        </w:tc>
        <w:tc>
          <w:tcPr>
            <w:tcW w:w="850" w:type="dxa"/>
            <w:vAlign w:val="center"/>
          </w:tcPr>
          <w:p w14:paraId="16D04413">
            <w:pPr>
              <w:spacing w:line="240" w:lineRule="auto"/>
              <w:ind w:firstLine="0" w:firstLineChars="0"/>
              <w:jc w:val="center"/>
              <w:rPr>
                <w:sz w:val="21"/>
                <w:szCs w:val="21"/>
              </w:rPr>
            </w:pPr>
            <w:r>
              <w:rPr>
                <w:rFonts w:hint="eastAsia"/>
                <w:sz w:val="21"/>
                <w:szCs w:val="21"/>
              </w:rPr>
              <w:t>门卫室</w:t>
            </w:r>
          </w:p>
        </w:tc>
        <w:tc>
          <w:tcPr>
            <w:tcW w:w="730" w:type="dxa"/>
            <w:vAlign w:val="center"/>
          </w:tcPr>
          <w:p w14:paraId="4ED041E0">
            <w:pPr>
              <w:spacing w:line="240" w:lineRule="auto"/>
              <w:ind w:firstLine="0" w:firstLineChars="0"/>
              <w:jc w:val="center"/>
              <w:rPr>
                <w:sz w:val="21"/>
                <w:szCs w:val="21"/>
              </w:rPr>
            </w:pPr>
            <w:r>
              <w:rPr>
                <w:rFonts w:hint="eastAsia"/>
                <w:sz w:val="21"/>
                <w:szCs w:val="21"/>
              </w:rPr>
              <w:t>西面</w:t>
            </w:r>
          </w:p>
        </w:tc>
        <w:tc>
          <w:tcPr>
            <w:tcW w:w="1130" w:type="dxa"/>
            <w:vAlign w:val="center"/>
          </w:tcPr>
          <w:p w14:paraId="267C1853">
            <w:pPr>
              <w:spacing w:line="240" w:lineRule="auto"/>
              <w:ind w:firstLine="0" w:firstLineChars="0"/>
              <w:jc w:val="center"/>
              <w:rPr>
                <w:sz w:val="21"/>
                <w:szCs w:val="21"/>
              </w:rPr>
            </w:pPr>
            <w:r>
              <w:rPr>
                <w:rFonts w:hint="eastAsia"/>
                <w:sz w:val="21"/>
                <w:szCs w:val="21"/>
              </w:rPr>
              <w:t>砂石破碎站</w:t>
            </w:r>
          </w:p>
        </w:tc>
        <w:tc>
          <w:tcPr>
            <w:tcW w:w="1290" w:type="dxa"/>
            <w:vAlign w:val="center"/>
          </w:tcPr>
          <w:p w14:paraId="01BDFBDA">
            <w:pPr>
              <w:spacing w:line="240" w:lineRule="auto"/>
              <w:ind w:firstLine="0" w:firstLineChars="0"/>
              <w:jc w:val="center"/>
              <w:rPr>
                <w:sz w:val="21"/>
                <w:szCs w:val="21"/>
              </w:rPr>
            </w:pPr>
            <w:r>
              <w:rPr>
                <w:rFonts w:hint="eastAsia"/>
                <w:sz w:val="21"/>
                <w:szCs w:val="21"/>
              </w:rPr>
              <w:t>二级/露天堆场</w:t>
            </w:r>
          </w:p>
        </w:tc>
        <w:tc>
          <w:tcPr>
            <w:tcW w:w="1280" w:type="dxa"/>
            <w:vAlign w:val="center"/>
          </w:tcPr>
          <w:p w14:paraId="7073898C">
            <w:pPr>
              <w:spacing w:line="240" w:lineRule="auto"/>
              <w:ind w:firstLine="0" w:firstLineChars="0"/>
              <w:jc w:val="center"/>
              <w:rPr>
                <w:sz w:val="21"/>
                <w:szCs w:val="21"/>
              </w:rPr>
            </w:pPr>
            <w:r>
              <w:rPr>
                <w:rFonts w:hint="eastAsia"/>
                <w:sz w:val="21"/>
                <w:szCs w:val="21"/>
              </w:rPr>
              <w:t>民用/戊类</w:t>
            </w:r>
          </w:p>
        </w:tc>
        <w:tc>
          <w:tcPr>
            <w:tcW w:w="1635" w:type="dxa"/>
            <w:vAlign w:val="center"/>
          </w:tcPr>
          <w:p w14:paraId="1B70B846">
            <w:pPr>
              <w:spacing w:line="240" w:lineRule="auto"/>
              <w:ind w:firstLine="0" w:firstLineChars="0"/>
              <w:jc w:val="center"/>
              <w:rPr>
                <w:sz w:val="21"/>
                <w:szCs w:val="21"/>
              </w:rPr>
            </w:pPr>
            <w:r>
              <w:rPr>
                <w:rFonts w:hint="eastAsia"/>
                <w:sz w:val="21"/>
                <w:szCs w:val="21"/>
              </w:rPr>
              <w:t>《建筑设计防火规范》表3.5.2，14m</w:t>
            </w:r>
          </w:p>
        </w:tc>
        <w:tc>
          <w:tcPr>
            <w:tcW w:w="902" w:type="dxa"/>
            <w:vAlign w:val="center"/>
          </w:tcPr>
          <w:p w14:paraId="4E5A1BF0">
            <w:pPr>
              <w:spacing w:line="240" w:lineRule="auto"/>
              <w:ind w:firstLine="0" w:firstLineChars="0"/>
              <w:jc w:val="center"/>
              <w:rPr>
                <w:sz w:val="21"/>
                <w:szCs w:val="21"/>
              </w:rPr>
            </w:pPr>
            <w:r>
              <w:rPr>
                <w:rFonts w:hint="eastAsia"/>
                <w:sz w:val="21"/>
                <w:szCs w:val="21"/>
              </w:rPr>
              <w:t>100m</w:t>
            </w:r>
          </w:p>
        </w:tc>
        <w:tc>
          <w:tcPr>
            <w:tcW w:w="902" w:type="dxa"/>
            <w:vAlign w:val="center"/>
          </w:tcPr>
          <w:p w14:paraId="71EE9D1A">
            <w:pPr>
              <w:spacing w:line="240" w:lineRule="auto"/>
              <w:ind w:firstLine="0" w:firstLineChars="0"/>
              <w:jc w:val="center"/>
              <w:rPr>
                <w:sz w:val="21"/>
                <w:szCs w:val="21"/>
              </w:rPr>
            </w:pPr>
            <w:r>
              <w:rPr>
                <w:rFonts w:hint="eastAsia"/>
                <w:sz w:val="21"/>
                <w:szCs w:val="21"/>
              </w:rPr>
              <w:t>符合</w:t>
            </w:r>
          </w:p>
        </w:tc>
      </w:tr>
    </w:tbl>
    <w:p w14:paraId="31D43BB6">
      <w:pPr>
        <w:ind w:firstLine="560"/>
        <w:rPr>
          <w:rStyle w:val="800"/>
          <w:szCs w:val="28"/>
        </w:rPr>
      </w:pPr>
      <w:r>
        <w:rPr>
          <w:rStyle w:val="800"/>
          <w:rFonts w:hint="eastAsia"/>
          <w:szCs w:val="28"/>
        </w:rPr>
        <w:t>厂区</w:t>
      </w:r>
      <w:r>
        <w:rPr>
          <w:rStyle w:val="800"/>
          <w:szCs w:val="28"/>
        </w:rPr>
        <w:t>周边情况卫星俯瞰图如图所示。</w:t>
      </w:r>
    </w:p>
    <w:p w14:paraId="36037BB3">
      <w:pPr>
        <w:spacing w:line="240" w:lineRule="auto"/>
        <w:ind w:firstLine="0" w:firstLineChars="0"/>
        <w:jc w:val="center"/>
      </w:pPr>
      <w:r>
        <w:drawing>
          <wp:inline distT="0" distB="0" distL="0" distR="0">
            <wp:extent cx="5759450" cy="3446145"/>
            <wp:effectExtent l="0" t="0" r="0" b="1905"/>
            <wp:docPr id="1550720730" name="图片 25"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0730" name="图片 25" descr="地图&#10;&#10;AI 生成的内容可能不正确。"/>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759450" cy="3446145"/>
                    </a:xfrm>
                    <a:prstGeom prst="rect">
                      <a:avLst/>
                    </a:prstGeom>
                    <a:noFill/>
                    <a:ln>
                      <a:noFill/>
                    </a:ln>
                  </pic:spPr>
                </pic:pic>
              </a:graphicData>
            </a:graphic>
          </wp:inline>
        </w:drawing>
      </w:r>
    </w:p>
    <w:p w14:paraId="2BC75891">
      <w:pPr>
        <w:pStyle w:val="574"/>
        <w:widowControl/>
        <w:numPr>
          <w:ilvl w:val="0"/>
          <w:numId w:val="11"/>
        </w:numPr>
        <w:spacing w:before="120" w:after="120" w:line="240" w:lineRule="auto"/>
        <w:ind w:left="482" w:hanging="482" w:hangingChars="200"/>
        <w:jc w:val="center"/>
        <w:textAlignment w:val="baseline"/>
        <w:rPr>
          <w:rFonts w:ascii="Times New Roman" w:hAnsi="Times New Roman" w:cs="Times New Roman"/>
          <w:b/>
          <w:bCs/>
          <w:sz w:val="24"/>
          <w:szCs w:val="24"/>
        </w:rPr>
      </w:pPr>
      <w:r>
        <w:rPr>
          <w:rFonts w:hint="eastAsia" w:ascii="Times New Roman" w:hAnsi="Times New Roman" w:cs="Times New Roman"/>
          <w:b/>
          <w:bCs/>
          <w:sz w:val="24"/>
          <w:szCs w:val="24"/>
        </w:rPr>
        <w:t>周边环境图</w:t>
      </w:r>
    </w:p>
    <w:p w14:paraId="199D858D">
      <w:pPr>
        <w:pStyle w:val="9"/>
        <w:rPr>
          <w:color w:val="auto"/>
        </w:rPr>
      </w:pPr>
      <w:bookmarkStart w:id="219" w:name="_Toc695"/>
      <w:bookmarkStart w:id="220" w:name="_Toc215210543"/>
      <w:r>
        <w:rPr>
          <w:rFonts w:hint="eastAsia"/>
          <w:color w:val="auto"/>
        </w:rPr>
        <w:t>2.2.3 气象条件</w:t>
      </w:r>
      <w:bookmarkEnd w:id="219"/>
      <w:bookmarkEnd w:id="220"/>
    </w:p>
    <w:p w14:paraId="5D2CB129">
      <w:pPr>
        <w:ind w:firstLine="565" w:firstLineChars="202"/>
        <w:rPr>
          <w:snapToGrid w:val="0"/>
          <w:szCs w:val="28"/>
        </w:rPr>
      </w:pPr>
      <w:r>
        <w:rPr>
          <w:rFonts w:hint="eastAsia"/>
          <w:snapToGrid w:val="0"/>
          <w:szCs w:val="28"/>
        </w:rPr>
        <w:t>安宁市草铺属高原低纬度亚热带气候。季节温差不大，干湿度分明。根据项目可行性研究报告，安宁市主要气象要素如</w:t>
      </w:r>
      <w:r>
        <w:rPr>
          <w:snapToGrid w:val="0"/>
          <w:szCs w:val="28"/>
        </w:rPr>
        <w:t>下</w:t>
      </w:r>
      <w:r>
        <w:rPr>
          <w:rFonts w:hint="eastAsia"/>
          <w:snapToGrid w:val="0"/>
          <w:szCs w:val="28"/>
        </w:rPr>
        <w:t>表：</w:t>
      </w:r>
    </w:p>
    <w:p w14:paraId="16955B52">
      <w:pPr>
        <w:pStyle w:val="658"/>
        <w:widowControl/>
        <w:numPr>
          <w:ilvl w:val="0"/>
          <w:numId w:val="9"/>
        </w:numPr>
        <w:adjustRightInd/>
        <w:snapToGrid/>
        <w:ind w:firstLineChars="0"/>
        <w:jc w:val="center"/>
        <w:textAlignment w:val="baseline"/>
        <w:rPr>
          <w:rFonts w:cs="Times New Roman"/>
          <w:b/>
          <w:bCs/>
          <w:sz w:val="24"/>
        </w:rPr>
      </w:pPr>
      <w:r>
        <w:rPr>
          <w:rFonts w:hint="eastAsia" w:cs="Times New Roman"/>
          <w:b/>
          <w:bCs/>
          <w:sz w:val="24"/>
        </w:rPr>
        <w:t>安宁市主要气象要素表</w:t>
      </w:r>
    </w:p>
    <w:tbl>
      <w:tblPr>
        <w:tblStyle w:val="59"/>
        <w:tblW w:w="4855"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4620"/>
        <w:gridCol w:w="2114"/>
        <w:gridCol w:w="1542"/>
      </w:tblGrid>
      <w:tr w14:paraId="6055E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466" w:type="pct"/>
            <w:tcBorders>
              <w:top w:val="single" w:color="auto" w:sz="4" w:space="0"/>
              <w:left w:val="single" w:color="auto" w:sz="4" w:space="0"/>
              <w:bottom w:val="single" w:color="auto" w:sz="4" w:space="0"/>
              <w:right w:val="single" w:color="auto" w:sz="4" w:space="0"/>
            </w:tcBorders>
            <w:vAlign w:val="center"/>
          </w:tcPr>
          <w:p w14:paraId="7ADD2211">
            <w:pPr>
              <w:widowControl/>
              <w:spacing w:line="240" w:lineRule="auto"/>
              <w:ind w:firstLine="0" w:firstLineChars="0"/>
              <w:jc w:val="center"/>
              <w:textAlignment w:val="baseline"/>
              <w:rPr>
                <w:b/>
                <w:sz w:val="21"/>
                <w:szCs w:val="21"/>
              </w:rPr>
            </w:pPr>
            <w:r>
              <w:rPr>
                <w:b/>
                <w:sz w:val="21"/>
                <w:szCs w:val="21"/>
              </w:rPr>
              <w:t>序号</w:t>
            </w:r>
          </w:p>
        </w:tc>
        <w:tc>
          <w:tcPr>
            <w:tcW w:w="2531" w:type="pct"/>
            <w:tcBorders>
              <w:top w:val="single" w:color="auto" w:sz="4" w:space="0"/>
              <w:left w:val="single" w:color="auto" w:sz="4" w:space="0"/>
              <w:bottom w:val="single" w:color="auto" w:sz="4" w:space="0"/>
              <w:right w:val="single" w:color="auto" w:sz="4" w:space="0"/>
            </w:tcBorders>
            <w:vAlign w:val="center"/>
          </w:tcPr>
          <w:p w14:paraId="1070D8BF">
            <w:pPr>
              <w:widowControl/>
              <w:spacing w:line="240" w:lineRule="auto"/>
              <w:ind w:firstLine="0" w:firstLineChars="0"/>
              <w:jc w:val="center"/>
              <w:textAlignment w:val="baseline"/>
              <w:rPr>
                <w:b/>
                <w:sz w:val="21"/>
                <w:szCs w:val="21"/>
              </w:rPr>
            </w:pPr>
            <w:r>
              <w:rPr>
                <w:b/>
                <w:sz w:val="21"/>
                <w:szCs w:val="21"/>
              </w:rPr>
              <w:t>条件</w:t>
            </w:r>
          </w:p>
        </w:tc>
        <w:tc>
          <w:tcPr>
            <w:tcW w:w="1158" w:type="pct"/>
            <w:tcBorders>
              <w:top w:val="single" w:color="auto" w:sz="4" w:space="0"/>
              <w:left w:val="single" w:color="auto" w:sz="4" w:space="0"/>
              <w:bottom w:val="single" w:color="auto" w:sz="4" w:space="0"/>
              <w:right w:val="single" w:color="auto" w:sz="4" w:space="0"/>
            </w:tcBorders>
            <w:vAlign w:val="center"/>
          </w:tcPr>
          <w:p w14:paraId="5437C085">
            <w:pPr>
              <w:widowControl/>
              <w:spacing w:line="240" w:lineRule="auto"/>
              <w:ind w:firstLine="0" w:firstLineChars="0"/>
              <w:jc w:val="center"/>
              <w:textAlignment w:val="baseline"/>
              <w:rPr>
                <w:b/>
                <w:sz w:val="21"/>
                <w:szCs w:val="21"/>
              </w:rPr>
            </w:pPr>
            <w:r>
              <w:rPr>
                <w:b/>
                <w:sz w:val="21"/>
                <w:szCs w:val="21"/>
              </w:rPr>
              <w:t>单位</w:t>
            </w:r>
          </w:p>
        </w:tc>
        <w:tc>
          <w:tcPr>
            <w:tcW w:w="845" w:type="pct"/>
            <w:tcBorders>
              <w:top w:val="single" w:color="auto" w:sz="4" w:space="0"/>
              <w:left w:val="single" w:color="auto" w:sz="4" w:space="0"/>
              <w:bottom w:val="single" w:color="auto" w:sz="4" w:space="0"/>
              <w:right w:val="single" w:color="auto" w:sz="4" w:space="0"/>
            </w:tcBorders>
            <w:vAlign w:val="center"/>
          </w:tcPr>
          <w:p w14:paraId="79E1A3CD">
            <w:pPr>
              <w:widowControl/>
              <w:spacing w:line="240" w:lineRule="auto"/>
              <w:ind w:firstLine="0" w:firstLineChars="0"/>
              <w:jc w:val="center"/>
              <w:textAlignment w:val="baseline"/>
              <w:rPr>
                <w:b/>
                <w:sz w:val="21"/>
                <w:szCs w:val="21"/>
              </w:rPr>
            </w:pPr>
            <w:r>
              <w:rPr>
                <w:b/>
                <w:sz w:val="21"/>
                <w:szCs w:val="21"/>
              </w:rPr>
              <w:t>数值</w:t>
            </w:r>
          </w:p>
        </w:tc>
      </w:tr>
      <w:tr w14:paraId="5DCBA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restart"/>
            <w:tcBorders>
              <w:top w:val="single" w:color="auto" w:sz="4" w:space="0"/>
              <w:left w:val="single" w:color="auto" w:sz="4" w:space="0"/>
              <w:right w:val="single" w:color="auto" w:sz="4" w:space="0"/>
            </w:tcBorders>
            <w:vAlign w:val="center"/>
          </w:tcPr>
          <w:p w14:paraId="5AC49E02">
            <w:pPr>
              <w:widowControl/>
              <w:spacing w:line="240" w:lineRule="auto"/>
              <w:ind w:firstLine="0" w:firstLineChars="0"/>
              <w:jc w:val="center"/>
              <w:textAlignment w:val="baseline"/>
              <w:rPr>
                <w:sz w:val="21"/>
                <w:szCs w:val="21"/>
              </w:rPr>
            </w:pPr>
            <w:r>
              <w:rPr>
                <w:sz w:val="21"/>
                <w:szCs w:val="21"/>
              </w:rPr>
              <w:t>1</w:t>
            </w:r>
          </w:p>
        </w:tc>
        <w:tc>
          <w:tcPr>
            <w:tcW w:w="2531" w:type="pct"/>
            <w:tcBorders>
              <w:top w:val="single" w:color="auto" w:sz="4" w:space="0"/>
              <w:left w:val="single" w:color="auto" w:sz="4" w:space="0"/>
              <w:bottom w:val="single" w:color="auto" w:sz="4" w:space="0"/>
              <w:right w:val="single" w:color="auto" w:sz="4" w:space="0"/>
            </w:tcBorders>
            <w:vAlign w:val="center"/>
          </w:tcPr>
          <w:p w14:paraId="43EE9F13">
            <w:pPr>
              <w:widowControl/>
              <w:spacing w:line="240" w:lineRule="auto"/>
              <w:ind w:firstLine="0" w:firstLineChars="0"/>
              <w:jc w:val="center"/>
              <w:textAlignment w:val="baseline"/>
              <w:rPr>
                <w:b/>
                <w:sz w:val="21"/>
                <w:szCs w:val="21"/>
              </w:rPr>
            </w:pPr>
            <w:r>
              <w:rPr>
                <w:b/>
                <w:sz w:val="21"/>
                <w:szCs w:val="21"/>
              </w:rPr>
              <w:t>温度</w:t>
            </w:r>
          </w:p>
        </w:tc>
        <w:tc>
          <w:tcPr>
            <w:tcW w:w="1158" w:type="pct"/>
            <w:tcBorders>
              <w:top w:val="single" w:color="auto" w:sz="4" w:space="0"/>
              <w:left w:val="single" w:color="auto" w:sz="4" w:space="0"/>
              <w:bottom w:val="single" w:color="auto" w:sz="4" w:space="0"/>
              <w:right w:val="single" w:color="auto" w:sz="4" w:space="0"/>
            </w:tcBorders>
            <w:vAlign w:val="center"/>
          </w:tcPr>
          <w:p w14:paraId="34596868">
            <w:pPr>
              <w:widowControl/>
              <w:spacing w:line="240" w:lineRule="auto"/>
              <w:ind w:firstLine="0" w:firstLineChars="0"/>
              <w:jc w:val="center"/>
              <w:textAlignment w:val="baseline"/>
              <w:rPr>
                <w:sz w:val="21"/>
                <w:szCs w:val="21"/>
              </w:rPr>
            </w:pPr>
          </w:p>
        </w:tc>
        <w:tc>
          <w:tcPr>
            <w:tcW w:w="845" w:type="pct"/>
            <w:tcBorders>
              <w:top w:val="single" w:color="auto" w:sz="4" w:space="0"/>
              <w:left w:val="single" w:color="auto" w:sz="4" w:space="0"/>
              <w:bottom w:val="single" w:color="auto" w:sz="4" w:space="0"/>
              <w:right w:val="single" w:color="auto" w:sz="4" w:space="0"/>
            </w:tcBorders>
            <w:vAlign w:val="center"/>
          </w:tcPr>
          <w:p w14:paraId="650722B7">
            <w:pPr>
              <w:widowControl/>
              <w:spacing w:line="240" w:lineRule="auto"/>
              <w:ind w:firstLine="0" w:firstLineChars="0"/>
              <w:jc w:val="center"/>
              <w:textAlignment w:val="baseline"/>
              <w:rPr>
                <w:sz w:val="21"/>
                <w:szCs w:val="21"/>
              </w:rPr>
            </w:pPr>
          </w:p>
        </w:tc>
      </w:tr>
      <w:tr w14:paraId="5CB63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68733437">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26A72123">
            <w:pPr>
              <w:widowControl/>
              <w:spacing w:line="240" w:lineRule="auto"/>
              <w:ind w:firstLine="0" w:firstLineChars="0"/>
              <w:jc w:val="center"/>
              <w:textAlignment w:val="baseline"/>
              <w:rPr>
                <w:sz w:val="21"/>
                <w:szCs w:val="21"/>
              </w:rPr>
            </w:pPr>
            <w:r>
              <w:rPr>
                <w:sz w:val="21"/>
                <w:szCs w:val="21"/>
              </w:rPr>
              <w:t>年平均气温</w:t>
            </w:r>
          </w:p>
        </w:tc>
        <w:tc>
          <w:tcPr>
            <w:tcW w:w="1158" w:type="pct"/>
            <w:tcBorders>
              <w:top w:val="single" w:color="auto" w:sz="4" w:space="0"/>
              <w:left w:val="single" w:color="auto" w:sz="4" w:space="0"/>
              <w:bottom w:val="single" w:color="auto" w:sz="4" w:space="0"/>
              <w:right w:val="single" w:color="auto" w:sz="4" w:space="0"/>
            </w:tcBorders>
            <w:vAlign w:val="center"/>
          </w:tcPr>
          <w:p w14:paraId="74AEF88E">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77824C4E">
            <w:pPr>
              <w:widowControl/>
              <w:spacing w:line="240" w:lineRule="auto"/>
              <w:ind w:firstLine="0" w:firstLineChars="0"/>
              <w:jc w:val="center"/>
              <w:textAlignment w:val="baseline"/>
              <w:rPr>
                <w:sz w:val="21"/>
                <w:szCs w:val="21"/>
              </w:rPr>
            </w:pPr>
            <w:r>
              <w:rPr>
                <w:sz w:val="21"/>
                <w:szCs w:val="21"/>
              </w:rPr>
              <w:t>14.7</w:t>
            </w:r>
          </w:p>
        </w:tc>
      </w:tr>
      <w:tr w14:paraId="4F487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561F38D9">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06D4BF97">
            <w:pPr>
              <w:widowControl/>
              <w:spacing w:line="240" w:lineRule="auto"/>
              <w:ind w:firstLine="0" w:firstLineChars="0"/>
              <w:jc w:val="center"/>
              <w:textAlignment w:val="baseline"/>
              <w:rPr>
                <w:sz w:val="21"/>
                <w:szCs w:val="21"/>
              </w:rPr>
            </w:pPr>
            <w:r>
              <w:rPr>
                <w:sz w:val="21"/>
                <w:szCs w:val="21"/>
              </w:rPr>
              <w:t>最热月平均气温（7月）</w:t>
            </w:r>
          </w:p>
        </w:tc>
        <w:tc>
          <w:tcPr>
            <w:tcW w:w="1158" w:type="pct"/>
            <w:tcBorders>
              <w:top w:val="single" w:color="auto" w:sz="4" w:space="0"/>
              <w:left w:val="single" w:color="auto" w:sz="4" w:space="0"/>
              <w:bottom w:val="single" w:color="auto" w:sz="4" w:space="0"/>
              <w:right w:val="single" w:color="auto" w:sz="4" w:space="0"/>
            </w:tcBorders>
            <w:vAlign w:val="center"/>
          </w:tcPr>
          <w:p w14:paraId="2AC6C6C5">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26C42EE9">
            <w:pPr>
              <w:widowControl/>
              <w:spacing w:line="240" w:lineRule="auto"/>
              <w:ind w:firstLine="0" w:firstLineChars="0"/>
              <w:jc w:val="center"/>
              <w:textAlignment w:val="baseline"/>
              <w:rPr>
                <w:sz w:val="21"/>
                <w:szCs w:val="21"/>
              </w:rPr>
            </w:pPr>
            <w:r>
              <w:rPr>
                <w:sz w:val="21"/>
                <w:szCs w:val="21"/>
              </w:rPr>
              <w:t>20.2</w:t>
            </w:r>
          </w:p>
        </w:tc>
      </w:tr>
      <w:tr w14:paraId="5CED9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29C0C208">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62E07C1B">
            <w:pPr>
              <w:widowControl/>
              <w:spacing w:line="240" w:lineRule="auto"/>
              <w:ind w:firstLine="0" w:firstLineChars="0"/>
              <w:jc w:val="center"/>
              <w:textAlignment w:val="baseline"/>
              <w:rPr>
                <w:sz w:val="21"/>
                <w:szCs w:val="21"/>
              </w:rPr>
            </w:pPr>
            <w:r>
              <w:rPr>
                <w:sz w:val="21"/>
                <w:szCs w:val="21"/>
              </w:rPr>
              <w:t>最冷月平均气温（1月）</w:t>
            </w:r>
          </w:p>
        </w:tc>
        <w:tc>
          <w:tcPr>
            <w:tcW w:w="1158" w:type="pct"/>
            <w:tcBorders>
              <w:top w:val="single" w:color="auto" w:sz="4" w:space="0"/>
              <w:left w:val="single" w:color="auto" w:sz="4" w:space="0"/>
              <w:bottom w:val="single" w:color="auto" w:sz="4" w:space="0"/>
              <w:right w:val="single" w:color="auto" w:sz="4" w:space="0"/>
            </w:tcBorders>
            <w:vAlign w:val="center"/>
          </w:tcPr>
          <w:p w14:paraId="5905F16C">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540B9F5D">
            <w:pPr>
              <w:widowControl/>
              <w:spacing w:line="240" w:lineRule="auto"/>
              <w:ind w:firstLine="0" w:firstLineChars="0"/>
              <w:jc w:val="center"/>
              <w:textAlignment w:val="baseline"/>
              <w:rPr>
                <w:sz w:val="21"/>
                <w:szCs w:val="21"/>
              </w:rPr>
            </w:pPr>
            <w:r>
              <w:rPr>
                <w:sz w:val="21"/>
                <w:szCs w:val="21"/>
              </w:rPr>
              <w:t>7.8</w:t>
            </w:r>
          </w:p>
        </w:tc>
      </w:tr>
      <w:tr w14:paraId="04D03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2201B33C">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3645DB1D">
            <w:pPr>
              <w:widowControl/>
              <w:spacing w:line="240" w:lineRule="auto"/>
              <w:ind w:firstLine="0" w:firstLineChars="0"/>
              <w:jc w:val="center"/>
              <w:textAlignment w:val="baseline"/>
              <w:rPr>
                <w:sz w:val="21"/>
                <w:szCs w:val="21"/>
              </w:rPr>
            </w:pPr>
            <w:r>
              <w:rPr>
                <w:sz w:val="21"/>
                <w:szCs w:val="21"/>
              </w:rPr>
              <w:t>极端最高气温</w:t>
            </w:r>
          </w:p>
        </w:tc>
        <w:tc>
          <w:tcPr>
            <w:tcW w:w="1158" w:type="pct"/>
            <w:tcBorders>
              <w:top w:val="single" w:color="auto" w:sz="4" w:space="0"/>
              <w:left w:val="single" w:color="auto" w:sz="4" w:space="0"/>
              <w:bottom w:val="single" w:color="auto" w:sz="4" w:space="0"/>
              <w:right w:val="single" w:color="auto" w:sz="4" w:space="0"/>
            </w:tcBorders>
            <w:vAlign w:val="center"/>
          </w:tcPr>
          <w:p w14:paraId="30F3CAF7">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13BE40FF">
            <w:pPr>
              <w:widowControl/>
              <w:spacing w:line="240" w:lineRule="auto"/>
              <w:ind w:firstLine="0" w:firstLineChars="0"/>
              <w:jc w:val="center"/>
              <w:textAlignment w:val="baseline"/>
              <w:rPr>
                <w:sz w:val="21"/>
                <w:szCs w:val="21"/>
              </w:rPr>
            </w:pPr>
            <w:r>
              <w:rPr>
                <w:sz w:val="21"/>
                <w:szCs w:val="21"/>
              </w:rPr>
              <w:t>33.3</w:t>
            </w:r>
          </w:p>
        </w:tc>
      </w:tr>
      <w:tr w14:paraId="2E722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424B1C6E">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568E7D4E">
            <w:pPr>
              <w:widowControl/>
              <w:spacing w:line="240" w:lineRule="auto"/>
              <w:ind w:firstLine="0" w:firstLineChars="0"/>
              <w:jc w:val="center"/>
              <w:textAlignment w:val="baseline"/>
              <w:rPr>
                <w:sz w:val="21"/>
                <w:szCs w:val="21"/>
              </w:rPr>
            </w:pPr>
            <w:r>
              <w:rPr>
                <w:sz w:val="21"/>
                <w:szCs w:val="21"/>
              </w:rPr>
              <w:t>极端最低气温</w:t>
            </w:r>
          </w:p>
        </w:tc>
        <w:tc>
          <w:tcPr>
            <w:tcW w:w="1158" w:type="pct"/>
            <w:tcBorders>
              <w:top w:val="single" w:color="auto" w:sz="4" w:space="0"/>
              <w:left w:val="single" w:color="auto" w:sz="4" w:space="0"/>
              <w:bottom w:val="single" w:color="auto" w:sz="4" w:space="0"/>
              <w:right w:val="single" w:color="auto" w:sz="4" w:space="0"/>
            </w:tcBorders>
            <w:vAlign w:val="center"/>
          </w:tcPr>
          <w:p w14:paraId="3369EEE8">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01FEFE65">
            <w:pPr>
              <w:widowControl/>
              <w:spacing w:line="240" w:lineRule="auto"/>
              <w:ind w:firstLine="0" w:firstLineChars="0"/>
              <w:jc w:val="center"/>
              <w:textAlignment w:val="baseline"/>
              <w:rPr>
                <w:sz w:val="21"/>
                <w:szCs w:val="21"/>
              </w:rPr>
            </w:pPr>
            <w:r>
              <w:rPr>
                <w:sz w:val="21"/>
                <w:szCs w:val="21"/>
              </w:rPr>
              <w:t>-7.0</w:t>
            </w:r>
          </w:p>
        </w:tc>
      </w:tr>
      <w:tr w14:paraId="3B7BF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6B5347EC">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74FB1467">
            <w:pPr>
              <w:widowControl/>
              <w:spacing w:line="240" w:lineRule="auto"/>
              <w:ind w:firstLine="0" w:firstLineChars="0"/>
              <w:jc w:val="center"/>
              <w:textAlignment w:val="baseline"/>
              <w:rPr>
                <w:sz w:val="21"/>
                <w:szCs w:val="21"/>
              </w:rPr>
            </w:pPr>
            <w:r>
              <w:rPr>
                <w:sz w:val="21"/>
                <w:szCs w:val="21"/>
              </w:rPr>
              <w:t>最热月最高平均气温</w:t>
            </w:r>
          </w:p>
        </w:tc>
        <w:tc>
          <w:tcPr>
            <w:tcW w:w="1158" w:type="pct"/>
            <w:tcBorders>
              <w:top w:val="single" w:color="auto" w:sz="4" w:space="0"/>
              <w:left w:val="single" w:color="auto" w:sz="4" w:space="0"/>
              <w:bottom w:val="single" w:color="auto" w:sz="4" w:space="0"/>
              <w:right w:val="single" w:color="auto" w:sz="4" w:space="0"/>
            </w:tcBorders>
            <w:vAlign w:val="center"/>
          </w:tcPr>
          <w:p w14:paraId="5F4AB45E">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4FF66B37">
            <w:pPr>
              <w:widowControl/>
              <w:spacing w:line="240" w:lineRule="auto"/>
              <w:ind w:firstLine="0" w:firstLineChars="0"/>
              <w:jc w:val="center"/>
              <w:textAlignment w:val="baseline"/>
              <w:rPr>
                <w:sz w:val="21"/>
                <w:szCs w:val="21"/>
              </w:rPr>
            </w:pPr>
            <w:r>
              <w:rPr>
                <w:sz w:val="21"/>
                <w:szCs w:val="21"/>
              </w:rPr>
              <w:t>28.9</w:t>
            </w:r>
          </w:p>
        </w:tc>
      </w:tr>
      <w:tr w14:paraId="68B35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1E4581A0">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6B8AA666">
            <w:pPr>
              <w:widowControl/>
              <w:spacing w:line="240" w:lineRule="auto"/>
              <w:ind w:firstLine="0" w:firstLineChars="0"/>
              <w:jc w:val="center"/>
              <w:textAlignment w:val="baseline"/>
              <w:rPr>
                <w:sz w:val="21"/>
                <w:szCs w:val="21"/>
              </w:rPr>
            </w:pPr>
            <w:r>
              <w:rPr>
                <w:sz w:val="21"/>
                <w:szCs w:val="21"/>
              </w:rPr>
              <w:t>最冷月最低平均气温</w:t>
            </w:r>
          </w:p>
        </w:tc>
        <w:tc>
          <w:tcPr>
            <w:tcW w:w="1158" w:type="pct"/>
            <w:tcBorders>
              <w:top w:val="single" w:color="auto" w:sz="4" w:space="0"/>
              <w:left w:val="single" w:color="auto" w:sz="4" w:space="0"/>
              <w:bottom w:val="single" w:color="auto" w:sz="4" w:space="0"/>
              <w:right w:val="single" w:color="auto" w:sz="4" w:space="0"/>
            </w:tcBorders>
            <w:vAlign w:val="center"/>
          </w:tcPr>
          <w:p w14:paraId="411E77A3">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48E0874C">
            <w:pPr>
              <w:widowControl/>
              <w:spacing w:line="240" w:lineRule="auto"/>
              <w:ind w:firstLine="0" w:firstLineChars="0"/>
              <w:jc w:val="center"/>
              <w:textAlignment w:val="baseline"/>
              <w:rPr>
                <w:sz w:val="21"/>
                <w:szCs w:val="21"/>
              </w:rPr>
            </w:pPr>
            <w:r>
              <w:rPr>
                <w:sz w:val="21"/>
                <w:szCs w:val="21"/>
              </w:rPr>
              <w:t>-2.8</w:t>
            </w:r>
          </w:p>
        </w:tc>
      </w:tr>
      <w:tr w14:paraId="145DA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restart"/>
            <w:tcBorders>
              <w:top w:val="single" w:color="auto" w:sz="4" w:space="0"/>
              <w:left w:val="single" w:color="auto" w:sz="4" w:space="0"/>
              <w:right w:val="single" w:color="auto" w:sz="4" w:space="0"/>
            </w:tcBorders>
            <w:vAlign w:val="center"/>
          </w:tcPr>
          <w:p w14:paraId="43D1F436">
            <w:pPr>
              <w:widowControl/>
              <w:spacing w:line="240" w:lineRule="auto"/>
              <w:ind w:firstLine="0" w:firstLineChars="0"/>
              <w:jc w:val="center"/>
              <w:textAlignment w:val="baseline"/>
              <w:rPr>
                <w:sz w:val="21"/>
                <w:szCs w:val="21"/>
              </w:rPr>
            </w:pPr>
            <w:r>
              <w:rPr>
                <w:sz w:val="21"/>
                <w:szCs w:val="21"/>
              </w:rPr>
              <w:t>2</w:t>
            </w:r>
          </w:p>
        </w:tc>
        <w:tc>
          <w:tcPr>
            <w:tcW w:w="2531" w:type="pct"/>
            <w:tcBorders>
              <w:top w:val="single" w:color="auto" w:sz="4" w:space="0"/>
              <w:left w:val="single" w:color="auto" w:sz="4" w:space="0"/>
              <w:bottom w:val="single" w:color="auto" w:sz="4" w:space="0"/>
              <w:right w:val="single" w:color="auto" w:sz="4" w:space="0"/>
            </w:tcBorders>
            <w:vAlign w:val="center"/>
          </w:tcPr>
          <w:p w14:paraId="6892A411">
            <w:pPr>
              <w:widowControl/>
              <w:spacing w:line="240" w:lineRule="auto"/>
              <w:ind w:firstLine="0" w:firstLineChars="0"/>
              <w:jc w:val="center"/>
              <w:textAlignment w:val="baseline"/>
              <w:rPr>
                <w:b/>
                <w:sz w:val="21"/>
                <w:szCs w:val="21"/>
              </w:rPr>
            </w:pPr>
            <w:r>
              <w:rPr>
                <w:b/>
                <w:sz w:val="21"/>
                <w:szCs w:val="21"/>
              </w:rPr>
              <w:t>湿度</w:t>
            </w:r>
          </w:p>
        </w:tc>
        <w:tc>
          <w:tcPr>
            <w:tcW w:w="1158" w:type="pct"/>
            <w:tcBorders>
              <w:top w:val="single" w:color="auto" w:sz="4" w:space="0"/>
              <w:left w:val="single" w:color="auto" w:sz="4" w:space="0"/>
              <w:bottom w:val="single" w:color="auto" w:sz="4" w:space="0"/>
              <w:right w:val="single" w:color="auto" w:sz="4" w:space="0"/>
            </w:tcBorders>
            <w:vAlign w:val="center"/>
          </w:tcPr>
          <w:p w14:paraId="5CAD01F5">
            <w:pPr>
              <w:widowControl/>
              <w:spacing w:line="240" w:lineRule="auto"/>
              <w:ind w:firstLine="0" w:firstLineChars="0"/>
              <w:jc w:val="center"/>
              <w:textAlignment w:val="baseline"/>
              <w:rPr>
                <w:sz w:val="21"/>
                <w:szCs w:val="21"/>
              </w:rPr>
            </w:pPr>
          </w:p>
        </w:tc>
        <w:tc>
          <w:tcPr>
            <w:tcW w:w="845" w:type="pct"/>
            <w:tcBorders>
              <w:top w:val="single" w:color="auto" w:sz="4" w:space="0"/>
              <w:left w:val="single" w:color="auto" w:sz="4" w:space="0"/>
              <w:bottom w:val="single" w:color="auto" w:sz="4" w:space="0"/>
              <w:right w:val="single" w:color="auto" w:sz="4" w:space="0"/>
            </w:tcBorders>
            <w:vAlign w:val="center"/>
          </w:tcPr>
          <w:p w14:paraId="7430EF6A">
            <w:pPr>
              <w:widowControl/>
              <w:spacing w:line="240" w:lineRule="auto"/>
              <w:ind w:firstLine="0" w:firstLineChars="0"/>
              <w:jc w:val="center"/>
              <w:textAlignment w:val="baseline"/>
              <w:rPr>
                <w:sz w:val="21"/>
                <w:szCs w:val="21"/>
              </w:rPr>
            </w:pPr>
          </w:p>
        </w:tc>
      </w:tr>
      <w:tr w14:paraId="16665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top w:val="single" w:color="auto" w:sz="4" w:space="0"/>
              <w:left w:val="single" w:color="auto" w:sz="4" w:space="0"/>
              <w:right w:val="single" w:color="auto" w:sz="4" w:space="0"/>
            </w:tcBorders>
            <w:vAlign w:val="center"/>
          </w:tcPr>
          <w:p w14:paraId="67C6733F">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434014F3">
            <w:pPr>
              <w:widowControl/>
              <w:spacing w:line="240" w:lineRule="auto"/>
              <w:ind w:firstLine="0" w:firstLineChars="0"/>
              <w:jc w:val="center"/>
              <w:textAlignment w:val="baseline"/>
              <w:rPr>
                <w:sz w:val="21"/>
                <w:szCs w:val="21"/>
              </w:rPr>
            </w:pPr>
            <w:r>
              <w:rPr>
                <w:sz w:val="21"/>
                <w:szCs w:val="21"/>
              </w:rPr>
              <w:t>年平均相对湿度</w:t>
            </w:r>
          </w:p>
        </w:tc>
        <w:tc>
          <w:tcPr>
            <w:tcW w:w="1158" w:type="pct"/>
            <w:tcBorders>
              <w:top w:val="single" w:color="auto" w:sz="4" w:space="0"/>
              <w:left w:val="single" w:color="auto" w:sz="4" w:space="0"/>
              <w:bottom w:val="single" w:color="auto" w:sz="4" w:space="0"/>
              <w:right w:val="single" w:color="auto" w:sz="4" w:space="0"/>
            </w:tcBorders>
            <w:vAlign w:val="center"/>
          </w:tcPr>
          <w:p w14:paraId="0C7078AF">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51D29336">
            <w:pPr>
              <w:widowControl/>
              <w:spacing w:line="240" w:lineRule="auto"/>
              <w:ind w:firstLine="0" w:firstLineChars="0"/>
              <w:jc w:val="center"/>
              <w:textAlignment w:val="baseline"/>
              <w:rPr>
                <w:sz w:val="21"/>
                <w:szCs w:val="21"/>
              </w:rPr>
            </w:pPr>
            <w:r>
              <w:rPr>
                <w:sz w:val="21"/>
                <w:szCs w:val="21"/>
              </w:rPr>
              <w:t>71</w:t>
            </w:r>
          </w:p>
        </w:tc>
      </w:tr>
      <w:tr w14:paraId="7DD5D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top w:val="single" w:color="auto" w:sz="4" w:space="0"/>
              <w:left w:val="single" w:color="auto" w:sz="4" w:space="0"/>
              <w:right w:val="single" w:color="auto" w:sz="4" w:space="0"/>
            </w:tcBorders>
            <w:vAlign w:val="center"/>
          </w:tcPr>
          <w:p w14:paraId="7008CA6A">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1C4A332E">
            <w:pPr>
              <w:widowControl/>
              <w:spacing w:line="240" w:lineRule="auto"/>
              <w:ind w:firstLine="0" w:firstLineChars="0"/>
              <w:jc w:val="center"/>
              <w:textAlignment w:val="baseline"/>
              <w:rPr>
                <w:sz w:val="21"/>
                <w:szCs w:val="21"/>
              </w:rPr>
            </w:pPr>
            <w:r>
              <w:rPr>
                <w:sz w:val="21"/>
                <w:szCs w:val="21"/>
              </w:rPr>
              <w:t>最热月平均相对湿度</w:t>
            </w:r>
          </w:p>
        </w:tc>
        <w:tc>
          <w:tcPr>
            <w:tcW w:w="1158" w:type="pct"/>
            <w:tcBorders>
              <w:top w:val="single" w:color="auto" w:sz="4" w:space="0"/>
              <w:left w:val="single" w:color="auto" w:sz="4" w:space="0"/>
              <w:bottom w:val="single" w:color="auto" w:sz="4" w:space="0"/>
              <w:right w:val="single" w:color="auto" w:sz="4" w:space="0"/>
            </w:tcBorders>
            <w:vAlign w:val="center"/>
          </w:tcPr>
          <w:p w14:paraId="659A2A20">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664EF33A">
            <w:pPr>
              <w:widowControl/>
              <w:spacing w:line="240" w:lineRule="auto"/>
              <w:ind w:firstLine="0" w:firstLineChars="0"/>
              <w:jc w:val="center"/>
              <w:textAlignment w:val="baseline"/>
              <w:rPr>
                <w:sz w:val="21"/>
                <w:szCs w:val="21"/>
              </w:rPr>
            </w:pPr>
            <w:r>
              <w:rPr>
                <w:sz w:val="21"/>
                <w:szCs w:val="21"/>
              </w:rPr>
              <w:t>81</w:t>
            </w:r>
          </w:p>
        </w:tc>
      </w:tr>
      <w:tr w14:paraId="5CBDC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10A31525">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5B6EE8E8">
            <w:pPr>
              <w:widowControl/>
              <w:spacing w:line="240" w:lineRule="auto"/>
              <w:ind w:firstLine="0" w:firstLineChars="0"/>
              <w:jc w:val="center"/>
              <w:textAlignment w:val="baseline"/>
              <w:rPr>
                <w:sz w:val="21"/>
                <w:szCs w:val="21"/>
              </w:rPr>
            </w:pPr>
            <w:r>
              <w:rPr>
                <w:sz w:val="21"/>
                <w:szCs w:val="21"/>
              </w:rPr>
              <w:t>最冷月平均相对湿度</w:t>
            </w:r>
          </w:p>
        </w:tc>
        <w:tc>
          <w:tcPr>
            <w:tcW w:w="1158" w:type="pct"/>
            <w:tcBorders>
              <w:top w:val="single" w:color="auto" w:sz="4" w:space="0"/>
              <w:left w:val="single" w:color="auto" w:sz="4" w:space="0"/>
              <w:bottom w:val="single" w:color="auto" w:sz="4" w:space="0"/>
              <w:right w:val="single" w:color="auto" w:sz="4" w:space="0"/>
            </w:tcBorders>
            <w:vAlign w:val="center"/>
          </w:tcPr>
          <w:p w14:paraId="48E9FC86">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53897E44">
            <w:pPr>
              <w:widowControl/>
              <w:spacing w:line="240" w:lineRule="auto"/>
              <w:ind w:firstLine="0" w:firstLineChars="0"/>
              <w:jc w:val="center"/>
              <w:textAlignment w:val="baseline"/>
              <w:rPr>
                <w:sz w:val="21"/>
                <w:szCs w:val="21"/>
              </w:rPr>
            </w:pPr>
            <w:r>
              <w:rPr>
                <w:sz w:val="21"/>
                <w:szCs w:val="21"/>
              </w:rPr>
              <w:t>54</w:t>
            </w:r>
          </w:p>
        </w:tc>
      </w:tr>
      <w:tr w14:paraId="117F6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78359ED4">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3C1B3256">
            <w:pPr>
              <w:widowControl/>
              <w:spacing w:line="240" w:lineRule="auto"/>
              <w:ind w:firstLine="0" w:firstLineChars="0"/>
              <w:jc w:val="center"/>
              <w:textAlignment w:val="baseline"/>
              <w:rPr>
                <w:sz w:val="21"/>
                <w:szCs w:val="21"/>
              </w:rPr>
            </w:pPr>
            <w:r>
              <w:rPr>
                <w:sz w:val="21"/>
                <w:szCs w:val="21"/>
              </w:rPr>
              <w:t>月均最大相对湿度</w:t>
            </w:r>
          </w:p>
        </w:tc>
        <w:tc>
          <w:tcPr>
            <w:tcW w:w="1158" w:type="pct"/>
            <w:tcBorders>
              <w:top w:val="single" w:color="auto" w:sz="4" w:space="0"/>
              <w:left w:val="single" w:color="auto" w:sz="4" w:space="0"/>
              <w:bottom w:val="single" w:color="auto" w:sz="4" w:space="0"/>
              <w:right w:val="single" w:color="auto" w:sz="4" w:space="0"/>
            </w:tcBorders>
            <w:vAlign w:val="center"/>
          </w:tcPr>
          <w:p w14:paraId="7A66E8E0">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5900DF32">
            <w:pPr>
              <w:widowControl/>
              <w:spacing w:line="240" w:lineRule="auto"/>
              <w:ind w:firstLine="0" w:firstLineChars="0"/>
              <w:jc w:val="center"/>
              <w:textAlignment w:val="baseline"/>
              <w:rPr>
                <w:sz w:val="21"/>
                <w:szCs w:val="21"/>
              </w:rPr>
            </w:pPr>
            <w:r>
              <w:rPr>
                <w:sz w:val="21"/>
                <w:szCs w:val="21"/>
              </w:rPr>
              <w:t>88</w:t>
            </w:r>
          </w:p>
        </w:tc>
      </w:tr>
      <w:tr w14:paraId="27755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60346B9E">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56116E7B">
            <w:pPr>
              <w:widowControl/>
              <w:spacing w:line="240" w:lineRule="auto"/>
              <w:ind w:firstLine="0" w:firstLineChars="0"/>
              <w:jc w:val="center"/>
              <w:textAlignment w:val="baseline"/>
              <w:rPr>
                <w:sz w:val="21"/>
                <w:szCs w:val="21"/>
              </w:rPr>
            </w:pPr>
            <w:r>
              <w:rPr>
                <w:sz w:val="21"/>
                <w:szCs w:val="21"/>
              </w:rPr>
              <w:t>月均最小相对湿度</w:t>
            </w:r>
          </w:p>
        </w:tc>
        <w:tc>
          <w:tcPr>
            <w:tcW w:w="1158" w:type="pct"/>
            <w:tcBorders>
              <w:top w:val="single" w:color="auto" w:sz="4" w:space="0"/>
              <w:left w:val="single" w:color="auto" w:sz="4" w:space="0"/>
              <w:bottom w:val="single" w:color="auto" w:sz="4" w:space="0"/>
              <w:right w:val="single" w:color="auto" w:sz="4" w:space="0"/>
            </w:tcBorders>
            <w:vAlign w:val="center"/>
          </w:tcPr>
          <w:p w14:paraId="75C8359A">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1CBD5BBE">
            <w:pPr>
              <w:widowControl/>
              <w:spacing w:line="240" w:lineRule="auto"/>
              <w:ind w:firstLine="0" w:firstLineChars="0"/>
              <w:jc w:val="center"/>
              <w:textAlignment w:val="baseline"/>
              <w:rPr>
                <w:sz w:val="21"/>
                <w:szCs w:val="21"/>
              </w:rPr>
            </w:pPr>
            <w:r>
              <w:rPr>
                <w:sz w:val="21"/>
                <w:szCs w:val="21"/>
              </w:rPr>
              <w:t>41</w:t>
            </w:r>
          </w:p>
        </w:tc>
      </w:tr>
      <w:tr w14:paraId="6BC58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restart"/>
            <w:tcBorders>
              <w:top w:val="single" w:color="auto" w:sz="4" w:space="0"/>
              <w:left w:val="single" w:color="auto" w:sz="4" w:space="0"/>
              <w:bottom w:val="single" w:color="auto" w:sz="4" w:space="0"/>
              <w:right w:val="single" w:color="auto" w:sz="4" w:space="0"/>
            </w:tcBorders>
            <w:vAlign w:val="center"/>
          </w:tcPr>
          <w:p w14:paraId="5BEABBF5">
            <w:pPr>
              <w:widowControl/>
              <w:spacing w:line="240" w:lineRule="auto"/>
              <w:ind w:firstLine="0" w:firstLineChars="0"/>
              <w:jc w:val="center"/>
              <w:textAlignment w:val="baseline"/>
              <w:rPr>
                <w:sz w:val="21"/>
                <w:szCs w:val="21"/>
              </w:rPr>
            </w:pPr>
            <w:r>
              <w:rPr>
                <w:sz w:val="21"/>
                <w:szCs w:val="21"/>
              </w:rPr>
              <w:t>3</w:t>
            </w:r>
          </w:p>
        </w:tc>
        <w:tc>
          <w:tcPr>
            <w:tcW w:w="2531" w:type="pct"/>
            <w:tcBorders>
              <w:top w:val="single" w:color="auto" w:sz="4" w:space="0"/>
              <w:left w:val="single" w:color="auto" w:sz="4" w:space="0"/>
              <w:bottom w:val="single" w:color="auto" w:sz="4" w:space="0"/>
              <w:right w:val="single" w:color="auto" w:sz="4" w:space="0"/>
            </w:tcBorders>
            <w:vAlign w:val="center"/>
          </w:tcPr>
          <w:p w14:paraId="57399113">
            <w:pPr>
              <w:widowControl/>
              <w:spacing w:line="240" w:lineRule="auto"/>
              <w:ind w:firstLine="0" w:firstLineChars="0"/>
              <w:jc w:val="center"/>
              <w:textAlignment w:val="baseline"/>
              <w:rPr>
                <w:b/>
                <w:sz w:val="21"/>
                <w:szCs w:val="21"/>
              </w:rPr>
            </w:pPr>
            <w:r>
              <w:rPr>
                <w:b/>
                <w:sz w:val="21"/>
                <w:szCs w:val="21"/>
              </w:rPr>
              <w:t>大气压力</w:t>
            </w:r>
          </w:p>
        </w:tc>
        <w:tc>
          <w:tcPr>
            <w:tcW w:w="1158" w:type="pct"/>
            <w:tcBorders>
              <w:top w:val="single" w:color="auto" w:sz="4" w:space="0"/>
              <w:left w:val="single" w:color="auto" w:sz="4" w:space="0"/>
              <w:bottom w:val="single" w:color="auto" w:sz="4" w:space="0"/>
              <w:right w:val="single" w:color="auto" w:sz="4" w:space="0"/>
            </w:tcBorders>
            <w:vAlign w:val="center"/>
          </w:tcPr>
          <w:p w14:paraId="567F7565">
            <w:pPr>
              <w:widowControl/>
              <w:spacing w:line="240" w:lineRule="auto"/>
              <w:ind w:firstLine="0" w:firstLineChars="0"/>
              <w:jc w:val="center"/>
              <w:textAlignment w:val="baseline"/>
              <w:rPr>
                <w:sz w:val="21"/>
                <w:szCs w:val="21"/>
              </w:rPr>
            </w:pPr>
          </w:p>
        </w:tc>
        <w:tc>
          <w:tcPr>
            <w:tcW w:w="845" w:type="pct"/>
            <w:tcBorders>
              <w:top w:val="single" w:color="auto" w:sz="4" w:space="0"/>
              <w:left w:val="single" w:color="auto" w:sz="4" w:space="0"/>
              <w:bottom w:val="single" w:color="auto" w:sz="4" w:space="0"/>
              <w:right w:val="single" w:color="auto" w:sz="4" w:space="0"/>
            </w:tcBorders>
            <w:vAlign w:val="center"/>
          </w:tcPr>
          <w:p w14:paraId="72C78851">
            <w:pPr>
              <w:widowControl/>
              <w:spacing w:line="240" w:lineRule="auto"/>
              <w:ind w:firstLine="0" w:firstLineChars="0"/>
              <w:jc w:val="center"/>
              <w:textAlignment w:val="baseline"/>
              <w:rPr>
                <w:sz w:val="21"/>
                <w:szCs w:val="21"/>
              </w:rPr>
            </w:pPr>
          </w:p>
        </w:tc>
      </w:tr>
      <w:tr w14:paraId="5B2ED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top w:val="single" w:color="auto" w:sz="4" w:space="0"/>
              <w:left w:val="single" w:color="auto" w:sz="4" w:space="0"/>
              <w:bottom w:val="single" w:color="auto" w:sz="4" w:space="0"/>
              <w:right w:val="single" w:color="auto" w:sz="4" w:space="0"/>
            </w:tcBorders>
            <w:vAlign w:val="center"/>
          </w:tcPr>
          <w:p w14:paraId="14371510">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202FCC46">
            <w:pPr>
              <w:widowControl/>
              <w:spacing w:line="240" w:lineRule="auto"/>
              <w:ind w:firstLine="0" w:firstLineChars="0"/>
              <w:jc w:val="center"/>
              <w:textAlignment w:val="baseline"/>
              <w:rPr>
                <w:sz w:val="21"/>
                <w:szCs w:val="21"/>
              </w:rPr>
            </w:pPr>
            <w:r>
              <w:rPr>
                <w:sz w:val="21"/>
                <w:szCs w:val="21"/>
              </w:rPr>
              <w:t>累年平均气压</w:t>
            </w:r>
          </w:p>
        </w:tc>
        <w:tc>
          <w:tcPr>
            <w:tcW w:w="1158" w:type="pct"/>
            <w:tcBorders>
              <w:top w:val="single" w:color="auto" w:sz="4" w:space="0"/>
              <w:left w:val="single" w:color="auto" w:sz="4" w:space="0"/>
              <w:bottom w:val="single" w:color="auto" w:sz="4" w:space="0"/>
              <w:right w:val="single" w:color="auto" w:sz="4" w:space="0"/>
            </w:tcBorders>
            <w:vAlign w:val="center"/>
          </w:tcPr>
          <w:p w14:paraId="64BC5B84">
            <w:pPr>
              <w:widowControl/>
              <w:spacing w:line="240" w:lineRule="auto"/>
              <w:ind w:firstLine="0" w:firstLineChars="0"/>
              <w:jc w:val="center"/>
              <w:textAlignment w:val="baseline"/>
              <w:rPr>
                <w:sz w:val="21"/>
                <w:szCs w:val="21"/>
              </w:rPr>
            </w:pPr>
            <w:r>
              <w:rPr>
                <w:rFonts w:hint="eastAsia"/>
                <w:sz w:val="21"/>
                <w:szCs w:val="21"/>
              </w:rPr>
              <w:t>k</w:t>
            </w:r>
            <w:r>
              <w:rPr>
                <w:sz w:val="21"/>
                <w:szCs w:val="21"/>
              </w:rPr>
              <w:t>Pa</w:t>
            </w:r>
          </w:p>
        </w:tc>
        <w:tc>
          <w:tcPr>
            <w:tcW w:w="845" w:type="pct"/>
            <w:tcBorders>
              <w:top w:val="single" w:color="auto" w:sz="4" w:space="0"/>
              <w:left w:val="single" w:color="auto" w:sz="4" w:space="0"/>
              <w:bottom w:val="single" w:color="auto" w:sz="4" w:space="0"/>
              <w:right w:val="single" w:color="auto" w:sz="4" w:space="0"/>
            </w:tcBorders>
            <w:vAlign w:val="center"/>
          </w:tcPr>
          <w:p w14:paraId="290FB8BC">
            <w:pPr>
              <w:widowControl/>
              <w:spacing w:line="240" w:lineRule="auto"/>
              <w:ind w:firstLine="0" w:firstLineChars="0"/>
              <w:jc w:val="center"/>
              <w:textAlignment w:val="baseline"/>
              <w:rPr>
                <w:sz w:val="21"/>
                <w:szCs w:val="21"/>
              </w:rPr>
            </w:pPr>
            <w:r>
              <w:rPr>
                <w:sz w:val="21"/>
                <w:szCs w:val="21"/>
              </w:rPr>
              <w:t>815.0</w:t>
            </w:r>
          </w:p>
        </w:tc>
      </w:tr>
      <w:tr w14:paraId="0211A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top w:val="single" w:color="auto" w:sz="4" w:space="0"/>
              <w:left w:val="single" w:color="auto" w:sz="4" w:space="0"/>
              <w:bottom w:val="single" w:color="auto" w:sz="4" w:space="0"/>
              <w:right w:val="single" w:color="auto" w:sz="4" w:space="0"/>
            </w:tcBorders>
            <w:vAlign w:val="center"/>
          </w:tcPr>
          <w:p w14:paraId="304913AC">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7E847D0E">
            <w:pPr>
              <w:widowControl/>
              <w:spacing w:line="240" w:lineRule="auto"/>
              <w:ind w:firstLine="0" w:firstLineChars="0"/>
              <w:jc w:val="center"/>
              <w:textAlignment w:val="baseline"/>
              <w:rPr>
                <w:sz w:val="21"/>
                <w:szCs w:val="21"/>
              </w:rPr>
            </w:pPr>
            <w:r>
              <w:rPr>
                <w:sz w:val="21"/>
                <w:szCs w:val="21"/>
              </w:rPr>
              <w:t>极端最高气压（冬季）</w:t>
            </w:r>
          </w:p>
        </w:tc>
        <w:tc>
          <w:tcPr>
            <w:tcW w:w="1158" w:type="pct"/>
            <w:tcBorders>
              <w:top w:val="single" w:color="auto" w:sz="4" w:space="0"/>
              <w:left w:val="single" w:color="auto" w:sz="4" w:space="0"/>
              <w:bottom w:val="single" w:color="auto" w:sz="4" w:space="0"/>
              <w:right w:val="single" w:color="auto" w:sz="4" w:space="0"/>
            </w:tcBorders>
            <w:vAlign w:val="center"/>
          </w:tcPr>
          <w:p w14:paraId="3BBE7E8B">
            <w:pPr>
              <w:widowControl/>
              <w:spacing w:line="240" w:lineRule="auto"/>
              <w:ind w:firstLine="0" w:firstLineChars="0"/>
              <w:jc w:val="center"/>
              <w:textAlignment w:val="baseline"/>
              <w:rPr>
                <w:sz w:val="21"/>
                <w:szCs w:val="21"/>
              </w:rPr>
            </w:pPr>
            <w:r>
              <w:rPr>
                <w:rFonts w:hint="eastAsia"/>
                <w:sz w:val="21"/>
                <w:szCs w:val="21"/>
              </w:rPr>
              <w:t>k</w:t>
            </w:r>
            <w:r>
              <w:rPr>
                <w:sz w:val="21"/>
                <w:szCs w:val="21"/>
              </w:rPr>
              <w:t>Pa</w:t>
            </w:r>
          </w:p>
        </w:tc>
        <w:tc>
          <w:tcPr>
            <w:tcW w:w="845" w:type="pct"/>
            <w:tcBorders>
              <w:top w:val="single" w:color="auto" w:sz="4" w:space="0"/>
              <w:left w:val="single" w:color="auto" w:sz="4" w:space="0"/>
              <w:bottom w:val="single" w:color="auto" w:sz="4" w:space="0"/>
              <w:right w:val="single" w:color="auto" w:sz="4" w:space="0"/>
            </w:tcBorders>
            <w:vAlign w:val="center"/>
          </w:tcPr>
          <w:p w14:paraId="16096919">
            <w:pPr>
              <w:widowControl/>
              <w:spacing w:line="240" w:lineRule="auto"/>
              <w:ind w:firstLine="0" w:firstLineChars="0"/>
              <w:jc w:val="center"/>
              <w:textAlignment w:val="baseline"/>
              <w:rPr>
                <w:sz w:val="21"/>
                <w:szCs w:val="21"/>
              </w:rPr>
            </w:pPr>
            <w:r>
              <w:rPr>
                <w:sz w:val="21"/>
                <w:szCs w:val="21"/>
              </w:rPr>
              <w:t>826.9</w:t>
            </w:r>
          </w:p>
        </w:tc>
      </w:tr>
      <w:tr w14:paraId="08821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top w:val="single" w:color="auto" w:sz="4" w:space="0"/>
              <w:left w:val="single" w:color="auto" w:sz="4" w:space="0"/>
              <w:bottom w:val="single" w:color="auto" w:sz="4" w:space="0"/>
              <w:right w:val="single" w:color="auto" w:sz="4" w:space="0"/>
            </w:tcBorders>
            <w:vAlign w:val="center"/>
          </w:tcPr>
          <w:p w14:paraId="7B0C56CB">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236AB2DF">
            <w:pPr>
              <w:widowControl/>
              <w:spacing w:line="240" w:lineRule="auto"/>
              <w:ind w:firstLine="0" w:firstLineChars="0"/>
              <w:jc w:val="center"/>
              <w:textAlignment w:val="baseline"/>
              <w:rPr>
                <w:sz w:val="21"/>
                <w:szCs w:val="21"/>
              </w:rPr>
            </w:pPr>
            <w:r>
              <w:rPr>
                <w:sz w:val="21"/>
                <w:szCs w:val="21"/>
              </w:rPr>
              <w:t>极端最低气压（夏季）</w:t>
            </w:r>
          </w:p>
        </w:tc>
        <w:tc>
          <w:tcPr>
            <w:tcW w:w="1158" w:type="pct"/>
            <w:tcBorders>
              <w:top w:val="single" w:color="auto" w:sz="4" w:space="0"/>
              <w:left w:val="single" w:color="auto" w:sz="4" w:space="0"/>
              <w:bottom w:val="single" w:color="auto" w:sz="4" w:space="0"/>
              <w:right w:val="single" w:color="auto" w:sz="4" w:space="0"/>
            </w:tcBorders>
            <w:vAlign w:val="center"/>
          </w:tcPr>
          <w:p w14:paraId="4F5CC8A3">
            <w:pPr>
              <w:widowControl/>
              <w:spacing w:line="240" w:lineRule="auto"/>
              <w:ind w:firstLine="0" w:firstLineChars="0"/>
              <w:jc w:val="center"/>
              <w:textAlignment w:val="baseline"/>
              <w:rPr>
                <w:sz w:val="21"/>
                <w:szCs w:val="21"/>
              </w:rPr>
            </w:pPr>
            <w:r>
              <w:rPr>
                <w:rFonts w:hint="eastAsia"/>
                <w:sz w:val="21"/>
                <w:szCs w:val="21"/>
              </w:rPr>
              <w:t>k</w:t>
            </w:r>
            <w:r>
              <w:rPr>
                <w:sz w:val="21"/>
                <w:szCs w:val="21"/>
              </w:rPr>
              <w:t>Pa</w:t>
            </w:r>
          </w:p>
        </w:tc>
        <w:tc>
          <w:tcPr>
            <w:tcW w:w="845" w:type="pct"/>
            <w:tcBorders>
              <w:top w:val="single" w:color="auto" w:sz="4" w:space="0"/>
              <w:left w:val="single" w:color="auto" w:sz="4" w:space="0"/>
              <w:bottom w:val="single" w:color="auto" w:sz="4" w:space="0"/>
              <w:right w:val="single" w:color="auto" w:sz="4" w:space="0"/>
            </w:tcBorders>
            <w:vAlign w:val="center"/>
          </w:tcPr>
          <w:p w14:paraId="3589F4D3">
            <w:pPr>
              <w:widowControl/>
              <w:spacing w:line="240" w:lineRule="auto"/>
              <w:ind w:firstLine="0" w:firstLineChars="0"/>
              <w:jc w:val="center"/>
              <w:textAlignment w:val="baseline"/>
              <w:rPr>
                <w:sz w:val="21"/>
                <w:szCs w:val="21"/>
              </w:rPr>
            </w:pPr>
            <w:r>
              <w:rPr>
                <w:sz w:val="21"/>
                <w:szCs w:val="21"/>
              </w:rPr>
              <w:t>802.4</w:t>
            </w:r>
          </w:p>
        </w:tc>
      </w:tr>
      <w:tr w14:paraId="59C25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restart"/>
            <w:tcBorders>
              <w:top w:val="single" w:color="auto" w:sz="4" w:space="0"/>
              <w:left w:val="single" w:color="auto" w:sz="4" w:space="0"/>
              <w:right w:val="single" w:color="auto" w:sz="4" w:space="0"/>
            </w:tcBorders>
            <w:vAlign w:val="center"/>
          </w:tcPr>
          <w:p w14:paraId="013E6E74">
            <w:pPr>
              <w:widowControl/>
              <w:spacing w:line="240" w:lineRule="auto"/>
              <w:ind w:firstLine="0" w:firstLineChars="0"/>
              <w:jc w:val="center"/>
              <w:textAlignment w:val="baseline"/>
              <w:rPr>
                <w:sz w:val="21"/>
                <w:szCs w:val="21"/>
              </w:rPr>
            </w:pPr>
            <w:r>
              <w:rPr>
                <w:sz w:val="21"/>
                <w:szCs w:val="21"/>
              </w:rPr>
              <w:t>4</w:t>
            </w:r>
          </w:p>
        </w:tc>
        <w:tc>
          <w:tcPr>
            <w:tcW w:w="2531" w:type="pct"/>
            <w:tcBorders>
              <w:top w:val="single" w:color="auto" w:sz="4" w:space="0"/>
              <w:left w:val="single" w:color="auto" w:sz="4" w:space="0"/>
              <w:bottom w:val="single" w:color="auto" w:sz="4" w:space="0"/>
              <w:right w:val="single" w:color="auto" w:sz="4" w:space="0"/>
            </w:tcBorders>
            <w:vAlign w:val="center"/>
          </w:tcPr>
          <w:p w14:paraId="531FF67C">
            <w:pPr>
              <w:widowControl/>
              <w:spacing w:line="240" w:lineRule="auto"/>
              <w:ind w:firstLine="0" w:firstLineChars="0"/>
              <w:jc w:val="center"/>
              <w:textAlignment w:val="baseline"/>
              <w:rPr>
                <w:b/>
                <w:sz w:val="21"/>
                <w:szCs w:val="21"/>
              </w:rPr>
            </w:pPr>
            <w:r>
              <w:rPr>
                <w:b/>
                <w:sz w:val="21"/>
                <w:szCs w:val="21"/>
              </w:rPr>
              <w:t>降雨量</w:t>
            </w:r>
          </w:p>
        </w:tc>
        <w:tc>
          <w:tcPr>
            <w:tcW w:w="1158" w:type="pct"/>
            <w:tcBorders>
              <w:top w:val="single" w:color="auto" w:sz="4" w:space="0"/>
              <w:left w:val="single" w:color="auto" w:sz="4" w:space="0"/>
              <w:bottom w:val="single" w:color="auto" w:sz="4" w:space="0"/>
              <w:right w:val="single" w:color="auto" w:sz="4" w:space="0"/>
            </w:tcBorders>
            <w:vAlign w:val="center"/>
          </w:tcPr>
          <w:p w14:paraId="0C3FE28B">
            <w:pPr>
              <w:widowControl/>
              <w:spacing w:line="240" w:lineRule="auto"/>
              <w:ind w:firstLine="0" w:firstLineChars="0"/>
              <w:jc w:val="center"/>
              <w:textAlignment w:val="baseline"/>
              <w:rPr>
                <w:sz w:val="21"/>
                <w:szCs w:val="21"/>
              </w:rPr>
            </w:pPr>
          </w:p>
        </w:tc>
        <w:tc>
          <w:tcPr>
            <w:tcW w:w="845" w:type="pct"/>
            <w:tcBorders>
              <w:top w:val="single" w:color="auto" w:sz="4" w:space="0"/>
              <w:left w:val="single" w:color="auto" w:sz="4" w:space="0"/>
              <w:bottom w:val="single" w:color="auto" w:sz="4" w:space="0"/>
              <w:right w:val="single" w:color="auto" w:sz="4" w:space="0"/>
            </w:tcBorders>
            <w:vAlign w:val="center"/>
          </w:tcPr>
          <w:p w14:paraId="09E2B83B">
            <w:pPr>
              <w:widowControl/>
              <w:spacing w:line="240" w:lineRule="auto"/>
              <w:ind w:firstLine="0" w:firstLineChars="0"/>
              <w:jc w:val="center"/>
              <w:textAlignment w:val="baseline"/>
              <w:rPr>
                <w:sz w:val="21"/>
                <w:szCs w:val="21"/>
              </w:rPr>
            </w:pPr>
          </w:p>
        </w:tc>
      </w:tr>
      <w:tr w14:paraId="23FF1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0FD267E8">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15E8F9B0">
            <w:pPr>
              <w:widowControl/>
              <w:spacing w:line="240" w:lineRule="auto"/>
              <w:ind w:firstLine="0" w:firstLineChars="0"/>
              <w:jc w:val="center"/>
              <w:textAlignment w:val="baseline"/>
              <w:rPr>
                <w:sz w:val="21"/>
                <w:szCs w:val="21"/>
              </w:rPr>
            </w:pPr>
            <w:r>
              <w:rPr>
                <w:sz w:val="21"/>
                <w:szCs w:val="21"/>
              </w:rPr>
              <w:t>年平均降雨量</w:t>
            </w:r>
          </w:p>
        </w:tc>
        <w:tc>
          <w:tcPr>
            <w:tcW w:w="1158" w:type="pct"/>
            <w:tcBorders>
              <w:top w:val="single" w:color="auto" w:sz="4" w:space="0"/>
              <w:left w:val="single" w:color="auto" w:sz="4" w:space="0"/>
              <w:bottom w:val="single" w:color="auto" w:sz="4" w:space="0"/>
              <w:right w:val="single" w:color="auto" w:sz="4" w:space="0"/>
            </w:tcBorders>
            <w:vAlign w:val="center"/>
          </w:tcPr>
          <w:p w14:paraId="25BF9694">
            <w:pPr>
              <w:widowControl/>
              <w:spacing w:line="240" w:lineRule="auto"/>
              <w:ind w:firstLine="0" w:firstLineChars="0"/>
              <w:jc w:val="center"/>
              <w:textAlignment w:val="baseline"/>
              <w:rPr>
                <w:sz w:val="21"/>
                <w:szCs w:val="21"/>
              </w:rPr>
            </w:pPr>
            <w:r>
              <w:rPr>
                <w:sz w:val="21"/>
                <w:szCs w:val="21"/>
              </w:rPr>
              <w:t>mm</w:t>
            </w:r>
          </w:p>
        </w:tc>
        <w:tc>
          <w:tcPr>
            <w:tcW w:w="845" w:type="pct"/>
            <w:tcBorders>
              <w:top w:val="single" w:color="auto" w:sz="4" w:space="0"/>
              <w:left w:val="single" w:color="auto" w:sz="4" w:space="0"/>
              <w:bottom w:val="single" w:color="auto" w:sz="4" w:space="0"/>
              <w:right w:val="single" w:color="auto" w:sz="4" w:space="0"/>
            </w:tcBorders>
            <w:vAlign w:val="center"/>
          </w:tcPr>
          <w:p w14:paraId="420063BD">
            <w:pPr>
              <w:widowControl/>
              <w:spacing w:line="240" w:lineRule="auto"/>
              <w:ind w:firstLine="0" w:firstLineChars="0"/>
              <w:jc w:val="center"/>
              <w:textAlignment w:val="baseline"/>
              <w:rPr>
                <w:sz w:val="21"/>
                <w:szCs w:val="21"/>
              </w:rPr>
            </w:pPr>
            <w:r>
              <w:rPr>
                <w:sz w:val="21"/>
                <w:szCs w:val="21"/>
              </w:rPr>
              <w:t>898.7</w:t>
            </w:r>
          </w:p>
        </w:tc>
      </w:tr>
      <w:tr w14:paraId="2751B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0C32EBFF">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189453FB">
            <w:pPr>
              <w:widowControl/>
              <w:spacing w:line="240" w:lineRule="auto"/>
              <w:ind w:firstLine="0" w:firstLineChars="0"/>
              <w:jc w:val="center"/>
              <w:textAlignment w:val="baseline"/>
              <w:rPr>
                <w:sz w:val="21"/>
                <w:szCs w:val="21"/>
              </w:rPr>
            </w:pPr>
            <w:r>
              <w:rPr>
                <w:sz w:val="21"/>
                <w:szCs w:val="21"/>
              </w:rPr>
              <w:t>年最大降雨量</w:t>
            </w:r>
          </w:p>
        </w:tc>
        <w:tc>
          <w:tcPr>
            <w:tcW w:w="1158" w:type="pct"/>
            <w:tcBorders>
              <w:top w:val="single" w:color="auto" w:sz="4" w:space="0"/>
              <w:left w:val="single" w:color="auto" w:sz="4" w:space="0"/>
              <w:bottom w:val="single" w:color="auto" w:sz="4" w:space="0"/>
              <w:right w:val="single" w:color="auto" w:sz="4" w:space="0"/>
            </w:tcBorders>
            <w:vAlign w:val="center"/>
          </w:tcPr>
          <w:p w14:paraId="0D667C75">
            <w:pPr>
              <w:widowControl/>
              <w:spacing w:line="240" w:lineRule="auto"/>
              <w:ind w:firstLine="0" w:firstLineChars="0"/>
              <w:jc w:val="center"/>
              <w:textAlignment w:val="baseline"/>
              <w:rPr>
                <w:sz w:val="21"/>
                <w:szCs w:val="21"/>
              </w:rPr>
            </w:pPr>
            <w:r>
              <w:rPr>
                <w:sz w:val="21"/>
                <w:szCs w:val="21"/>
              </w:rPr>
              <w:t>mm</w:t>
            </w:r>
          </w:p>
        </w:tc>
        <w:tc>
          <w:tcPr>
            <w:tcW w:w="845" w:type="pct"/>
            <w:tcBorders>
              <w:top w:val="single" w:color="auto" w:sz="4" w:space="0"/>
              <w:left w:val="single" w:color="auto" w:sz="4" w:space="0"/>
              <w:bottom w:val="single" w:color="auto" w:sz="4" w:space="0"/>
              <w:right w:val="single" w:color="auto" w:sz="4" w:space="0"/>
            </w:tcBorders>
            <w:vAlign w:val="center"/>
          </w:tcPr>
          <w:p w14:paraId="2FC157CA">
            <w:pPr>
              <w:widowControl/>
              <w:spacing w:line="240" w:lineRule="auto"/>
              <w:ind w:firstLine="0" w:firstLineChars="0"/>
              <w:jc w:val="center"/>
              <w:textAlignment w:val="baseline"/>
              <w:rPr>
                <w:sz w:val="21"/>
                <w:szCs w:val="21"/>
              </w:rPr>
            </w:pPr>
            <w:r>
              <w:rPr>
                <w:sz w:val="21"/>
                <w:szCs w:val="21"/>
              </w:rPr>
              <w:t>1161.8</w:t>
            </w:r>
          </w:p>
        </w:tc>
      </w:tr>
      <w:tr w14:paraId="3BB06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0608A6E2">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14F6D64A">
            <w:pPr>
              <w:widowControl/>
              <w:spacing w:line="240" w:lineRule="auto"/>
              <w:ind w:firstLine="0" w:firstLineChars="0"/>
              <w:jc w:val="center"/>
              <w:textAlignment w:val="baseline"/>
              <w:rPr>
                <w:sz w:val="21"/>
                <w:szCs w:val="21"/>
              </w:rPr>
            </w:pPr>
            <w:r>
              <w:rPr>
                <w:sz w:val="21"/>
                <w:szCs w:val="21"/>
              </w:rPr>
              <w:t>年最小降雨量</w:t>
            </w:r>
          </w:p>
        </w:tc>
        <w:tc>
          <w:tcPr>
            <w:tcW w:w="1158" w:type="pct"/>
            <w:tcBorders>
              <w:top w:val="single" w:color="auto" w:sz="4" w:space="0"/>
              <w:left w:val="single" w:color="auto" w:sz="4" w:space="0"/>
              <w:bottom w:val="single" w:color="auto" w:sz="4" w:space="0"/>
              <w:right w:val="single" w:color="auto" w:sz="4" w:space="0"/>
            </w:tcBorders>
            <w:vAlign w:val="center"/>
          </w:tcPr>
          <w:p w14:paraId="5C879279">
            <w:pPr>
              <w:widowControl/>
              <w:spacing w:line="240" w:lineRule="auto"/>
              <w:ind w:firstLine="0" w:firstLineChars="0"/>
              <w:jc w:val="center"/>
              <w:textAlignment w:val="baseline"/>
              <w:rPr>
                <w:sz w:val="21"/>
                <w:szCs w:val="21"/>
              </w:rPr>
            </w:pPr>
            <w:r>
              <w:rPr>
                <w:sz w:val="21"/>
                <w:szCs w:val="21"/>
              </w:rPr>
              <w:t>mm</w:t>
            </w:r>
          </w:p>
        </w:tc>
        <w:tc>
          <w:tcPr>
            <w:tcW w:w="845" w:type="pct"/>
            <w:tcBorders>
              <w:top w:val="single" w:color="auto" w:sz="4" w:space="0"/>
              <w:left w:val="single" w:color="auto" w:sz="4" w:space="0"/>
              <w:bottom w:val="single" w:color="auto" w:sz="4" w:space="0"/>
              <w:right w:val="single" w:color="auto" w:sz="4" w:space="0"/>
            </w:tcBorders>
            <w:vAlign w:val="center"/>
          </w:tcPr>
          <w:p w14:paraId="580B11A2">
            <w:pPr>
              <w:widowControl/>
              <w:spacing w:line="240" w:lineRule="auto"/>
              <w:ind w:firstLine="0" w:firstLineChars="0"/>
              <w:jc w:val="center"/>
              <w:textAlignment w:val="baseline"/>
              <w:rPr>
                <w:sz w:val="21"/>
                <w:szCs w:val="21"/>
              </w:rPr>
            </w:pPr>
            <w:r>
              <w:rPr>
                <w:sz w:val="21"/>
                <w:szCs w:val="21"/>
              </w:rPr>
              <w:t>621.3</w:t>
            </w:r>
          </w:p>
        </w:tc>
      </w:tr>
      <w:tr w14:paraId="1FF3C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786D10C4">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0B2938A0">
            <w:pPr>
              <w:widowControl/>
              <w:spacing w:line="240" w:lineRule="auto"/>
              <w:ind w:firstLine="0" w:firstLineChars="0"/>
              <w:jc w:val="center"/>
              <w:textAlignment w:val="baseline"/>
              <w:rPr>
                <w:sz w:val="21"/>
                <w:szCs w:val="21"/>
              </w:rPr>
            </w:pPr>
            <w:r>
              <w:rPr>
                <w:sz w:val="21"/>
                <w:szCs w:val="21"/>
              </w:rPr>
              <w:t>月最大降雨量</w:t>
            </w:r>
          </w:p>
        </w:tc>
        <w:tc>
          <w:tcPr>
            <w:tcW w:w="1158" w:type="pct"/>
            <w:tcBorders>
              <w:top w:val="single" w:color="auto" w:sz="4" w:space="0"/>
              <w:left w:val="single" w:color="auto" w:sz="4" w:space="0"/>
              <w:bottom w:val="single" w:color="auto" w:sz="4" w:space="0"/>
              <w:right w:val="single" w:color="auto" w:sz="4" w:space="0"/>
            </w:tcBorders>
            <w:vAlign w:val="center"/>
          </w:tcPr>
          <w:p w14:paraId="476E0AB2">
            <w:pPr>
              <w:widowControl/>
              <w:spacing w:line="240" w:lineRule="auto"/>
              <w:ind w:firstLine="0" w:firstLineChars="0"/>
              <w:jc w:val="center"/>
              <w:textAlignment w:val="baseline"/>
              <w:rPr>
                <w:sz w:val="21"/>
                <w:szCs w:val="21"/>
              </w:rPr>
            </w:pPr>
            <w:r>
              <w:rPr>
                <w:sz w:val="21"/>
                <w:szCs w:val="21"/>
              </w:rPr>
              <w:t>mm</w:t>
            </w:r>
          </w:p>
        </w:tc>
        <w:tc>
          <w:tcPr>
            <w:tcW w:w="845" w:type="pct"/>
            <w:tcBorders>
              <w:top w:val="single" w:color="auto" w:sz="4" w:space="0"/>
              <w:left w:val="single" w:color="auto" w:sz="4" w:space="0"/>
              <w:bottom w:val="single" w:color="auto" w:sz="4" w:space="0"/>
              <w:right w:val="single" w:color="auto" w:sz="4" w:space="0"/>
            </w:tcBorders>
            <w:vAlign w:val="center"/>
          </w:tcPr>
          <w:p w14:paraId="639D2DD2">
            <w:pPr>
              <w:widowControl/>
              <w:spacing w:line="240" w:lineRule="auto"/>
              <w:ind w:firstLine="0" w:firstLineChars="0"/>
              <w:jc w:val="center"/>
              <w:textAlignment w:val="baseline"/>
              <w:rPr>
                <w:sz w:val="21"/>
                <w:szCs w:val="21"/>
              </w:rPr>
            </w:pPr>
            <w:r>
              <w:rPr>
                <w:sz w:val="21"/>
                <w:szCs w:val="21"/>
              </w:rPr>
              <w:t>418.9</w:t>
            </w:r>
          </w:p>
        </w:tc>
      </w:tr>
      <w:tr w14:paraId="10DB1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65E6F565">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68610C84">
            <w:pPr>
              <w:widowControl/>
              <w:spacing w:line="240" w:lineRule="auto"/>
              <w:ind w:firstLine="0" w:firstLineChars="0"/>
              <w:jc w:val="center"/>
              <w:textAlignment w:val="baseline"/>
              <w:rPr>
                <w:sz w:val="21"/>
                <w:szCs w:val="21"/>
              </w:rPr>
            </w:pPr>
            <w:r>
              <w:rPr>
                <w:sz w:val="21"/>
                <w:szCs w:val="21"/>
              </w:rPr>
              <w:t>日最大降雨量</w:t>
            </w:r>
          </w:p>
        </w:tc>
        <w:tc>
          <w:tcPr>
            <w:tcW w:w="1158" w:type="pct"/>
            <w:tcBorders>
              <w:top w:val="single" w:color="auto" w:sz="4" w:space="0"/>
              <w:left w:val="single" w:color="auto" w:sz="4" w:space="0"/>
              <w:bottom w:val="single" w:color="auto" w:sz="4" w:space="0"/>
              <w:right w:val="single" w:color="auto" w:sz="4" w:space="0"/>
            </w:tcBorders>
            <w:vAlign w:val="center"/>
          </w:tcPr>
          <w:p w14:paraId="6E2A0236">
            <w:pPr>
              <w:widowControl/>
              <w:spacing w:line="240" w:lineRule="auto"/>
              <w:ind w:firstLine="0" w:firstLineChars="0"/>
              <w:jc w:val="center"/>
              <w:textAlignment w:val="baseline"/>
              <w:rPr>
                <w:sz w:val="21"/>
                <w:szCs w:val="21"/>
              </w:rPr>
            </w:pPr>
            <w:r>
              <w:rPr>
                <w:sz w:val="21"/>
                <w:szCs w:val="21"/>
              </w:rPr>
              <w:t>mm</w:t>
            </w:r>
          </w:p>
        </w:tc>
        <w:tc>
          <w:tcPr>
            <w:tcW w:w="845" w:type="pct"/>
            <w:tcBorders>
              <w:top w:val="single" w:color="auto" w:sz="4" w:space="0"/>
              <w:left w:val="single" w:color="auto" w:sz="4" w:space="0"/>
              <w:bottom w:val="single" w:color="auto" w:sz="4" w:space="0"/>
              <w:right w:val="single" w:color="auto" w:sz="4" w:space="0"/>
            </w:tcBorders>
            <w:vAlign w:val="center"/>
          </w:tcPr>
          <w:p w14:paraId="5CA3BEC9">
            <w:pPr>
              <w:widowControl/>
              <w:spacing w:line="240" w:lineRule="auto"/>
              <w:ind w:firstLine="0" w:firstLineChars="0"/>
              <w:jc w:val="center"/>
              <w:textAlignment w:val="baseline"/>
              <w:rPr>
                <w:sz w:val="21"/>
                <w:szCs w:val="21"/>
              </w:rPr>
            </w:pPr>
            <w:r>
              <w:rPr>
                <w:sz w:val="21"/>
                <w:szCs w:val="21"/>
              </w:rPr>
              <w:t>153.3</w:t>
            </w:r>
          </w:p>
        </w:tc>
      </w:tr>
      <w:tr w14:paraId="5636C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40302466">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11F13B18">
            <w:pPr>
              <w:widowControl/>
              <w:spacing w:line="240" w:lineRule="auto"/>
              <w:ind w:firstLine="0" w:firstLineChars="0"/>
              <w:jc w:val="center"/>
              <w:textAlignment w:val="baseline"/>
              <w:rPr>
                <w:sz w:val="21"/>
                <w:szCs w:val="21"/>
              </w:rPr>
            </w:pPr>
            <w:r>
              <w:rPr>
                <w:sz w:val="21"/>
                <w:szCs w:val="21"/>
              </w:rPr>
              <w:t>年平均降雨天数</w:t>
            </w:r>
          </w:p>
        </w:tc>
        <w:tc>
          <w:tcPr>
            <w:tcW w:w="1158" w:type="pct"/>
            <w:tcBorders>
              <w:top w:val="single" w:color="auto" w:sz="4" w:space="0"/>
              <w:left w:val="single" w:color="auto" w:sz="4" w:space="0"/>
              <w:bottom w:val="single" w:color="auto" w:sz="4" w:space="0"/>
              <w:right w:val="single" w:color="auto" w:sz="4" w:space="0"/>
            </w:tcBorders>
            <w:vAlign w:val="center"/>
          </w:tcPr>
          <w:p w14:paraId="6E74B99E">
            <w:pPr>
              <w:widowControl/>
              <w:spacing w:line="240" w:lineRule="auto"/>
              <w:ind w:firstLine="0" w:firstLineChars="0"/>
              <w:jc w:val="center"/>
              <w:textAlignment w:val="baseline"/>
              <w:rPr>
                <w:sz w:val="21"/>
                <w:szCs w:val="21"/>
              </w:rPr>
            </w:pPr>
            <w:r>
              <w:rPr>
                <w:sz w:val="21"/>
                <w:szCs w:val="21"/>
              </w:rPr>
              <w:t>day</w:t>
            </w:r>
          </w:p>
        </w:tc>
        <w:tc>
          <w:tcPr>
            <w:tcW w:w="845" w:type="pct"/>
            <w:tcBorders>
              <w:top w:val="single" w:color="auto" w:sz="4" w:space="0"/>
              <w:left w:val="single" w:color="auto" w:sz="4" w:space="0"/>
              <w:bottom w:val="single" w:color="auto" w:sz="4" w:space="0"/>
              <w:right w:val="single" w:color="auto" w:sz="4" w:space="0"/>
            </w:tcBorders>
            <w:vAlign w:val="center"/>
          </w:tcPr>
          <w:p w14:paraId="0F01E18E">
            <w:pPr>
              <w:widowControl/>
              <w:spacing w:line="240" w:lineRule="auto"/>
              <w:ind w:firstLine="0" w:firstLineChars="0"/>
              <w:jc w:val="center"/>
              <w:textAlignment w:val="baseline"/>
              <w:rPr>
                <w:sz w:val="21"/>
                <w:szCs w:val="21"/>
              </w:rPr>
            </w:pPr>
            <w:r>
              <w:rPr>
                <w:sz w:val="21"/>
                <w:szCs w:val="21"/>
              </w:rPr>
              <w:t>131</w:t>
            </w:r>
          </w:p>
        </w:tc>
      </w:tr>
      <w:tr w14:paraId="2A650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0DAA3F31">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5746FFA9">
            <w:pPr>
              <w:widowControl/>
              <w:spacing w:line="240" w:lineRule="auto"/>
              <w:ind w:firstLine="0" w:firstLineChars="0"/>
              <w:jc w:val="center"/>
              <w:textAlignment w:val="baseline"/>
              <w:rPr>
                <w:sz w:val="21"/>
                <w:szCs w:val="21"/>
              </w:rPr>
            </w:pPr>
            <w:r>
              <w:rPr>
                <w:sz w:val="21"/>
                <w:szCs w:val="21"/>
              </w:rPr>
              <w:t>连续最大降雨量</w:t>
            </w:r>
          </w:p>
        </w:tc>
        <w:tc>
          <w:tcPr>
            <w:tcW w:w="1158" w:type="pct"/>
            <w:tcBorders>
              <w:top w:val="single" w:color="auto" w:sz="4" w:space="0"/>
              <w:left w:val="single" w:color="auto" w:sz="4" w:space="0"/>
              <w:bottom w:val="single" w:color="auto" w:sz="4" w:space="0"/>
              <w:right w:val="single" w:color="auto" w:sz="4" w:space="0"/>
            </w:tcBorders>
            <w:vAlign w:val="center"/>
          </w:tcPr>
          <w:p w14:paraId="59CACD76">
            <w:pPr>
              <w:widowControl/>
              <w:spacing w:line="240" w:lineRule="auto"/>
              <w:ind w:firstLine="0" w:firstLineChars="0"/>
              <w:jc w:val="center"/>
              <w:textAlignment w:val="baseline"/>
              <w:rPr>
                <w:sz w:val="21"/>
                <w:szCs w:val="21"/>
              </w:rPr>
            </w:pPr>
            <w:r>
              <w:rPr>
                <w:sz w:val="21"/>
                <w:szCs w:val="21"/>
              </w:rPr>
              <w:t>mm</w:t>
            </w:r>
          </w:p>
        </w:tc>
        <w:tc>
          <w:tcPr>
            <w:tcW w:w="845" w:type="pct"/>
            <w:tcBorders>
              <w:top w:val="single" w:color="auto" w:sz="4" w:space="0"/>
              <w:left w:val="single" w:color="auto" w:sz="4" w:space="0"/>
              <w:bottom w:val="single" w:color="auto" w:sz="4" w:space="0"/>
              <w:right w:val="single" w:color="auto" w:sz="4" w:space="0"/>
            </w:tcBorders>
            <w:vAlign w:val="center"/>
          </w:tcPr>
          <w:p w14:paraId="54390441">
            <w:pPr>
              <w:widowControl/>
              <w:spacing w:line="240" w:lineRule="auto"/>
              <w:ind w:firstLine="0" w:firstLineChars="0"/>
              <w:jc w:val="center"/>
              <w:textAlignment w:val="baseline"/>
              <w:rPr>
                <w:sz w:val="21"/>
                <w:szCs w:val="21"/>
              </w:rPr>
            </w:pPr>
            <w:r>
              <w:rPr>
                <w:sz w:val="21"/>
                <w:szCs w:val="21"/>
              </w:rPr>
              <w:t>271.5</w:t>
            </w:r>
          </w:p>
        </w:tc>
      </w:tr>
      <w:tr w14:paraId="30499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restart"/>
            <w:tcBorders>
              <w:top w:val="single" w:color="auto" w:sz="4" w:space="0"/>
              <w:left w:val="single" w:color="auto" w:sz="4" w:space="0"/>
              <w:right w:val="single" w:color="auto" w:sz="4" w:space="0"/>
            </w:tcBorders>
            <w:vAlign w:val="center"/>
          </w:tcPr>
          <w:p w14:paraId="013E9546">
            <w:pPr>
              <w:widowControl/>
              <w:spacing w:line="240" w:lineRule="auto"/>
              <w:ind w:firstLine="0" w:firstLineChars="0"/>
              <w:jc w:val="center"/>
              <w:textAlignment w:val="baseline"/>
              <w:rPr>
                <w:sz w:val="21"/>
                <w:szCs w:val="21"/>
              </w:rPr>
            </w:pPr>
            <w:r>
              <w:rPr>
                <w:sz w:val="21"/>
                <w:szCs w:val="21"/>
              </w:rPr>
              <w:t>5</w:t>
            </w:r>
          </w:p>
        </w:tc>
        <w:tc>
          <w:tcPr>
            <w:tcW w:w="2531" w:type="pct"/>
            <w:tcBorders>
              <w:top w:val="single" w:color="auto" w:sz="4" w:space="0"/>
              <w:left w:val="single" w:color="auto" w:sz="4" w:space="0"/>
              <w:bottom w:val="single" w:color="auto" w:sz="4" w:space="0"/>
              <w:right w:val="single" w:color="auto" w:sz="4" w:space="0"/>
            </w:tcBorders>
            <w:vAlign w:val="center"/>
          </w:tcPr>
          <w:p w14:paraId="58F15307">
            <w:pPr>
              <w:widowControl/>
              <w:spacing w:line="240" w:lineRule="auto"/>
              <w:ind w:firstLine="0" w:firstLineChars="0"/>
              <w:jc w:val="center"/>
              <w:textAlignment w:val="baseline"/>
              <w:rPr>
                <w:b/>
                <w:sz w:val="21"/>
                <w:szCs w:val="21"/>
              </w:rPr>
            </w:pPr>
            <w:r>
              <w:rPr>
                <w:b/>
                <w:sz w:val="21"/>
                <w:szCs w:val="21"/>
              </w:rPr>
              <w:t>降雪</w:t>
            </w:r>
          </w:p>
        </w:tc>
        <w:tc>
          <w:tcPr>
            <w:tcW w:w="1158" w:type="pct"/>
            <w:tcBorders>
              <w:top w:val="single" w:color="auto" w:sz="4" w:space="0"/>
              <w:left w:val="single" w:color="auto" w:sz="4" w:space="0"/>
              <w:bottom w:val="single" w:color="auto" w:sz="4" w:space="0"/>
              <w:right w:val="single" w:color="auto" w:sz="4" w:space="0"/>
            </w:tcBorders>
            <w:vAlign w:val="center"/>
          </w:tcPr>
          <w:p w14:paraId="3D0B2104">
            <w:pPr>
              <w:widowControl/>
              <w:spacing w:line="240" w:lineRule="auto"/>
              <w:ind w:firstLine="0" w:firstLineChars="0"/>
              <w:jc w:val="center"/>
              <w:textAlignment w:val="baseline"/>
              <w:rPr>
                <w:sz w:val="21"/>
                <w:szCs w:val="21"/>
              </w:rPr>
            </w:pPr>
          </w:p>
        </w:tc>
        <w:tc>
          <w:tcPr>
            <w:tcW w:w="845" w:type="pct"/>
            <w:tcBorders>
              <w:top w:val="single" w:color="auto" w:sz="4" w:space="0"/>
              <w:left w:val="single" w:color="auto" w:sz="4" w:space="0"/>
              <w:bottom w:val="single" w:color="auto" w:sz="4" w:space="0"/>
              <w:right w:val="single" w:color="auto" w:sz="4" w:space="0"/>
            </w:tcBorders>
            <w:vAlign w:val="center"/>
          </w:tcPr>
          <w:p w14:paraId="6EFE63DA">
            <w:pPr>
              <w:widowControl/>
              <w:spacing w:line="240" w:lineRule="auto"/>
              <w:ind w:firstLine="0" w:firstLineChars="0"/>
              <w:jc w:val="center"/>
              <w:textAlignment w:val="baseline"/>
              <w:rPr>
                <w:sz w:val="21"/>
                <w:szCs w:val="21"/>
              </w:rPr>
            </w:pPr>
          </w:p>
        </w:tc>
      </w:tr>
      <w:tr w14:paraId="096B5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11CE6CEA">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37350368">
            <w:pPr>
              <w:widowControl/>
              <w:spacing w:line="240" w:lineRule="auto"/>
              <w:ind w:firstLine="0" w:firstLineChars="0"/>
              <w:jc w:val="center"/>
              <w:textAlignment w:val="baseline"/>
              <w:rPr>
                <w:sz w:val="21"/>
                <w:szCs w:val="21"/>
              </w:rPr>
            </w:pPr>
            <w:r>
              <w:rPr>
                <w:sz w:val="21"/>
                <w:szCs w:val="21"/>
              </w:rPr>
              <w:t>最大积雪厚度</w:t>
            </w:r>
          </w:p>
        </w:tc>
        <w:tc>
          <w:tcPr>
            <w:tcW w:w="1158" w:type="pct"/>
            <w:tcBorders>
              <w:top w:val="single" w:color="auto" w:sz="4" w:space="0"/>
              <w:left w:val="single" w:color="auto" w:sz="4" w:space="0"/>
              <w:bottom w:val="single" w:color="auto" w:sz="4" w:space="0"/>
              <w:right w:val="single" w:color="auto" w:sz="4" w:space="0"/>
            </w:tcBorders>
            <w:vAlign w:val="center"/>
          </w:tcPr>
          <w:p w14:paraId="07D081AE">
            <w:pPr>
              <w:widowControl/>
              <w:spacing w:line="240" w:lineRule="auto"/>
              <w:ind w:firstLine="0" w:firstLineChars="0"/>
              <w:jc w:val="center"/>
              <w:textAlignment w:val="baseline"/>
              <w:rPr>
                <w:sz w:val="21"/>
                <w:szCs w:val="21"/>
              </w:rPr>
            </w:pPr>
            <w:r>
              <w:rPr>
                <w:sz w:val="21"/>
                <w:szCs w:val="21"/>
              </w:rPr>
              <w:t>mm</w:t>
            </w:r>
          </w:p>
        </w:tc>
        <w:tc>
          <w:tcPr>
            <w:tcW w:w="845" w:type="pct"/>
            <w:tcBorders>
              <w:top w:val="single" w:color="auto" w:sz="4" w:space="0"/>
              <w:left w:val="single" w:color="auto" w:sz="4" w:space="0"/>
              <w:bottom w:val="single" w:color="auto" w:sz="4" w:space="0"/>
              <w:right w:val="single" w:color="auto" w:sz="4" w:space="0"/>
            </w:tcBorders>
            <w:vAlign w:val="center"/>
          </w:tcPr>
          <w:p w14:paraId="650B9BF8">
            <w:pPr>
              <w:widowControl/>
              <w:spacing w:line="240" w:lineRule="auto"/>
              <w:ind w:firstLine="0" w:firstLineChars="0"/>
              <w:jc w:val="center"/>
              <w:textAlignment w:val="baseline"/>
              <w:rPr>
                <w:sz w:val="21"/>
                <w:szCs w:val="21"/>
              </w:rPr>
            </w:pPr>
            <w:r>
              <w:rPr>
                <w:sz w:val="21"/>
                <w:szCs w:val="21"/>
              </w:rPr>
              <w:t>230</w:t>
            </w:r>
          </w:p>
        </w:tc>
      </w:tr>
      <w:tr w14:paraId="32521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75CC6752">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3DA4A927">
            <w:pPr>
              <w:widowControl/>
              <w:spacing w:line="240" w:lineRule="auto"/>
              <w:ind w:firstLine="0" w:firstLineChars="0"/>
              <w:jc w:val="center"/>
              <w:textAlignment w:val="baseline"/>
              <w:rPr>
                <w:sz w:val="21"/>
                <w:szCs w:val="21"/>
              </w:rPr>
            </w:pPr>
            <w:r>
              <w:rPr>
                <w:sz w:val="21"/>
                <w:szCs w:val="21"/>
              </w:rPr>
              <w:t>平均积雪厚度</w:t>
            </w:r>
          </w:p>
        </w:tc>
        <w:tc>
          <w:tcPr>
            <w:tcW w:w="1158" w:type="pct"/>
            <w:tcBorders>
              <w:top w:val="single" w:color="auto" w:sz="4" w:space="0"/>
              <w:left w:val="single" w:color="auto" w:sz="4" w:space="0"/>
              <w:bottom w:val="single" w:color="auto" w:sz="4" w:space="0"/>
              <w:right w:val="single" w:color="auto" w:sz="4" w:space="0"/>
            </w:tcBorders>
            <w:vAlign w:val="center"/>
          </w:tcPr>
          <w:p w14:paraId="70FA1A73">
            <w:pPr>
              <w:widowControl/>
              <w:spacing w:line="240" w:lineRule="auto"/>
              <w:ind w:firstLine="0" w:firstLineChars="0"/>
              <w:jc w:val="center"/>
              <w:textAlignment w:val="baseline"/>
              <w:rPr>
                <w:sz w:val="21"/>
                <w:szCs w:val="21"/>
              </w:rPr>
            </w:pPr>
            <w:r>
              <w:rPr>
                <w:sz w:val="21"/>
                <w:szCs w:val="21"/>
              </w:rPr>
              <w:t>mm</w:t>
            </w:r>
          </w:p>
        </w:tc>
        <w:tc>
          <w:tcPr>
            <w:tcW w:w="845" w:type="pct"/>
            <w:tcBorders>
              <w:top w:val="single" w:color="auto" w:sz="4" w:space="0"/>
              <w:left w:val="single" w:color="auto" w:sz="4" w:space="0"/>
              <w:bottom w:val="single" w:color="auto" w:sz="4" w:space="0"/>
              <w:right w:val="single" w:color="auto" w:sz="4" w:space="0"/>
            </w:tcBorders>
            <w:vAlign w:val="center"/>
          </w:tcPr>
          <w:p w14:paraId="45D5B373">
            <w:pPr>
              <w:widowControl/>
              <w:spacing w:line="240" w:lineRule="auto"/>
              <w:ind w:firstLine="0" w:firstLineChars="0"/>
              <w:jc w:val="center"/>
              <w:textAlignment w:val="baseline"/>
              <w:rPr>
                <w:sz w:val="21"/>
                <w:szCs w:val="21"/>
              </w:rPr>
            </w:pPr>
            <w:r>
              <w:rPr>
                <w:sz w:val="21"/>
                <w:szCs w:val="21"/>
              </w:rPr>
              <w:t>130</w:t>
            </w:r>
          </w:p>
        </w:tc>
      </w:tr>
      <w:tr w14:paraId="1B5EC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1365A7F8">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3DE9984E">
            <w:pPr>
              <w:widowControl/>
              <w:spacing w:line="240" w:lineRule="auto"/>
              <w:ind w:firstLine="0" w:firstLineChars="0"/>
              <w:jc w:val="center"/>
              <w:textAlignment w:val="baseline"/>
              <w:rPr>
                <w:sz w:val="21"/>
                <w:szCs w:val="21"/>
              </w:rPr>
            </w:pPr>
            <w:r>
              <w:rPr>
                <w:sz w:val="21"/>
                <w:szCs w:val="21"/>
              </w:rPr>
              <w:t>基本雪压</w:t>
            </w:r>
          </w:p>
        </w:tc>
        <w:tc>
          <w:tcPr>
            <w:tcW w:w="1158" w:type="pct"/>
            <w:tcBorders>
              <w:top w:val="single" w:color="auto" w:sz="4" w:space="0"/>
              <w:left w:val="single" w:color="auto" w:sz="4" w:space="0"/>
              <w:bottom w:val="single" w:color="auto" w:sz="4" w:space="0"/>
              <w:right w:val="single" w:color="auto" w:sz="4" w:space="0"/>
            </w:tcBorders>
            <w:vAlign w:val="center"/>
          </w:tcPr>
          <w:p w14:paraId="4584BF8D">
            <w:pPr>
              <w:widowControl/>
              <w:spacing w:line="240" w:lineRule="auto"/>
              <w:ind w:firstLine="0" w:firstLineChars="0"/>
              <w:jc w:val="center"/>
              <w:textAlignment w:val="baseline"/>
              <w:rPr>
                <w:sz w:val="21"/>
                <w:szCs w:val="21"/>
              </w:rPr>
            </w:pPr>
            <w:r>
              <w:rPr>
                <w:sz w:val="21"/>
                <w:szCs w:val="21"/>
              </w:rPr>
              <w:t>kN/</w:t>
            </w:r>
            <w:r>
              <w:rPr>
                <w:rFonts w:hint="eastAsia"/>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10B56E8D">
            <w:pPr>
              <w:widowControl/>
              <w:spacing w:line="240" w:lineRule="auto"/>
              <w:ind w:firstLine="0" w:firstLineChars="0"/>
              <w:jc w:val="center"/>
              <w:textAlignment w:val="baseline"/>
              <w:rPr>
                <w:sz w:val="21"/>
                <w:szCs w:val="21"/>
              </w:rPr>
            </w:pPr>
            <w:r>
              <w:rPr>
                <w:sz w:val="21"/>
                <w:szCs w:val="21"/>
              </w:rPr>
              <w:t>0.3</w:t>
            </w:r>
          </w:p>
        </w:tc>
      </w:tr>
      <w:tr w14:paraId="0E1E3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restart"/>
            <w:tcBorders>
              <w:top w:val="single" w:color="auto" w:sz="4" w:space="0"/>
              <w:left w:val="single" w:color="auto" w:sz="4" w:space="0"/>
              <w:right w:val="single" w:color="auto" w:sz="4" w:space="0"/>
            </w:tcBorders>
            <w:vAlign w:val="center"/>
          </w:tcPr>
          <w:p w14:paraId="1D203762">
            <w:pPr>
              <w:widowControl/>
              <w:spacing w:line="240" w:lineRule="auto"/>
              <w:ind w:firstLine="0" w:firstLineChars="0"/>
              <w:jc w:val="center"/>
              <w:textAlignment w:val="baseline"/>
              <w:rPr>
                <w:sz w:val="21"/>
                <w:szCs w:val="21"/>
              </w:rPr>
            </w:pPr>
            <w:r>
              <w:rPr>
                <w:sz w:val="21"/>
                <w:szCs w:val="21"/>
              </w:rPr>
              <w:t>6</w:t>
            </w:r>
          </w:p>
        </w:tc>
        <w:tc>
          <w:tcPr>
            <w:tcW w:w="2531" w:type="pct"/>
            <w:tcBorders>
              <w:top w:val="single" w:color="auto" w:sz="4" w:space="0"/>
              <w:left w:val="single" w:color="auto" w:sz="4" w:space="0"/>
              <w:bottom w:val="single" w:color="auto" w:sz="4" w:space="0"/>
              <w:right w:val="single" w:color="auto" w:sz="4" w:space="0"/>
            </w:tcBorders>
            <w:vAlign w:val="center"/>
          </w:tcPr>
          <w:p w14:paraId="77F97E85">
            <w:pPr>
              <w:widowControl/>
              <w:spacing w:line="240" w:lineRule="auto"/>
              <w:ind w:firstLine="0" w:firstLineChars="0"/>
              <w:jc w:val="center"/>
              <w:textAlignment w:val="baseline"/>
              <w:rPr>
                <w:b/>
                <w:sz w:val="21"/>
                <w:szCs w:val="21"/>
              </w:rPr>
            </w:pPr>
            <w:r>
              <w:rPr>
                <w:b/>
                <w:sz w:val="21"/>
                <w:szCs w:val="21"/>
              </w:rPr>
              <w:t>风向</w:t>
            </w:r>
          </w:p>
        </w:tc>
        <w:tc>
          <w:tcPr>
            <w:tcW w:w="1158" w:type="pct"/>
            <w:tcBorders>
              <w:top w:val="single" w:color="auto" w:sz="4" w:space="0"/>
              <w:left w:val="single" w:color="auto" w:sz="4" w:space="0"/>
              <w:bottom w:val="single" w:color="auto" w:sz="4" w:space="0"/>
              <w:right w:val="single" w:color="auto" w:sz="4" w:space="0"/>
            </w:tcBorders>
            <w:vAlign w:val="center"/>
          </w:tcPr>
          <w:p w14:paraId="39779EF1">
            <w:pPr>
              <w:widowControl/>
              <w:spacing w:line="240" w:lineRule="auto"/>
              <w:ind w:firstLine="0" w:firstLineChars="0"/>
              <w:jc w:val="center"/>
              <w:textAlignment w:val="baseline"/>
              <w:rPr>
                <w:sz w:val="21"/>
                <w:szCs w:val="21"/>
              </w:rPr>
            </w:pPr>
          </w:p>
        </w:tc>
        <w:tc>
          <w:tcPr>
            <w:tcW w:w="845" w:type="pct"/>
            <w:tcBorders>
              <w:top w:val="single" w:color="auto" w:sz="4" w:space="0"/>
              <w:left w:val="single" w:color="auto" w:sz="4" w:space="0"/>
              <w:bottom w:val="single" w:color="auto" w:sz="4" w:space="0"/>
              <w:right w:val="single" w:color="auto" w:sz="4" w:space="0"/>
            </w:tcBorders>
            <w:vAlign w:val="center"/>
          </w:tcPr>
          <w:p w14:paraId="3D19494F">
            <w:pPr>
              <w:widowControl/>
              <w:spacing w:line="240" w:lineRule="auto"/>
              <w:ind w:firstLine="0" w:firstLineChars="0"/>
              <w:jc w:val="center"/>
              <w:textAlignment w:val="baseline"/>
              <w:rPr>
                <w:sz w:val="21"/>
                <w:szCs w:val="21"/>
              </w:rPr>
            </w:pPr>
          </w:p>
        </w:tc>
      </w:tr>
      <w:tr w14:paraId="1A693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3896D9B1">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0E2A3837">
            <w:pPr>
              <w:widowControl/>
              <w:spacing w:line="240" w:lineRule="auto"/>
              <w:ind w:firstLine="0" w:firstLineChars="0"/>
              <w:jc w:val="center"/>
              <w:textAlignment w:val="baseline"/>
              <w:rPr>
                <w:sz w:val="21"/>
                <w:szCs w:val="21"/>
              </w:rPr>
            </w:pPr>
            <w:r>
              <w:rPr>
                <w:sz w:val="21"/>
                <w:szCs w:val="21"/>
              </w:rPr>
              <w:t>静风频率</w:t>
            </w:r>
          </w:p>
        </w:tc>
        <w:tc>
          <w:tcPr>
            <w:tcW w:w="1158" w:type="pct"/>
            <w:tcBorders>
              <w:top w:val="single" w:color="auto" w:sz="4" w:space="0"/>
              <w:left w:val="single" w:color="auto" w:sz="4" w:space="0"/>
              <w:bottom w:val="single" w:color="auto" w:sz="4" w:space="0"/>
              <w:right w:val="single" w:color="auto" w:sz="4" w:space="0"/>
            </w:tcBorders>
            <w:vAlign w:val="center"/>
          </w:tcPr>
          <w:p w14:paraId="04BB5274">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2156CFA9">
            <w:pPr>
              <w:widowControl/>
              <w:spacing w:line="240" w:lineRule="auto"/>
              <w:ind w:firstLine="0" w:firstLineChars="0"/>
              <w:jc w:val="center"/>
              <w:textAlignment w:val="baseline"/>
              <w:rPr>
                <w:sz w:val="21"/>
                <w:szCs w:val="21"/>
              </w:rPr>
            </w:pPr>
            <w:r>
              <w:rPr>
                <w:sz w:val="21"/>
                <w:szCs w:val="21"/>
              </w:rPr>
              <w:t>35</w:t>
            </w:r>
          </w:p>
        </w:tc>
      </w:tr>
      <w:tr w14:paraId="2FD15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526DAB37">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544E4E7F">
            <w:pPr>
              <w:widowControl/>
              <w:spacing w:line="240" w:lineRule="auto"/>
              <w:ind w:firstLine="0" w:firstLineChars="0"/>
              <w:jc w:val="center"/>
              <w:textAlignment w:val="baseline"/>
              <w:rPr>
                <w:sz w:val="21"/>
                <w:szCs w:val="21"/>
              </w:rPr>
            </w:pPr>
            <w:r>
              <w:rPr>
                <w:sz w:val="21"/>
                <w:szCs w:val="21"/>
              </w:rPr>
              <w:t>年主导风向频率（WSW风）</w:t>
            </w:r>
          </w:p>
        </w:tc>
        <w:tc>
          <w:tcPr>
            <w:tcW w:w="1158" w:type="pct"/>
            <w:tcBorders>
              <w:top w:val="single" w:color="auto" w:sz="4" w:space="0"/>
              <w:left w:val="single" w:color="auto" w:sz="4" w:space="0"/>
              <w:bottom w:val="single" w:color="auto" w:sz="4" w:space="0"/>
              <w:right w:val="single" w:color="auto" w:sz="4" w:space="0"/>
            </w:tcBorders>
            <w:vAlign w:val="center"/>
          </w:tcPr>
          <w:p w14:paraId="5B263F18">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654F5734">
            <w:pPr>
              <w:widowControl/>
              <w:spacing w:line="240" w:lineRule="auto"/>
              <w:ind w:firstLine="0" w:firstLineChars="0"/>
              <w:jc w:val="center"/>
              <w:textAlignment w:val="baseline"/>
              <w:rPr>
                <w:sz w:val="21"/>
                <w:szCs w:val="21"/>
              </w:rPr>
            </w:pPr>
            <w:r>
              <w:rPr>
                <w:sz w:val="21"/>
                <w:szCs w:val="21"/>
              </w:rPr>
              <w:t>10.7</w:t>
            </w:r>
          </w:p>
        </w:tc>
      </w:tr>
      <w:tr w14:paraId="012A1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0E0766C0">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4CFD83DA">
            <w:pPr>
              <w:widowControl/>
              <w:spacing w:line="240" w:lineRule="auto"/>
              <w:ind w:firstLine="0" w:firstLineChars="0"/>
              <w:jc w:val="center"/>
              <w:textAlignment w:val="baseline"/>
              <w:rPr>
                <w:sz w:val="21"/>
                <w:szCs w:val="21"/>
              </w:rPr>
            </w:pPr>
            <w:r>
              <w:rPr>
                <w:sz w:val="21"/>
                <w:szCs w:val="21"/>
              </w:rPr>
              <w:t>年次主导风向频率（W风）</w:t>
            </w:r>
          </w:p>
        </w:tc>
        <w:tc>
          <w:tcPr>
            <w:tcW w:w="1158" w:type="pct"/>
            <w:tcBorders>
              <w:top w:val="single" w:color="auto" w:sz="4" w:space="0"/>
              <w:left w:val="single" w:color="auto" w:sz="4" w:space="0"/>
              <w:bottom w:val="single" w:color="auto" w:sz="4" w:space="0"/>
              <w:right w:val="single" w:color="auto" w:sz="4" w:space="0"/>
            </w:tcBorders>
            <w:vAlign w:val="center"/>
          </w:tcPr>
          <w:p w14:paraId="34B83390">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199EEE56">
            <w:pPr>
              <w:widowControl/>
              <w:spacing w:line="240" w:lineRule="auto"/>
              <w:ind w:firstLine="0" w:firstLineChars="0"/>
              <w:jc w:val="center"/>
              <w:textAlignment w:val="baseline"/>
              <w:rPr>
                <w:sz w:val="21"/>
                <w:szCs w:val="21"/>
              </w:rPr>
            </w:pPr>
            <w:r>
              <w:rPr>
                <w:sz w:val="21"/>
                <w:szCs w:val="21"/>
              </w:rPr>
              <w:t>9.7</w:t>
            </w:r>
          </w:p>
        </w:tc>
      </w:tr>
      <w:tr w14:paraId="6C80A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46B22F72">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3CD2FAE9">
            <w:pPr>
              <w:widowControl/>
              <w:spacing w:line="240" w:lineRule="auto"/>
              <w:ind w:firstLine="0" w:firstLineChars="0"/>
              <w:jc w:val="center"/>
              <w:textAlignment w:val="baseline"/>
              <w:rPr>
                <w:sz w:val="21"/>
                <w:szCs w:val="21"/>
              </w:rPr>
            </w:pPr>
            <w:r>
              <w:rPr>
                <w:sz w:val="21"/>
                <w:szCs w:val="21"/>
              </w:rPr>
              <w:t>冬季静风频率</w:t>
            </w:r>
          </w:p>
        </w:tc>
        <w:tc>
          <w:tcPr>
            <w:tcW w:w="1158" w:type="pct"/>
            <w:tcBorders>
              <w:top w:val="single" w:color="auto" w:sz="4" w:space="0"/>
              <w:left w:val="single" w:color="auto" w:sz="4" w:space="0"/>
              <w:bottom w:val="single" w:color="auto" w:sz="4" w:space="0"/>
              <w:right w:val="single" w:color="auto" w:sz="4" w:space="0"/>
            </w:tcBorders>
            <w:vAlign w:val="center"/>
          </w:tcPr>
          <w:p w14:paraId="04F0A16D">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1E6D91D7">
            <w:pPr>
              <w:widowControl/>
              <w:spacing w:line="240" w:lineRule="auto"/>
              <w:ind w:firstLine="0" w:firstLineChars="0"/>
              <w:jc w:val="center"/>
              <w:textAlignment w:val="baseline"/>
              <w:rPr>
                <w:sz w:val="21"/>
                <w:szCs w:val="21"/>
              </w:rPr>
            </w:pPr>
            <w:r>
              <w:rPr>
                <w:sz w:val="21"/>
                <w:szCs w:val="21"/>
              </w:rPr>
              <w:t>39</w:t>
            </w:r>
          </w:p>
        </w:tc>
      </w:tr>
      <w:tr w14:paraId="6FA60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1E2AC9A1">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6A85E1F4">
            <w:pPr>
              <w:widowControl/>
              <w:spacing w:line="240" w:lineRule="auto"/>
              <w:ind w:firstLine="0" w:firstLineChars="0"/>
              <w:jc w:val="center"/>
              <w:textAlignment w:val="baseline"/>
              <w:rPr>
                <w:sz w:val="21"/>
                <w:szCs w:val="21"/>
              </w:rPr>
            </w:pPr>
            <w:r>
              <w:rPr>
                <w:sz w:val="21"/>
                <w:szCs w:val="21"/>
              </w:rPr>
              <w:t>夏季静风频率</w:t>
            </w:r>
          </w:p>
        </w:tc>
        <w:tc>
          <w:tcPr>
            <w:tcW w:w="1158" w:type="pct"/>
            <w:tcBorders>
              <w:top w:val="single" w:color="auto" w:sz="4" w:space="0"/>
              <w:left w:val="single" w:color="auto" w:sz="4" w:space="0"/>
              <w:bottom w:val="single" w:color="auto" w:sz="4" w:space="0"/>
              <w:right w:val="single" w:color="auto" w:sz="4" w:space="0"/>
            </w:tcBorders>
            <w:vAlign w:val="center"/>
          </w:tcPr>
          <w:p w14:paraId="2D3A3DE2">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2E64E4B0">
            <w:pPr>
              <w:widowControl/>
              <w:spacing w:line="240" w:lineRule="auto"/>
              <w:ind w:firstLine="0" w:firstLineChars="0"/>
              <w:jc w:val="center"/>
              <w:textAlignment w:val="baseline"/>
              <w:rPr>
                <w:sz w:val="21"/>
                <w:szCs w:val="21"/>
              </w:rPr>
            </w:pPr>
            <w:r>
              <w:rPr>
                <w:sz w:val="21"/>
                <w:szCs w:val="21"/>
              </w:rPr>
              <w:t>31</w:t>
            </w:r>
          </w:p>
        </w:tc>
      </w:tr>
      <w:tr w14:paraId="20FFA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4FAAC5A1">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656C9285">
            <w:pPr>
              <w:widowControl/>
              <w:spacing w:line="240" w:lineRule="auto"/>
              <w:ind w:firstLine="0" w:firstLineChars="0"/>
              <w:jc w:val="center"/>
              <w:textAlignment w:val="baseline"/>
              <w:rPr>
                <w:sz w:val="21"/>
                <w:szCs w:val="21"/>
              </w:rPr>
            </w:pPr>
            <w:r>
              <w:rPr>
                <w:sz w:val="21"/>
                <w:szCs w:val="21"/>
              </w:rPr>
              <w:t>冬季主导风向频率（W风）</w:t>
            </w:r>
          </w:p>
        </w:tc>
        <w:tc>
          <w:tcPr>
            <w:tcW w:w="1158" w:type="pct"/>
            <w:tcBorders>
              <w:top w:val="single" w:color="auto" w:sz="4" w:space="0"/>
              <w:left w:val="single" w:color="auto" w:sz="4" w:space="0"/>
              <w:bottom w:val="single" w:color="auto" w:sz="4" w:space="0"/>
              <w:right w:val="single" w:color="auto" w:sz="4" w:space="0"/>
            </w:tcBorders>
            <w:vAlign w:val="center"/>
          </w:tcPr>
          <w:p w14:paraId="113DDAC6">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0CFEAB56">
            <w:pPr>
              <w:widowControl/>
              <w:spacing w:line="240" w:lineRule="auto"/>
              <w:ind w:firstLine="0" w:firstLineChars="0"/>
              <w:jc w:val="center"/>
              <w:textAlignment w:val="baseline"/>
              <w:rPr>
                <w:sz w:val="21"/>
                <w:szCs w:val="21"/>
              </w:rPr>
            </w:pPr>
            <w:r>
              <w:rPr>
                <w:sz w:val="21"/>
                <w:szCs w:val="21"/>
              </w:rPr>
              <w:t>17.5</w:t>
            </w:r>
          </w:p>
        </w:tc>
      </w:tr>
      <w:tr w14:paraId="0BE77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466" w:type="pct"/>
            <w:vMerge w:val="continue"/>
            <w:tcBorders>
              <w:left w:val="single" w:color="auto" w:sz="4" w:space="0"/>
              <w:right w:val="single" w:color="auto" w:sz="4" w:space="0"/>
            </w:tcBorders>
            <w:vAlign w:val="center"/>
          </w:tcPr>
          <w:p w14:paraId="0AD19DB4">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269BB8CA">
            <w:pPr>
              <w:widowControl/>
              <w:spacing w:line="240" w:lineRule="auto"/>
              <w:ind w:firstLine="0" w:firstLineChars="0"/>
              <w:jc w:val="center"/>
              <w:textAlignment w:val="baseline"/>
              <w:rPr>
                <w:sz w:val="21"/>
                <w:szCs w:val="21"/>
              </w:rPr>
            </w:pPr>
            <w:r>
              <w:rPr>
                <w:sz w:val="21"/>
                <w:szCs w:val="21"/>
              </w:rPr>
              <w:t>夏季主导风向频率（E风）</w:t>
            </w:r>
          </w:p>
        </w:tc>
        <w:tc>
          <w:tcPr>
            <w:tcW w:w="1158" w:type="pct"/>
            <w:tcBorders>
              <w:top w:val="single" w:color="auto" w:sz="4" w:space="0"/>
              <w:left w:val="single" w:color="auto" w:sz="4" w:space="0"/>
              <w:bottom w:val="single" w:color="auto" w:sz="4" w:space="0"/>
              <w:right w:val="single" w:color="auto" w:sz="4" w:space="0"/>
            </w:tcBorders>
            <w:vAlign w:val="center"/>
          </w:tcPr>
          <w:p w14:paraId="3F0CF247">
            <w:pPr>
              <w:widowControl/>
              <w:spacing w:line="240" w:lineRule="auto"/>
              <w:ind w:firstLine="0" w:firstLineChars="0"/>
              <w:jc w:val="center"/>
              <w:textAlignment w:val="baseline"/>
              <w:rPr>
                <w:sz w:val="21"/>
                <w:szCs w:val="21"/>
              </w:rPr>
            </w:pPr>
            <w:r>
              <w:rPr>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6EB75FE9">
            <w:pPr>
              <w:widowControl/>
              <w:spacing w:line="240" w:lineRule="auto"/>
              <w:ind w:firstLine="0" w:firstLineChars="0"/>
              <w:jc w:val="center"/>
              <w:textAlignment w:val="baseline"/>
              <w:rPr>
                <w:sz w:val="21"/>
                <w:szCs w:val="21"/>
              </w:rPr>
            </w:pPr>
            <w:r>
              <w:rPr>
                <w:sz w:val="21"/>
                <w:szCs w:val="21"/>
              </w:rPr>
              <w:t>11.5</w:t>
            </w:r>
          </w:p>
        </w:tc>
      </w:tr>
      <w:tr w14:paraId="70642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restart"/>
            <w:tcBorders>
              <w:top w:val="single" w:color="auto" w:sz="4" w:space="0"/>
              <w:left w:val="single" w:color="auto" w:sz="4" w:space="0"/>
              <w:right w:val="single" w:color="auto" w:sz="4" w:space="0"/>
            </w:tcBorders>
            <w:vAlign w:val="center"/>
          </w:tcPr>
          <w:p w14:paraId="48E0EA68">
            <w:pPr>
              <w:widowControl/>
              <w:spacing w:line="240" w:lineRule="auto"/>
              <w:ind w:firstLine="0" w:firstLineChars="0"/>
              <w:jc w:val="center"/>
              <w:textAlignment w:val="baseline"/>
              <w:rPr>
                <w:sz w:val="21"/>
                <w:szCs w:val="21"/>
              </w:rPr>
            </w:pPr>
            <w:r>
              <w:rPr>
                <w:sz w:val="21"/>
                <w:szCs w:val="21"/>
              </w:rPr>
              <w:t>7</w:t>
            </w:r>
          </w:p>
        </w:tc>
        <w:tc>
          <w:tcPr>
            <w:tcW w:w="2531" w:type="pct"/>
            <w:tcBorders>
              <w:top w:val="single" w:color="auto" w:sz="4" w:space="0"/>
              <w:left w:val="single" w:color="auto" w:sz="4" w:space="0"/>
              <w:bottom w:val="single" w:color="auto" w:sz="4" w:space="0"/>
              <w:right w:val="single" w:color="auto" w:sz="4" w:space="0"/>
            </w:tcBorders>
            <w:vAlign w:val="center"/>
          </w:tcPr>
          <w:p w14:paraId="778D6CBF">
            <w:pPr>
              <w:widowControl/>
              <w:spacing w:line="240" w:lineRule="auto"/>
              <w:ind w:firstLine="0" w:firstLineChars="0"/>
              <w:jc w:val="center"/>
              <w:textAlignment w:val="baseline"/>
              <w:rPr>
                <w:b/>
                <w:sz w:val="21"/>
                <w:szCs w:val="21"/>
              </w:rPr>
            </w:pPr>
            <w:r>
              <w:rPr>
                <w:b/>
                <w:sz w:val="21"/>
                <w:szCs w:val="21"/>
              </w:rPr>
              <w:t>风速</w:t>
            </w:r>
          </w:p>
        </w:tc>
        <w:tc>
          <w:tcPr>
            <w:tcW w:w="1158" w:type="pct"/>
            <w:tcBorders>
              <w:top w:val="single" w:color="auto" w:sz="4" w:space="0"/>
              <w:left w:val="single" w:color="auto" w:sz="4" w:space="0"/>
              <w:bottom w:val="single" w:color="auto" w:sz="4" w:space="0"/>
              <w:right w:val="single" w:color="auto" w:sz="4" w:space="0"/>
            </w:tcBorders>
            <w:vAlign w:val="center"/>
          </w:tcPr>
          <w:p w14:paraId="0791DAD8">
            <w:pPr>
              <w:widowControl/>
              <w:spacing w:line="240" w:lineRule="auto"/>
              <w:ind w:firstLine="0" w:firstLineChars="0"/>
              <w:jc w:val="center"/>
              <w:textAlignment w:val="baseline"/>
              <w:rPr>
                <w:sz w:val="21"/>
                <w:szCs w:val="21"/>
              </w:rPr>
            </w:pPr>
          </w:p>
        </w:tc>
        <w:tc>
          <w:tcPr>
            <w:tcW w:w="845" w:type="pct"/>
            <w:tcBorders>
              <w:top w:val="single" w:color="auto" w:sz="4" w:space="0"/>
              <w:left w:val="single" w:color="auto" w:sz="4" w:space="0"/>
              <w:bottom w:val="single" w:color="auto" w:sz="4" w:space="0"/>
              <w:right w:val="single" w:color="auto" w:sz="4" w:space="0"/>
            </w:tcBorders>
            <w:vAlign w:val="center"/>
          </w:tcPr>
          <w:p w14:paraId="018542E6">
            <w:pPr>
              <w:widowControl/>
              <w:spacing w:line="240" w:lineRule="auto"/>
              <w:ind w:firstLine="0" w:firstLineChars="0"/>
              <w:jc w:val="center"/>
              <w:textAlignment w:val="baseline"/>
              <w:rPr>
                <w:sz w:val="21"/>
                <w:szCs w:val="21"/>
              </w:rPr>
            </w:pPr>
          </w:p>
        </w:tc>
      </w:tr>
      <w:tr w14:paraId="01D75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4E54C56A">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2526481B">
            <w:pPr>
              <w:widowControl/>
              <w:spacing w:line="240" w:lineRule="auto"/>
              <w:ind w:firstLine="0" w:firstLineChars="0"/>
              <w:jc w:val="center"/>
              <w:textAlignment w:val="baseline"/>
              <w:rPr>
                <w:sz w:val="21"/>
                <w:szCs w:val="21"/>
              </w:rPr>
            </w:pPr>
            <w:r>
              <w:rPr>
                <w:sz w:val="21"/>
                <w:szCs w:val="21"/>
              </w:rPr>
              <w:t>年平均风速</w:t>
            </w:r>
          </w:p>
        </w:tc>
        <w:tc>
          <w:tcPr>
            <w:tcW w:w="1158" w:type="pct"/>
            <w:tcBorders>
              <w:top w:val="single" w:color="auto" w:sz="4" w:space="0"/>
              <w:left w:val="single" w:color="auto" w:sz="4" w:space="0"/>
              <w:bottom w:val="single" w:color="auto" w:sz="4" w:space="0"/>
              <w:right w:val="single" w:color="auto" w:sz="4" w:space="0"/>
            </w:tcBorders>
            <w:vAlign w:val="center"/>
          </w:tcPr>
          <w:p w14:paraId="48A8EA0E">
            <w:pPr>
              <w:widowControl/>
              <w:spacing w:line="240" w:lineRule="auto"/>
              <w:ind w:firstLine="0" w:firstLineChars="0"/>
              <w:jc w:val="center"/>
              <w:textAlignment w:val="baseline"/>
              <w:rPr>
                <w:sz w:val="21"/>
                <w:szCs w:val="21"/>
              </w:rPr>
            </w:pPr>
            <w:r>
              <w:rPr>
                <w:sz w:val="21"/>
                <w:szCs w:val="21"/>
              </w:rPr>
              <w:t>m/s</w:t>
            </w:r>
          </w:p>
        </w:tc>
        <w:tc>
          <w:tcPr>
            <w:tcW w:w="845" w:type="pct"/>
            <w:tcBorders>
              <w:top w:val="single" w:color="auto" w:sz="4" w:space="0"/>
              <w:left w:val="single" w:color="auto" w:sz="4" w:space="0"/>
              <w:bottom w:val="single" w:color="auto" w:sz="4" w:space="0"/>
              <w:right w:val="single" w:color="auto" w:sz="4" w:space="0"/>
            </w:tcBorders>
            <w:vAlign w:val="center"/>
          </w:tcPr>
          <w:p w14:paraId="13280869">
            <w:pPr>
              <w:widowControl/>
              <w:spacing w:line="240" w:lineRule="auto"/>
              <w:ind w:firstLine="0" w:firstLineChars="0"/>
              <w:jc w:val="center"/>
              <w:textAlignment w:val="baseline"/>
              <w:rPr>
                <w:sz w:val="21"/>
                <w:szCs w:val="21"/>
              </w:rPr>
            </w:pPr>
            <w:r>
              <w:rPr>
                <w:sz w:val="21"/>
                <w:szCs w:val="21"/>
              </w:rPr>
              <w:t>1.9</w:t>
            </w:r>
          </w:p>
        </w:tc>
      </w:tr>
      <w:tr w14:paraId="5C5FA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3D5D5F87">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4226A0F3">
            <w:pPr>
              <w:widowControl/>
              <w:spacing w:line="240" w:lineRule="auto"/>
              <w:ind w:firstLine="0" w:firstLineChars="0"/>
              <w:jc w:val="center"/>
              <w:textAlignment w:val="baseline"/>
              <w:rPr>
                <w:sz w:val="21"/>
                <w:szCs w:val="21"/>
              </w:rPr>
            </w:pPr>
            <w:r>
              <w:rPr>
                <w:sz w:val="21"/>
                <w:szCs w:val="21"/>
              </w:rPr>
              <w:t>夏季平均风速</w:t>
            </w:r>
          </w:p>
        </w:tc>
        <w:tc>
          <w:tcPr>
            <w:tcW w:w="1158" w:type="pct"/>
            <w:tcBorders>
              <w:top w:val="single" w:color="auto" w:sz="4" w:space="0"/>
              <w:left w:val="single" w:color="auto" w:sz="4" w:space="0"/>
              <w:bottom w:val="single" w:color="auto" w:sz="4" w:space="0"/>
              <w:right w:val="single" w:color="auto" w:sz="4" w:space="0"/>
            </w:tcBorders>
            <w:vAlign w:val="center"/>
          </w:tcPr>
          <w:p w14:paraId="5EF97220">
            <w:pPr>
              <w:widowControl/>
              <w:spacing w:line="240" w:lineRule="auto"/>
              <w:ind w:firstLine="0" w:firstLineChars="0"/>
              <w:jc w:val="center"/>
              <w:textAlignment w:val="baseline"/>
              <w:rPr>
                <w:sz w:val="21"/>
                <w:szCs w:val="21"/>
              </w:rPr>
            </w:pPr>
            <w:r>
              <w:rPr>
                <w:sz w:val="21"/>
                <w:szCs w:val="21"/>
              </w:rPr>
              <w:t>m/s</w:t>
            </w:r>
          </w:p>
        </w:tc>
        <w:tc>
          <w:tcPr>
            <w:tcW w:w="845" w:type="pct"/>
            <w:tcBorders>
              <w:top w:val="single" w:color="auto" w:sz="4" w:space="0"/>
              <w:left w:val="single" w:color="auto" w:sz="4" w:space="0"/>
              <w:bottom w:val="single" w:color="auto" w:sz="4" w:space="0"/>
              <w:right w:val="single" w:color="auto" w:sz="4" w:space="0"/>
            </w:tcBorders>
            <w:vAlign w:val="center"/>
          </w:tcPr>
          <w:p w14:paraId="229C2C63">
            <w:pPr>
              <w:widowControl/>
              <w:spacing w:line="240" w:lineRule="auto"/>
              <w:ind w:firstLine="0" w:firstLineChars="0"/>
              <w:jc w:val="center"/>
              <w:textAlignment w:val="baseline"/>
              <w:rPr>
                <w:sz w:val="21"/>
                <w:szCs w:val="21"/>
              </w:rPr>
            </w:pPr>
            <w:r>
              <w:rPr>
                <w:sz w:val="21"/>
                <w:szCs w:val="21"/>
              </w:rPr>
              <w:t>1.6</w:t>
            </w:r>
          </w:p>
        </w:tc>
      </w:tr>
      <w:tr w14:paraId="4BBDF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5CBC361A">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3B746F31">
            <w:pPr>
              <w:widowControl/>
              <w:spacing w:line="240" w:lineRule="auto"/>
              <w:ind w:firstLine="0" w:firstLineChars="0"/>
              <w:jc w:val="center"/>
              <w:textAlignment w:val="baseline"/>
              <w:rPr>
                <w:sz w:val="21"/>
                <w:szCs w:val="21"/>
              </w:rPr>
            </w:pPr>
            <w:r>
              <w:rPr>
                <w:sz w:val="21"/>
                <w:szCs w:val="21"/>
              </w:rPr>
              <w:t>瞬时最大风速</w:t>
            </w:r>
          </w:p>
        </w:tc>
        <w:tc>
          <w:tcPr>
            <w:tcW w:w="1158" w:type="pct"/>
            <w:tcBorders>
              <w:top w:val="single" w:color="auto" w:sz="4" w:space="0"/>
              <w:left w:val="single" w:color="auto" w:sz="4" w:space="0"/>
              <w:bottom w:val="single" w:color="auto" w:sz="4" w:space="0"/>
              <w:right w:val="single" w:color="auto" w:sz="4" w:space="0"/>
            </w:tcBorders>
            <w:vAlign w:val="center"/>
          </w:tcPr>
          <w:p w14:paraId="7CDA8C47">
            <w:pPr>
              <w:widowControl/>
              <w:spacing w:line="240" w:lineRule="auto"/>
              <w:ind w:firstLine="0" w:firstLineChars="0"/>
              <w:jc w:val="center"/>
              <w:textAlignment w:val="baseline"/>
              <w:rPr>
                <w:sz w:val="21"/>
                <w:szCs w:val="21"/>
              </w:rPr>
            </w:pPr>
            <w:r>
              <w:rPr>
                <w:sz w:val="21"/>
                <w:szCs w:val="21"/>
              </w:rPr>
              <w:t>m/s</w:t>
            </w:r>
          </w:p>
        </w:tc>
        <w:tc>
          <w:tcPr>
            <w:tcW w:w="845" w:type="pct"/>
            <w:tcBorders>
              <w:top w:val="single" w:color="auto" w:sz="4" w:space="0"/>
              <w:left w:val="single" w:color="auto" w:sz="4" w:space="0"/>
              <w:bottom w:val="single" w:color="auto" w:sz="4" w:space="0"/>
              <w:right w:val="single" w:color="auto" w:sz="4" w:space="0"/>
            </w:tcBorders>
            <w:vAlign w:val="center"/>
          </w:tcPr>
          <w:p w14:paraId="67448C0F">
            <w:pPr>
              <w:widowControl/>
              <w:spacing w:line="240" w:lineRule="auto"/>
              <w:ind w:firstLine="0" w:firstLineChars="0"/>
              <w:jc w:val="center"/>
              <w:textAlignment w:val="baseline"/>
              <w:rPr>
                <w:sz w:val="21"/>
                <w:szCs w:val="21"/>
              </w:rPr>
            </w:pPr>
            <w:r>
              <w:rPr>
                <w:sz w:val="21"/>
                <w:szCs w:val="21"/>
              </w:rPr>
              <w:t>19.2</w:t>
            </w:r>
          </w:p>
        </w:tc>
      </w:tr>
      <w:tr w14:paraId="050A9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left w:val="single" w:color="auto" w:sz="4" w:space="0"/>
              <w:right w:val="single" w:color="auto" w:sz="4" w:space="0"/>
            </w:tcBorders>
            <w:vAlign w:val="center"/>
          </w:tcPr>
          <w:p w14:paraId="51A5E77C">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64AE6439">
            <w:pPr>
              <w:widowControl/>
              <w:spacing w:line="240" w:lineRule="auto"/>
              <w:ind w:firstLine="0" w:firstLineChars="0"/>
              <w:jc w:val="center"/>
              <w:textAlignment w:val="baseline"/>
              <w:rPr>
                <w:sz w:val="21"/>
                <w:szCs w:val="21"/>
              </w:rPr>
            </w:pPr>
            <w:r>
              <w:rPr>
                <w:sz w:val="21"/>
                <w:szCs w:val="21"/>
              </w:rPr>
              <w:t>基本风压</w:t>
            </w:r>
          </w:p>
        </w:tc>
        <w:tc>
          <w:tcPr>
            <w:tcW w:w="1158" w:type="pct"/>
            <w:tcBorders>
              <w:top w:val="single" w:color="auto" w:sz="4" w:space="0"/>
              <w:left w:val="single" w:color="auto" w:sz="4" w:space="0"/>
              <w:bottom w:val="single" w:color="auto" w:sz="4" w:space="0"/>
              <w:right w:val="single" w:color="auto" w:sz="4" w:space="0"/>
            </w:tcBorders>
            <w:vAlign w:val="center"/>
          </w:tcPr>
          <w:p w14:paraId="1147D94B">
            <w:pPr>
              <w:widowControl/>
              <w:spacing w:line="240" w:lineRule="auto"/>
              <w:ind w:firstLine="0" w:firstLineChars="0"/>
              <w:jc w:val="center"/>
              <w:textAlignment w:val="baseline"/>
              <w:rPr>
                <w:sz w:val="21"/>
                <w:szCs w:val="21"/>
              </w:rPr>
            </w:pPr>
            <w:r>
              <w:rPr>
                <w:sz w:val="21"/>
                <w:szCs w:val="21"/>
              </w:rPr>
              <w:t>kN/</w:t>
            </w:r>
            <w:r>
              <w:rPr>
                <w:rFonts w:hint="eastAsia"/>
                <w:sz w:val="21"/>
                <w:szCs w:val="21"/>
              </w:rPr>
              <w:t>㎡</w:t>
            </w:r>
          </w:p>
        </w:tc>
        <w:tc>
          <w:tcPr>
            <w:tcW w:w="845" w:type="pct"/>
            <w:tcBorders>
              <w:top w:val="single" w:color="auto" w:sz="4" w:space="0"/>
              <w:left w:val="single" w:color="auto" w:sz="4" w:space="0"/>
              <w:bottom w:val="single" w:color="auto" w:sz="4" w:space="0"/>
              <w:right w:val="single" w:color="auto" w:sz="4" w:space="0"/>
            </w:tcBorders>
            <w:vAlign w:val="center"/>
          </w:tcPr>
          <w:p w14:paraId="0C67CC05">
            <w:pPr>
              <w:widowControl/>
              <w:spacing w:line="240" w:lineRule="auto"/>
              <w:ind w:firstLine="0" w:firstLineChars="0"/>
              <w:jc w:val="center"/>
              <w:textAlignment w:val="baseline"/>
              <w:rPr>
                <w:sz w:val="21"/>
                <w:szCs w:val="21"/>
              </w:rPr>
            </w:pPr>
            <w:r>
              <w:rPr>
                <w:sz w:val="21"/>
                <w:szCs w:val="21"/>
              </w:rPr>
              <w:t>0.35</w:t>
            </w:r>
          </w:p>
        </w:tc>
      </w:tr>
      <w:tr w14:paraId="3C3F8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restart"/>
            <w:tcBorders>
              <w:top w:val="single" w:color="auto" w:sz="4" w:space="0"/>
              <w:left w:val="single" w:color="auto" w:sz="4" w:space="0"/>
              <w:bottom w:val="single" w:color="auto" w:sz="4" w:space="0"/>
              <w:right w:val="single" w:color="auto" w:sz="4" w:space="0"/>
            </w:tcBorders>
            <w:vAlign w:val="center"/>
          </w:tcPr>
          <w:p w14:paraId="016A1EF3">
            <w:pPr>
              <w:widowControl/>
              <w:spacing w:line="240" w:lineRule="auto"/>
              <w:ind w:firstLine="0" w:firstLineChars="0"/>
              <w:jc w:val="center"/>
              <w:textAlignment w:val="baseline"/>
              <w:rPr>
                <w:sz w:val="21"/>
                <w:szCs w:val="21"/>
              </w:rPr>
            </w:pPr>
            <w:r>
              <w:rPr>
                <w:sz w:val="21"/>
                <w:szCs w:val="21"/>
              </w:rPr>
              <w:t>8</w:t>
            </w:r>
          </w:p>
        </w:tc>
        <w:tc>
          <w:tcPr>
            <w:tcW w:w="2531" w:type="pct"/>
            <w:tcBorders>
              <w:top w:val="single" w:color="auto" w:sz="4" w:space="0"/>
              <w:left w:val="single" w:color="auto" w:sz="4" w:space="0"/>
              <w:bottom w:val="single" w:color="auto" w:sz="4" w:space="0"/>
              <w:right w:val="single" w:color="auto" w:sz="4" w:space="0"/>
            </w:tcBorders>
            <w:vAlign w:val="center"/>
          </w:tcPr>
          <w:p w14:paraId="5F31F13F">
            <w:pPr>
              <w:widowControl/>
              <w:spacing w:line="240" w:lineRule="auto"/>
              <w:ind w:firstLine="0" w:firstLineChars="0"/>
              <w:jc w:val="center"/>
              <w:textAlignment w:val="baseline"/>
              <w:rPr>
                <w:b/>
                <w:sz w:val="21"/>
                <w:szCs w:val="21"/>
              </w:rPr>
            </w:pPr>
            <w:r>
              <w:rPr>
                <w:b/>
                <w:sz w:val="21"/>
                <w:szCs w:val="21"/>
              </w:rPr>
              <w:t>雷暴</w:t>
            </w:r>
          </w:p>
        </w:tc>
        <w:tc>
          <w:tcPr>
            <w:tcW w:w="1158" w:type="pct"/>
            <w:tcBorders>
              <w:top w:val="single" w:color="auto" w:sz="4" w:space="0"/>
              <w:left w:val="single" w:color="auto" w:sz="4" w:space="0"/>
              <w:bottom w:val="single" w:color="auto" w:sz="4" w:space="0"/>
              <w:right w:val="single" w:color="auto" w:sz="4" w:space="0"/>
            </w:tcBorders>
            <w:vAlign w:val="center"/>
          </w:tcPr>
          <w:p w14:paraId="1A00D4BB">
            <w:pPr>
              <w:widowControl/>
              <w:spacing w:line="240" w:lineRule="auto"/>
              <w:ind w:firstLine="0" w:firstLineChars="0"/>
              <w:jc w:val="center"/>
              <w:textAlignment w:val="baseline"/>
              <w:rPr>
                <w:sz w:val="21"/>
                <w:szCs w:val="21"/>
              </w:rPr>
            </w:pPr>
          </w:p>
        </w:tc>
        <w:tc>
          <w:tcPr>
            <w:tcW w:w="845" w:type="pct"/>
            <w:tcBorders>
              <w:top w:val="single" w:color="auto" w:sz="4" w:space="0"/>
              <w:left w:val="single" w:color="auto" w:sz="4" w:space="0"/>
              <w:bottom w:val="single" w:color="auto" w:sz="4" w:space="0"/>
              <w:right w:val="single" w:color="auto" w:sz="4" w:space="0"/>
            </w:tcBorders>
            <w:vAlign w:val="center"/>
          </w:tcPr>
          <w:p w14:paraId="2CEDDCE1">
            <w:pPr>
              <w:widowControl/>
              <w:spacing w:line="240" w:lineRule="auto"/>
              <w:ind w:firstLine="0" w:firstLineChars="0"/>
              <w:jc w:val="center"/>
              <w:textAlignment w:val="baseline"/>
              <w:rPr>
                <w:sz w:val="21"/>
                <w:szCs w:val="21"/>
              </w:rPr>
            </w:pPr>
          </w:p>
        </w:tc>
      </w:tr>
      <w:tr w14:paraId="3A881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top w:val="single" w:color="auto" w:sz="4" w:space="0"/>
              <w:left w:val="single" w:color="auto" w:sz="4" w:space="0"/>
              <w:bottom w:val="single" w:color="auto" w:sz="4" w:space="0"/>
              <w:right w:val="single" w:color="auto" w:sz="4" w:space="0"/>
            </w:tcBorders>
            <w:vAlign w:val="center"/>
          </w:tcPr>
          <w:p w14:paraId="6B318364">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658A8BD0">
            <w:pPr>
              <w:widowControl/>
              <w:spacing w:line="240" w:lineRule="auto"/>
              <w:ind w:firstLine="0" w:firstLineChars="0"/>
              <w:jc w:val="center"/>
              <w:textAlignment w:val="baseline"/>
              <w:rPr>
                <w:sz w:val="21"/>
                <w:szCs w:val="21"/>
              </w:rPr>
            </w:pPr>
            <w:r>
              <w:rPr>
                <w:sz w:val="21"/>
                <w:szCs w:val="21"/>
              </w:rPr>
              <w:t>年平均雷暴日数</w:t>
            </w:r>
          </w:p>
        </w:tc>
        <w:tc>
          <w:tcPr>
            <w:tcW w:w="1158" w:type="pct"/>
            <w:tcBorders>
              <w:top w:val="single" w:color="auto" w:sz="4" w:space="0"/>
              <w:left w:val="single" w:color="auto" w:sz="4" w:space="0"/>
              <w:bottom w:val="single" w:color="auto" w:sz="4" w:space="0"/>
              <w:right w:val="single" w:color="auto" w:sz="4" w:space="0"/>
            </w:tcBorders>
            <w:vAlign w:val="center"/>
          </w:tcPr>
          <w:p w14:paraId="0F228767">
            <w:pPr>
              <w:widowControl/>
              <w:spacing w:line="240" w:lineRule="auto"/>
              <w:ind w:firstLine="0" w:firstLineChars="0"/>
              <w:jc w:val="center"/>
              <w:textAlignment w:val="baseline"/>
              <w:rPr>
                <w:sz w:val="21"/>
                <w:szCs w:val="21"/>
              </w:rPr>
            </w:pPr>
            <w:r>
              <w:rPr>
                <w:sz w:val="21"/>
                <w:szCs w:val="21"/>
              </w:rPr>
              <w:t>day</w:t>
            </w:r>
          </w:p>
        </w:tc>
        <w:tc>
          <w:tcPr>
            <w:tcW w:w="845" w:type="pct"/>
            <w:tcBorders>
              <w:top w:val="single" w:color="auto" w:sz="4" w:space="0"/>
              <w:left w:val="single" w:color="auto" w:sz="4" w:space="0"/>
              <w:bottom w:val="single" w:color="auto" w:sz="4" w:space="0"/>
              <w:right w:val="single" w:color="auto" w:sz="4" w:space="0"/>
            </w:tcBorders>
            <w:vAlign w:val="center"/>
          </w:tcPr>
          <w:p w14:paraId="3AB12FEB">
            <w:pPr>
              <w:widowControl/>
              <w:spacing w:line="240" w:lineRule="auto"/>
              <w:ind w:firstLine="0" w:firstLineChars="0"/>
              <w:jc w:val="center"/>
              <w:textAlignment w:val="baseline"/>
              <w:rPr>
                <w:sz w:val="21"/>
                <w:szCs w:val="21"/>
              </w:rPr>
            </w:pPr>
            <w:r>
              <w:rPr>
                <w:sz w:val="21"/>
                <w:szCs w:val="21"/>
              </w:rPr>
              <w:t>50.9</w:t>
            </w:r>
          </w:p>
        </w:tc>
      </w:tr>
      <w:tr w14:paraId="2B93D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466" w:type="pct"/>
            <w:vMerge w:val="continue"/>
            <w:tcBorders>
              <w:top w:val="single" w:color="auto" w:sz="4" w:space="0"/>
              <w:left w:val="single" w:color="auto" w:sz="4" w:space="0"/>
              <w:bottom w:val="single" w:color="auto" w:sz="4" w:space="0"/>
              <w:right w:val="single" w:color="auto" w:sz="4" w:space="0"/>
            </w:tcBorders>
            <w:vAlign w:val="center"/>
          </w:tcPr>
          <w:p w14:paraId="121BD1BA">
            <w:pPr>
              <w:widowControl/>
              <w:spacing w:line="240" w:lineRule="auto"/>
              <w:ind w:firstLine="0" w:firstLineChars="0"/>
              <w:jc w:val="center"/>
              <w:textAlignment w:val="baseline"/>
              <w:rPr>
                <w:sz w:val="21"/>
                <w:szCs w:val="21"/>
              </w:rPr>
            </w:pPr>
          </w:p>
        </w:tc>
        <w:tc>
          <w:tcPr>
            <w:tcW w:w="2531" w:type="pct"/>
            <w:tcBorders>
              <w:top w:val="single" w:color="auto" w:sz="4" w:space="0"/>
              <w:left w:val="single" w:color="auto" w:sz="4" w:space="0"/>
              <w:bottom w:val="single" w:color="auto" w:sz="4" w:space="0"/>
              <w:right w:val="single" w:color="auto" w:sz="4" w:space="0"/>
            </w:tcBorders>
            <w:vAlign w:val="center"/>
          </w:tcPr>
          <w:p w14:paraId="50497E8C">
            <w:pPr>
              <w:widowControl/>
              <w:spacing w:line="240" w:lineRule="auto"/>
              <w:ind w:firstLine="0" w:firstLineChars="0"/>
              <w:jc w:val="center"/>
              <w:textAlignment w:val="baseline"/>
              <w:rPr>
                <w:sz w:val="21"/>
                <w:szCs w:val="21"/>
              </w:rPr>
            </w:pPr>
            <w:r>
              <w:rPr>
                <w:sz w:val="21"/>
                <w:szCs w:val="21"/>
              </w:rPr>
              <w:t>全年最多雷暴日数</w:t>
            </w:r>
          </w:p>
        </w:tc>
        <w:tc>
          <w:tcPr>
            <w:tcW w:w="1158" w:type="pct"/>
            <w:tcBorders>
              <w:top w:val="single" w:color="auto" w:sz="4" w:space="0"/>
              <w:left w:val="single" w:color="auto" w:sz="4" w:space="0"/>
              <w:bottom w:val="single" w:color="auto" w:sz="4" w:space="0"/>
              <w:right w:val="single" w:color="auto" w:sz="4" w:space="0"/>
            </w:tcBorders>
            <w:vAlign w:val="center"/>
          </w:tcPr>
          <w:p w14:paraId="2E88A09E">
            <w:pPr>
              <w:widowControl/>
              <w:spacing w:line="240" w:lineRule="auto"/>
              <w:ind w:firstLine="0" w:firstLineChars="0"/>
              <w:jc w:val="center"/>
              <w:textAlignment w:val="baseline"/>
              <w:rPr>
                <w:sz w:val="21"/>
                <w:szCs w:val="21"/>
              </w:rPr>
            </w:pPr>
            <w:r>
              <w:rPr>
                <w:sz w:val="21"/>
                <w:szCs w:val="21"/>
              </w:rPr>
              <w:t>day</w:t>
            </w:r>
          </w:p>
        </w:tc>
        <w:tc>
          <w:tcPr>
            <w:tcW w:w="845" w:type="pct"/>
            <w:tcBorders>
              <w:top w:val="single" w:color="auto" w:sz="4" w:space="0"/>
              <w:left w:val="single" w:color="auto" w:sz="4" w:space="0"/>
              <w:bottom w:val="single" w:color="auto" w:sz="4" w:space="0"/>
              <w:right w:val="single" w:color="auto" w:sz="4" w:space="0"/>
            </w:tcBorders>
            <w:vAlign w:val="center"/>
          </w:tcPr>
          <w:p w14:paraId="4A86AC7B">
            <w:pPr>
              <w:widowControl/>
              <w:spacing w:line="240" w:lineRule="auto"/>
              <w:ind w:firstLine="0" w:firstLineChars="0"/>
              <w:jc w:val="center"/>
              <w:textAlignment w:val="baseline"/>
              <w:rPr>
                <w:sz w:val="21"/>
                <w:szCs w:val="21"/>
              </w:rPr>
            </w:pPr>
            <w:r>
              <w:rPr>
                <w:sz w:val="21"/>
                <w:szCs w:val="21"/>
              </w:rPr>
              <w:t>70</w:t>
            </w:r>
          </w:p>
        </w:tc>
      </w:tr>
    </w:tbl>
    <w:p w14:paraId="3A1AF752">
      <w:pPr>
        <w:pStyle w:val="9"/>
        <w:rPr>
          <w:color w:val="auto"/>
        </w:rPr>
      </w:pPr>
      <w:bookmarkStart w:id="221" w:name="_Toc26712"/>
      <w:bookmarkStart w:id="222" w:name="_Toc215210544"/>
      <w:r>
        <w:rPr>
          <w:rFonts w:hint="eastAsia"/>
          <w:color w:val="auto"/>
        </w:rPr>
        <w:t>2.2.4 地质条件</w:t>
      </w:r>
      <w:bookmarkEnd w:id="221"/>
      <w:bookmarkEnd w:id="222"/>
    </w:p>
    <w:p w14:paraId="69DAAB85">
      <w:pPr>
        <w:autoSpaceDE w:val="0"/>
        <w:autoSpaceDN w:val="0"/>
        <w:ind w:firstLine="560"/>
        <w:rPr>
          <w:szCs w:val="28"/>
        </w:rPr>
      </w:pPr>
      <w:r>
        <w:rPr>
          <w:rFonts w:hint="eastAsia"/>
          <w:szCs w:val="28"/>
        </w:rPr>
        <w:t>场地位于安宁市草铺村北西侧约4km处，地貌上属于构造剥蚀低中山地貌，现状正进行挖填整平，现状地形地貌实时变化，场平完成后为标1901.40m的平台。按设计场平标高（1901.40m)场地最大开挖处为南侧角约59m，最大填方处为ZK634钻孔一带约9m，场平后场地与周围相对高差大于50.0m。场地原地形分布有三条冲沟，勘察时尚未回填完全，但已对冲沟部分进行大面积勘察，未施工钻孔分布于冲沟壁，据现场调查显示，冲沟壁岩土层出露残坡积粉质黏土及全～强风化白云岩，挖方至场平标高后地质条件较好。有道路通往建设场地，交通方便。</w:t>
      </w:r>
    </w:p>
    <w:p w14:paraId="04F2EEF4">
      <w:pPr>
        <w:autoSpaceDE w:val="0"/>
        <w:autoSpaceDN w:val="0"/>
        <w:ind w:firstLine="560"/>
        <w:rPr>
          <w:szCs w:val="28"/>
        </w:rPr>
      </w:pPr>
      <w:r>
        <w:rPr>
          <w:rFonts w:hint="eastAsia"/>
          <w:szCs w:val="28"/>
        </w:rPr>
        <w:t>根据《云南省山地城镇岩土工程导则》（试行)5.6.1、7.2.6条，以及云南省地震局2010年9月编制的《云南活动断裂分布图》，结合场地位置，本场地10km范围内对场地影响较大的活动断裂为汤郎-易门断裂（F56)，汤郎-易门断裂（F56)为左旋扭动晚更新世活动断裂。按《岩土工程勘探规范》(GB50021-2001，2009年版)第5.8.2条，上述断裂不属于全新活动断裂，不属于发震断裂，场地四周无震断裂分布，该场地不需考虑地质构造断裂对场地的影响</w:t>
      </w:r>
      <w:r>
        <w:rPr>
          <w:szCs w:val="28"/>
        </w:rPr>
        <w:t>。</w:t>
      </w:r>
    </w:p>
    <w:p w14:paraId="76C5ADC0">
      <w:pPr>
        <w:pStyle w:val="11"/>
        <w:rPr>
          <w:color w:val="auto"/>
        </w:rPr>
      </w:pPr>
      <w:r>
        <w:rPr>
          <w:rFonts w:hint="eastAsia"/>
          <w:color w:val="auto"/>
        </w:rPr>
        <w:t>2.2.4.1</w:t>
      </w:r>
      <w:r>
        <w:rPr>
          <w:color w:val="auto"/>
        </w:rPr>
        <w:t>水文地质条件</w:t>
      </w:r>
    </w:p>
    <w:p w14:paraId="18A797E9">
      <w:pPr>
        <w:autoSpaceDE w:val="0"/>
        <w:autoSpaceDN w:val="0"/>
        <w:ind w:firstLine="560"/>
        <w:rPr>
          <w:szCs w:val="28"/>
        </w:rPr>
      </w:pPr>
      <w:r>
        <w:rPr>
          <w:rFonts w:hint="eastAsia"/>
          <w:szCs w:val="28"/>
        </w:rPr>
        <w:t>安宁境内河流分属两大水系，即金沙江水系和红河水系。金沙江水系的流域总面积为1206k㎡，红河水系流域面积为115k㎡。本项目区域河流属金沙江水系，为滇中高原的一部分。新构造运动显著，加之河流向源侵蚀，原始的高原面多被破坏，其间镶嵌着条带状谷地和山间盆地。主要河流有螳螂川、鸣矣河（又称八街河）、双河、马料河、县街河、禄脿河、九龙河等。项目区周边主要涉及的地表水体为螳螂川和九龙河，九龙河从公司南侧流过最终汇入螳螂川。</w:t>
      </w:r>
    </w:p>
    <w:p w14:paraId="707B948B">
      <w:pPr>
        <w:autoSpaceDE w:val="0"/>
        <w:autoSpaceDN w:val="0"/>
        <w:ind w:firstLine="560"/>
        <w:jc w:val="left"/>
        <w:rPr>
          <w:szCs w:val="28"/>
        </w:rPr>
      </w:pPr>
      <w:r>
        <w:rPr>
          <w:rFonts w:hint="eastAsia"/>
          <w:szCs w:val="28"/>
        </w:rPr>
        <w:t>螳螂川：螳螂川发源于一六乡西南龙潭山麓的大龙洞。流经一六乡、八街镇、鸣矣河乡、县街乡、连然镇、安宁市城区、温泉镇、青龙镇，由青龙镇的马鹿塘附近出境，全流域面积为4410.5k㎡，其中安宁市境内流程为52.8km，流域面积1206k㎡，年径流量78057.9×104m³。安宁境内除红河流域的九渡河外，所有属长江流域的河流水量都最后汇入螳螂川。</w:t>
      </w:r>
    </w:p>
    <w:p w14:paraId="4FFE7C9A">
      <w:pPr>
        <w:autoSpaceDE w:val="0"/>
        <w:autoSpaceDN w:val="0"/>
        <w:ind w:firstLine="560"/>
        <w:jc w:val="left"/>
        <w:rPr>
          <w:szCs w:val="28"/>
        </w:rPr>
      </w:pPr>
      <w:r>
        <w:rPr>
          <w:rFonts w:hint="eastAsia"/>
          <w:szCs w:val="28"/>
        </w:rPr>
        <w:t>九龙河：发源于草铺镇权甫水库，流经青龙哨至青龙镇小河口汇入螳螂川，流域面积51.65k㎡，流程12.2km，多年平均径流770×104m³。</w:t>
      </w:r>
    </w:p>
    <w:p w14:paraId="70FEED32">
      <w:pPr>
        <w:ind w:firstLine="560"/>
        <w:jc w:val="left"/>
        <w:rPr>
          <w:szCs w:val="28"/>
        </w:rPr>
      </w:pPr>
      <w:r>
        <w:rPr>
          <w:rFonts w:hint="eastAsia"/>
          <w:szCs w:val="28"/>
        </w:rPr>
        <w:t>根据地下水水理性质、岩石类型及赋存条件划分，路线区内地下水类型主要为松散岩类孔隙水，赋存于不同时代的地层中，组成不同的含水层。不同类型的地下水，由于受地质构造和含水岩组分布的控制，彼此之间水位联系密切，形成相互联系、互为补给的水文地质单元。松散岩类孔隙水含水层（组）主要由第四系冲积、冲洪积、堆积层等不同成因类型的堆积物组成，岩性为砂砾卵石，含泥砂、中细砂、亚粘土、淤泥等</w:t>
      </w:r>
      <w:r>
        <w:rPr>
          <w:szCs w:val="28"/>
        </w:rPr>
        <w:t>。</w:t>
      </w:r>
    </w:p>
    <w:p w14:paraId="7EDE7B6A">
      <w:pPr>
        <w:pStyle w:val="11"/>
        <w:rPr>
          <w:color w:val="auto"/>
        </w:rPr>
      </w:pPr>
      <w:r>
        <w:rPr>
          <w:rFonts w:hint="eastAsia"/>
          <w:color w:val="auto"/>
        </w:rPr>
        <w:t>2.2.4.2工程地质条件</w:t>
      </w:r>
    </w:p>
    <w:p w14:paraId="38319336">
      <w:pPr>
        <w:autoSpaceDE w:val="0"/>
        <w:autoSpaceDN w:val="0"/>
        <w:ind w:firstLine="560"/>
        <w:rPr>
          <w:szCs w:val="28"/>
        </w:rPr>
      </w:pPr>
      <w:r>
        <w:rPr>
          <w:rFonts w:hint="eastAsia"/>
          <w:szCs w:val="28"/>
        </w:rPr>
        <w:t>根据《云南杉杉新材料有限公司年产30万吨锂离子电池负极材料一体化基地项目一期拟建场地岩土工程勘察报告》（曲靖岩土工程勘测有限责任公司，2022年10月）中结论可知：</w:t>
      </w:r>
    </w:p>
    <w:p w14:paraId="60E94247">
      <w:pPr>
        <w:autoSpaceDE w:val="0"/>
        <w:autoSpaceDN w:val="0"/>
        <w:ind w:firstLine="560"/>
        <w:rPr>
          <w:szCs w:val="28"/>
        </w:rPr>
      </w:pPr>
      <w:r>
        <w:rPr>
          <w:rFonts w:hint="eastAsia"/>
          <w:szCs w:val="28"/>
        </w:rPr>
        <w:t>1.场地地貌上构造剥蚀低中山山前缓坡地带，场地内未见滑坡、崩塌、泥石流、采空区、暗埋沟浜及地下暗河等影响工程建设的不良地质作用及地质灾害发育，亦未见埋藏的河道、沟浜、墓穴、防空洞、孤石等对工程不利的埋藏物。现状场地基本稳定，采用适宜的基础形式，可以进行建筑。</w:t>
      </w:r>
    </w:p>
    <w:p w14:paraId="6FA07874">
      <w:pPr>
        <w:autoSpaceDE w:val="0"/>
        <w:autoSpaceDN w:val="0"/>
        <w:ind w:firstLine="560"/>
        <w:rPr>
          <w:szCs w:val="28"/>
        </w:rPr>
      </w:pPr>
      <w:r>
        <w:rPr>
          <w:rFonts w:hint="eastAsia"/>
          <w:szCs w:val="28"/>
        </w:rPr>
        <w:t>2.场地在现地面以下20.00m深度范围内无饱和砂类土分布，可不考虑砂土液化的影响。</w:t>
      </w:r>
    </w:p>
    <w:p w14:paraId="7A39F219">
      <w:pPr>
        <w:autoSpaceDE w:val="0"/>
        <w:autoSpaceDN w:val="0"/>
        <w:ind w:firstLine="560"/>
        <w:rPr>
          <w:szCs w:val="28"/>
        </w:rPr>
      </w:pPr>
      <w:r>
        <w:rPr>
          <w:rFonts w:hint="eastAsia"/>
          <w:szCs w:val="28"/>
        </w:rPr>
        <w:t>3.场地稳定水位在现地面下5.10～12.80m之间，水位高程介于1871.22～1878.76m之间。根据水质分析结果，地下水对混凝土结构具微腐蚀性，对钢筋混凝土结构中的钢筋具微腐蚀性；根据土化学分析结果，场地土对混凝土结构具微腐蚀性、对钢筋混凝土结构中的钢筋及钢结构均具微腐蚀性，按PH 值土对钢结构亦具有微腐蚀性。</w:t>
      </w:r>
    </w:p>
    <w:p w14:paraId="1C09A1F2">
      <w:pPr>
        <w:autoSpaceDE w:val="0"/>
        <w:autoSpaceDN w:val="0"/>
        <w:ind w:firstLine="560"/>
      </w:pPr>
      <w:r>
        <w:rPr>
          <w:rFonts w:hint="eastAsia"/>
          <w:szCs w:val="28"/>
        </w:rPr>
        <w:t>4.场地属抗震一般地段，中硬土类型，Ⅱ类建筑场地。</w:t>
      </w:r>
    </w:p>
    <w:p w14:paraId="389673F1">
      <w:pPr>
        <w:pStyle w:val="9"/>
        <w:rPr>
          <w:color w:val="auto"/>
        </w:rPr>
      </w:pPr>
      <w:bookmarkStart w:id="223" w:name="_Toc215210545"/>
      <w:bookmarkStart w:id="224" w:name="_Toc9329"/>
      <w:r>
        <w:rPr>
          <w:color w:val="auto"/>
        </w:rPr>
        <w:t>2.</w:t>
      </w:r>
      <w:r>
        <w:rPr>
          <w:rFonts w:hint="eastAsia"/>
          <w:color w:val="auto"/>
        </w:rPr>
        <w:t>2.5</w:t>
      </w:r>
      <w:r>
        <w:rPr>
          <w:color w:val="auto"/>
        </w:rPr>
        <w:t>地震</w:t>
      </w:r>
      <w:bookmarkEnd w:id="223"/>
      <w:bookmarkEnd w:id="224"/>
    </w:p>
    <w:p w14:paraId="7EEAB2C6">
      <w:pPr>
        <w:ind w:firstLine="560"/>
        <w:rPr>
          <w:szCs w:val="28"/>
        </w:rPr>
      </w:pPr>
      <w:r>
        <w:rPr>
          <w:rFonts w:hint="eastAsia"/>
          <w:szCs w:val="22"/>
        </w:rPr>
        <w:t>根据《建筑抗震设计规范（</w:t>
      </w:r>
      <w:r>
        <w:rPr>
          <w:szCs w:val="22"/>
        </w:rPr>
        <w:t>20</w:t>
      </w:r>
      <w:r>
        <w:rPr>
          <w:rFonts w:hint="eastAsia"/>
          <w:szCs w:val="22"/>
        </w:rPr>
        <w:t>24</w:t>
      </w:r>
      <w:r>
        <w:rPr>
          <w:szCs w:val="22"/>
        </w:rPr>
        <w:t>年版</w:t>
      </w:r>
      <w:r>
        <w:rPr>
          <w:rFonts w:hint="eastAsia"/>
          <w:szCs w:val="22"/>
        </w:rPr>
        <w:t>）</w:t>
      </w:r>
      <w:r>
        <w:rPr>
          <w:szCs w:val="22"/>
        </w:rPr>
        <w:t>》</w:t>
      </w:r>
      <w:r>
        <w:rPr>
          <w:rFonts w:hint="eastAsia"/>
          <w:szCs w:val="22"/>
        </w:rPr>
        <w:t>（</w:t>
      </w:r>
      <w:r>
        <w:rPr>
          <w:szCs w:val="22"/>
        </w:rPr>
        <w:t>GB50011-2010</w:t>
      </w:r>
      <w:r>
        <w:rPr>
          <w:rFonts w:hint="eastAsia"/>
          <w:szCs w:val="22"/>
        </w:rPr>
        <w:t>）</w:t>
      </w:r>
      <w:r>
        <w:rPr>
          <w:szCs w:val="22"/>
        </w:rPr>
        <w:t>，</w:t>
      </w:r>
      <w:r>
        <w:rPr>
          <w:rFonts w:hint="eastAsia"/>
          <w:szCs w:val="28"/>
        </w:rPr>
        <w:t>安宁市抗震设防烈度为8度，设计基本地震加速度值为0.20g，设计地震分组为第三组。按《中国地震动参数区划图》（GB18306-2015），安宁市草铺街道Ⅱ类场地的地震动峰值加速度为0.20g，特征周期为0.45s，对应的地震烈度为Ⅷ度</w:t>
      </w:r>
      <w:r>
        <w:rPr>
          <w:snapToGrid w:val="0"/>
          <w:szCs w:val="28"/>
        </w:rPr>
        <w:t>。</w:t>
      </w:r>
    </w:p>
    <w:p w14:paraId="74D4083D">
      <w:pPr>
        <w:pStyle w:val="5"/>
        <w:rPr>
          <w:color w:val="auto"/>
        </w:rPr>
      </w:pPr>
      <w:bookmarkStart w:id="225" w:name="_Toc215210546"/>
      <w:bookmarkStart w:id="226" w:name="_Toc21860"/>
      <w:bookmarkStart w:id="227" w:name="_Toc8427"/>
      <w:bookmarkStart w:id="228" w:name="_Toc336009622"/>
      <w:bookmarkStart w:id="229" w:name="_Toc317840951"/>
      <w:bookmarkStart w:id="230" w:name="_Toc336009621"/>
      <w:bookmarkStart w:id="231" w:name="_Toc317840946"/>
      <w:bookmarkStart w:id="232" w:name="_Toc323036361"/>
      <w:bookmarkStart w:id="233" w:name="_Toc323036358"/>
      <w:r>
        <w:rPr>
          <w:rFonts w:hint="eastAsia"/>
          <w:color w:val="auto"/>
        </w:rPr>
        <w:t>2.3 生产规模</w:t>
      </w:r>
      <w:bookmarkEnd w:id="225"/>
      <w:bookmarkEnd w:id="226"/>
      <w:bookmarkEnd w:id="227"/>
    </w:p>
    <w:p w14:paraId="38BA6EDA">
      <w:pPr>
        <w:ind w:firstLine="560"/>
        <w:rPr>
          <w:szCs w:val="22"/>
        </w:rPr>
      </w:pPr>
      <w:bookmarkStart w:id="234" w:name="_Toc7372"/>
      <w:bookmarkStart w:id="235" w:name="_Toc18845"/>
      <w:r>
        <w:rPr>
          <w:rFonts w:hint="eastAsia"/>
          <w:szCs w:val="22"/>
        </w:rPr>
        <w:t>拟建项目聚焦新能源电池核心材料——人造石墨负极的数字化、自动化、绿色化生产。通过建设智能化产线、数字化管理平台及绿色制造设施、研发检测中心数字化，实现年产30万吨高端负极材料，覆盖动力电池、3C电子及储能领域，目标良品率≥98%，单位成本下降18%-22%，打造行业标杆级智能工厂。</w:t>
      </w:r>
      <w:bookmarkEnd w:id="234"/>
      <w:bookmarkEnd w:id="235"/>
    </w:p>
    <w:p w14:paraId="4CD6BE9B">
      <w:pPr>
        <w:pStyle w:val="5"/>
        <w:rPr>
          <w:color w:val="auto"/>
        </w:rPr>
      </w:pPr>
      <w:bookmarkStart w:id="236" w:name="_Toc215210547"/>
      <w:r>
        <w:rPr>
          <w:rFonts w:hint="eastAsia"/>
          <w:color w:val="auto"/>
        </w:rPr>
        <w:t>2.4拟建项目概述</w:t>
      </w:r>
      <w:bookmarkEnd w:id="236"/>
    </w:p>
    <w:p w14:paraId="655B22B0">
      <w:pPr>
        <w:ind w:firstLine="560"/>
        <w:rPr>
          <w:lang w:val="zh-CN"/>
        </w:rPr>
      </w:pPr>
      <w:r>
        <w:rPr>
          <w:rFonts w:hint="eastAsia"/>
          <w:szCs w:val="28"/>
        </w:rPr>
        <w:t>云南杉杉新材料有限公司数字化转型专项建设</w:t>
      </w:r>
      <w:r>
        <w:rPr>
          <w:rFonts w:hint="eastAsia"/>
        </w:rPr>
        <w:t>项目针对现有磨粉、改性、石墨化、成品加工等数字化进行优化升级，实现数字化水平提升，均为已有生产装置，现有厂区总图布置未发生改变。</w:t>
      </w:r>
    </w:p>
    <w:p w14:paraId="4B93CDA6">
      <w:pPr>
        <w:pStyle w:val="9"/>
        <w:rPr>
          <w:color w:val="auto"/>
        </w:rPr>
      </w:pPr>
      <w:bookmarkStart w:id="237" w:name="_Toc24273"/>
      <w:bookmarkStart w:id="238" w:name="_Toc215210548"/>
      <w:r>
        <w:rPr>
          <w:color w:val="auto"/>
        </w:rPr>
        <w:t>2.</w:t>
      </w:r>
      <w:r>
        <w:rPr>
          <w:rFonts w:hint="eastAsia"/>
          <w:color w:val="auto"/>
        </w:rPr>
        <w:t>4.1</w:t>
      </w:r>
      <w:r>
        <w:rPr>
          <w:color w:val="auto"/>
        </w:rPr>
        <w:t xml:space="preserve"> </w:t>
      </w:r>
      <w:bookmarkEnd w:id="237"/>
      <w:r>
        <w:rPr>
          <w:rFonts w:hint="eastAsia"/>
          <w:color w:val="auto"/>
        </w:rPr>
        <w:t>项目现状</w:t>
      </w:r>
      <w:bookmarkEnd w:id="238"/>
    </w:p>
    <w:p w14:paraId="00453249">
      <w:pPr>
        <w:pStyle w:val="11"/>
        <w:rPr>
          <w:color w:val="auto"/>
        </w:rPr>
      </w:pPr>
      <w:bookmarkStart w:id="239" w:name="_Toc7691"/>
      <w:bookmarkStart w:id="240" w:name="_Toc272092352"/>
      <w:bookmarkStart w:id="241" w:name="_Toc398886257"/>
      <w:r>
        <w:rPr>
          <w:color w:val="auto"/>
        </w:rPr>
        <w:t>2.4.</w:t>
      </w:r>
      <w:r>
        <w:rPr>
          <w:rFonts w:hint="eastAsia"/>
          <w:color w:val="auto"/>
        </w:rPr>
        <w:t>1.1</w:t>
      </w:r>
      <w:r>
        <w:rPr>
          <w:color w:val="auto"/>
        </w:rPr>
        <w:t xml:space="preserve"> 总平面布置</w:t>
      </w:r>
      <w:bookmarkEnd w:id="239"/>
    </w:p>
    <w:bookmarkEnd w:id="240"/>
    <w:bookmarkEnd w:id="241"/>
    <w:p w14:paraId="105BD440">
      <w:pPr>
        <w:ind w:firstLine="560"/>
        <w:rPr>
          <w:szCs w:val="28"/>
        </w:rPr>
      </w:pPr>
      <w:r>
        <w:rPr>
          <w:rFonts w:hint="eastAsia"/>
          <w:szCs w:val="28"/>
        </w:rPr>
        <w:t>云南杉杉新材料有限公司现有厂区用地面积约1800亩，分为两个地块，中间间隔一条厂区主干道。同时，若干条次要道路和环形消防道与其相交，形成环形网格状道路框架。厂区所有的建构筑物均围绕主、次干道展开布置，厂区分为厂前区和厂区两大块，厂前区位于厂区的西北面。</w:t>
      </w:r>
    </w:p>
    <w:p w14:paraId="13D1E51A">
      <w:pPr>
        <w:ind w:firstLine="560"/>
        <w:rPr>
          <w:szCs w:val="28"/>
        </w:rPr>
      </w:pPr>
      <w:r>
        <w:rPr>
          <w:rFonts w:hint="eastAsia"/>
          <w:szCs w:val="28"/>
        </w:rPr>
        <w:t>厂前区位于厂区的西北面，主要布置全厂服务性办公及生活设施，包括综合楼、停车场、食堂等，此区域位于当地常年主导风向（西南风）的侧风向。</w:t>
      </w:r>
    </w:p>
    <w:p w14:paraId="16F4CBA6">
      <w:pPr>
        <w:ind w:firstLine="560"/>
        <w:rPr>
          <w:szCs w:val="28"/>
        </w:rPr>
      </w:pPr>
      <w:r>
        <w:rPr>
          <w:rFonts w:hint="eastAsia"/>
          <w:szCs w:val="28"/>
        </w:rPr>
        <w:t>生产区域由北向南依次为仓储区、原料处理区、生产区、半成品仓库及成品仓库。生产区根据改性造粒、预石墨化、石墨化、二次包覆、碳化改性、成品加工的工艺流程依次布局有效降低了运输成本。成品库布置在厂区东部中区，单独的进出物流出入口，方便物流运输。</w:t>
      </w:r>
    </w:p>
    <w:p w14:paraId="387B5F4E">
      <w:pPr>
        <w:ind w:firstLine="480"/>
        <w:rPr>
          <w:szCs w:val="28"/>
        </w:rPr>
      </w:pPr>
      <w:r>
        <w:rPr>
          <w:rFonts w:hint="eastAsia" w:cs="Times New Roman"/>
          <w:sz w:val="24"/>
        </w:rPr>
        <w:drawing>
          <wp:anchor distT="0" distB="0" distL="114300" distR="114300" simplePos="0" relativeHeight="251660288" behindDoc="0" locked="0" layoutInCell="1" allowOverlap="1">
            <wp:simplePos x="0" y="0"/>
            <wp:positionH relativeFrom="column">
              <wp:posOffset>165735</wp:posOffset>
            </wp:positionH>
            <wp:positionV relativeFrom="paragraph">
              <wp:posOffset>1035050</wp:posOffset>
            </wp:positionV>
            <wp:extent cx="5698490" cy="3799205"/>
            <wp:effectExtent l="0" t="0" r="0" b="0"/>
            <wp:wrapTopAndBottom/>
            <wp:docPr id="1825245704" name="图片 26" descr="平面图-鸟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45704" name="图片 26" descr="平面图-鸟瞰图"/>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698490" cy="3799205"/>
                    </a:xfrm>
                    <a:prstGeom prst="rect">
                      <a:avLst/>
                    </a:prstGeom>
                    <a:noFill/>
                    <a:ln>
                      <a:noFill/>
                    </a:ln>
                  </pic:spPr>
                </pic:pic>
              </a:graphicData>
            </a:graphic>
          </wp:anchor>
        </w:drawing>
      </w:r>
      <w:r>
        <w:rPr>
          <w:rFonts w:hint="eastAsia"/>
          <w:szCs w:val="28"/>
        </w:rPr>
        <w:t>公用工程区根据与车间的对应关系和靠近负荷中心原则，各子项围绕相应生产车间布置，包括220kV变电站及10kV变压站、空分制氮站、尾气处理等。</w:t>
      </w:r>
    </w:p>
    <w:p w14:paraId="10F8E491">
      <w:pPr>
        <w:pStyle w:val="574"/>
        <w:widowControl/>
        <w:numPr>
          <w:ilvl w:val="0"/>
          <w:numId w:val="11"/>
        </w:numPr>
        <w:spacing w:before="120" w:after="120" w:line="240" w:lineRule="auto"/>
        <w:ind w:left="482" w:hanging="482" w:hangingChars="200"/>
        <w:jc w:val="center"/>
        <w:textAlignment w:val="baseline"/>
        <w:rPr>
          <w:rFonts w:ascii="Times New Roman" w:hAnsi="Times New Roman" w:cs="Times New Roman"/>
          <w:b/>
          <w:bCs/>
          <w:sz w:val="24"/>
          <w:szCs w:val="24"/>
        </w:rPr>
      </w:pPr>
      <w:r>
        <w:rPr>
          <w:rFonts w:hint="eastAsia" w:ascii="Times New Roman" w:hAnsi="Times New Roman" w:cs="Times New Roman"/>
          <w:b/>
          <w:bCs/>
          <w:sz w:val="24"/>
          <w:szCs w:val="24"/>
        </w:rPr>
        <w:t>生产装置鸟瞰图</w:t>
      </w:r>
    </w:p>
    <w:p w14:paraId="325A70D8">
      <w:pPr>
        <w:ind w:firstLine="0" w:firstLineChars="0"/>
        <w:jc w:val="center"/>
        <w:rPr>
          <w:szCs w:val="22"/>
        </w:rPr>
      </w:pPr>
      <w:r>
        <w:rPr>
          <w:sz w:val="24"/>
        </w:rPr>
        <w:drawing>
          <wp:inline distT="0" distB="0" distL="0" distR="0">
            <wp:extent cx="5824855" cy="7762875"/>
            <wp:effectExtent l="0" t="0" r="4445" b="9525"/>
            <wp:docPr id="1906274028" name="图片 27" descr="IMG_20250210_11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274028" name="图片 27" descr="IMG_20250210_1149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824855" cy="7762875"/>
                    </a:xfrm>
                    <a:prstGeom prst="rect">
                      <a:avLst/>
                    </a:prstGeom>
                    <a:noFill/>
                    <a:ln>
                      <a:noFill/>
                    </a:ln>
                  </pic:spPr>
                </pic:pic>
              </a:graphicData>
            </a:graphic>
          </wp:inline>
        </w:drawing>
      </w:r>
    </w:p>
    <w:p w14:paraId="77BC4A49">
      <w:pPr>
        <w:pStyle w:val="574"/>
        <w:widowControl/>
        <w:numPr>
          <w:ilvl w:val="0"/>
          <w:numId w:val="11"/>
        </w:numPr>
        <w:spacing w:before="120" w:after="120" w:line="240" w:lineRule="auto"/>
        <w:ind w:left="482" w:hanging="482" w:hangingChars="200"/>
        <w:jc w:val="center"/>
        <w:textAlignment w:val="baseline"/>
        <w:rPr>
          <w:rFonts w:ascii="Times New Roman" w:hAnsi="Times New Roman" w:cs="Times New Roman"/>
          <w:b/>
          <w:bCs/>
          <w:sz w:val="24"/>
          <w:szCs w:val="24"/>
        </w:rPr>
      </w:pPr>
      <w:r>
        <w:rPr>
          <w:rFonts w:hint="eastAsia" w:ascii="Times New Roman" w:hAnsi="Times New Roman" w:cs="Times New Roman"/>
          <w:b/>
          <w:bCs/>
          <w:sz w:val="24"/>
          <w:szCs w:val="24"/>
        </w:rPr>
        <w:t>厂区总平面布置图</w:t>
      </w:r>
    </w:p>
    <w:p w14:paraId="226AFD5F">
      <w:pPr>
        <w:pStyle w:val="11"/>
        <w:rPr>
          <w:color w:val="auto"/>
        </w:rPr>
      </w:pPr>
      <w:bookmarkStart w:id="242" w:name="_Toc31550"/>
      <w:bookmarkStart w:id="243" w:name="_Toc32728"/>
      <w:bookmarkStart w:id="244" w:name="_Toc154494420"/>
      <w:bookmarkStart w:id="245" w:name="_Toc8882"/>
      <w:bookmarkStart w:id="246" w:name="_Toc425365982"/>
      <w:bookmarkStart w:id="247" w:name="_Toc136207739"/>
      <w:bookmarkStart w:id="248" w:name="_Toc425365981"/>
      <w:bookmarkStart w:id="249" w:name="_Toc154494419"/>
      <w:r>
        <w:rPr>
          <w:color w:val="auto"/>
        </w:rPr>
        <w:t>2.</w:t>
      </w:r>
      <w:r>
        <w:rPr>
          <w:rFonts w:hint="eastAsia"/>
          <w:color w:val="auto"/>
        </w:rPr>
        <w:t>4</w:t>
      </w:r>
      <w:r>
        <w:rPr>
          <w:color w:val="auto"/>
        </w:rPr>
        <w:t>.</w:t>
      </w:r>
      <w:r>
        <w:rPr>
          <w:rFonts w:hint="eastAsia"/>
          <w:color w:val="auto"/>
        </w:rPr>
        <w:t>1.2</w:t>
      </w:r>
      <w:r>
        <w:rPr>
          <w:color w:val="auto"/>
        </w:rPr>
        <w:t xml:space="preserve"> 厂内</w:t>
      </w:r>
      <w:r>
        <w:rPr>
          <w:rFonts w:hint="eastAsia"/>
          <w:color w:val="auto"/>
        </w:rPr>
        <w:t>出口机</w:t>
      </w:r>
      <w:r>
        <w:rPr>
          <w:color w:val="auto"/>
        </w:rPr>
        <w:t>物流运输</w:t>
      </w:r>
      <w:bookmarkEnd w:id="242"/>
      <w:bookmarkEnd w:id="243"/>
      <w:bookmarkEnd w:id="244"/>
      <w:bookmarkEnd w:id="245"/>
      <w:bookmarkEnd w:id="246"/>
    </w:p>
    <w:bookmarkEnd w:id="247"/>
    <w:bookmarkEnd w:id="248"/>
    <w:bookmarkEnd w:id="249"/>
    <w:p w14:paraId="7D86F30F">
      <w:pPr>
        <w:spacing w:line="500" w:lineRule="exact"/>
        <w:ind w:firstLine="560"/>
        <w:rPr>
          <w:szCs w:val="28"/>
        </w:rPr>
      </w:pPr>
      <w:r>
        <w:rPr>
          <w:rFonts w:hint="eastAsia"/>
          <w:szCs w:val="28"/>
        </w:rPr>
        <w:t>厂区北侧设置4个出入口，供人流物流出入。道路布置为方格网环形道路布置，厂区主干道及物流主干道均为15m，次干道及环形消防道为12m、9m、6m。本项目生产车间四周均设置环形消防道路，最小宽度6米，转弯半径大于12m，能够满足消防要求</w:t>
      </w:r>
      <w:r>
        <w:rPr>
          <w:szCs w:val="28"/>
        </w:rPr>
        <w:t>。</w:t>
      </w:r>
    </w:p>
    <w:p w14:paraId="3D278694">
      <w:pPr>
        <w:pStyle w:val="11"/>
        <w:rPr>
          <w:color w:val="auto"/>
        </w:rPr>
      </w:pPr>
      <w:bookmarkStart w:id="250" w:name="_Toc154494421"/>
      <w:bookmarkStart w:id="251" w:name="_Toc26222"/>
      <w:bookmarkStart w:id="252" w:name="_Toc10615"/>
      <w:bookmarkStart w:id="253" w:name="_Toc21267"/>
      <w:r>
        <w:rPr>
          <w:color w:val="auto"/>
        </w:rPr>
        <w:t>2.</w:t>
      </w:r>
      <w:r>
        <w:rPr>
          <w:rFonts w:hint="eastAsia"/>
          <w:color w:val="auto"/>
        </w:rPr>
        <w:t>4</w:t>
      </w:r>
      <w:r>
        <w:rPr>
          <w:color w:val="auto"/>
        </w:rPr>
        <w:t>.</w:t>
      </w:r>
      <w:r>
        <w:rPr>
          <w:rFonts w:hint="eastAsia"/>
          <w:color w:val="auto"/>
        </w:rPr>
        <w:t>1.3</w:t>
      </w:r>
      <w:r>
        <w:rPr>
          <w:color w:val="auto"/>
        </w:rPr>
        <w:t xml:space="preserve"> 主要建构筑</w:t>
      </w:r>
      <w:bookmarkEnd w:id="250"/>
      <w:r>
        <w:rPr>
          <w:rFonts w:hint="eastAsia"/>
          <w:color w:val="auto"/>
        </w:rPr>
        <w:t>物</w:t>
      </w:r>
      <w:bookmarkEnd w:id="251"/>
      <w:bookmarkEnd w:id="252"/>
      <w:bookmarkEnd w:id="253"/>
    </w:p>
    <w:p w14:paraId="789FCB5B">
      <w:pPr>
        <w:pStyle w:val="658"/>
        <w:widowControl/>
        <w:numPr>
          <w:ilvl w:val="0"/>
          <w:numId w:val="9"/>
        </w:numPr>
        <w:adjustRightInd/>
        <w:snapToGrid/>
        <w:spacing w:line="500" w:lineRule="exact"/>
        <w:ind w:firstLineChars="0"/>
        <w:jc w:val="center"/>
        <w:textAlignment w:val="baseline"/>
        <w:rPr>
          <w:rFonts w:cs="Times New Roman"/>
          <w:b/>
          <w:bCs/>
          <w:sz w:val="24"/>
        </w:rPr>
      </w:pPr>
      <w:r>
        <w:rPr>
          <w:rFonts w:hint="eastAsia" w:cs="Times New Roman"/>
          <w:b/>
          <w:bCs/>
          <w:sz w:val="24"/>
        </w:rPr>
        <w:t>一期项目主要建（构）筑物一览表</w:t>
      </w:r>
    </w:p>
    <w:tbl>
      <w:tblPr>
        <w:tblStyle w:val="5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6"/>
        <w:gridCol w:w="711"/>
        <w:gridCol w:w="959"/>
        <w:gridCol w:w="1222"/>
        <w:gridCol w:w="1132"/>
        <w:gridCol w:w="993"/>
        <w:gridCol w:w="991"/>
        <w:gridCol w:w="1279"/>
        <w:gridCol w:w="1497"/>
      </w:tblGrid>
      <w:tr w14:paraId="745D3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28" w:type="pct"/>
            <w:tcBorders>
              <w:top w:val="single" w:color="000000" w:sz="4" w:space="0"/>
              <w:left w:val="single" w:color="000000" w:sz="4" w:space="0"/>
              <w:bottom w:val="single" w:color="000000" w:sz="4" w:space="0"/>
              <w:right w:val="single" w:color="000000" w:sz="4" w:space="0"/>
              <w:tl2br w:val="nil"/>
            </w:tcBorders>
            <w:shd w:val="clear" w:color="auto" w:fill="FFFFFF"/>
            <w:noWrap/>
            <w:vAlign w:val="center"/>
          </w:tcPr>
          <w:p w14:paraId="25494830">
            <w:pPr>
              <w:widowControl/>
              <w:spacing w:line="240" w:lineRule="auto"/>
              <w:ind w:firstLine="0" w:firstLineChars="0"/>
              <w:jc w:val="center"/>
              <w:textAlignment w:val="baseline"/>
              <w:rPr>
                <w:sz w:val="21"/>
                <w:szCs w:val="21"/>
              </w:rPr>
            </w:pPr>
            <w:r>
              <w:rPr>
                <w:rFonts w:hint="eastAsia"/>
                <w:sz w:val="21"/>
                <w:szCs w:val="21"/>
              </w:rPr>
              <w:t>序号</w:t>
            </w: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632319">
            <w:pPr>
              <w:widowControl/>
              <w:spacing w:line="240" w:lineRule="auto"/>
              <w:ind w:firstLine="0" w:firstLineChars="0"/>
              <w:jc w:val="center"/>
              <w:textAlignment w:val="baseline"/>
              <w:rPr>
                <w:sz w:val="21"/>
                <w:szCs w:val="21"/>
              </w:rPr>
            </w:pPr>
            <w:r>
              <w:rPr>
                <w:rFonts w:hint="eastAsia"/>
                <w:sz w:val="21"/>
                <w:szCs w:val="21"/>
              </w:rPr>
              <w:t>建筑物名称</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461867">
            <w:pPr>
              <w:widowControl/>
              <w:spacing w:line="240" w:lineRule="auto"/>
              <w:ind w:firstLine="0" w:firstLineChars="0"/>
              <w:jc w:val="center"/>
              <w:textAlignment w:val="baseline"/>
              <w:rPr>
                <w:sz w:val="21"/>
                <w:szCs w:val="21"/>
              </w:rPr>
            </w:pPr>
            <w:r>
              <w:rPr>
                <w:rFonts w:hint="eastAsia"/>
                <w:sz w:val="21"/>
                <w:szCs w:val="21"/>
              </w:rPr>
              <w:t>占地面积（㎡）</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22E23C">
            <w:pPr>
              <w:widowControl/>
              <w:spacing w:line="240" w:lineRule="auto"/>
              <w:ind w:firstLine="0" w:firstLineChars="0"/>
              <w:jc w:val="center"/>
              <w:textAlignment w:val="baseline"/>
              <w:rPr>
                <w:sz w:val="21"/>
                <w:szCs w:val="21"/>
              </w:rPr>
            </w:pPr>
            <w:r>
              <w:rPr>
                <w:rFonts w:hint="eastAsia"/>
                <w:sz w:val="21"/>
                <w:szCs w:val="21"/>
              </w:rPr>
              <w:t>建筑面积（㎡）</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A4E0831">
            <w:pPr>
              <w:widowControl/>
              <w:spacing w:line="240" w:lineRule="auto"/>
              <w:ind w:firstLine="0" w:firstLineChars="0"/>
              <w:jc w:val="center"/>
              <w:textAlignment w:val="baseline"/>
              <w:rPr>
                <w:sz w:val="21"/>
                <w:szCs w:val="21"/>
              </w:rPr>
            </w:pPr>
            <w:r>
              <w:rPr>
                <w:rFonts w:hint="eastAsia"/>
                <w:sz w:val="21"/>
                <w:szCs w:val="21"/>
              </w:rPr>
              <w:t>火灾</w:t>
            </w:r>
          </w:p>
          <w:p w14:paraId="2E9D1080">
            <w:pPr>
              <w:widowControl/>
              <w:spacing w:line="240" w:lineRule="auto"/>
              <w:ind w:firstLine="0" w:firstLineChars="0"/>
              <w:jc w:val="center"/>
              <w:textAlignment w:val="baseline"/>
              <w:rPr>
                <w:sz w:val="21"/>
                <w:szCs w:val="21"/>
              </w:rPr>
            </w:pPr>
            <w:r>
              <w:rPr>
                <w:rFonts w:hint="eastAsia"/>
                <w:sz w:val="21"/>
                <w:szCs w:val="21"/>
              </w:rPr>
              <w:t>等级</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8ECA07">
            <w:pPr>
              <w:widowControl/>
              <w:spacing w:line="240" w:lineRule="auto"/>
              <w:ind w:firstLine="0" w:firstLineChars="0"/>
              <w:jc w:val="center"/>
              <w:textAlignment w:val="baseline"/>
              <w:rPr>
                <w:sz w:val="21"/>
                <w:szCs w:val="21"/>
              </w:rPr>
            </w:pPr>
            <w:r>
              <w:rPr>
                <w:rFonts w:hint="eastAsia"/>
                <w:sz w:val="21"/>
                <w:szCs w:val="21"/>
              </w:rPr>
              <w:t>耐火</w:t>
            </w:r>
          </w:p>
          <w:p w14:paraId="32E94BFB">
            <w:pPr>
              <w:widowControl/>
              <w:spacing w:line="240" w:lineRule="auto"/>
              <w:ind w:firstLine="0" w:firstLineChars="0"/>
              <w:jc w:val="center"/>
              <w:textAlignment w:val="baseline"/>
              <w:rPr>
                <w:sz w:val="21"/>
                <w:szCs w:val="21"/>
              </w:rPr>
            </w:pPr>
            <w:r>
              <w:rPr>
                <w:rFonts w:hint="eastAsia"/>
                <w:sz w:val="21"/>
                <w:szCs w:val="21"/>
              </w:rPr>
              <w:t>等级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B14A311">
            <w:pPr>
              <w:widowControl/>
              <w:spacing w:line="240" w:lineRule="auto"/>
              <w:ind w:firstLine="0" w:firstLineChars="0"/>
              <w:jc w:val="center"/>
              <w:textAlignment w:val="baseline"/>
              <w:rPr>
                <w:sz w:val="21"/>
                <w:szCs w:val="21"/>
              </w:rPr>
            </w:pPr>
            <w:r>
              <w:rPr>
                <w:rFonts w:hint="eastAsia"/>
                <w:sz w:val="21"/>
                <w:szCs w:val="21"/>
              </w:rPr>
              <w:t>结构形式</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C09693">
            <w:pPr>
              <w:widowControl/>
              <w:spacing w:line="240" w:lineRule="auto"/>
              <w:ind w:firstLine="0" w:firstLineChars="0"/>
              <w:jc w:val="center"/>
              <w:textAlignment w:val="baseline"/>
              <w:rPr>
                <w:sz w:val="21"/>
                <w:szCs w:val="21"/>
              </w:rPr>
            </w:pPr>
            <w:r>
              <w:rPr>
                <w:rFonts w:hint="eastAsia"/>
                <w:sz w:val="21"/>
                <w:szCs w:val="21"/>
              </w:rPr>
              <w:t>备注</w:t>
            </w:r>
          </w:p>
        </w:tc>
      </w:tr>
      <w:tr w14:paraId="574BA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850366B">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8447B50">
            <w:pPr>
              <w:widowControl/>
              <w:spacing w:line="240" w:lineRule="auto"/>
              <w:ind w:firstLine="0" w:firstLineChars="0"/>
              <w:jc w:val="center"/>
              <w:textAlignment w:val="baseline"/>
              <w:rPr>
                <w:sz w:val="21"/>
                <w:szCs w:val="21"/>
              </w:rPr>
            </w:pPr>
            <w:r>
              <w:rPr>
                <w:rFonts w:hint="eastAsia"/>
                <w:sz w:val="21"/>
                <w:szCs w:val="21"/>
              </w:rPr>
              <w:t>磨粉车间一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3BA119">
            <w:pPr>
              <w:widowControl/>
              <w:spacing w:line="240" w:lineRule="auto"/>
              <w:ind w:firstLine="0" w:firstLineChars="0"/>
              <w:jc w:val="center"/>
              <w:textAlignment w:val="baseline"/>
              <w:rPr>
                <w:sz w:val="21"/>
                <w:szCs w:val="21"/>
              </w:rPr>
            </w:pPr>
            <w:r>
              <w:rPr>
                <w:rFonts w:hint="eastAsia"/>
                <w:sz w:val="21"/>
                <w:szCs w:val="21"/>
              </w:rPr>
              <w:t>8160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A031CB">
            <w:pPr>
              <w:widowControl/>
              <w:spacing w:line="240" w:lineRule="auto"/>
              <w:ind w:firstLine="0" w:firstLineChars="0"/>
              <w:jc w:val="center"/>
              <w:textAlignment w:val="baseline"/>
              <w:rPr>
                <w:sz w:val="21"/>
                <w:szCs w:val="21"/>
              </w:rPr>
            </w:pPr>
            <w:r>
              <w:rPr>
                <w:rFonts w:hint="eastAsia"/>
                <w:sz w:val="21"/>
                <w:szCs w:val="21"/>
              </w:rPr>
              <w:t>8160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A3205F">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1DBE5E">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1CFE87">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5D6DD6">
            <w:pPr>
              <w:widowControl/>
              <w:spacing w:line="240" w:lineRule="auto"/>
              <w:ind w:firstLine="0" w:firstLineChars="0"/>
              <w:jc w:val="center"/>
              <w:textAlignment w:val="baseline"/>
              <w:rPr>
                <w:sz w:val="21"/>
                <w:szCs w:val="21"/>
              </w:rPr>
            </w:pPr>
            <w:r>
              <w:rPr>
                <w:rFonts w:hint="eastAsia"/>
                <w:sz w:val="21"/>
                <w:szCs w:val="21"/>
              </w:rPr>
              <w:t>M3</w:t>
            </w:r>
          </w:p>
        </w:tc>
      </w:tr>
      <w:tr w14:paraId="49CA4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B6E68BC">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5B4B530">
            <w:pPr>
              <w:widowControl/>
              <w:spacing w:line="240" w:lineRule="auto"/>
              <w:ind w:firstLine="0" w:firstLineChars="0"/>
              <w:jc w:val="center"/>
              <w:textAlignment w:val="baseline"/>
              <w:rPr>
                <w:sz w:val="21"/>
                <w:szCs w:val="21"/>
              </w:rPr>
            </w:pPr>
            <w:r>
              <w:rPr>
                <w:rFonts w:hint="eastAsia"/>
                <w:sz w:val="21"/>
                <w:szCs w:val="21"/>
              </w:rPr>
              <w:t>磨粉车间二</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097B174">
            <w:pPr>
              <w:widowControl/>
              <w:spacing w:line="240" w:lineRule="auto"/>
              <w:ind w:firstLine="0" w:firstLineChars="0"/>
              <w:jc w:val="center"/>
              <w:textAlignment w:val="baseline"/>
              <w:rPr>
                <w:sz w:val="21"/>
                <w:szCs w:val="21"/>
              </w:rPr>
            </w:pPr>
            <w:r>
              <w:rPr>
                <w:rFonts w:hint="eastAsia"/>
                <w:sz w:val="21"/>
                <w:szCs w:val="21"/>
              </w:rPr>
              <w:t>7140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7F7FC3">
            <w:pPr>
              <w:widowControl/>
              <w:spacing w:line="240" w:lineRule="auto"/>
              <w:ind w:firstLine="0" w:firstLineChars="0"/>
              <w:jc w:val="center"/>
              <w:textAlignment w:val="baseline"/>
              <w:rPr>
                <w:sz w:val="21"/>
                <w:szCs w:val="21"/>
              </w:rPr>
            </w:pPr>
            <w:r>
              <w:rPr>
                <w:rFonts w:hint="eastAsia"/>
                <w:sz w:val="21"/>
                <w:szCs w:val="21"/>
              </w:rPr>
              <w:t>7140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5546C4">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888879">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E8576E">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6F1020">
            <w:pPr>
              <w:widowControl/>
              <w:spacing w:line="240" w:lineRule="auto"/>
              <w:ind w:firstLine="0" w:firstLineChars="0"/>
              <w:jc w:val="center"/>
              <w:textAlignment w:val="baseline"/>
              <w:rPr>
                <w:sz w:val="21"/>
                <w:szCs w:val="21"/>
              </w:rPr>
            </w:pPr>
            <w:r>
              <w:rPr>
                <w:rFonts w:hint="eastAsia"/>
                <w:sz w:val="21"/>
                <w:szCs w:val="21"/>
              </w:rPr>
              <w:t>M4</w:t>
            </w:r>
          </w:p>
        </w:tc>
      </w:tr>
      <w:tr w14:paraId="37725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A2DD20">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60A0C5C">
            <w:pPr>
              <w:widowControl/>
              <w:spacing w:line="240" w:lineRule="auto"/>
              <w:ind w:firstLine="0" w:firstLineChars="0"/>
              <w:jc w:val="center"/>
              <w:textAlignment w:val="baseline"/>
              <w:rPr>
                <w:sz w:val="21"/>
                <w:szCs w:val="21"/>
              </w:rPr>
            </w:pPr>
            <w:r>
              <w:rPr>
                <w:rFonts w:hint="eastAsia"/>
                <w:sz w:val="21"/>
                <w:szCs w:val="21"/>
              </w:rPr>
              <w:t>改性车间一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890973">
            <w:pPr>
              <w:widowControl/>
              <w:spacing w:line="240" w:lineRule="auto"/>
              <w:ind w:firstLine="0" w:firstLineChars="0"/>
              <w:jc w:val="center"/>
              <w:textAlignment w:val="baseline"/>
              <w:rPr>
                <w:sz w:val="21"/>
                <w:szCs w:val="21"/>
              </w:rPr>
            </w:pPr>
            <w:r>
              <w:rPr>
                <w:rFonts w:hint="eastAsia"/>
                <w:sz w:val="21"/>
                <w:szCs w:val="21"/>
              </w:rPr>
              <w:t>6318</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3C6D6C">
            <w:pPr>
              <w:widowControl/>
              <w:spacing w:line="240" w:lineRule="auto"/>
              <w:ind w:firstLine="0" w:firstLineChars="0"/>
              <w:jc w:val="center"/>
              <w:textAlignment w:val="baseline"/>
              <w:rPr>
                <w:sz w:val="21"/>
                <w:szCs w:val="21"/>
              </w:rPr>
            </w:pPr>
            <w:r>
              <w:rPr>
                <w:rFonts w:hint="eastAsia"/>
                <w:sz w:val="21"/>
                <w:szCs w:val="21"/>
              </w:rPr>
              <w:t>6318</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3EB09B">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0A2B7C">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331396">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830562">
            <w:pPr>
              <w:widowControl/>
              <w:spacing w:line="240" w:lineRule="auto"/>
              <w:ind w:firstLine="0" w:firstLineChars="0"/>
              <w:jc w:val="center"/>
              <w:textAlignment w:val="baseline"/>
              <w:rPr>
                <w:sz w:val="21"/>
                <w:szCs w:val="21"/>
              </w:rPr>
            </w:pPr>
            <w:r>
              <w:rPr>
                <w:rFonts w:hint="eastAsia"/>
                <w:sz w:val="21"/>
                <w:szCs w:val="21"/>
              </w:rPr>
              <w:t>M5</w:t>
            </w:r>
          </w:p>
        </w:tc>
      </w:tr>
      <w:tr w14:paraId="38825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90D20B9">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7AD2170">
            <w:pPr>
              <w:widowControl/>
              <w:spacing w:line="240" w:lineRule="auto"/>
              <w:ind w:firstLine="0" w:firstLineChars="0"/>
              <w:jc w:val="center"/>
              <w:textAlignment w:val="baseline"/>
              <w:rPr>
                <w:sz w:val="21"/>
                <w:szCs w:val="21"/>
              </w:rPr>
            </w:pPr>
            <w:r>
              <w:rPr>
                <w:rFonts w:hint="eastAsia"/>
                <w:sz w:val="21"/>
                <w:szCs w:val="21"/>
              </w:rPr>
              <w:t>石墨化车间一（含辅房）</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E8A36C">
            <w:pPr>
              <w:widowControl/>
              <w:spacing w:line="240" w:lineRule="auto"/>
              <w:ind w:firstLine="0" w:firstLineChars="0"/>
              <w:jc w:val="center"/>
              <w:textAlignment w:val="baseline"/>
              <w:rPr>
                <w:sz w:val="21"/>
                <w:szCs w:val="21"/>
              </w:rPr>
            </w:pPr>
            <w:r>
              <w:rPr>
                <w:rFonts w:hint="eastAsia"/>
                <w:sz w:val="21"/>
                <w:szCs w:val="21"/>
              </w:rPr>
              <w:t>102125.40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2D248FE">
            <w:pPr>
              <w:widowControl/>
              <w:spacing w:line="240" w:lineRule="auto"/>
              <w:ind w:firstLine="0" w:firstLineChars="0"/>
              <w:jc w:val="center"/>
              <w:textAlignment w:val="baseline"/>
              <w:rPr>
                <w:sz w:val="21"/>
                <w:szCs w:val="21"/>
              </w:rPr>
            </w:pPr>
            <w:r>
              <w:rPr>
                <w:rFonts w:hint="eastAsia"/>
                <w:sz w:val="21"/>
                <w:szCs w:val="21"/>
              </w:rPr>
              <w:t>104931.50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46FB30">
            <w:pPr>
              <w:widowControl/>
              <w:spacing w:line="240" w:lineRule="auto"/>
              <w:ind w:firstLine="0" w:firstLineChars="0"/>
              <w:jc w:val="center"/>
              <w:textAlignment w:val="baseline"/>
              <w:rPr>
                <w:sz w:val="21"/>
                <w:szCs w:val="21"/>
              </w:rPr>
            </w:pPr>
            <w:r>
              <w:rPr>
                <w:rFonts w:hint="eastAsia"/>
                <w:sz w:val="21"/>
                <w:szCs w:val="21"/>
              </w:rPr>
              <w:t>丁类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61F1BC8">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799C1A">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66601E">
            <w:pPr>
              <w:widowControl/>
              <w:spacing w:line="240" w:lineRule="auto"/>
              <w:ind w:firstLine="0" w:firstLineChars="0"/>
              <w:jc w:val="center"/>
              <w:textAlignment w:val="baseline"/>
              <w:rPr>
                <w:sz w:val="21"/>
                <w:szCs w:val="21"/>
              </w:rPr>
            </w:pPr>
            <w:r>
              <w:rPr>
                <w:rFonts w:hint="eastAsia"/>
                <w:sz w:val="21"/>
                <w:szCs w:val="21"/>
              </w:rPr>
              <w:t>M8辅房砼结构</w:t>
            </w:r>
          </w:p>
        </w:tc>
      </w:tr>
      <w:tr w14:paraId="26DBA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EF0C8E">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FC18DAF">
            <w:pPr>
              <w:widowControl/>
              <w:spacing w:line="240" w:lineRule="auto"/>
              <w:ind w:firstLine="0" w:firstLineChars="0"/>
              <w:jc w:val="center"/>
              <w:textAlignment w:val="baseline"/>
              <w:rPr>
                <w:sz w:val="21"/>
                <w:szCs w:val="21"/>
              </w:rPr>
            </w:pPr>
            <w:r>
              <w:rPr>
                <w:rFonts w:hint="eastAsia"/>
                <w:sz w:val="21"/>
                <w:szCs w:val="21"/>
              </w:rPr>
              <w:t>石墨化车间二</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655434">
            <w:pPr>
              <w:widowControl/>
              <w:spacing w:line="240" w:lineRule="auto"/>
              <w:ind w:firstLine="0" w:firstLineChars="0"/>
              <w:jc w:val="center"/>
              <w:textAlignment w:val="baseline"/>
              <w:rPr>
                <w:sz w:val="21"/>
                <w:szCs w:val="21"/>
              </w:rPr>
            </w:pPr>
            <w:r>
              <w:rPr>
                <w:rFonts w:hint="eastAsia"/>
                <w:sz w:val="21"/>
                <w:szCs w:val="21"/>
              </w:rPr>
              <w:t>102125.40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5C42BA">
            <w:pPr>
              <w:widowControl/>
              <w:spacing w:line="240" w:lineRule="auto"/>
              <w:ind w:firstLine="0" w:firstLineChars="0"/>
              <w:jc w:val="center"/>
              <w:textAlignment w:val="baseline"/>
              <w:rPr>
                <w:sz w:val="21"/>
                <w:szCs w:val="21"/>
              </w:rPr>
            </w:pPr>
            <w:r>
              <w:rPr>
                <w:rFonts w:hint="eastAsia"/>
                <w:sz w:val="21"/>
                <w:szCs w:val="21"/>
              </w:rPr>
              <w:t>104931.50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78D2E2">
            <w:pPr>
              <w:widowControl/>
              <w:spacing w:line="240" w:lineRule="auto"/>
              <w:ind w:firstLine="0" w:firstLineChars="0"/>
              <w:jc w:val="center"/>
              <w:textAlignment w:val="baseline"/>
              <w:rPr>
                <w:sz w:val="21"/>
                <w:szCs w:val="21"/>
              </w:rPr>
            </w:pPr>
            <w:r>
              <w:rPr>
                <w:rFonts w:hint="eastAsia"/>
                <w:sz w:val="21"/>
                <w:szCs w:val="21"/>
              </w:rPr>
              <w:t>丁类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3EDE93">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ED8944">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B7C3B4">
            <w:pPr>
              <w:widowControl/>
              <w:spacing w:line="240" w:lineRule="auto"/>
              <w:ind w:firstLine="0" w:firstLineChars="0"/>
              <w:jc w:val="center"/>
              <w:textAlignment w:val="baseline"/>
              <w:rPr>
                <w:sz w:val="21"/>
                <w:szCs w:val="21"/>
              </w:rPr>
            </w:pPr>
            <w:r>
              <w:rPr>
                <w:rFonts w:hint="eastAsia"/>
                <w:sz w:val="21"/>
                <w:szCs w:val="21"/>
              </w:rPr>
              <w:t>M9辅房砼结构</w:t>
            </w:r>
          </w:p>
        </w:tc>
      </w:tr>
      <w:tr w14:paraId="01DF6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9FC549">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0606148">
            <w:pPr>
              <w:widowControl/>
              <w:spacing w:line="240" w:lineRule="auto"/>
              <w:ind w:firstLine="0" w:firstLineChars="0"/>
              <w:jc w:val="center"/>
              <w:textAlignment w:val="baseline"/>
              <w:rPr>
                <w:sz w:val="21"/>
                <w:szCs w:val="21"/>
              </w:rPr>
            </w:pPr>
            <w:r>
              <w:rPr>
                <w:rFonts w:hint="eastAsia"/>
                <w:sz w:val="21"/>
                <w:szCs w:val="21"/>
              </w:rPr>
              <w:t>碳化车间一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80BFE0">
            <w:pPr>
              <w:widowControl/>
              <w:spacing w:line="240" w:lineRule="auto"/>
              <w:ind w:firstLine="0" w:firstLineChars="0"/>
              <w:jc w:val="center"/>
              <w:textAlignment w:val="baseline"/>
              <w:rPr>
                <w:sz w:val="21"/>
                <w:szCs w:val="21"/>
              </w:rPr>
            </w:pPr>
            <w:r>
              <w:rPr>
                <w:rFonts w:hint="eastAsia"/>
                <w:sz w:val="21"/>
                <w:szCs w:val="21"/>
              </w:rPr>
              <w:t>16700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4DE178">
            <w:pPr>
              <w:widowControl/>
              <w:spacing w:line="240" w:lineRule="auto"/>
              <w:ind w:firstLine="0" w:firstLineChars="0"/>
              <w:jc w:val="center"/>
              <w:textAlignment w:val="baseline"/>
              <w:rPr>
                <w:sz w:val="21"/>
                <w:szCs w:val="21"/>
              </w:rPr>
            </w:pPr>
            <w:r>
              <w:rPr>
                <w:rFonts w:hint="eastAsia"/>
                <w:sz w:val="21"/>
                <w:szCs w:val="21"/>
              </w:rPr>
              <w:t>16992</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CFA46B">
            <w:pPr>
              <w:widowControl/>
              <w:spacing w:line="240" w:lineRule="auto"/>
              <w:ind w:firstLine="0" w:firstLineChars="0"/>
              <w:jc w:val="center"/>
              <w:textAlignment w:val="baseline"/>
              <w:rPr>
                <w:sz w:val="21"/>
                <w:szCs w:val="21"/>
              </w:rPr>
            </w:pPr>
            <w:r>
              <w:rPr>
                <w:rFonts w:hint="eastAsia"/>
                <w:sz w:val="21"/>
                <w:szCs w:val="21"/>
              </w:rPr>
              <w:t>丁类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E35EF6">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BEBECA">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AA006E">
            <w:pPr>
              <w:widowControl/>
              <w:spacing w:line="240" w:lineRule="auto"/>
              <w:ind w:firstLine="0" w:firstLineChars="0"/>
              <w:jc w:val="center"/>
              <w:textAlignment w:val="baseline"/>
              <w:rPr>
                <w:sz w:val="21"/>
                <w:szCs w:val="21"/>
              </w:rPr>
            </w:pPr>
            <w:r>
              <w:rPr>
                <w:rFonts w:hint="eastAsia"/>
                <w:sz w:val="21"/>
                <w:szCs w:val="21"/>
              </w:rPr>
              <w:t>M14含辅房</w:t>
            </w:r>
          </w:p>
        </w:tc>
      </w:tr>
      <w:tr w14:paraId="20006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60C34F">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231AA28">
            <w:pPr>
              <w:widowControl/>
              <w:spacing w:line="240" w:lineRule="auto"/>
              <w:ind w:firstLine="0" w:firstLineChars="0"/>
              <w:jc w:val="center"/>
              <w:textAlignment w:val="baseline"/>
              <w:rPr>
                <w:sz w:val="21"/>
                <w:szCs w:val="21"/>
              </w:rPr>
            </w:pPr>
            <w:r>
              <w:rPr>
                <w:rFonts w:hint="eastAsia"/>
                <w:sz w:val="21"/>
                <w:szCs w:val="21"/>
              </w:rPr>
              <w:t>二次包覆车间一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659A610">
            <w:pPr>
              <w:widowControl/>
              <w:spacing w:line="240" w:lineRule="auto"/>
              <w:ind w:firstLine="0" w:firstLineChars="0"/>
              <w:jc w:val="center"/>
              <w:textAlignment w:val="baseline"/>
              <w:rPr>
                <w:sz w:val="21"/>
                <w:szCs w:val="21"/>
              </w:rPr>
            </w:pPr>
            <w:r>
              <w:rPr>
                <w:rFonts w:hint="eastAsia"/>
                <w:sz w:val="21"/>
                <w:szCs w:val="21"/>
              </w:rPr>
              <w:t>2498</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446C02">
            <w:pPr>
              <w:widowControl/>
              <w:spacing w:line="240" w:lineRule="auto"/>
              <w:ind w:firstLine="0" w:firstLineChars="0"/>
              <w:jc w:val="center"/>
              <w:textAlignment w:val="baseline"/>
              <w:rPr>
                <w:sz w:val="21"/>
                <w:szCs w:val="21"/>
              </w:rPr>
            </w:pPr>
            <w:r>
              <w:rPr>
                <w:rFonts w:hint="eastAsia"/>
                <w:sz w:val="21"/>
                <w:szCs w:val="21"/>
              </w:rPr>
              <w:t>2498</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F06B68">
            <w:pPr>
              <w:widowControl/>
              <w:spacing w:line="240" w:lineRule="auto"/>
              <w:ind w:firstLine="0" w:firstLineChars="0"/>
              <w:jc w:val="center"/>
              <w:textAlignment w:val="baseline"/>
              <w:rPr>
                <w:sz w:val="21"/>
                <w:szCs w:val="21"/>
              </w:rPr>
            </w:pPr>
            <w:r>
              <w:rPr>
                <w:rFonts w:hint="eastAsia"/>
                <w:sz w:val="21"/>
                <w:szCs w:val="21"/>
              </w:rPr>
              <w:t>丁类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555716">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FACCD1">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590685C">
            <w:pPr>
              <w:widowControl/>
              <w:spacing w:line="240" w:lineRule="auto"/>
              <w:ind w:firstLine="0" w:firstLineChars="0"/>
              <w:jc w:val="center"/>
              <w:textAlignment w:val="baseline"/>
              <w:rPr>
                <w:sz w:val="21"/>
                <w:szCs w:val="21"/>
              </w:rPr>
            </w:pPr>
            <w:r>
              <w:rPr>
                <w:rFonts w:hint="eastAsia"/>
                <w:sz w:val="21"/>
                <w:szCs w:val="21"/>
              </w:rPr>
              <w:t>M12</w:t>
            </w:r>
          </w:p>
        </w:tc>
      </w:tr>
      <w:tr w14:paraId="3D900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FA8834">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B480AA2">
            <w:pPr>
              <w:widowControl/>
              <w:spacing w:line="240" w:lineRule="auto"/>
              <w:ind w:firstLine="0" w:firstLineChars="0"/>
              <w:jc w:val="center"/>
              <w:textAlignment w:val="baseline"/>
              <w:rPr>
                <w:sz w:val="21"/>
                <w:szCs w:val="21"/>
              </w:rPr>
            </w:pPr>
            <w:r>
              <w:rPr>
                <w:rFonts w:hint="eastAsia"/>
                <w:sz w:val="21"/>
                <w:szCs w:val="21"/>
              </w:rPr>
              <w:t>成品加工车间</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CCB73B">
            <w:pPr>
              <w:widowControl/>
              <w:spacing w:line="240" w:lineRule="auto"/>
              <w:ind w:firstLine="0" w:firstLineChars="0"/>
              <w:jc w:val="center"/>
              <w:textAlignment w:val="baseline"/>
              <w:rPr>
                <w:sz w:val="21"/>
                <w:szCs w:val="21"/>
              </w:rPr>
            </w:pPr>
            <w:r>
              <w:rPr>
                <w:rFonts w:hint="eastAsia"/>
                <w:sz w:val="21"/>
                <w:szCs w:val="21"/>
              </w:rPr>
              <w:t>41472</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99E05C3">
            <w:pPr>
              <w:widowControl/>
              <w:spacing w:line="240" w:lineRule="auto"/>
              <w:ind w:firstLine="0" w:firstLineChars="0"/>
              <w:jc w:val="center"/>
              <w:textAlignment w:val="baseline"/>
              <w:rPr>
                <w:sz w:val="21"/>
                <w:szCs w:val="21"/>
              </w:rPr>
            </w:pPr>
            <w:r>
              <w:rPr>
                <w:rFonts w:hint="eastAsia"/>
                <w:sz w:val="21"/>
                <w:szCs w:val="21"/>
              </w:rPr>
              <w:t>41860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4FCD93">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8E6209">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53C0C0">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16322F">
            <w:pPr>
              <w:widowControl/>
              <w:spacing w:line="240" w:lineRule="auto"/>
              <w:ind w:firstLine="0" w:firstLineChars="0"/>
              <w:jc w:val="center"/>
              <w:textAlignment w:val="baseline"/>
              <w:rPr>
                <w:sz w:val="21"/>
                <w:szCs w:val="21"/>
              </w:rPr>
            </w:pPr>
            <w:r>
              <w:rPr>
                <w:rFonts w:hint="eastAsia"/>
                <w:sz w:val="21"/>
                <w:szCs w:val="21"/>
              </w:rPr>
              <w:t>M15</w:t>
            </w:r>
          </w:p>
        </w:tc>
      </w:tr>
      <w:tr w14:paraId="1CA82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F26BB0">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71A36AC">
            <w:pPr>
              <w:widowControl/>
              <w:spacing w:line="240" w:lineRule="auto"/>
              <w:ind w:firstLine="0" w:firstLineChars="0"/>
              <w:jc w:val="center"/>
              <w:textAlignment w:val="baseline"/>
              <w:rPr>
                <w:sz w:val="21"/>
                <w:szCs w:val="21"/>
              </w:rPr>
            </w:pPr>
            <w:r>
              <w:rPr>
                <w:rFonts w:hint="eastAsia"/>
                <w:sz w:val="21"/>
                <w:szCs w:val="21"/>
              </w:rPr>
              <w:t>原料仓库一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3B0485C">
            <w:pPr>
              <w:widowControl/>
              <w:spacing w:line="240" w:lineRule="auto"/>
              <w:ind w:firstLine="0" w:firstLineChars="0"/>
              <w:jc w:val="center"/>
              <w:textAlignment w:val="baseline"/>
              <w:rPr>
                <w:sz w:val="21"/>
                <w:szCs w:val="21"/>
              </w:rPr>
            </w:pPr>
            <w:r>
              <w:rPr>
                <w:rFonts w:hint="eastAsia"/>
                <w:sz w:val="21"/>
                <w:szCs w:val="21"/>
              </w:rPr>
              <w:t>10208</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D4F67E">
            <w:pPr>
              <w:widowControl/>
              <w:spacing w:line="240" w:lineRule="auto"/>
              <w:ind w:firstLine="0" w:firstLineChars="0"/>
              <w:jc w:val="center"/>
              <w:textAlignment w:val="baseline"/>
              <w:rPr>
                <w:sz w:val="21"/>
                <w:szCs w:val="21"/>
              </w:rPr>
            </w:pPr>
            <w:r>
              <w:rPr>
                <w:rFonts w:hint="eastAsia"/>
                <w:sz w:val="21"/>
                <w:szCs w:val="21"/>
              </w:rPr>
              <w:t>10208</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013065">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5AA4664">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5B50E8">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A3BA14F">
            <w:pPr>
              <w:widowControl/>
              <w:spacing w:line="240" w:lineRule="auto"/>
              <w:ind w:firstLine="0" w:firstLineChars="0"/>
              <w:jc w:val="center"/>
              <w:textAlignment w:val="baseline"/>
              <w:rPr>
                <w:sz w:val="21"/>
                <w:szCs w:val="21"/>
              </w:rPr>
            </w:pPr>
            <w:r>
              <w:rPr>
                <w:rFonts w:hint="eastAsia"/>
                <w:sz w:val="21"/>
                <w:szCs w:val="21"/>
              </w:rPr>
              <w:t>M1</w:t>
            </w:r>
          </w:p>
        </w:tc>
      </w:tr>
      <w:tr w14:paraId="3FE77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556AE8">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CF34788">
            <w:pPr>
              <w:widowControl/>
              <w:spacing w:line="240" w:lineRule="auto"/>
              <w:ind w:firstLine="0" w:firstLineChars="0"/>
              <w:jc w:val="center"/>
              <w:textAlignment w:val="baseline"/>
              <w:rPr>
                <w:sz w:val="21"/>
                <w:szCs w:val="21"/>
              </w:rPr>
            </w:pPr>
            <w:r>
              <w:rPr>
                <w:rFonts w:hint="eastAsia"/>
                <w:sz w:val="21"/>
                <w:szCs w:val="21"/>
              </w:rPr>
              <w:t>原料仓库二</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0C12FB">
            <w:pPr>
              <w:widowControl/>
              <w:spacing w:line="240" w:lineRule="auto"/>
              <w:ind w:firstLine="0" w:firstLineChars="0"/>
              <w:jc w:val="center"/>
              <w:textAlignment w:val="baseline"/>
              <w:rPr>
                <w:sz w:val="21"/>
                <w:szCs w:val="21"/>
              </w:rPr>
            </w:pPr>
            <w:r>
              <w:rPr>
                <w:rFonts w:hint="eastAsia"/>
                <w:sz w:val="21"/>
                <w:szCs w:val="21"/>
              </w:rPr>
              <w:t>10208</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411A92">
            <w:pPr>
              <w:widowControl/>
              <w:spacing w:line="240" w:lineRule="auto"/>
              <w:ind w:firstLine="0" w:firstLineChars="0"/>
              <w:jc w:val="center"/>
              <w:textAlignment w:val="baseline"/>
              <w:rPr>
                <w:sz w:val="21"/>
                <w:szCs w:val="21"/>
              </w:rPr>
            </w:pPr>
            <w:r>
              <w:rPr>
                <w:rFonts w:hint="eastAsia"/>
                <w:sz w:val="21"/>
                <w:szCs w:val="21"/>
              </w:rPr>
              <w:t>10208</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A548C1">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E4D560">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DAA5BB">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14D977">
            <w:pPr>
              <w:widowControl/>
              <w:spacing w:line="240" w:lineRule="auto"/>
              <w:ind w:firstLine="0" w:firstLineChars="0"/>
              <w:jc w:val="center"/>
              <w:textAlignment w:val="baseline"/>
              <w:rPr>
                <w:sz w:val="21"/>
                <w:szCs w:val="21"/>
              </w:rPr>
            </w:pPr>
            <w:r>
              <w:rPr>
                <w:rFonts w:hint="eastAsia"/>
                <w:sz w:val="21"/>
                <w:szCs w:val="21"/>
              </w:rPr>
              <w:t>M2</w:t>
            </w:r>
          </w:p>
        </w:tc>
      </w:tr>
      <w:tr w14:paraId="7F08F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EF38186">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EBCC0E1">
            <w:pPr>
              <w:widowControl/>
              <w:spacing w:line="240" w:lineRule="auto"/>
              <w:ind w:firstLine="0" w:firstLineChars="0"/>
              <w:jc w:val="center"/>
              <w:textAlignment w:val="baseline"/>
              <w:rPr>
                <w:sz w:val="21"/>
                <w:szCs w:val="21"/>
              </w:rPr>
            </w:pPr>
            <w:r>
              <w:rPr>
                <w:rFonts w:hint="eastAsia"/>
                <w:sz w:val="21"/>
                <w:szCs w:val="21"/>
              </w:rPr>
              <w:t>丙类仓库</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A40515A">
            <w:pPr>
              <w:widowControl/>
              <w:spacing w:line="240" w:lineRule="auto"/>
              <w:ind w:firstLine="0" w:firstLineChars="0"/>
              <w:jc w:val="center"/>
              <w:textAlignment w:val="baseline"/>
              <w:rPr>
                <w:sz w:val="21"/>
                <w:szCs w:val="21"/>
              </w:rPr>
            </w:pPr>
            <w:r>
              <w:rPr>
                <w:rFonts w:hint="eastAsia"/>
                <w:sz w:val="21"/>
                <w:szCs w:val="21"/>
              </w:rPr>
              <w:t>2054.36</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7DCCD3">
            <w:pPr>
              <w:widowControl/>
              <w:spacing w:line="240" w:lineRule="auto"/>
              <w:ind w:firstLine="0" w:firstLineChars="0"/>
              <w:jc w:val="center"/>
              <w:textAlignment w:val="baseline"/>
              <w:rPr>
                <w:sz w:val="21"/>
                <w:szCs w:val="21"/>
              </w:rPr>
            </w:pPr>
            <w:r>
              <w:rPr>
                <w:rFonts w:hint="eastAsia"/>
                <w:sz w:val="21"/>
                <w:szCs w:val="21"/>
              </w:rPr>
              <w:t>2054.36</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27A069">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4182E2">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846EE6B">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435624D">
            <w:pPr>
              <w:widowControl/>
              <w:spacing w:line="240" w:lineRule="auto"/>
              <w:ind w:firstLine="0" w:firstLineChars="0"/>
              <w:jc w:val="center"/>
              <w:textAlignment w:val="baseline"/>
              <w:rPr>
                <w:sz w:val="21"/>
                <w:szCs w:val="21"/>
              </w:rPr>
            </w:pPr>
            <w:r>
              <w:rPr>
                <w:rFonts w:hint="eastAsia"/>
                <w:sz w:val="21"/>
                <w:szCs w:val="21"/>
              </w:rPr>
              <w:t>A4</w:t>
            </w:r>
          </w:p>
        </w:tc>
      </w:tr>
      <w:tr w14:paraId="52F69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73483C8">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4B0412F">
            <w:pPr>
              <w:widowControl/>
              <w:spacing w:line="240" w:lineRule="auto"/>
              <w:ind w:firstLine="0" w:firstLineChars="0"/>
              <w:jc w:val="center"/>
              <w:textAlignment w:val="baseline"/>
              <w:rPr>
                <w:sz w:val="21"/>
                <w:szCs w:val="21"/>
              </w:rPr>
            </w:pPr>
            <w:r>
              <w:rPr>
                <w:rFonts w:hint="eastAsia"/>
                <w:sz w:val="21"/>
                <w:szCs w:val="21"/>
              </w:rPr>
              <w:t>成品辅料仓库</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8C18464">
            <w:pPr>
              <w:widowControl/>
              <w:spacing w:line="240" w:lineRule="auto"/>
              <w:ind w:firstLine="0" w:firstLineChars="0"/>
              <w:jc w:val="center"/>
              <w:textAlignment w:val="baseline"/>
              <w:rPr>
                <w:sz w:val="21"/>
                <w:szCs w:val="21"/>
              </w:rPr>
            </w:pPr>
            <w:r>
              <w:rPr>
                <w:rFonts w:hint="eastAsia"/>
                <w:sz w:val="21"/>
                <w:szCs w:val="21"/>
              </w:rPr>
              <w:t>700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3009B6A">
            <w:pPr>
              <w:widowControl/>
              <w:spacing w:line="240" w:lineRule="auto"/>
              <w:ind w:firstLine="0" w:firstLineChars="0"/>
              <w:jc w:val="center"/>
              <w:textAlignment w:val="baseline"/>
              <w:rPr>
                <w:sz w:val="21"/>
                <w:szCs w:val="21"/>
              </w:rPr>
            </w:pPr>
            <w:r>
              <w:rPr>
                <w:rFonts w:hint="eastAsia"/>
                <w:sz w:val="21"/>
                <w:szCs w:val="21"/>
              </w:rPr>
              <w:t>700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956F5FE">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827EBDE">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905EEB">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962AD9">
            <w:pPr>
              <w:widowControl/>
              <w:spacing w:line="240" w:lineRule="auto"/>
              <w:ind w:firstLine="0" w:firstLineChars="0"/>
              <w:jc w:val="center"/>
              <w:textAlignment w:val="baseline"/>
              <w:rPr>
                <w:sz w:val="21"/>
                <w:szCs w:val="21"/>
              </w:rPr>
            </w:pPr>
            <w:r>
              <w:rPr>
                <w:rFonts w:hint="eastAsia"/>
                <w:sz w:val="21"/>
                <w:szCs w:val="21"/>
              </w:rPr>
              <w:t>石墨细粉</w:t>
            </w:r>
          </w:p>
        </w:tc>
      </w:tr>
      <w:tr w14:paraId="299FE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708450">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C90CE33">
            <w:pPr>
              <w:widowControl/>
              <w:spacing w:line="240" w:lineRule="auto"/>
              <w:ind w:firstLine="0" w:firstLineChars="0"/>
              <w:jc w:val="center"/>
              <w:textAlignment w:val="baseline"/>
              <w:rPr>
                <w:sz w:val="21"/>
                <w:szCs w:val="21"/>
              </w:rPr>
            </w:pPr>
            <w:r>
              <w:rPr>
                <w:rFonts w:hint="eastAsia"/>
                <w:sz w:val="21"/>
                <w:szCs w:val="21"/>
              </w:rPr>
              <w:t>碳化成品仓库一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434BE6">
            <w:pPr>
              <w:widowControl/>
              <w:spacing w:line="240" w:lineRule="auto"/>
              <w:ind w:firstLine="0" w:firstLineChars="0"/>
              <w:jc w:val="center"/>
              <w:textAlignment w:val="baseline"/>
              <w:rPr>
                <w:sz w:val="21"/>
                <w:szCs w:val="21"/>
              </w:rPr>
            </w:pPr>
            <w:r>
              <w:rPr>
                <w:rFonts w:hint="eastAsia"/>
                <w:sz w:val="21"/>
                <w:szCs w:val="21"/>
              </w:rPr>
              <w:t>5500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C39A6F">
            <w:pPr>
              <w:widowControl/>
              <w:spacing w:line="240" w:lineRule="auto"/>
              <w:ind w:firstLine="0" w:firstLineChars="0"/>
              <w:jc w:val="center"/>
              <w:textAlignment w:val="baseline"/>
              <w:rPr>
                <w:sz w:val="21"/>
                <w:szCs w:val="21"/>
              </w:rPr>
            </w:pPr>
            <w:r>
              <w:rPr>
                <w:rFonts w:hint="eastAsia"/>
                <w:sz w:val="21"/>
                <w:szCs w:val="21"/>
              </w:rPr>
              <w:t>5500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087309">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31EA87">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FEF0BF">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668F99">
            <w:pPr>
              <w:widowControl/>
              <w:spacing w:line="240" w:lineRule="auto"/>
              <w:ind w:firstLine="0" w:firstLineChars="0"/>
              <w:jc w:val="center"/>
              <w:textAlignment w:val="baseline"/>
              <w:rPr>
                <w:sz w:val="21"/>
                <w:szCs w:val="21"/>
              </w:rPr>
            </w:pPr>
            <w:r>
              <w:rPr>
                <w:rFonts w:hint="eastAsia"/>
                <w:sz w:val="21"/>
                <w:szCs w:val="21"/>
              </w:rPr>
              <w:t>M17</w:t>
            </w:r>
          </w:p>
        </w:tc>
      </w:tr>
      <w:tr w14:paraId="62D00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5BAF619">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0801CC3">
            <w:pPr>
              <w:widowControl/>
              <w:spacing w:line="240" w:lineRule="auto"/>
              <w:ind w:firstLine="0" w:firstLineChars="0"/>
              <w:jc w:val="center"/>
              <w:textAlignment w:val="baseline"/>
              <w:rPr>
                <w:sz w:val="21"/>
                <w:szCs w:val="21"/>
              </w:rPr>
            </w:pPr>
            <w:r>
              <w:rPr>
                <w:rFonts w:hint="eastAsia"/>
                <w:sz w:val="21"/>
                <w:szCs w:val="21"/>
              </w:rPr>
              <w:t>碳化成品仓库二</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DC2C18">
            <w:pPr>
              <w:widowControl/>
              <w:spacing w:line="240" w:lineRule="auto"/>
              <w:ind w:firstLine="0" w:firstLineChars="0"/>
              <w:jc w:val="center"/>
              <w:textAlignment w:val="baseline"/>
              <w:rPr>
                <w:sz w:val="21"/>
                <w:szCs w:val="21"/>
              </w:rPr>
            </w:pPr>
            <w:r>
              <w:rPr>
                <w:rFonts w:hint="eastAsia"/>
                <w:sz w:val="21"/>
                <w:szCs w:val="21"/>
              </w:rPr>
              <w:t>5500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948AF5">
            <w:pPr>
              <w:widowControl/>
              <w:spacing w:line="240" w:lineRule="auto"/>
              <w:ind w:firstLine="0" w:firstLineChars="0"/>
              <w:jc w:val="center"/>
              <w:textAlignment w:val="baseline"/>
              <w:rPr>
                <w:sz w:val="21"/>
                <w:szCs w:val="21"/>
              </w:rPr>
            </w:pPr>
            <w:r>
              <w:rPr>
                <w:rFonts w:hint="eastAsia"/>
                <w:sz w:val="21"/>
                <w:szCs w:val="21"/>
              </w:rPr>
              <w:t>5500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A3A4C3">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BF47275">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D7AD06">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1593B2">
            <w:pPr>
              <w:widowControl/>
              <w:spacing w:line="240" w:lineRule="auto"/>
              <w:ind w:firstLine="0" w:firstLineChars="0"/>
              <w:jc w:val="center"/>
              <w:textAlignment w:val="baseline"/>
              <w:rPr>
                <w:sz w:val="21"/>
                <w:szCs w:val="21"/>
              </w:rPr>
            </w:pPr>
            <w:r>
              <w:rPr>
                <w:rFonts w:hint="eastAsia"/>
                <w:sz w:val="21"/>
                <w:szCs w:val="21"/>
              </w:rPr>
              <w:t>M16</w:t>
            </w:r>
          </w:p>
        </w:tc>
      </w:tr>
      <w:tr w14:paraId="68D8E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2F604A3">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31CC22D">
            <w:pPr>
              <w:widowControl/>
              <w:spacing w:line="240" w:lineRule="auto"/>
              <w:ind w:firstLine="0" w:firstLineChars="0"/>
              <w:jc w:val="center"/>
              <w:textAlignment w:val="baseline"/>
              <w:rPr>
                <w:sz w:val="21"/>
                <w:szCs w:val="21"/>
              </w:rPr>
            </w:pPr>
            <w:r>
              <w:rPr>
                <w:rFonts w:hint="eastAsia"/>
                <w:sz w:val="21"/>
                <w:szCs w:val="21"/>
              </w:rPr>
              <w:t>B料仓库一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51ED79">
            <w:pPr>
              <w:widowControl/>
              <w:spacing w:line="240" w:lineRule="auto"/>
              <w:ind w:firstLine="0" w:firstLineChars="0"/>
              <w:jc w:val="center"/>
              <w:textAlignment w:val="baseline"/>
              <w:rPr>
                <w:sz w:val="21"/>
                <w:szCs w:val="21"/>
              </w:rPr>
            </w:pPr>
            <w:r>
              <w:rPr>
                <w:rFonts w:hint="eastAsia"/>
                <w:sz w:val="21"/>
                <w:szCs w:val="21"/>
              </w:rPr>
              <w:t>5901</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100C7A">
            <w:pPr>
              <w:widowControl/>
              <w:spacing w:line="240" w:lineRule="auto"/>
              <w:ind w:firstLine="0" w:firstLineChars="0"/>
              <w:jc w:val="center"/>
              <w:textAlignment w:val="baseline"/>
              <w:rPr>
                <w:sz w:val="21"/>
                <w:szCs w:val="21"/>
              </w:rPr>
            </w:pPr>
            <w:r>
              <w:rPr>
                <w:rFonts w:hint="eastAsia"/>
                <w:sz w:val="21"/>
                <w:szCs w:val="21"/>
              </w:rPr>
              <w:t>7252</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BB9623">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7B932E">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CA3D14">
            <w:pPr>
              <w:widowControl/>
              <w:spacing w:line="240" w:lineRule="auto"/>
              <w:ind w:firstLine="0" w:firstLineChars="0"/>
              <w:jc w:val="center"/>
              <w:textAlignment w:val="baseline"/>
              <w:rPr>
                <w:sz w:val="21"/>
                <w:szCs w:val="21"/>
              </w:rPr>
            </w:pPr>
            <w:r>
              <w:rPr>
                <w:rFonts w:hint="eastAsia"/>
                <w:sz w:val="21"/>
                <w:szCs w:val="21"/>
              </w:rPr>
              <w:t>2层钢结构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95FB5C">
            <w:pPr>
              <w:widowControl/>
              <w:spacing w:line="240" w:lineRule="auto"/>
              <w:ind w:firstLine="0" w:firstLineChars="0"/>
              <w:jc w:val="center"/>
              <w:textAlignment w:val="baseline"/>
              <w:rPr>
                <w:sz w:val="21"/>
                <w:szCs w:val="21"/>
              </w:rPr>
            </w:pPr>
            <w:r>
              <w:rPr>
                <w:rFonts w:hint="eastAsia"/>
                <w:sz w:val="21"/>
                <w:szCs w:val="21"/>
              </w:rPr>
              <w:t>M7辅房2层</w:t>
            </w:r>
          </w:p>
        </w:tc>
      </w:tr>
      <w:tr w14:paraId="4A70C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38DE8E9">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62D2BE1">
            <w:pPr>
              <w:widowControl/>
              <w:spacing w:line="240" w:lineRule="auto"/>
              <w:ind w:firstLine="0" w:firstLineChars="0"/>
              <w:jc w:val="center"/>
              <w:textAlignment w:val="baseline"/>
              <w:rPr>
                <w:sz w:val="21"/>
                <w:szCs w:val="21"/>
              </w:rPr>
            </w:pPr>
            <w:r>
              <w:rPr>
                <w:rFonts w:hint="eastAsia"/>
                <w:sz w:val="21"/>
                <w:szCs w:val="21"/>
              </w:rPr>
              <w:t>B料仓库二</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DF92C89">
            <w:pPr>
              <w:widowControl/>
              <w:spacing w:line="240" w:lineRule="auto"/>
              <w:ind w:firstLine="0" w:firstLineChars="0"/>
              <w:jc w:val="center"/>
              <w:textAlignment w:val="baseline"/>
              <w:rPr>
                <w:sz w:val="21"/>
                <w:szCs w:val="21"/>
              </w:rPr>
            </w:pPr>
            <w:r>
              <w:rPr>
                <w:rFonts w:hint="eastAsia"/>
                <w:sz w:val="21"/>
                <w:szCs w:val="21"/>
              </w:rPr>
              <w:t>/</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2E366B">
            <w:pPr>
              <w:widowControl/>
              <w:spacing w:line="240" w:lineRule="auto"/>
              <w:ind w:firstLine="0" w:firstLineChars="0"/>
              <w:jc w:val="center"/>
              <w:textAlignment w:val="baseline"/>
              <w:rPr>
                <w:sz w:val="21"/>
                <w:szCs w:val="21"/>
              </w:rPr>
            </w:pPr>
            <w:r>
              <w:rPr>
                <w:rFonts w:hint="eastAsia"/>
                <w:sz w:val="21"/>
                <w:szCs w:val="21"/>
              </w:rPr>
              <w:t>/</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EA9EFB">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1E1E39D">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E5F579">
            <w:pPr>
              <w:widowControl/>
              <w:spacing w:line="240" w:lineRule="auto"/>
              <w:ind w:firstLine="0" w:firstLineChars="0"/>
              <w:jc w:val="center"/>
              <w:textAlignment w:val="baseline"/>
              <w:rPr>
                <w:sz w:val="21"/>
                <w:szCs w:val="21"/>
              </w:rPr>
            </w:pPr>
            <w:r>
              <w:rPr>
                <w:rFonts w:hint="eastAsia"/>
                <w:sz w:val="21"/>
                <w:szCs w:val="21"/>
              </w:rPr>
              <w:t>2层钢结构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06EAF6">
            <w:pPr>
              <w:widowControl/>
              <w:spacing w:line="240" w:lineRule="auto"/>
              <w:ind w:firstLine="0" w:firstLineChars="0"/>
              <w:jc w:val="center"/>
              <w:textAlignment w:val="baseline"/>
              <w:rPr>
                <w:sz w:val="21"/>
                <w:szCs w:val="21"/>
              </w:rPr>
            </w:pPr>
            <w:r>
              <w:rPr>
                <w:rFonts w:hint="eastAsia"/>
                <w:sz w:val="21"/>
                <w:szCs w:val="21"/>
              </w:rPr>
              <w:t>辅房2层</w:t>
            </w:r>
          </w:p>
        </w:tc>
      </w:tr>
      <w:tr w14:paraId="54FAC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B13311">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D00FB53">
            <w:pPr>
              <w:widowControl/>
              <w:spacing w:line="240" w:lineRule="auto"/>
              <w:ind w:firstLine="0" w:firstLineChars="0"/>
              <w:jc w:val="center"/>
              <w:textAlignment w:val="baseline"/>
              <w:rPr>
                <w:sz w:val="21"/>
                <w:szCs w:val="21"/>
              </w:rPr>
            </w:pPr>
            <w:r>
              <w:rPr>
                <w:rFonts w:hint="eastAsia"/>
                <w:sz w:val="21"/>
                <w:szCs w:val="21"/>
              </w:rPr>
              <w:t>石墨化BC库一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B68B6D">
            <w:pPr>
              <w:widowControl/>
              <w:spacing w:line="240" w:lineRule="auto"/>
              <w:ind w:firstLine="0" w:firstLineChars="0"/>
              <w:jc w:val="center"/>
              <w:textAlignment w:val="baseline"/>
              <w:rPr>
                <w:sz w:val="21"/>
                <w:szCs w:val="21"/>
              </w:rPr>
            </w:pPr>
            <w:r>
              <w:rPr>
                <w:rFonts w:hint="eastAsia"/>
                <w:sz w:val="21"/>
                <w:szCs w:val="21"/>
              </w:rPr>
              <w:t>19635</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0F9A34">
            <w:pPr>
              <w:widowControl/>
              <w:spacing w:line="240" w:lineRule="auto"/>
              <w:ind w:firstLine="0" w:firstLineChars="0"/>
              <w:jc w:val="center"/>
              <w:textAlignment w:val="baseline"/>
              <w:rPr>
                <w:sz w:val="21"/>
                <w:szCs w:val="21"/>
              </w:rPr>
            </w:pPr>
            <w:r>
              <w:rPr>
                <w:rFonts w:hint="eastAsia"/>
                <w:sz w:val="21"/>
                <w:szCs w:val="21"/>
              </w:rPr>
              <w:t>19635</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9BB348">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398454">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968D0A">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FADAE0B">
            <w:pPr>
              <w:widowControl/>
              <w:spacing w:line="240" w:lineRule="auto"/>
              <w:ind w:firstLine="0" w:firstLineChars="0"/>
              <w:jc w:val="center"/>
              <w:textAlignment w:val="baseline"/>
              <w:rPr>
                <w:sz w:val="21"/>
                <w:szCs w:val="21"/>
              </w:rPr>
            </w:pPr>
            <w:r>
              <w:rPr>
                <w:rFonts w:hint="eastAsia"/>
                <w:sz w:val="21"/>
                <w:szCs w:val="21"/>
              </w:rPr>
              <w:t>M10含在线分析</w:t>
            </w:r>
          </w:p>
        </w:tc>
      </w:tr>
      <w:tr w14:paraId="1C5C7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BF1AA5">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26DEA95">
            <w:pPr>
              <w:widowControl/>
              <w:spacing w:line="240" w:lineRule="auto"/>
              <w:ind w:firstLine="0" w:firstLineChars="0"/>
              <w:jc w:val="center"/>
              <w:textAlignment w:val="baseline"/>
              <w:rPr>
                <w:sz w:val="21"/>
                <w:szCs w:val="21"/>
              </w:rPr>
            </w:pPr>
            <w:r>
              <w:rPr>
                <w:rFonts w:hint="eastAsia"/>
                <w:sz w:val="21"/>
                <w:szCs w:val="21"/>
              </w:rPr>
              <w:t>石墨化BC库二</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CD2A45">
            <w:pPr>
              <w:widowControl/>
              <w:spacing w:line="240" w:lineRule="auto"/>
              <w:ind w:firstLine="0" w:firstLineChars="0"/>
              <w:jc w:val="center"/>
              <w:textAlignment w:val="baseline"/>
              <w:rPr>
                <w:sz w:val="21"/>
                <w:szCs w:val="21"/>
              </w:rPr>
            </w:pPr>
            <w:r>
              <w:rPr>
                <w:rFonts w:hint="eastAsia"/>
                <w:sz w:val="21"/>
                <w:szCs w:val="21"/>
              </w:rPr>
              <w:t>/</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DB9897">
            <w:pPr>
              <w:widowControl/>
              <w:spacing w:line="240" w:lineRule="auto"/>
              <w:ind w:firstLine="0" w:firstLineChars="0"/>
              <w:jc w:val="center"/>
              <w:textAlignment w:val="baseline"/>
              <w:rPr>
                <w:sz w:val="21"/>
                <w:szCs w:val="21"/>
              </w:rPr>
            </w:pPr>
            <w:r>
              <w:rPr>
                <w:rFonts w:hint="eastAsia"/>
                <w:sz w:val="21"/>
                <w:szCs w:val="21"/>
              </w:rPr>
              <w:t>/</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79DF0D">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6EDBD9">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F503D9">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CA18AF4">
            <w:pPr>
              <w:widowControl/>
              <w:spacing w:line="240" w:lineRule="auto"/>
              <w:ind w:firstLine="0" w:firstLineChars="0"/>
              <w:jc w:val="center"/>
              <w:textAlignment w:val="baseline"/>
              <w:rPr>
                <w:sz w:val="21"/>
                <w:szCs w:val="21"/>
              </w:rPr>
            </w:pPr>
          </w:p>
        </w:tc>
      </w:tr>
      <w:tr w14:paraId="70815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EE45BE">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CF64B6F">
            <w:pPr>
              <w:widowControl/>
              <w:spacing w:line="240" w:lineRule="auto"/>
              <w:ind w:firstLine="0" w:firstLineChars="0"/>
              <w:jc w:val="center"/>
              <w:textAlignment w:val="baseline"/>
              <w:rPr>
                <w:sz w:val="21"/>
                <w:szCs w:val="21"/>
              </w:rPr>
            </w:pPr>
            <w:r>
              <w:rPr>
                <w:rFonts w:hint="eastAsia"/>
                <w:sz w:val="21"/>
                <w:szCs w:val="21"/>
              </w:rPr>
              <w:t>石墨化BC库三</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B8D11F">
            <w:pPr>
              <w:widowControl/>
              <w:spacing w:line="240" w:lineRule="auto"/>
              <w:ind w:firstLine="0" w:firstLineChars="0"/>
              <w:jc w:val="center"/>
              <w:textAlignment w:val="baseline"/>
              <w:rPr>
                <w:sz w:val="21"/>
                <w:szCs w:val="21"/>
              </w:rPr>
            </w:pPr>
            <w:r>
              <w:rPr>
                <w:rFonts w:hint="eastAsia"/>
                <w:sz w:val="21"/>
                <w:szCs w:val="21"/>
              </w:rPr>
              <w:t>/</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3B460A">
            <w:pPr>
              <w:widowControl/>
              <w:spacing w:line="240" w:lineRule="auto"/>
              <w:ind w:firstLine="0" w:firstLineChars="0"/>
              <w:jc w:val="center"/>
              <w:textAlignment w:val="baseline"/>
              <w:rPr>
                <w:sz w:val="21"/>
                <w:szCs w:val="21"/>
              </w:rPr>
            </w:pPr>
            <w:r>
              <w:rPr>
                <w:rFonts w:hint="eastAsia"/>
                <w:sz w:val="21"/>
                <w:szCs w:val="21"/>
              </w:rPr>
              <w:t>/</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FAB4D0">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F77ED5">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C9811A">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26AA67A">
            <w:pPr>
              <w:widowControl/>
              <w:spacing w:line="240" w:lineRule="auto"/>
              <w:ind w:firstLine="0" w:firstLineChars="0"/>
              <w:jc w:val="center"/>
              <w:textAlignment w:val="baseline"/>
              <w:rPr>
                <w:sz w:val="21"/>
                <w:szCs w:val="21"/>
              </w:rPr>
            </w:pPr>
          </w:p>
        </w:tc>
      </w:tr>
      <w:tr w14:paraId="33AC0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CA6852">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910ECAD">
            <w:pPr>
              <w:widowControl/>
              <w:spacing w:line="240" w:lineRule="auto"/>
              <w:ind w:firstLine="0" w:firstLineChars="0"/>
              <w:jc w:val="center"/>
              <w:textAlignment w:val="baseline"/>
              <w:rPr>
                <w:sz w:val="21"/>
                <w:szCs w:val="21"/>
              </w:rPr>
            </w:pPr>
            <w:r>
              <w:rPr>
                <w:rFonts w:hint="eastAsia"/>
                <w:sz w:val="21"/>
                <w:szCs w:val="21"/>
              </w:rPr>
              <w:t>固废库二</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548F5A">
            <w:pPr>
              <w:widowControl/>
              <w:spacing w:line="240" w:lineRule="auto"/>
              <w:ind w:firstLine="0" w:firstLineChars="0"/>
              <w:jc w:val="center"/>
              <w:textAlignment w:val="baseline"/>
              <w:rPr>
                <w:sz w:val="21"/>
                <w:szCs w:val="21"/>
              </w:rPr>
            </w:pPr>
            <w:r>
              <w:rPr>
                <w:rFonts w:hint="eastAsia"/>
                <w:sz w:val="21"/>
                <w:szCs w:val="21"/>
              </w:rPr>
              <w:t>800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0C35C1">
            <w:pPr>
              <w:widowControl/>
              <w:spacing w:line="240" w:lineRule="auto"/>
              <w:ind w:firstLine="0" w:firstLineChars="0"/>
              <w:jc w:val="center"/>
              <w:textAlignment w:val="baseline"/>
              <w:rPr>
                <w:sz w:val="21"/>
                <w:szCs w:val="21"/>
              </w:rPr>
            </w:pPr>
            <w:r>
              <w:rPr>
                <w:rFonts w:hint="eastAsia"/>
                <w:sz w:val="21"/>
                <w:szCs w:val="21"/>
              </w:rPr>
              <w:t>800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B770095">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5E3B4E">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15FDD1">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B73CFF">
            <w:pPr>
              <w:widowControl/>
              <w:spacing w:line="240" w:lineRule="auto"/>
              <w:ind w:firstLine="0" w:firstLineChars="0"/>
              <w:jc w:val="center"/>
              <w:textAlignment w:val="baseline"/>
              <w:rPr>
                <w:sz w:val="21"/>
                <w:szCs w:val="21"/>
              </w:rPr>
            </w:pPr>
            <w:r>
              <w:rPr>
                <w:rFonts w:hint="eastAsia"/>
                <w:sz w:val="21"/>
                <w:szCs w:val="21"/>
              </w:rPr>
              <w:t>A15</w:t>
            </w:r>
          </w:p>
        </w:tc>
      </w:tr>
      <w:tr w14:paraId="410CF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AD8AE20">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59CE030">
            <w:pPr>
              <w:widowControl/>
              <w:spacing w:line="240" w:lineRule="auto"/>
              <w:ind w:firstLine="0" w:firstLineChars="0"/>
              <w:jc w:val="center"/>
              <w:textAlignment w:val="baseline"/>
              <w:rPr>
                <w:sz w:val="21"/>
                <w:szCs w:val="21"/>
              </w:rPr>
            </w:pPr>
            <w:r>
              <w:rPr>
                <w:rFonts w:hint="eastAsia"/>
                <w:sz w:val="21"/>
                <w:szCs w:val="21"/>
              </w:rPr>
              <w:t>综合楼</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E514DE8">
            <w:pPr>
              <w:widowControl/>
              <w:spacing w:line="240" w:lineRule="auto"/>
              <w:ind w:firstLine="0" w:firstLineChars="0"/>
              <w:jc w:val="center"/>
              <w:textAlignment w:val="baseline"/>
              <w:rPr>
                <w:sz w:val="21"/>
                <w:szCs w:val="21"/>
              </w:rPr>
            </w:pPr>
            <w:r>
              <w:rPr>
                <w:rFonts w:hint="eastAsia"/>
                <w:sz w:val="21"/>
                <w:szCs w:val="21"/>
              </w:rPr>
              <w:t>2078</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0268729">
            <w:pPr>
              <w:widowControl/>
              <w:spacing w:line="240" w:lineRule="auto"/>
              <w:ind w:firstLine="0" w:firstLineChars="0"/>
              <w:jc w:val="center"/>
              <w:textAlignment w:val="baseline"/>
              <w:rPr>
                <w:sz w:val="21"/>
                <w:szCs w:val="21"/>
              </w:rPr>
            </w:pPr>
            <w:r>
              <w:rPr>
                <w:rFonts w:hint="eastAsia"/>
                <w:sz w:val="21"/>
                <w:szCs w:val="21"/>
              </w:rPr>
              <w:t>7423</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1C0D7A">
            <w:pPr>
              <w:widowControl/>
              <w:spacing w:line="240" w:lineRule="auto"/>
              <w:ind w:firstLine="0" w:firstLineChars="0"/>
              <w:jc w:val="center"/>
              <w:textAlignment w:val="baseline"/>
              <w:rPr>
                <w:sz w:val="21"/>
                <w:szCs w:val="21"/>
              </w:rPr>
            </w:pPr>
            <w:r>
              <w:rPr>
                <w:rFonts w:hint="eastAsia"/>
                <w:sz w:val="21"/>
                <w:szCs w:val="21"/>
              </w:rPr>
              <w:t>民用</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3DFC80">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0CAC04">
            <w:pPr>
              <w:widowControl/>
              <w:spacing w:line="240" w:lineRule="auto"/>
              <w:ind w:firstLine="0" w:firstLineChars="0"/>
              <w:jc w:val="center"/>
              <w:textAlignment w:val="baseline"/>
              <w:rPr>
                <w:sz w:val="21"/>
                <w:szCs w:val="21"/>
              </w:rPr>
            </w:pPr>
            <w:r>
              <w:rPr>
                <w:rFonts w:hint="eastAsia"/>
                <w:sz w:val="21"/>
                <w:szCs w:val="21"/>
              </w:rPr>
              <w:t>5层砼框架结构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E2FF668">
            <w:pPr>
              <w:widowControl/>
              <w:spacing w:line="240" w:lineRule="auto"/>
              <w:ind w:firstLine="0" w:firstLineChars="0"/>
              <w:jc w:val="center"/>
              <w:textAlignment w:val="baseline"/>
              <w:rPr>
                <w:sz w:val="21"/>
                <w:szCs w:val="21"/>
              </w:rPr>
            </w:pPr>
            <w:r>
              <w:rPr>
                <w:rFonts w:hint="eastAsia"/>
                <w:sz w:val="21"/>
                <w:szCs w:val="21"/>
              </w:rPr>
              <w:t>局部2层，含办公、餐厅</w:t>
            </w:r>
          </w:p>
        </w:tc>
      </w:tr>
      <w:tr w14:paraId="64666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381973">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8352332">
            <w:pPr>
              <w:widowControl/>
              <w:spacing w:line="240" w:lineRule="auto"/>
              <w:ind w:firstLine="0" w:firstLineChars="0"/>
              <w:jc w:val="center"/>
              <w:textAlignment w:val="baseline"/>
              <w:rPr>
                <w:sz w:val="21"/>
                <w:szCs w:val="21"/>
              </w:rPr>
            </w:pPr>
            <w:r>
              <w:rPr>
                <w:rFonts w:hint="eastAsia"/>
                <w:sz w:val="21"/>
                <w:szCs w:val="21"/>
              </w:rPr>
              <w:t>倒班房1</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942DDF">
            <w:pPr>
              <w:widowControl/>
              <w:spacing w:line="240" w:lineRule="auto"/>
              <w:ind w:firstLine="0" w:firstLineChars="0"/>
              <w:jc w:val="center"/>
              <w:textAlignment w:val="baseline"/>
              <w:rPr>
                <w:sz w:val="21"/>
                <w:szCs w:val="21"/>
              </w:rPr>
            </w:pPr>
            <w:r>
              <w:rPr>
                <w:rFonts w:hint="eastAsia"/>
                <w:sz w:val="21"/>
                <w:szCs w:val="21"/>
              </w:rPr>
              <w:t>805</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B0B5C1">
            <w:pPr>
              <w:widowControl/>
              <w:spacing w:line="240" w:lineRule="auto"/>
              <w:ind w:firstLine="0" w:firstLineChars="0"/>
              <w:jc w:val="center"/>
              <w:textAlignment w:val="baseline"/>
              <w:rPr>
                <w:sz w:val="21"/>
                <w:szCs w:val="21"/>
              </w:rPr>
            </w:pPr>
            <w:r>
              <w:rPr>
                <w:rFonts w:hint="eastAsia"/>
                <w:sz w:val="21"/>
                <w:szCs w:val="21"/>
              </w:rPr>
              <w:t>5286</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397C9D">
            <w:pPr>
              <w:widowControl/>
              <w:spacing w:line="240" w:lineRule="auto"/>
              <w:ind w:firstLine="0" w:firstLineChars="0"/>
              <w:jc w:val="center"/>
              <w:textAlignment w:val="baseline"/>
              <w:rPr>
                <w:sz w:val="21"/>
                <w:szCs w:val="21"/>
              </w:rPr>
            </w:pPr>
            <w:r>
              <w:rPr>
                <w:rFonts w:hint="eastAsia"/>
                <w:sz w:val="21"/>
                <w:szCs w:val="21"/>
              </w:rPr>
              <w:t>民用</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A6E6228">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7B8918A">
            <w:pPr>
              <w:widowControl/>
              <w:spacing w:line="240" w:lineRule="auto"/>
              <w:ind w:firstLine="0" w:firstLineChars="0"/>
              <w:jc w:val="center"/>
              <w:textAlignment w:val="baseline"/>
              <w:rPr>
                <w:sz w:val="21"/>
                <w:szCs w:val="21"/>
              </w:rPr>
            </w:pPr>
            <w:r>
              <w:rPr>
                <w:rFonts w:hint="eastAsia"/>
                <w:sz w:val="21"/>
                <w:szCs w:val="21"/>
              </w:rPr>
              <w:t>6层砼框架结构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B44275">
            <w:pPr>
              <w:widowControl/>
              <w:spacing w:line="240" w:lineRule="auto"/>
              <w:ind w:firstLine="0" w:firstLineChars="0"/>
              <w:jc w:val="center"/>
              <w:textAlignment w:val="baseline"/>
              <w:rPr>
                <w:sz w:val="21"/>
                <w:szCs w:val="21"/>
              </w:rPr>
            </w:pPr>
          </w:p>
        </w:tc>
      </w:tr>
      <w:tr w14:paraId="2200A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8BA4DA4">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E417AB9">
            <w:pPr>
              <w:widowControl/>
              <w:spacing w:line="240" w:lineRule="auto"/>
              <w:ind w:firstLine="0" w:firstLineChars="0"/>
              <w:jc w:val="center"/>
              <w:textAlignment w:val="baseline"/>
              <w:rPr>
                <w:sz w:val="21"/>
                <w:szCs w:val="21"/>
              </w:rPr>
            </w:pPr>
            <w:r>
              <w:rPr>
                <w:rFonts w:hint="eastAsia"/>
                <w:sz w:val="21"/>
                <w:szCs w:val="21"/>
              </w:rPr>
              <w:t>倒班房2</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0DE57F">
            <w:pPr>
              <w:widowControl/>
              <w:spacing w:line="240" w:lineRule="auto"/>
              <w:ind w:firstLine="0" w:firstLineChars="0"/>
              <w:jc w:val="center"/>
              <w:textAlignment w:val="baseline"/>
              <w:rPr>
                <w:sz w:val="21"/>
                <w:szCs w:val="21"/>
              </w:rPr>
            </w:pPr>
            <w:r>
              <w:rPr>
                <w:rFonts w:hint="eastAsia"/>
                <w:sz w:val="21"/>
                <w:szCs w:val="21"/>
              </w:rPr>
              <w:t>805</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2A0E42">
            <w:pPr>
              <w:widowControl/>
              <w:spacing w:line="240" w:lineRule="auto"/>
              <w:ind w:firstLine="0" w:firstLineChars="0"/>
              <w:jc w:val="center"/>
              <w:textAlignment w:val="baseline"/>
              <w:rPr>
                <w:sz w:val="21"/>
                <w:szCs w:val="21"/>
              </w:rPr>
            </w:pPr>
            <w:r>
              <w:rPr>
                <w:rFonts w:hint="eastAsia"/>
                <w:sz w:val="21"/>
                <w:szCs w:val="21"/>
              </w:rPr>
              <w:t>5286</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171BAA4">
            <w:pPr>
              <w:widowControl/>
              <w:spacing w:line="240" w:lineRule="auto"/>
              <w:ind w:firstLine="0" w:firstLineChars="0"/>
              <w:jc w:val="center"/>
              <w:textAlignment w:val="baseline"/>
              <w:rPr>
                <w:sz w:val="21"/>
                <w:szCs w:val="21"/>
              </w:rPr>
            </w:pPr>
            <w:r>
              <w:rPr>
                <w:rFonts w:hint="eastAsia"/>
                <w:sz w:val="21"/>
                <w:szCs w:val="21"/>
              </w:rPr>
              <w:t>民用</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11F60D">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3192DB6">
            <w:pPr>
              <w:widowControl/>
              <w:spacing w:line="240" w:lineRule="auto"/>
              <w:ind w:firstLine="0" w:firstLineChars="0"/>
              <w:jc w:val="center"/>
              <w:textAlignment w:val="baseline"/>
              <w:rPr>
                <w:sz w:val="21"/>
                <w:szCs w:val="21"/>
              </w:rPr>
            </w:pPr>
            <w:r>
              <w:rPr>
                <w:rFonts w:hint="eastAsia"/>
                <w:sz w:val="21"/>
                <w:szCs w:val="21"/>
              </w:rPr>
              <w:t>6层砼框架结构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FB628E">
            <w:pPr>
              <w:widowControl/>
              <w:spacing w:line="240" w:lineRule="auto"/>
              <w:ind w:firstLine="0" w:firstLineChars="0"/>
              <w:jc w:val="center"/>
              <w:textAlignment w:val="baseline"/>
              <w:rPr>
                <w:sz w:val="21"/>
                <w:szCs w:val="21"/>
              </w:rPr>
            </w:pPr>
          </w:p>
        </w:tc>
      </w:tr>
      <w:tr w14:paraId="12178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E20B8EF">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86353C3">
            <w:pPr>
              <w:widowControl/>
              <w:spacing w:line="240" w:lineRule="auto"/>
              <w:ind w:firstLine="0" w:firstLineChars="0"/>
              <w:jc w:val="center"/>
              <w:textAlignment w:val="baseline"/>
              <w:rPr>
                <w:sz w:val="21"/>
                <w:szCs w:val="21"/>
              </w:rPr>
            </w:pPr>
            <w:r>
              <w:rPr>
                <w:rFonts w:hint="eastAsia"/>
                <w:sz w:val="21"/>
                <w:szCs w:val="21"/>
              </w:rPr>
              <w:t>维修车间</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911663">
            <w:pPr>
              <w:widowControl/>
              <w:spacing w:line="240" w:lineRule="auto"/>
              <w:ind w:firstLine="0" w:firstLineChars="0"/>
              <w:jc w:val="center"/>
              <w:textAlignment w:val="baseline"/>
              <w:rPr>
                <w:sz w:val="21"/>
                <w:szCs w:val="21"/>
              </w:rPr>
            </w:pPr>
            <w:r>
              <w:rPr>
                <w:rFonts w:hint="eastAsia"/>
                <w:sz w:val="21"/>
                <w:szCs w:val="21"/>
              </w:rPr>
              <w:t>2376</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14B6CC">
            <w:pPr>
              <w:widowControl/>
              <w:spacing w:line="240" w:lineRule="auto"/>
              <w:ind w:firstLine="0" w:firstLineChars="0"/>
              <w:jc w:val="center"/>
              <w:textAlignment w:val="baseline"/>
              <w:rPr>
                <w:sz w:val="21"/>
                <w:szCs w:val="21"/>
              </w:rPr>
            </w:pPr>
            <w:r>
              <w:rPr>
                <w:rFonts w:hint="eastAsia"/>
                <w:sz w:val="21"/>
                <w:szCs w:val="21"/>
              </w:rPr>
              <w:t>2376</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7B579FE">
            <w:pPr>
              <w:widowControl/>
              <w:spacing w:line="240" w:lineRule="auto"/>
              <w:ind w:firstLine="0" w:firstLineChars="0"/>
              <w:jc w:val="center"/>
              <w:textAlignment w:val="baseline"/>
              <w:rPr>
                <w:sz w:val="21"/>
                <w:szCs w:val="21"/>
              </w:rPr>
            </w:pPr>
            <w:r>
              <w:rPr>
                <w:rFonts w:hint="eastAsia"/>
                <w:sz w:val="21"/>
                <w:szCs w:val="21"/>
              </w:rPr>
              <w:t>丁类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815BC7E">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4ED28F4">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490A28">
            <w:pPr>
              <w:widowControl/>
              <w:spacing w:line="240" w:lineRule="auto"/>
              <w:ind w:firstLine="0" w:firstLineChars="0"/>
              <w:jc w:val="center"/>
              <w:textAlignment w:val="baseline"/>
              <w:rPr>
                <w:sz w:val="21"/>
                <w:szCs w:val="21"/>
              </w:rPr>
            </w:pPr>
            <w:r>
              <w:rPr>
                <w:rFonts w:hint="eastAsia"/>
                <w:sz w:val="21"/>
                <w:szCs w:val="21"/>
              </w:rPr>
              <w:t>A1</w:t>
            </w:r>
          </w:p>
        </w:tc>
      </w:tr>
      <w:tr w14:paraId="16FF2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AD253C5">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1E479F7">
            <w:pPr>
              <w:widowControl/>
              <w:spacing w:line="240" w:lineRule="auto"/>
              <w:ind w:firstLine="0" w:firstLineChars="0"/>
              <w:jc w:val="center"/>
              <w:textAlignment w:val="baseline"/>
              <w:rPr>
                <w:sz w:val="21"/>
                <w:szCs w:val="21"/>
              </w:rPr>
            </w:pPr>
            <w:r>
              <w:rPr>
                <w:rFonts w:hint="eastAsia"/>
                <w:sz w:val="21"/>
                <w:szCs w:val="21"/>
              </w:rPr>
              <w:t>220kV变电站</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527EAED">
            <w:pPr>
              <w:widowControl/>
              <w:spacing w:line="240" w:lineRule="auto"/>
              <w:ind w:firstLine="0" w:firstLineChars="0"/>
              <w:jc w:val="center"/>
              <w:textAlignment w:val="baseline"/>
              <w:rPr>
                <w:sz w:val="21"/>
                <w:szCs w:val="21"/>
              </w:rPr>
            </w:pPr>
            <w:r>
              <w:rPr>
                <w:rFonts w:hint="eastAsia"/>
                <w:sz w:val="21"/>
                <w:szCs w:val="21"/>
              </w:rPr>
              <w:t>6703</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6C32AE">
            <w:pPr>
              <w:widowControl/>
              <w:spacing w:line="240" w:lineRule="auto"/>
              <w:ind w:firstLine="0" w:firstLineChars="0"/>
              <w:jc w:val="center"/>
              <w:textAlignment w:val="baseline"/>
              <w:rPr>
                <w:sz w:val="21"/>
                <w:szCs w:val="21"/>
              </w:rPr>
            </w:pPr>
            <w:r>
              <w:rPr>
                <w:rFonts w:hint="eastAsia"/>
                <w:sz w:val="21"/>
                <w:szCs w:val="21"/>
              </w:rPr>
              <w:t>7575</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E119F9">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2AE3A59">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10160D2">
            <w:pPr>
              <w:widowControl/>
              <w:spacing w:line="240" w:lineRule="auto"/>
              <w:ind w:firstLine="0" w:firstLineChars="0"/>
              <w:jc w:val="center"/>
              <w:textAlignment w:val="baseline"/>
              <w:rPr>
                <w:sz w:val="21"/>
                <w:szCs w:val="21"/>
              </w:rPr>
            </w:pPr>
            <w:r>
              <w:rPr>
                <w:rFonts w:hint="eastAsia"/>
                <w:sz w:val="21"/>
                <w:szCs w:val="21"/>
              </w:rPr>
              <w:t>1层砼框架结构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EC0EC3">
            <w:pPr>
              <w:widowControl/>
              <w:spacing w:line="240" w:lineRule="auto"/>
              <w:ind w:firstLine="0" w:firstLineChars="0"/>
              <w:jc w:val="center"/>
              <w:textAlignment w:val="baseline"/>
              <w:rPr>
                <w:sz w:val="21"/>
                <w:szCs w:val="21"/>
              </w:rPr>
            </w:pPr>
            <w:r>
              <w:rPr>
                <w:rFonts w:hint="eastAsia"/>
                <w:sz w:val="21"/>
                <w:szCs w:val="21"/>
              </w:rPr>
              <w:t>A12辅房砼结构</w:t>
            </w:r>
          </w:p>
        </w:tc>
      </w:tr>
      <w:tr w14:paraId="360A8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6160964">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6731E8A">
            <w:pPr>
              <w:widowControl/>
              <w:spacing w:line="240" w:lineRule="auto"/>
              <w:ind w:firstLine="0" w:firstLineChars="0"/>
              <w:jc w:val="center"/>
              <w:textAlignment w:val="baseline"/>
              <w:rPr>
                <w:sz w:val="21"/>
                <w:szCs w:val="21"/>
              </w:rPr>
            </w:pPr>
            <w:r>
              <w:rPr>
                <w:rFonts w:hint="eastAsia"/>
                <w:sz w:val="21"/>
                <w:szCs w:val="21"/>
              </w:rPr>
              <w:t>高压配电室</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676C7A">
            <w:pPr>
              <w:widowControl/>
              <w:spacing w:line="240" w:lineRule="auto"/>
              <w:ind w:firstLine="0" w:firstLineChars="0"/>
              <w:jc w:val="center"/>
              <w:textAlignment w:val="baseline"/>
              <w:rPr>
                <w:sz w:val="21"/>
                <w:szCs w:val="21"/>
              </w:rPr>
            </w:pPr>
            <w:r>
              <w:rPr>
                <w:rFonts w:hint="eastAsia"/>
                <w:sz w:val="21"/>
                <w:szCs w:val="21"/>
              </w:rPr>
              <w:t>1717</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B93DB6">
            <w:pPr>
              <w:widowControl/>
              <w:spacing w:line="240" w:lineRule="auto"/>
              <w:ind w:firstLine="0" w:firstLineChars="0"/>
              <w:jc w:val="center"/>
              <w:textAlignment w:val="baseline"/>
              <w:rPr>
                <w:sz w:val="21"/>
                <w:szCs w:val="21"/>
              </w:rPr>
            </w:pPr>
            <w:r>
              <w:rPr>
                <w:rFonts w:hint="eastAsia"/>
                <w:sz w:val="21"/>
                <w:szCs w:val="21"/>
              </w:rPr>
              <w:t>1717</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817492">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61A57D">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16527A">
            <w:pPr>
              <w:widowControl/>
              <w:spacing w:line="240" w:lineRule="auto"/>
              <w:ind w:firstLine="0" w:firstLineChars="0"/>
              <w:jc w:val="center"/>
              <w:textAlignment w:val="baseline"/>
              <w:rPr>
                <w:sz w:val="21"/>
                <w:szCs w:val="21"/>
              </w:rPr>
            </w:pPr>
            <w:r>
              <w:rPr>
                <w:rFonts w:hint="eastAsia"/>
                <w:sz w:val="21"/>
                <w:szCs w:val="21"/>
              </w:rPr>
              <w:t>1层砼框架结构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66DBC9">
            <w:pPr>
              <w:widowControl/>
              <w:spacing w:line="240" w:lineRule="auto"/>
              <w:ind w:firstLine="0" w:firstLineChars="0"/>
              <w:jc w:val="center"/>
              <w:textAlignment w:val="baseline"/>
              <w:rPr>
                <w:sz w:val="21"/>
                <w:szCs w:val="21"/>
              </w:rPr>
            </w:pPr>
            <w:r>
              <w:rPr>
                <w:rFonts w:hint="eastAsia"/>
                <w:sz w:val="21"/>
                <w:szCs w:val="21"/>
              </w:rPr>
              <w:t>A9</w:t>
            </w:r>
          </w:p>
        </w:tc>
      </w:tr>
      <w:tr w14:paraId="546E5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0964B2">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C68DF98">
            <w:pPr>
              <w:widowControl/>
              <w:spacing w:line="240" w:lineRule="auto"/>
              <w:ind w:firstLine="0" w:firstLineChars="0"/>
              <w:jc w:val="center"/>
              <w:textAlignment w:val="baseline"/>
              <w:rPr>
                <w:sz w:val="21"/>
                <w:szCs w:val="21"/>
              </w:rPr>
            </w:pPr>
            <w:r>
              <w:rPr>
                <w:rFonts w:hint="eastAsia"/>
                <w:sz w:val="21"/>
                <w:szCs w:val="21"/>
              </w:rPr>
              <w:t>空分制氮站一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56CFBD">
            <w:pPr>
              <w:widowControl/>
              <w:spacing w:line="240" w:lineRule="auto"/>
              <w:ind w:firstLine="0" w:firstLineChars="0"/>
              <w:jc w:val="center"/>
              <w:textAlignment w:val="baseline"/>
              <w:rPr>
                <w:sz w:val="21"/>
                <w:szCs w:val="21"/>
              </w:rPr>
            </w:pPr>
            <w:r>
              <w:rPr>
                <w:rFonts w:hint="eastAsia"/>
                <w:sz w:val="21"/>
                <w:szCs w:val="21"/>
              </w:rPr>
              <w:t>1453</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6C79E0">
            <w:pPr>
              <w:widowControl/>
              <w:spacing w:line="240" w:lineRule="auto"/>
              <w:ind w:firstLine="0" w:firstLineChars="0"/>
              <w:jc w:val="center"/>
              <w:textAlignment w:val="baseline"/>
              <w:rPr>
                <w:sz w:val="21"/>
                <w:szCs w:val="21"/>
              </w:rPr>
            </w:pPr>
            <w:r>
              <w:rPr>
                <w:rFonts w:hint="eastAsia"/>
                <w:sz w:val="21"/>
                <w:szCs w:val="21"/>
              </w:rPr>
              <w:t>1453</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38C55A6">
            <w:pPr>
              <w:widowControl/>
              <w:spacing w:line="240" w:lineRule="auto"/>
              <w:ind w:firstLine="0" w:firstLineChars="0"/>
              <w:jc w:val="center"/>
              <w:textAlignment w:val="baseline"/>
              <w:rPr>
                <w:sz w:val="21"/>
                <w:szCs w:val="21"/>
              </w:rPr>
            </w:pPr>
            <w:r>
              <w:rPr>
                <w:rFonts w:hint="eastAsia"/>
                <w:sz w:val="21"/>
                <w:szCs w:val="21"/>
              </w:rPr>
              <w:t>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BEA1E4">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155607A">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62E816">
            <w:pPr>
              <w:widowControl/>
              <w:spacing w:line="240" w:lineRule="auto"/>
              <w:ind w:firstLine="0" w:firstLineChars="0"/>
              <w:jc w:val="center"/>
              <w:textAlignment w:val="baseline"/>
              <w:rPr>
                <w:sz w:val="21"/>
                <w:szCs w:val="21"/>
              </w:rPr>
            </w:pPr>
            <w:r>
              <w:rPr>
                <w:rFonts w:hint="eastAsia"/>
                <w:sz w:val="21"/>
                <w:szCs w:val="21"/>
              </w:rPr>
              <w:t>A6</w:t>
            </w:r>
          </w:p>
        </w:tc>
      </w:tr>
      <w:tr w14:paraId="17AB8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08921E">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48DA47D7">
            <w:pPr>
              <w:widowControl/>
              <w:spacing w:line="240" w:lineRule="auto"/>
              <w:ind w:firstLine="0" w:firstLineChars="0"/>
              <w:jc w:val="center"/>
              <w:textAlignment w:val="baseline"/>
              <w:rPr>
                <w:sz w:val="21"/>
                <w:szCs w:val="21"/>
              </w:rPr>
            </w:pPr>
            <w:r>
              <w:rPr>
                <w:rFonts w:hint="eastAsia"/>
                <w:sz w:val="21"/>
                <w:szCs w:val="21"/>
              </w:rPr>
              <w:t>污水处理站</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02CCC2">
            <w:pPr>
              <w:widowControl/>
              <w:spacing w:line="240" w:lineRule="auto"/>
              <w:ind w:firstLine="0" w:firstLineChars="0"/>
              <w:jc w:val="center"/>
              <w:textAlignment w:val="baseline"/>
              <w:rPr>
                <w:sz w:val="21"/>
                <w:szCs w:val="21"/>
              </w:rPr>
            </w:pPr>
            <w:r>
              <w:rPr>
                <w:rFonts w:hint="eastAsia"/>
                <w:sz w:val="21"/>
                <w:szCs w:val="21"/>
              </w:rPr>
              <w:t>170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B761D84">
            <w:pPr>
              <w:widowControl/>
              <w:spacing w:line="240" w:lineRule="auto"/>
              <w:ind w:firstLine="0" w:firstLineChars="0"/>
              <w:jc w:val="center"/>
              <w:textAlignment w:val="baseline"/>
              <w:rPr>
                <w:sz w:val="21"/>
                <w:szCs w:val="21"/>
              </w:rPr>
            </w:pPr>
            <w:r>
              <w:rPr>
                <w:rFonts w:hint="eastAsia"/>
                <w:sz w:val="21"/>
                <w:szCs w:val="21"/>
              </w:rPr>
              <w:t>/</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5758A5">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AF0B059">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EAA0A4B">
            <w:pPr>
              <w:widowControl/>
              <w:spacing w:line="240" w:lineRule="auto"/>
              <w:ind w:firstLine="0" w:firstLineChars="0"/>
              <w:jc w:val="center"/>
              <w:textAlignment w:val="baseline"/>
              <w:rPr>
                <w:sz w:val="21"/>
                <w:szCs w:val="21"/>
              </w:rPr>
            </w:pPr>
            <w:r>
              <w:rPr>
                <w:rFonts w:hint="eastAsia"/>
                <w:sz w:val="21"/>
                <w:szCs w:val="21"/>
              </w:rPr>
              <w:t>砼结构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59AF6A">
            <w:pPr>
              <w:widowControl/>
              <w:spacing w:line="240" w:lineRule="auto"/>
              <w:ind w:firstLine="0" w:firstLineChars="0"/>
              <w:jc w:val="center"/>
              <w:textAlignment w:val="baseline"/>
              <w:rPr>
                <w:sz w:val="21"/>
                <w:szCs w:val="21"/>
              </w:rPr>
            </w:pPr>
            <w:r>
              <w:rPr>
                <w:rFonts w:hint="eastAsia"/>
                <w:sz w:val="21"/>
                <w:szCs w:val="21"/>
              </w:rPr>
              <w:t>A3</w:t>
            </w:r>
          </w:p>
        </w:tc>
      </w:tr>
      <w:tr w14:paraId="531F6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vMerge w:val="restar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9DAC154">
            <w:pPr>
              <w:widowControl/>
              <w:numPr>
                <w:ilvl w:val="0"/>
                <w:numId w:val="12"/>
              </w:numPr>
              <w:spacing w:line="240" w:lineRule="auto"/>
              <w:ind w:left="0" w:firstLine="0" w:firstLineChars="0"/>
              <w:jc w:val="center"/>
              <w:textAlignment w:val="baseline"/>
              <w:rPr>
                <w:sz w:val="21"/>
                <w:szCs w:val="21"/>
              </w:rPr>
            </w:pPr>
          </w:p>
        </w:tc>
        <w:tc>
          <w:tcPr>
            <w:tcW w:w="378"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48377EBE">
            <w:pPr>
              <w:widowControl/>
              <w:spacing w:line="240" w:lineRule="auto"/>
              <w:ind w:firstLine="0" w:firstLineChars="0"/>
              <w:jc w:val="center"/>
              <w:textAlignment w:val="baseline"/>
              <w:rPr>
                <w:sz w:val="21"/>
                <w:szCs w:val="21"/>
              </w:rPr>
            </w:pPr>
            <w:r>
              <w:rPr>
                <w:rFonts w:hint="eastAsia"/>
                <w:sz w:val="21"/>
                <w:szCs w:val="21"/>
              </w:rPr>
              <w:t>循环水场</w:t>
            </w:r>
          </w:p>
        </w:tc>
        <w:tc>
          <w:tcPr>
            <w:tcW w:w="5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40626F4">
            <w:pPr>
              <w:widowControl/>
              <w:spacing w:line="240" w:lineRule="auto"/>
              <w:ind w:firstLine="0" w:firstLineChars="0"/>
              <w:jc w:val="center"/>
              <w:textAlignment w:val="baseline"/>
              <w:rPr>
                <w:sz w:val="21"/>
                <w:szCs w:val="21"/>
              </w:rPr>
            </w:pPr>
            <w:r>
              <w:rPr>
                <w:rFonts w:hint="eastAsia"/>
                <w:sz w:val="21"/>
                <w:szCs w:val="21"/>
              </w:rPr>
              <w:t>水塔</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B110FA5">
            <w:pPr>
              <w:widowControl/>
              <w:spacing w:line="240" w:lineRule="auto"/>
              <w:ind w:firstLine="0" w:firstLineChars="0"/>
              <w:jc w:val="center"/>
              <w:textAlignment w:val="baseline"/>
              <w:rPr>
                <w:sz w:val="21"/>
                <w:szCs w:val="21"/>
              </w:rPr>
            </w:pPr>
            <w:r>
              <w:rPr>
                <w:rFonts w:hint="eastAsia"/>
                <w:sz w:val="21"/>
                <w:szCs w:val="21"/>
              </w:rPr>
              <w:t>1220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891FED6">
            <w:pPr>
              <w:widowControl/>
              <w:spacing w:line="240" w:lineRule="auto"/>
              <w:ind w:firstLine="0" w:firstLineChars="0"/>
              <w:jc w:val="center"/>
              <w:textAlignment w:val="baseline"/>
              <w:rPr>
                <w:sz w:val="21"/>
                <w:szCs w:val="21"/>
              </w:rPr>
            </w:pPr>
            <w:r>
              <w:rPr>
                <w:rFonts w:hint="eastAsia"/>
                <w:sz w:val="21"/>
                <w:szCs w:val="21"/>
              </w:rPr>
              <w:t>/</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EA4609">
            <w:pPr>
              <w:widowControl/>
              <w:spacing w:line="240" w:lineRule="auto"/>
              <w:ind w:firstLine="0" w:firstLineChars="0"/>
              <w:jc w:val="center"/>
              <w:textAlignment w:val="baseline"/>
              <w:rPr>
                <w:sz w:val="21"/>
                <w:szCs w:val="21"/>
              </w:rPr>
            </w:pPr>
            <w:r>
              <w:rPr>
                <w:rFonts w:hint="eastAsia"/>
                <w:sz w:val="21"/>
                <w:szCs w:val="21"/>
              </w:rPr>
              <w:t>丁类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8DAF80">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F926804">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EAD22DD">
            <w:pPr>
              <w:widowControl/>
              <w:spacing w:line="240" w:lineRule="auto"/>
              <w:ind w:firstLine="0" w:firstLineChars="0"/>
              <w:jc w:val="center"/>
              <w:textAlignment w:val="baseline"/>
              <w:rPr>
                <w:sz w:val="21"/>
                <w:szCs w:val="21"/>
              </w:rPr>
            </w:pPr>
            <w:r>
              <w:rPr>
                <w:rFonts w:hint="eastAsia"/>
                <w:sz w:val="21"/>
                <w:szCs w:val="21"/>
              </w:rPr>
              <w:t>A5</w:t>
            </w:r>
          </w:p>
        </w:tc>
      </w:tr>
      <w:tr w14:paraId="423CD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vMerge w:val="continue"/>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6E8A167">
            <w:pPr>
              <w:widowControl/>
              <w:spacing w:line="240" w:lineRule="auto"/>
              <w:ind w:firstLine="0" w:firstLineChars="0"/>
              <w:jc w:val="center"/>
              <w:textAlignment w:val="baseline"/>
              <w:rPr>
                <w:sz w:val="21"/>
                <w:szCs w:val="21"/>
              </w:rPr>
            </w:pPr>
          </w:p>
        </w:tc>
        <w:tc>
          <w:tcPr>
            <w:tcW w:w="378"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584D9F6">
            <w:pPr>
              <w:widowControl/>
              <w:spacing w:line="240" w:lineRule="auto"/>
              <w:ind w:firstLine="0" w:firstLineChars="0"/>
              <w:jc w:val="center"/>
              <w:textAlignment w:val="baseline"/>
              <w:rPr>
                <w:sz w:val="21"/>
                <w:szCs w:val="21"/>
              </w:rPr>
            </w:pPr>
          </w:p>
        </w:tc>
        <w:tc>
          <w:tcPr>
            <w:tcW w:w="50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AAA1C9">
            <w:pPr>
              <w:widowControl/>
              <w:spacing w:line="240" w:lineRule="auto"/>
              <w:ind w:firstLine="0" w:firstLineChars="0"/>
              <w:jc w:val="center"/>
              <w:textAlignment w:val="baseline"/>
              <w:rPr>
                <w:sz w:val="21"/>
                <w:szCs w:val="21"/>
              </w:rPr>
            </w:pPr>
            <w:r>
              <w:rPr>
                <w:rFonts w:hint="eastAsia"/>
                <w:sz w:val="21"/>
                <w:szCs w:val="21"/>
              </w:rPr>
              <w:t>辅助用房</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0D79AF">
            <w:pPr>
              <w:widowControl/>
              <w:spacing w:line="240" w:lineRule="auto"/>
              <w:ind w:firstLine="0" w:firstLineChars="0"/>
              <w:jc w:val="center"/>
              <w:textAlignment w:val="baseline"/>
              <w:rPr>
                <w:sz w:val="21"/>
                <w:szCs w:val="21"/>
              </w:rPr>
            </w:pPr>
            <w:r>
              <w:rPr>
                <w:rFonts w:hint="eastAsia"/>
                <w:sz w:val="21"/>
                <w:szCs w:val="21"/>
              </w:rPr>
              <w:t>580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01E3FF">
            <w:pPr>
              <w:widowControl/>
              <w:spacing w:line="240" w:lineRule="auto"/>
              <w:ind w:firstLine="0" w:firstLineChars="0"/>
              <w:jc w:val="center"/>
              <w:textAlignment w:val="baseline"/>
              <w:rPr>
                <w:sz w:val="21"/>
                <w:szCs w:val="21"/>
              </w:rPr>
            </w:pPr>
            <w:r>
              <w:rPr>
                <w:rFonts w:hint="eastAsia"/>
                <w:sz w:val="21"/>
                <w:szCs w:val="21"/>
              </w:rPr>
              <w:t>580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949B08">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0C6EC6">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029F37">
            <w:pPr>
              <w:widowControl/>
              <w:spacing w:line="240" w:lineRule="auto"/>
              <w:ind w:firstLine="0" w:firstLineChars="0"/>
              <w:jc w:val="center"/>
              <w:textAlignment w:val="baseline"/>
              <w:rPr>
                <w:sz w:val="21"/>
                <w:szCs w:val="21"/>
              </w:rPr>
            </w:pPr>
            <w:r>
              <w:rPr>
                <w:rFonts w:hint="eastAsia"/>
                <w:sz w:val="21"/>
                <w:szCs w:val="21"/>
              </w:rPr>
              <w:t>1层砼结构</w:t>
            </w:r>
          </w:p>
        </w:tc>
        <w:tc>
          <w:tcPr>
            <w:tcW w:w="795"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3A2A910">
            <w:pPr>
              <w:widowControl/>
              <w:spacing w:line="240" w:lineRule="auto"/>
              <w:ind w:firstLine="0" w:firstLineChars="0"/>
              <w:jc w:val="center"/>
              <w:textAlignment w:val="baseline"/>
              <w:rPr>
                <w:sz w:val="21"/>
                <w:szCs w:val="21"/>
              </w:rPr>
            </w:pPr>
          </w:p>
        </w:tc>
      </w:tr>
      <w:tr w14:paraId="36CB5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4ABE82">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87B4ACE">
            <w:pPr>
              <w:widowControl/>
              <w:spacing w:line="240" w:lineRule="auto"/>
              <w:ind w:firstLine="0" w:firstLineChars="0"/>
              <w:jc w:val="center"/>
              <w:textAlignment w:val="baseline"/>
              <w:rPr>
                <w:sz w:val="21"/>
                <w:szCs w:val="21"/>
              </w:rPr>
            </w:pPr>
            <w:r>
              <w:rPr>
                <w:rFonts w:hint="eastAsia"/>
                <w:sz w:val="21"/>
                <w:szCs w:val="21"/>
              </w:rPr>
              <w:t>初期雨水及消防废水收集池</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CF1A8EA">
            <w:pPr>
              <w:widowControl/>
              <w:spacing w:line="240" w:lineRule="auto"/>
              <w:ind w:firstLine="0" w:firstLineChars="0"/>
              <w:jc w:val="center"/>
              <w:textAlignment w:val="baseline"/>
              <w:rPr>
                <w:sz w:val="21"/>
                <w:szCs w:val="21"/>
              </w:rPr>
            </w:pPr>
            <w:r>
              <w:rPr>
                <w:rFonts w:hint="eastAsia"/>
                <w:sz w:val="21"/>
                <w:szCs w:val="21"/>
              </w:rPr>
              <w:t>4440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DE9D806">
            <w:pPr>
              <w:widowControl/>
              <w:spacing w:line="240" w:lineRule="auto"/>
              <w:ind w:firstLine="0" w:firstLineChars="0"/>
              <w:jc w:val="center"/>
              <w:textAlignment w:val="baseline"/>
              <w:rPr>
                <w:sz w:val="21"/>
                <w:szCs w:val="21"/>
              </w:rPr>
            </w:pPr>
            <w:r>
              <w:rPr>
                <w:rFonts w:hint="eastAsia"/>
                <w:sz w:val="21"/>
                <w:szCs w:val="21"/>
              </w:rPr>
              <w:t>/</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F112ECE">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13D5965">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9B593F">
            <w:pPr>
              <w:widowControl/>
              <w:spacing w:line="240" w:lineRule="auto"/>
              <w:ind w:firstLine="0" w:firstLineChars="0"/>
              <w:jc w:val="center"/>
              <w:textAlignment w:val="baseline"/>
              <w:rPr>
                <w:sz w:val="21"/>
                <w:szCs w:val="21"/>
              </w:rPr>
            </w:pPr>
            <w:r>
              <w:rPr>
                <w:rFonts w:hint="eastAsia"/>
                <w:sz w:val="21"/>
                <w:szCs w:val="21"/>
              </w:rPr>
              <w:t>砼结构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7BBB2E9">
            <w:pPr>
              <w:widowControl/>
              <w:spacing w:line="240" w:lineRule="auto"/>
              <w:ind w:firstLine="0" w:firstLineChars="0"/>
              <w:jc w:val="center"/>
              <w:textAlignment w:val="baseline"/>
              <w:rPr>
                <w:sz w:val="21"/>
                <w:szCs w:val="21"/>
              </w:rPr>
            </w:pPr>
            <w:r>
              <w:rPr>
                <w:rFonts w:hint="eastAsia"/>
                <w:sz w:val="21"/>
                <w:szCs w:val="21"/>
              </w:rPr>
              <w:t>埋地</w:t>
            </w:r>
          </w:p>
        </w:tc>
      </w:tr>
      <w:tr w14:paraId="45828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412BED">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2C3EDE25">
            <w:pPr>
              <w:widowControl/>
              <w:spacing w:line="240" w:lineRule="auto"/>
              <w:ind w:firstLine="0" w:firstLineChars="0"/>
              <w:jc w:val="center"/>
              <w:textAlignment w:val="baseline"/>
              <w:rPr>
                <w:sz w:val="21"/>
                <w:szCs w:val="21"/>
              </w:rPr>
            </w:pPr>
            <w:r>
              <w:rPr>
                <w:rFonts w:hint="eastAsia"/>
                <w:sz w:val="21"/>
                <w:szCs w:val="21"/>
              </w:rPr>
              <w:t>消防泵房及消防水罐</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2DCEA04">
            <w:pPr>
              <w:widowControl/>
              <w:spacing w:line="240" w:lineRule="auto"/>
              <w:ind w:firstLine="0" w:firstLineChars="0"/>
              <w:jc w:val="center"/>
              <w:textAlignment w:val="baseline"/>
              <w:rPr>
                <w:sz w:val="21"/>
                <w:szCs w:val="21"/>
              </w:rPr>
            </w:pPr>
            <w:r>
              <w:rPr>
                <w:rFonts w:hint="eastAsia"/>
                <w:sz w:val="21"/>
                <w:szCs w:val="21"/>
              </w:rPr>
              <w:t>4440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0A543F">
            <w:pPr>
              <w:widowControl/>
              <w:spacing w:line="240" w:lineRule="auto"/>
              <w:ind w:firstLine="0" w:firstLineChars="0"/>
              <w:jc w:val="center"/>
              <w:textAlignment w:val="baseline"/>
              <w:rPr>
                <w:sz w:val="21"/>
                <w:szCs w:val="21"/>
              </w:rPr>
            </w:pPr>
            <w:r>
              <w:rPr>
                <w:rFonts w:hint="eastAsia"/>
                <w:sz w:val="21"/>
                <w:szCs w:val="21"/>
              </w:rPr>
              <w:t>94.25</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74EE8F4">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94BB0FC">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7D16CF1">
            <w:pPr>
              <w:widowControl/>
              <w:spacing w:line="240" w:lineRule="auto"/>
              <w:ind w:firstLine="0" w:firstLineChars="0"/>
              <w:jc w:val="center"/>
              <w:textAlignment w:val="baseline"/>
              <w:rPr>
                <w:sz w:val="21"/>
                <w:szCs w:val="21"/>
              </w:rPr>
            </w:pPr>
            <w:r>
              <w:rPr>
                <w:rFonts w:hint="eastAsia"/>
                <w:sz w:val="21"/>
                <w:szCs w:val="21"/>
              </w:rPr>
              <w:t>砼结构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84D38A2">
            <w:pPr>
              <w:widowControl/>
              <w:spacing w:line="240" w:lineRule="auto"/>
              <w:ind w:firstLine="0" w:firstLineChars="0"/>
              <w:jc w:val="center"/>
              <w:textAlignment w:val="baseline"/>
              <w:rPr>
                <w:sz w:val="21"/>
                <w:szCs w:val="21"/>
              </w:rPr>
            </w:pPr>
            <w:r>
              <w:rPr>
                <w:rFonts w:hint="eastAsia"/>
                <w:sz w:val="21"/>
                <w:szCs w:val="21"/>
              </w:rPr>
              <w:t>A11</w:t>
            </w:r>
          </w:p>
        </w:tc>
      </w:tr>
      <w:tr w14:paraId="7BE5E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3FAEBD">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21F4ABF">
            <w:pPr>
              <w:widowControl/>
              <w:spacing w:line="240" w:lineRule="auto"/>
              <w:ind w:firstLine="0" w:firstLineChars="0"/>
              <w:jc w:val="center"/>
              <w:textAlignment w:val="baseline"/>
              <w:rPr>
                <w:sz w:val="21"/>
                <w:szCs w:val="21"/>
              </w:rPr>
            </w:pPr>
            <w:r>
              <w:rPr>
                <w:rFonts w:hint="eastAsia"/>
                <w:sz w:val="21"/>
                <w:szCs w:val="21"/>
              </w:rPr>
              <w:t>备品备件库</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83632B">
            <w:pPr>
              <w:widowControl/>
              <w:spacing w:line="240" w:lineRule="auto"/>
              <w:ind w:firstLine="0" w:firstLineChars="0"/>
              <w:jc w:val="center"/>
              <w:textAlignment w:val="baseline"/>
              <w:rPr>
                <w:sz w:val="21"/>
                <w:szCs w:val="21"/>
              </w:rPr>
            </w:pPr>
            <w:r>
              <w:rPr>
                <w:rFonts w:hint="eastAsia"/>
                <w:sz w:val="21"/>
                <w:szCs w:val="21"/>
              </w:rPr>
              <w:t>2997</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C80441D">
            <w:pPr>
              <w:widowControl/>
              <w:spacing w:line="240" w:lineRule="auto"/>
              <w:ind w:firstLine="0" w:firstLineChars="0"/>
              <w:jc w:val="center"/>
              <w:textAlignment w:val="baseline"/>
              <w:rPr>
                <w:sz w:val="21"/>
                <w:szCs w:val="21"/>
              </w:rPr>
            </w:pPr>
            <w:r>
              <w:rPr>
                <w:rFonts w:hint="eastAsia"/>
                <w:sz w:val="21"/>
                <w:szCs w:val="21"/>
              </w:rPr>
              <w:t>5994</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FC1B7B2">
            <w:pPr>
              <w:widowControl/>
              <w:spacing w:line="240" w:lineRule="auto"/>
              <w:ind w:firstLine="0" w:firstLineChars="0"/>
              <w:jc w:val="center"/>
              <w:textAlignment w:val="baseline"/>
              <w:rPr>
                <w:sz w:val="21"/>
                <w:szCs w:val="21"/>
              </w:rPr>
            </w:pPr>
            <w:r>
              <w:rPr>
                <w:rFonts w:hint="eastAsia"/>
                <w:sz w:val="21"/>
                <w:szCs w:val="21"/>
              </w:rPr>
              <w:t>戊类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5B0F31E">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06B9C5D">
            <w:pPr>
              <w:widowControl/>
              <w:spacing w:line="240" w:lineRule="auto"/>
              <w:ind w:firstLine="0" w:firstLineChars="0"/>
              <w:jc w:val="center"/>
              <w:textAlignment w:val="baseline"/>
              <w:rPr>
                <w:sz w:val="21"/>
                <w:szCs w:val="21"/>
              </w:rPr>
            </w:pPr>
            <w:r>
              <w:rPr>
                <w:rFonts w:hint="eastAsia"/>
                <w:sz w:val="21"/>
                <w:szCs w:val="21"/>
              </w:rPr>
              <w:t>2层砼框架结构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5A8D27">
            <w:pPr>
              <w:widowControl/>
              <w:spacing w:line="240" w:lineRule="auto"/>
              <w:ind w:firstLine="0" w:firstLineChars="0"/>
              <w:jc w:val="center"/>
              <w:textAlignment w:val="baseline"/>
              <w:rPr>
                <w:sz w:val="21"/>
                <w:szCs w:val="21"/>
              </w:rPr>
            </w:pPr>
            <w:r>
              <w:rPr>
                <w:rFonts w:hint="eastAsia"/>
                <w:sz w:val="21"/>
                <w:szCs w:val="21"/>
              </w:rPr>
              <w:t>A2</w:t>
            </w:r>
          </w:p>
        </w:tc>
      </w:tr>
      <w:tr w14:paraId="01A2D3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D6FE92B">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950E779">
            <w:pPr>
              <w:widowControl/>
              <w:spacing w:line="240" w:lineRule="auto"/>
              <w:ind w:firstLine="0" w:firstLineChars="0"/>
              <w:jc w:val="center"/>
              <w:textAlignment w:val="baseline"/>
              <w:rPr>
                <w:sz w:val="21"/>
                <w:szCs w:val="21"/>
              </w:rPr>
            </w:pPr>
            <w:r>
              <w:rPr>
                <w:rFonts w:hint="eastAsia"/>
                <w:sz w:val="21"/>
                <w:szCs w:val="21"/>
              </w:rPr>
              <w:t>检测中心</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FCCC00E">
            <w:pPr>
              <w:widowControl/>
              <w:spacing w:line="240" w:lineRule="auto"/>
              <w:ind w:firstLine="0" w:firstLineChars="0"/>
              <w:jc w:val="center"/>
              <w:textAlignment w:val="baseline"/>
              <w:rPr>
                <w:sz w:val="21"/>
                <w:szCs w:val="21"/>
              </w:rPr>
            </w:pPr>
            <w:r>
              <w:rPr>
                <w:rFonts w:hint="eastAsia"/>
                <w:sz w:val="21"/>
                <w:szCs w:val="21"/>
              </w:rPr>
              <w:t>3752.72</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F0D4A4">
            <w:pPr>
              <w:widowControl/>
              <w:spacing w:line="240" w:lineRule="auto"/>
              <w:ind w:firstLine="0" w:firstLineChars="0"/>
              <w:jc w:val="center"/>
              <w:textAlignment w:val="baseline"/>
              <w:rPr>
                <w:sz w:val="21"/>
                <w:szCs w:val="21"/>
              </w:rPr>
            </w:pPr>
            <w:r>
              <w:rPr>
                <w:rFonts w:hint="eastAsia"/>
                <w:sz w:val="21"/>
                <w:szCs w:val="21"/>
              </w:rPr>
              <w:t>7740.60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1A85A5">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A8604B4">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26F274F">
            <w:pPr>
              <w:widowControl/>
              <w:spacing w:line="240" w:lineRule="auto"/>
              <w:ind w:firstLine="0" w:firstLineChars="0"/>
              <w:jc w:val="center"/>
              <w:textAlignment w:val="baseline"/>
              <w:rPr>
                <w:sz w:val="21"/>
                <w:szCs w:val="21"/>
              </w:rPr>
            </w:pPr>
            <w:r>
              <w:rPr>
                <w:rFonts w:hint="eastAsia"/>
                <w:sz w:val="21"/>
                <w:szCs w:val="21"/>
              </w:rPr>
              <w:t>2层砼框架结构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43EB34">
            <w:pPr>
              <w:widowControl/>
              <w:spacing w:line="240" w:lineRule="auto"/>
              <w:ind w:firstLine="0" w:firstLineChars="0"/>
              <w:jc w:val="center"/>
              <w:textAlignment w:val="baseline"/>
              <w:rPr>
                <w:sz w:val="21"/>
                <w:szCs w:val="21"/>
              </w:rPr>
            </w:pPr>
            <w:r>
              <w:rPr>
                <w:rFonts w:hint="eastAsia"/>
                <w:sz w:val="21"/>
                <w:szCs w:val="21"/>
              </w:rPr>
              <w:t>A7</w:t>
            </w:r>
          </w:p>
        </w:tc>
      </w:tr>
      <w:tr w14:paraId="471EE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A3415F">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80FCFAD">
            <w:pPr>
              <w:widowControl/>
              <w:spacing w:line="240" w:lineRule="auto"/>
              <w:ind w:firstLine="0" w:firstLineChars="0"/>
              <w:jc w:val="center"/>
              <w:textAlignment w:val="baseline"/>
              <w:rPr>
                <w:sz w:val="21"/>
                <w:szCs w:val="21"/>
              </w:rPr>
            </w:pPr>
            <w:r>
              <w:rPr>
                <w:rFonts w:hint="eastAsia"/>
                <w:sz w:val="21"/>
                <w:szCs w:val="21"/>
              </w:rPr>
              <w:t>固废库</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19EEFF2">
            <w:pPr>
              <w:widowControl/>
              <w:spacing w:line="240" w:lineRule="auto"/>
              <w:ind w:firstLine="0" w:firstLineChars="0"/>
              <w:jc w:val="center"/>
              <w:textAlignment w:val="baseline"/>
              <w:rPr>
                <w:sz w:val="21"/>
                <w:szCs w:val="21"/>
              </w:rPr>
            </w:pPr>
            <w:r>
              <w:rPr>
                <w:rFonts w:hint="eastAsia"/>
                <w:sz w:val="21"/>
                <w:szCs w:val="21"/>
              </w:rPr>
              <w:t>400</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67F76C">
            <w:pPr>
              <w:widowControl/>
              <w:spacing w:line="240" w:lineRule="auto"/>
              <w:ind w:firstLine="0" w:firstLineChars="0"/>
              <w:jc w:val="center"/>
              <w:textAlignment w:val="baseline"/>
              <w:rPr>
                <w:sz w:val="21"/>
                <w:szCs w:val="21"/>
              </w:rPr>
            </w:pPr>
            <w:r>
              <w:rPr>
                <w:rFonts w:hint="eastAsia"/>
                <w:sz w:val="21"/>
                <w:szCs w:val="21"/>
              </w:rPr>
              <w:t>400</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48BC247">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0A8E1AF">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9E6996A">
            <w:pPr>
              <w:widowControl/>
              <w:spacing w:line="240" w:lineRule="auto"/>
              <w:ind w:firstLine="0" w:firstLineChars="0"/>
              <w:jc w:val="center"/>
              <w:textAlignment w:val="baseline"/>
              <w:rPr>
                <w:sz w:val="21"/>
                <w:szCs w:val="21"/>
              </w:rPr>
            </w:pPr>
            <w:r>
              <w:rPr>
                <w:rFonts w:hint="eastAsia"/>
                <w:sz w:val="21"/>
                <w:szCs w:val="21"/>
              </w:rPr>
              <w:t>1层钢结构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E98631B">
            <w:pPr>
              <w:widowControl/>
              <w:spacing w:line="240" w:lineRule="auto"/>
              <w:ind w:firstLine="0" w:firstLineChars="0"/>
              <w:jc w:val="center"/>
              <w:textAlignment w:val="baseline"/>
              <w:rPr>
                <w:sz w:val="21"/>
                <w:szCs w:val="21"/>
              </w:rPr>
            </w:pPr>
            <w:r>
              <w:rPr>
                <w:rFonts w:hint="eastAsia"/>
                <w:sz w:val="21"/>
                <w:szCs w:val="21"/>
              </w:rPr>
              <w:t>A13</w:t>
            </w:r>
          </w:p>
        </w:tc>
      </w:tr>
      <w:tr w14:paraId="54CA8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6C9F50F">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0CCAE3AB">
            <w:pPr>
              <w:widowControl/>
              <w:spacing w:line="240" w:lineRule="auto"/>
              <w:ind w:firstLine="0" w:firstLineChars="0"/>
              <w:jc w:val="center"/>
              <w:textAlignment w:val="baseline"/>
              <w:rPr>
                <w:sz w:val="21"/>
                <w:szCs w:val="21"/>
              </w:rPr>
            </w:pPr>
            <w:r>
              <w:rPr>
                <w:rFonts w:hint="eastAsia"/>
                <w:sz w:val="21"/>
                <w:szCs w:val="21"/>
              </w:rPr>
              <w:t>尾气站一</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E8CD8D5">
            <w:pPr>
              <w:widowControl/>
              <w:spacing w:line="240" w:lineRule="auto"/>
              <w:ind w:firstLine="0" w:firstLineChars="0"/>
              <w:jc w:val="center"/>
              <w:textAlignment w:val="baseline"/>
              <w:rPr>
                <w:sz w:val="21"/>
                <w:szCs w:val="21"/>
              </w:rPr>
            </w:pPr>
            <w:r>
              <w:rPr>
                <w:rFonts w:hint="eastAsia"/>
                <w:sz w:val="21"/>
                <w:szCs w:val="21"/>
              </w:rPr>
              <w:t>4725</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C6748AE">
            <w:pPr>
              <w:widowControl/>
              <w:spacing w:line="240" w:lineRule="auto"/>
              <w:ind w:firstLine="0" w:firstLineChars="0"/>
              <w:jc w:val="center"/>
              <w:textAlignment w:val="baseline"/>
              <w:rPr>
                <w:sz w:val="21"/>
                <w:szCs w:val="21"/>
              </w:rPr>
            </w:pPr>
            <w:r>
              <w:rPr>
                <w:rFonts w:hint="eastAsia"/>
                <w:sz w:val="21"/>
                <w:szCs w:val="21"/>
              </w:rPr>
              <w:t>/</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15C2B3C">
            <w:pPr>
              <w:widowControl/>
              <w:spacing w:line="240" w:lineRule="auto"/>
              <w:ind w:firstLine="0" w:firstLineChars="0"/>
              <w:jc w:val="center"/>
              <w:textAlignment w:val="baseline"/>
              <w:rPr>
                <w:sz w:val="21"/>
                <w:szCs w:val="21"/>
              </w:rPr>
            </w:pPr>
            <w:r>
              <w:rPr>
                <w:rFonts w:hint="eastAsia"/>
                <w:sz w:val="21"/>
                <w:szCs w:val="21"/>
              </w:rPr>
              <w:t>丁类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7F33F1D">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9C91CB8">
            <w:pPr>
              <w:widowControl/>
              <w:spacing w:line="240" w:lineRule="auto"/>
              <w:ind w:firstLine="0" w:firstLineChars="0"/>
              <w:jc w:val="center"/>
              <w:textAlignment w:val="baseline"/>
              <w:rPr>
                <w:sz w:val="21"/>
                <w:szCs w:val="21"/>
              </w:rPr>
            </w:pPr>
            <w:r>
              <w:rPr>
                <w:rFonts w:hint="eastAsia"/>
                <w:sz w:val="21"/>
                <w:szCs w:val="21"/>
              </w:rPr>
              <w:t>1层砼结构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5F9457">
            <w:pPr>
              <w:widowControl/>
              <w:spacing w:line="240" w:lineRule="auto"/>
              <w:ind w:firstLine="0" w:firstLineChars="0"/>
              <w:jc w:val="center"/>
              <w:textAlignment w:val="baseline"/>
              <w:rPr>
                <w:sz w:val="21"/>
                <w:szCs w:val="21"/>
              </w:rPr>
            </w:pPr>
            <w:r>
              <w:rPr>
                <w:rFonts w:hint="eastAsia"/>
                <w:sz w:val="21"/>
                <w:szCs w:val="21"/>
              </w:rPr>
              <w:t>A10</w:t>
            </w:r>
          </w:p>
        </w:tc>
      </w:tr>
      <w:tr w14:paraId="62365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939A39D">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346C342">
            <w:pPr>
              <w:widowControl/>
              <w:spacing w:line="240" w:lineRule="auto"/>
              <w:ind w:firstLine="0" w:firstLineChars="0"/>
              <w:jc w:val="center"/>
              <w:textAlignment w:val="baseline"/>
              <w:rPr>
                <w:sz w:val="21"/>
                <w:szCs w:val="21"/>
              </w:rPr>
            </w:pPr>
            <w:r>
              <w:rPr>
                <w:rFonts w:hint="eastAsia"/>
                <w:sz w:val="21"/>
                <w:szCs w:val="21"/>
              </w:rPr>
              <w:t>变压器室</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BD9351">
            <w:pPr>
              <w:widowControl/>
              <w:spacing w:line="240" w:lineRule="auto"/>
              <w:ind w:firstLine="0" w:firstLineChars="0"/>
              <w:jc w:val="center"/>
              <w:textAlignment w:val="baseline"/>
              <w:rPr>
                <w:sz w:val="21"/>
                <w:szCs w:val="21"/>
              </w:rPr>
            </w:pPr>
            <w:r>
              <w:rPr>
                <w:rFonts w:hint="eastAsia"/>
                <w:sz w:val="21"/>
                <w:szCs w:val="21"/>
              </w:rPr>
              <w:t>/</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C96A2F">
            <w:pPr>
              <w:widowControl/>
              <w:spacing w:line="240" w:lineRule="auto"/>
              <w:ind w:firstLine="0" w:firstLineChars="0"/>
              <w:jc w:val="center"/>
              <w:textAlignment w:val="baseline"/>
              <w:rPr>
                <w:sz w:val="21"/>
                <w:szCs w:val="21"/>
              </w:rPr>
            </w:pPr>
            <w:r>
              <w:rPr>
                <w:rFonts w:hint="eastAsia"/>
                <w:sz w:val="21"/>
                <w:szCs w:val="21"/>
              </w:rPr>
              <w:t>/</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CFB6C28">
            <w:pPr>
              <w:widowControl/>
              <w:spacing w:line="240" w:lineRule="auto"/>
              <w:ind w:firstLine="0" w:firstLineChars="0"/>
              <w:jc w:val="center"/>
              <w:textAlignment w:val="baseline"/>
              <w:rPr>
                <w:sz w:val="21"/>
                <w:szCs w:val="21"/>
              </w:rPr>
            </w:pPr>
            <w:r>
              <w:rPr>
                <w:rFonts w:hint="eastAsia"/>
                <w:sz w:val="21"/>
                <w:szCs w:val="21"/>
              </w:rPr>
              <w:t>丙类</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7127A0">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40A10F3">
            <w:pPr>
              <w:widowControl/>
              <w:spacing w:line="240" w:lineRule="auto"/>
              <w:ind w:firstLine="0" w:firstLineChars="0"/>
              <w:jc w:val="center"/>
              <w:textAlignment w:val="baseline"/>
              <w:rPr>
                <w:sz w:val="21"/>
                <w:szCs w:val="21"/>
              </w:rPr>
            </w:pPr>
            <w:r>
              <w:rPr>
                <w:rFonts w:hint="eastAsia"/>
                <w:sz w:val="21"/>
                <w:szCs w:val="21"/>
              </w:rPr>
              <w:t>2层砼框架结构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38FC5D">
            <w:pPr>
              <w:widowControl/>
              <w:spacing w:line="240" w:lineRule="auto"/>
              <w:ind w:firstLine="0" w:firstLineChars="0"/>
              <w:jc w:val="center"/>
              <w:textAlignment w:val="baseline"/>
              <w:rPr>
                <w:sz w:val="21"/>
                <w:szCs w:val="21"/>
              </w:rPr>
            </w:pPr>
          </w:p>
        </w:tc>
      </w:tr>
      <w:tr w14:paraId="32A63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AB05F16">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B3CBFE9">
            <w:pPr>
              <w:widowControl/>
              <w:spacing w:line="240" w:lineRule="auto"/>
              <w:ind w:firstLine="0" w:firstLineChars="0"/>
              <w:jc w:val="center"/>
              <w:textAlignment w:val="baseline"/>
              <w:rPr>
                <w:sz w:val="21"/>
                <w:szCs w:val="21"/>
              </w:rPr>
            </w:pPr>
            <w:r>
              <w:rPr>
                <w:rFonts w:hint="eastAsia"/>
                <w:sz w:val="21"/>
                <w:szCs w:val="21"/>
              </w:rPr>
              <w:t>辅助生产楼</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49B1D38">
            <w:pPr>
              <w:widowControl/>
              <w:spacing w:line="240" w:lineRule="auto"/>
              <w:ind w:firstLine="0" w:firstLineChars="0"/>
              <w:jc w:val="center"/>
              <w:textAlignment w:val="baseline"/>
              <w:rPr>
                <w:sz w:val="21"/>
                <w:szCs w:val="21"/>
              </w:rPr>
            </w:pPr>
            <w:r>
              <w:rPr>
                <w:rFonts w:hint="eastAsia"/>
                <w:sz w:val="21"/>
                <w:szCs w:val="21"/>
              </w:rPr>
              <w:t>1836</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DBCC36F">
            <w:pPr>
              <w:widowControl/>
              <w:spacing w:line="240" w:lineRule="auto"/>
              <w:ind w:firstLine="0" w:firstLineChars="0"/>
              <w:jc w:val="center"/>
              <w:textAlignment w:val="baseline"/>
              <w:rPr>
                <w:sz w:val="21"/>
                <w:szCs w:val="21"/>
              </w:rPr>
            </w:pPr>
            <w:r>
              <w:rPr>
                <w:rFonts w:hint="eastAsia"/>
                <w:sz w:val="21"/>
                <w:szCs w:val="21"/>
              </w:rPr>
              <w:t>3798.36</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DA26E35">
            <w:pPr>
              <w:widowControl/>
              <w:spacing w:line="240" w:lineRule="auto"/>
              <w:ind w:firstLine="0" w:firstLineChars="0"/>
              <w:jc w:val="center"/>
              <w:textAlignment w:val="baseline"/>
              <w:rPr>
                <w:sz w:val="21"/>
                <w:szCs w:val="21"/>
              </w:rPr>
            </w:pPr>
            <w:r>
              <w:rPr>
                <w:rFonts w:hint="eastAsia"/>
                <w:sz w:val="21"/>
                <w:szCs w:val="21"/>
              </w:rPr>
              <w:t>民用</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B6AF53E">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4F2D75">
            <w:pPr>
              <w:widowControl/>
              <w:spacing w:line="240" w:lineRule="auto"/>
              <w:ind w:firstLine="0" w:firstLineChars="0"/>
              <w:jc w:val="center"/>
              <w:textAlignment w:val="baseline"/>
              <w:rPr>
                <w:sz w:val="21"/>
                <w:szCs w:val="21"/>
              </w:rPr>
            </w:pPr>
            <w:r>
              <w:rPr>
                <w:rFonts w:hint="eastAsia"/>
                <w:sz w:val="21"/>
                <w:szCs w:val="21"/>
              </w:rPr>
              <w:t>2层砼框架结构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8FA47D">
            <w:pPr>
              <w:widowControl/>
              <w:spacing w:line="240" w:lineRule="auto"/>
              <w:ind w:firstLine="0" w:firstLineChars="0"/>
              <w:jc w:val="center"/>
              <w:textAlignment w:val="baseline"/>
              <w:rPr>
                <w:sz w:val="21"/>
                <w:szCs w:val="21"/>
              </w:rPr>
            </w:pPr>
            <w:r>
              <w:rPr>
                <w:rFonts w:hint="eastAsia"/>
                <w:sz w:val="21"/>
                <w:szCs w:val="21"/>
              </w:rPr>
              <w:t>A8一层淋浴，二层餐厅</w:t>
            </w:r>
          </w:p>
        </w:tc>
      </w:tr>
      <w:tr w14:paraId="437E9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C27451">
            <w:pPr>
              <w:widowControl/>
              <w:numPr>
                <w:ilvl w:val="0"/>
                <w:numId w:val="12"/>
              </w:numPr>
              <w:spacing w:line="240" w:lineRule="auto"/>
              <w:ind w:left="0" w:firstLine="0" w:firstLineChars="0"/>
              <w:jc w:val="center"/>
              <w:textAlignment w:val="baseline"/>
              <w:rPr>
                <w:sz w:val="21"/>
                <w:szCs w:val="21"/>
              </w:rPr>
            </w:pPr>
          </w:p>
        </w:tc>
        <w:tc>
          <w:tcPr>
            <w:tcW w:w="888"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7F5167A">
            <w:pPr>
              <w:widowControl/>
              <w:spacing w:line="240" w:lineRule="auto"/>
              <w:ind w:firstLine="0" w:firstLineChars="0"/>
              <w:jc w:val="center"/>
              <w:textAlignment w:val="baseline"/>
              <w:rPr>
                <w:sz w:val="21"/>
                <w:szCs w:val="21"/>
              </w:rPr>
            </w:pPr>
            <w:r>
              <w:rPr>
                <w:rFonts w:hint="eastAsia"/>
                <w:sz w:val="21"/>
                <w:szCs w:val="21"/>
              </w:rPr>
              <w:t>门卫室</w:t>
            </w:r>
          </w:p>
        </w:tc>
        <w:tc>
          <w:tcPr>
            <w:tcW w:w="64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06C1200">
            <w:pPr>
              <w:widowControl/>
              <w:spacing w:line="240" w:lineRule="auto"/>
              <w:ind w:firstLine="0" w:firstLineChars="0"/>
              <w:jc w:val="center"/>
              <w:textAlignment w:val="baseline"/>
              <w:rPr>
                <w:sz w:val="21"/>
                <w:szCs w:val="21"/>
              </w:rPr>
            </w:pPr>
            <w:r>
              <w:rPr>
                <w:rFonts w:hint="eastAsia"/>
                <w:sz w:val="21"/>
                <w:szCs w:val="21"/>
              </w:rPr>
              <w:t>96</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FB4F02">
            <w:pPr>
              <w:widowControl/>
              <w:spacing w:line="240" w:lineRule="auto"/>
              <w:ind w:firstLine="0" w:firstLineChars="0"/>
              <w:jc w:val="center"/>
              <w:textAlignment w:val="baseline"/>
              <w:rPr>
                <w:sz w:val="21"/>
                <w:szCs w:val="21"/>
              </w:rPr>
            </w:pPr>
            <w:r>
              <w:rPr>
                <w:rFonts w:hint="eastAsia"/>
                <w:sz w:val="21"/>
                <w:szCs w:val="21"/>
              </w:rPr>
              <w:t>96</w:t>
            </w:r>
          </w:p>
        </w:tc>
        <w:tc>
          <w:tcPr>
            <w:tcW w:w="528"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012E4BC">
            <w:pPr>
              <w:widowControl/>
              <w:spacing w:line="240" w:lineRule="auto"/>
              <w:ind w:firstLine="0" w:firstLineChars="0"/>
              <w:jc w:val="center"/>
              <w:textAlignment w:val="baseline"/>
              <w:rPr>
                <w:sz w:val="21"/>
                <w:szCs w:val="21"/>
              </w:rPr>
            </w:pPr>
            <w:r>
              <w:rPr>
                <w:rFonts w:hint="eastAsia"/>
                <w:sz w:val="21"/>
                <w:szCs w:val="21"/>
              </w:rPr>
              <w:t>民用</w:t>
            </w:r>
          </w:p>
        </w:tc>
        <w:tc>
          <w:tcPr>
            <w:tcW w:w="5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DDAE14">
            <w:pPr>
              <w:widowControl/>
              <w:spacing w:line="240" w:lineRule="auto"/>
              <w:ind w:firstLine="0" w:firstLineChars="0"/>
              <w:jc w:val="center"/>
              <w:textAlignment w:val="baseline"/>
              <w:rPr>
                <w:sz w:val="21"/>
                <w:szCs w:val="21"/>
              </w:rPr>
            </w:pPr>
            <w:r>
              <w:rPr>
                <w:rFonts w:hint="eastAsia"/>
                <w:sz w:val="21"/>
                <w:szCs w:val="21"/>
              </w:rPr>
              <w:t>二级</w:t>
            </w:r>
          </w:p>
        </w:tc>
        <w:tc>
          <w:tcPr>
            <w:tcW w:w="6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66C0E6E">
            <w:pPr>
              <w:widowControl/>
              <w:spacing w:line="240" w:lineRule="auto"/>
              <w:ind w:firstLine="0" w:firstLineChars="0"/>
              <w:jc w:val="center"/>
              <w:textAlignment w:val="baseline"/>
              <w:rPr>
                <w:sz w:val="21"/>
                <w:szCs w:val="21"/>
              </w:rPr>
            </w:pPr>
            <w:r>
              <w:rPr>
                <w:rFonts w:hint="eastAsia"/>
                <w:sz w:val="21"/>
                <w:szCs w:val="21"/>
              </w:rPr>
              <w:t>1层砼框架结构</w:t>
            </w:r>
          </w:p>
        </w:tc>
        <w:tc>
          <w:tcPr>
            <w:tcW w:w="79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7271A4">
            <w:pPr>
              <w:widowControl/>
              <w:spacing w:line="240" w:lineRule="auto"/>
              <w:ind w:firstLine="0" w:firstLineChars="0"/>
              <w:jc w:val="center"/>
              <w:textAlignment w:val="baseline"/>
              <w:rPr>
                <w:sz w:val="21"/>
                <w:szCs w:val="21"/>
              </w:rPr>
            </w:pPr>
          </w:p>
        </w:tc>
      </w:tr>
      <w:bookmarkEnd w:id="228"/>
      <w:bookmarkEnd w:id="229"/>
      <w:bookmarkEnd w:id="230"/>
      <w:bookmarkEnd w:id="231"/>
      <w:bookmarkEnd w:id="232"/>
      <w:bookmarkEnd w:id="233"/>
    </w:tbl>
    <w:p w14:paraId="60EA157C">
      <w:pPr>
        <w:pStyle w:val="11"/>
        <w:rPr>
          <w:color w:val="auto"/>
        </w:rPr>
      </w:pPr>
      <w:bookmarkStart w:id="254" w:name="_Toc2332"/>
      <w:r>
        <w:rPr>
          <w:rFonts w:hint="eastAsia"/>
          <w:color w:val="auto"/>
        </w:rPr>
        <w:t>2.4.1.4生产工艺</w:t>
      </w:r>
      <w:bookmarkEnd w:id="254"/>
    </w:p>
    <w:p w14:paraId="4E749903">
      <w:pPr>
        <w:ind w:firstLine="560"/>
        <w:rPr>
          <w:lang w:val="zh-CN"/>
        </w:rPr>
      </w:pPr>
      <w:r>
        <w:rPr>
          <w:rFonts w:hint="eastAsia"/>
          <w:szCs w:val="28"/>
        </w:rPr>
        <w:t>云南杉杉新材料有限公司数字化转型专项建设</w:t>
      </w:r>
      <w:r>
        <w:rPr>
          <w:rFonts w:hint="eastAsia"/>
        </w:rPr>
        <w:t>项目针对现有磨粉、改性、石墨化、成品加工等数字化进行优化升级，实现数字化水平提升，均为已有生产装置，现有生产工艺未发生改变，生产工艺如下：</w:t>
      </w:r>
    </w:p>
    <w:p w14:paraId="38404A88">
      <w:pPr>
        <w:ind w:firstLine="562"/>
        <w:rPr>
          <w:b/>
          <w:bCs/>
        </w:rPr>
      </w:pPr>
      <w:bookmarkStart w:id="255" w:name="_Toc23114"/>
      <w:bookmarkStart w:id="256" w:name="_Toc154494427"/>
      <w:bookmarkStart w:id="257" w:name="_Toc761"/>
      <w:bookmarkStart w:id="258" w:name="_Toc27245"/>
      <w:r>
        <w:rPr>
          <w:rFonts w:hint="eastAsia"/>
          <w:b/>
          <w:bCs/>
        </w:rPr>
        <w:t>1.</w:t>
      </w:r>
      <w:r>
        <w:rPr>
          <w:b/>
          <w:bCs/>
        </w:rPr>
        <w:t xml:space="preserve"> </w:t>
      </w:r>
      <w:r>
        <w:rPr>
          <w:rFonts w:hint="eastAsia"/>
          <w:b/>
          <w:bCs/>
        </w:rPr>
        <w:t>生产线1工艺流程</w:t>
      </w:r>
      <w:bookmarkEnd w:id="255"/>
      <w:bookmarkEnd w:id="256"/>
      <w:bookmarkEnd w:id="257"/>
      <w:bookmarkEnd w:id="258"/>
    </w:p>
    <w:p w14:paraId="1578203F">
      <w:pPr>
        <w:ind w:firstLine="560"/>
      </w:pPr>
      <w:r>
        <w:rPr>
          <w:rFonts w:hint="eastAsia"/>
        </w:rPr>
        <w:t>（1）原料预处理</w:t>
      </w:r>
    </w:p>
    <w:p w14:paraId="3C79C663">
      <w:pPr>
        <w:ind w:firstLine="560"/>
      </w:pPr>
      <w:r>
        <w:rPr>
          <w:rFonts w:hint="eastAsia"/>
        </w:rPr>
        <w:t>1）原料准备</w:t>
      </w:r>
    </w:p>
    <w:p w14:paraId="26BC91F8">
      <w:pPr>
        <w:ind w:firstLine="560"/>
      </w:pPr>
      <w:r>
        <w:rPr>
          <w:rFonts w:hint="eastAsia"/>
        </w:rPr>
        <w:t>煅烧石油针状焦：通过汽车以吨包运输至原料仓库一，用行车将吨包吊至投料站，经提升至投料仓入料口，投料仓入口关闭，再由人工打开吨包下料口，并启动投料仓内壁的下料板（作用是推动吨包内物料畅通下料)，将煅烧石油针状焦加入料斗内，通过气力输送至卧轴粉碎机进行初级破碎，破碎合格后进入缓冲仓暂存。</w:t>
      </w:r>
    </w:p>
    <w:p w14:paraId="2B388DF1">
      <w:pPr>
        <w:ind w:firstLine="560"/>
      </w:pPr>
      <w:r>
        <w:rPr>
          <w:rFonts w:hint="eastAsia"/>
        </w:rPr>
        <w:t>气力输送原理：通过旋风除尘器末端设置的风机使整个管路处于负压状态，自动控制系统打开料斗底部落料阀，煅烧石油针状焦随气流被吸入卧轴粉碎机上方设置的旋风除尘器，经过旋风除尘器自带的旋风分离器分离后，99%的煅烧石油针状焦进入收料装置，1%的煅烧石油针状焦随气流排出，自动控制系统打开旋风除尘器收料装置阀门，煅烧石油针状焦进入辊压磨。</w:t>
      </w:r>
    </w:p>
    <w:p w14:paraId="33AA2EE4">
      <w:pPr>
        <w:ind w:firstLine="560"/>
      </w:pPr>
      <w:r>
        <w:rPr>
          <w:rFonts w:hint="eastAsia"/>
        </w:rPr>
        <w:t>沥青：通过汽车以吨包运输至项目沥青仓库，用叉车转运至单独设置的沥青破碎工序进行破碎。</w:t>
      </w:r>
    </w:p>
    <w:p w14:paraId="22D5C097">
      <w:pPr>
        <w:ind w:firstLine="560"/>
      </w:pPr>
      <w:r>
        <w:rPr>
          <w:rFonts w:hint="eastAsia"/>
        </w:rPr>
        <w:t>2）辊压磨破碎</w:t>
      </w:r>
    </w:p>
    <w:p w14:paraId="7D4A1993">
      <w:pPr>
        <w:ind w:firstLine="560"/>
      </w:pPr>
      <w:r>
        <w:rPr>
          <w:rFonts w:hint="eastAsia"/>
        </w:rPr>
        <w:t>煅烧石油针状焦破碎：煅烧石油针状焦初级破碎完成后通过气力输送至辊压磨进行破碎，破碎合格后进入缓冲仓暂存。</w:t>
      </w:r>
    </w:p>
    <w:p w14:paraId="1EC40980">
      <w:pPr>
        <w:ind w:firstLine="560"/>
      </w:pPr>
      <w:r>
        <w:rPr>
          <w:rFonts w:hint="eastAsia"/>
        </w:rPr>
        <w:t>沥青破碎：沥青准备完成后通过气力输送至沥青磨进行破碎，破碎合格后进入缓冲仓暂存。</w:t>
      </w:r>
    </w:p>
    <w:p w14:paraId="61AD38F5">
      <w:pPr>
        <w:ind w:firstLine="560"/>
      </w:pPr>
      <w:r>
        <w:rPr>
          <w:rFonts w:hint="eastAsia"/>
        </w:rPr>
        <w:t>3）整形</w:t>
      </w:r>
    </w:p>
    <w:p w14:paraId="4D6EF774">
      <w:pPr>
        <w:ind w:firstLine="560"/>
      </w:pPr>
      <w:r>
        <w:rPr>
          <w:rFonts w:hint="eastAsia"/>
        </w:rPr>
        <w:t>项目设置有整形机对物料进行球化处理，整形机主要利用研磨原理，利用研磨体之间的冲击作用以及研磨体与整形机内腔壁之间的研磨作用将物料粉碎球化。整形的目的是将破碎后的煅烧石油针状焦进行球化加工处理（在常温下)，使之形成椭球形形状，煅烧石油针状焦球形化后体积变小，单位体积填充量变大，电池总容量可随之增加。</w:t>
      </w:r>
    </w:p>
    <w:p w14:paraId="3517FEEC">
      <w:pPr>
        <w:ind w:firstLine="560"/>
      </w:pPr>
      <w:r>
        <w:rPr>
          <w:rFonts w:hint="eastAsia"/>
        </w:rPr>
        <w:t>生产时，破碎的煅烧石油针状焦通过气力输送至整形机内进行研磨整形，整形完成后通过整形机末端内置旋风分级器分级后，合格物料（8±0.1um)进入缓冲仓暂存后送至混批工序，不合格废料进入缓冲仓暂存后打包外售。</w:t>
      </w:r>
    </w:p>
    <w:p w14:paraId="749B7F25">
      <w:pPr>
        <w:ind w:firstLine="560"/>
      </w:pPr>
      <w:r>
        <w:rPr>
          <w:rFonts w:hint="eastAsia"/>
        </w:rPr>
        <w:t>4）混批</w:t>
      </w:r>
    </w:p>
    <w:p w14:paraId="0C699F5D">
      <w:pPr>
        <w:ind w:firstLine="560"/>
      </w:pPr>
      <w:r>
        <w:rPr>
          <w:rFonts w:hint="eastAsia"/>
        </w:rPr>
        <w:t>整形后各批次物料粒径会有微小差异，通过气力输送至混料机进行混批，混料机内部设置有与旋转方向相反的螺带，通过物理搅拌对物料进行混合，混合均匀后进入缓冲仓暂存。</w:t>
      </w:r>
    </w:p>
    <w:p w14:paraId="4B135C12">
      <w:pPr>
        <w:ind w:firstLine="560"/>
      </w:pPr>
      <w:r>
        <w:rPr>
          <w:rFonts w:hint="eastAsia"/>
        </w:rPr>
        <w:t>（2）改性造粒</w:t>
      </w:r>
    </w:p>
    <w:p w14:paraId="40BFFB9A">
      <w:pPr>
        <w:ind w:firstLine="560"/>
      </w:pPr>
      <w:r>
        <w:rPr>
          <w:rFonts w:hint="eastAsia"/>
        </w:rPr>
        <w:t>1）混料</w:t>
      </w:r>
    </w:p>
    <w:p w14:paraId="20240D5A">
      <w:pPr>
        <w:ind w:firstLine="560"/>
      </w:pPr>
      <w:r>
        <w:rPr>
          <w:rFonts w:hint="eastAsia"/>
        </w:rPr>
        <w:t>将整形工序的煅烧石油针状焦、破碎工序的沥青分别经气力输送至混料机，按100：（3-5)比例混合。混料机内部设置有与旋转方向相反的螺带，通过物理搅拌对物料进行混合，将煅烧石油针状焦与沥青混合均匀，从而保证后续包覆的均匀性。</w:t>
      </w:r>
    </w:p>
    <w:p w14:paraId="2220F756">
      <w:pPr>
        <w:ind w:firstLine="560"/>
      </w:pPr>
      <w:r>
        <w:rPr>
          <w:rFonts w:hint="eastAsia"/>
        </w:rPr>
        <w:t>2）改性造粒</w:t>
      </w:r>
    </w:p>
    <w:p w14:paraId="65BD5636">
      <w:pPr>
        <w:ind w:firstLine="560"/>
      </w:pPr>
      <w:r>
        <w:rPr>
          <w:rFonts w:hint="eastAsia"/>
        </w:rPr>
        <w:t>项目改性造粒系统主要由高低温卧式釜组成。卧式釜为全封闭形式，生产时以电加热为热源进行改性造粒。</w:t>
      </w:r>
    </w:p>
    <w:p w14:paraId="2BA149C2">
      <w:pPr>
        <w:ind w:firstLine="560"/>
      </w:pPr>
      <w:r>
        <w:rPr>
          <w:rFonts w:hint="eastAsia"/>
        </w:rPr>
        <w:t>混合均匀的煅烧石油针状焦与沥青的混合物，经气力输送系统送至高温卧式釜，经低温热处理形成均匀的液、气态挥发分氛围，均匀围绕在石墨颗粒表面。升温和恒温过程中围绕在各颗粒表面的液、气态挥发分在颗粒表面碳化沉积，并使小颗粒黏附于大颗粒表面，在颗粒表面的凹陷、断层等不光滑处黏附沉积，使颗粒球形度增加，液体的表面浸润性增强。高温卧式釜为全封闭式电加热设备，釜内以氮气作为保护气体，防止物料燃烧、高温氧化。完成表面改性后，物料以粉状形式通过高温卧式釜下部的下料阀落入冷却卧式釜中进行冷却。</w:t>
      </w:r>
    </w:p>
    <w:p w14:paraId="65975FC8">
      <w:pPr>
        <w:ind w:firstLine="560"/>
      </w:pPr>
      <w:r>
        <w:rPr>
          <w:rFonts w:hint="eastAsia"/>
        </w:rPr>
        <w:t>项目冷却卧式釜外覆换热夹套，内部设置有搅拌装置（冷却时不断搅拌物料， 以提高冷却效率)，生产时循环冷却水自夹套上方入口处进入夹套中，对冷却窑内物料进行间接换热冷却。</w:t>
      </w:r>
    </w:p>
    <w:p w14:paraId="7B42605B">
      <w:pPr>
        <w:ind w:firstLine="560"/>
      </w:pPr>
      <w:r>
        <w:rPr>
          <w:rFonts w:hint="eastAsia"/>
        </w:rPr>
        <w:t>3）解聚打散</w:t>
      </w:r>
    </w:p>
    <w:p w14:paraId="3C77880F">
      <w:pPr>
        <w:ind w:firstLine="560"/>
      </w:pPr>
      <w:r>
        <w:rPr>
          <w:rFonts w:hint="eastAsia"/>
        </w:rPr>
        <w:t>物料冷却会有结块现象，项目设置解聚机对物料进一步处理，利用研磨体之间的冲击作用以及研磨体与机器内腔壁之间的研磨作用将物料解聚打散。生产时，人工通过自动控制系统打开解聚段缓冲仓下料阀，物料落入解聚机进行研磨解聚打散，解聚打散完成后进行吨包打包，转运至B料库储存。</w:t>
      </w:r>
    </w:p>
    <w:p w14:paraId="50AB6ACF">
      <w:pPr>
        <w:ind w:firstLine="560"/>
      </w:pPr>
      <w:r>
        <w:rPr>
          <w:rFonts w:hint="eastAsia"/>
        </w:rPr>
        <w:t>（3）石墨化</w:t>
      </w:r>
    </w:p>
    <w:p w14:paraId="5B2D6C5A">
      <w:pPr>
        <w:ind w:firstLine="560"/>
      </w:pPr>
      <w:r>
        <w:rPr>
          <w:rFonts w:hint="eastAsia"/>
        </w:rPr>
        <w:t>石墨化是生产人造石墨负极材料的关键工序。石墨化是利用热活化将热力学不稳定的碳原子实现由乱层结构向石墨晶体结构的有序转化。因此，石墨化需使用高温热处理对原子重排及结构转变提供能量。在石墨化过程中，物料所含有的挥发分、杂质成分会被去除，提高材料的纯度，同时提高材料的导电导热性。云南杉杉新材料有限公司采用的炉型为箱体石墨化炉（以下简称箱体炉)，箱体石墨化炉生产依次包含装炉、石墨化、出炉等工序，生产周期约一个半月。箱体石墨化炉生产工艺流程如下：</w:t>
      </w:r>
    </w:p>
    <w:p w14:paraId="78A29AC6">
      <w:pPr>
        <w:ind w:firstLine="560"/>
      </w:pPr>
      <w:r>
        <w:rPr>
          <w:rFonts w:hint="eastAsia"/>
        </w:rPr>
        <w:t>1）装炉</w:t>
      </w:r>
    </w:p>
    <w:p w14:paraId="11189538">
      <w:pPr>
        <w:ind w:firstLine="560"/>
      </w:pPr>
      <w:r>
        <w:rPr>
          <w:rFonts w:hint="eastAsia"/>
        </w:rPr>
        <w:t>吸料天车将物料抽吸至石墨化炉箱体内（原理与气力输送相同)，进行物料装填，每装填300mm-500mm物料，铺填一层发热板，完成装填后，在最上层覆盖一层高700mm的保温料。</w:t>
      </w:r>
    </w:p>
    <w:p w14:paraId="77213F69">
      <w:pPr>
        <w:ind w:firstLine="560"/>
      </w:pPr>
      <w:r>
        <w:rPr>
          <w:rFonts w:hint="eastAsia"/>
        </w:rPr>
        <w:t>2）石墨化</w:t>
      </w:r>
    </w:p>
    <w:p w14:paraId="518A9694">
      <w:pPr>
        <w:ind w:firstLine="560"/>
      </w:pPr>
      <w:r>
        <w:rPr>
          <w:rFonts w:hint="eastAsia"/>
        </w:rPr>
        <w:t>箱体炉完成装炉后，进入送电工序，装备为26000kVA直流变压器，直至炉内物料升温至3000℃左右，通电过程需要3-6天。</w:t>
      </w:r>
    </w:p>
    <w:p w14:paraId="4CBF9A49">
      <w:pPr>
        <w:ind w:firstLine="560"/>
      </w:pPr>
      <w:r>
        <w:rPr>
          <w:rFonts w:hint="eastAsia"/>
        </w:rPr>
        <w:t>煅烧石油针状焦在通电加热过程中，其物理结构和化学组成发生了很大变化，平面网格逐渐转化为石墨晶格结构，同时低烃类物质不断向外逸散，形成石墨化废气。石墨化的完善程度主要取决于最高温度，所以温度越高，石墨化效果越好。</w:t>
      </w:r>
    </w:p>
    <w:p w14:paraId="6D8EB949">
      <w:pPr>
        <w:ind w:firstLine="560"/>
      </w:pPr>
      <w:r>
        <w:rPr>
          <w:rFonts w:hint="eastAsia"/>
        </w:rPr>
        <w:t>3）出炉</w:t>
      </w:r>
    </w:p>
    <w:p w14:paraId="17670C66">
      <w:pPr>
        <w:ind w:firstLine="560"/>
      </w:pPr>
      <w:r>
        <w:rPr>
          <w:rFonts w:hint="eastAsia"/>
        </w:rPr>
        <w:t>石墨化完成后的保温料出炉时，通过吸料天车，从顶层保温料开始逐层向下进行，保温料进入冷渣机内对其进行冷却，冷却后的保温料可再次回用。</w:t>
      </w:r>
    </w:p>
    <w:p w14:paraId="675367AA">
      <w:pPr>
        <w:ind w:firstLine="560"/>
      </w:pPr>
      <w:r>
        <w:rPr>
          <w:rFonts w:hint="eastAsia"/>
        </w:rPr>
        <w:t>箱体内石墨化完成后物料出炉时，通过吸料天车，从顶层物料开始逐层向下进行，先清理顶层物料、露出下层、下层冷却、清理下层的顺序，直到将物料全部清理出炉。</w:t>
      </w:r>
    </w:p>
    <w:p w14:paraId="05BCD0F5">
      <w:pPr>
        <w:ind w:firstLine="560"/>
      </w:pPr>
      <w:r>
        <w:rPr>
          <w:rFonts w:hint="eastAsia"/>
        </w:rPr>
        <w:t>4）混料</w:t>
      </w:r>
    </w:p>
    <w:p w14:paraId="37A90592">
      <w:pPr>
        <w:ind w:firstLine="560"/>
      </w:pPr>
      <w:r>
        <w:rPr>
          <w:rFonts w:hint="eastAsia"/>
        </w:rPr>
        <w:t>石墨化后的物料经气力输送至混料机进行混料，混料完成后进入缓冲仓暂存。</w:t>
      </w:r>
    </w:p>
    <w:p w14:paraId="6A477F37">
      <w:pPr>
        <w:ind w:firstLine="560"/>
      </w:pPr>
      <w:r>
        <w:rPr>
          <w:rFonts w:hint="eastAsia"/>
        </w:rPr>
        <w:t>5）筛分、除磁</w:t>
      </w:r>
    </w:p>
    <w:p w14:paraId="53E83E44">
      <w:pPr>
        <w:ind w:firstLine="560"/>
      </w:pPr>
      <w:r>
        <w:rPr>
          <w:rFonts w:hint="eastAsia"/>
        </w:rPr>
        <w:t>混料完成后的物料经气力输送至旋振筛进行筛分。筛上物进入缓冲仓暂存，返回磨粉车间破碎工序使用；筛下物进入除磁机进行除磁，励磁物进入缓冲仓暂存，经气力输送至包装机包装后外售；合格物料进入缓冲仓暂存，经气力输送至包装机包装后进入二次包覆工序。</w:t>
      </w:r>
    </w:p>
    <w:p w14:paraId="0FA99604">
      <w:pPr>
        <w:ind w:firstLine="560"/>
      </w:pPr>
      <w:r>
        <w:rPr>
          <w:rFonts w:hint="eastAsia"/>
        </w:rPr>
        <w:t>（4）二次包覆</w:t>
      </w:r>
    </w:p>
    <w:p w14:paraId="77ECCCB9">
      <w:pPr>
        <w:ind w:firstLine="560"/>
      </w:pPr>
      <w:r>
        <w:rPr>
          <w:rFonts w:hint="eastAsia"/>
        </w:rPr>
        <w:t>筛分除磁后的物料与沥青经气力输送至混料机，按100：（3-6)比例混配后，经气力输送至改性卧式釜内进行二次包覆，二次包覆恒温约400-550℃，沥青融化，搅拌后均匀附着在物料表面，同时可使沥青的部分挥发分挥发出来，提高物料碳含量百分比，冷却降温后的物料经解聚机打散后进行吨包处理。</w:t>
      </w:r>
    </w:p>
    <w:p w14:paraId="5276DB07">
      <w:pPr>
        <w:ind w:firstLine="560"/>
      </w:pPr>
      <w:r>
        <w:rPr>
          <w:rFonts w:hint="eastAsia"/>
        </w:rPr>
        <w:t>（5）碳化</w:t>
      </w:r>
    </w:p>
    <w:p w14:paraId="34BD8545">
      <w:pPr>
        <w:ind w:firstLine="560"/>
      </w:pPr>
      <w:r>
        <w:rPr>
          <w:rFonts w:hint="eastAsia"/>
        </w:rPr>
        <w:t>完成二次包覆工序的物料进入辊道窑进行碳化。首先将物料拆包后在封闭的送料室内由气力输送至辊道窑内，辊道窑采用电加热，通过不同的升温曲线逐步升温至1000-1150℃，使物料内挥发分加热挥发出来，进一步增加物料含碳百分比，冷却降温后的物料经气力输送至棒销磨处理后进行吨包打包。</w:t>
      </w:r>
    </w:p>
    <w:p w14:paraId="65AE66DB">
      <w:pPr>
        <w:ind w:firstLine="560"/>
      </w:pPr>
      <w:r>
        <w:rPr>
          <w:rFonts w:hint="eastAsia"/>
        </w:rPr>
        <w:t>（6）成品加工</w:t>
      </w:r>
    </w:p>
    <w:p w14:paraId="6EACC1A3">
      <w:pPr>
        <w:ind w:firstLine="560"/>
      </w:pPr>
      <w:r>
        <w:rPr>
          <w:rFonts w:hint="eastAsia"/>
        </w:rPr>
        <w:t>1）破碎</w:t>
      </w:r>
    </w:p>
    <w:p w14:paraId="748D817F">
      <w:pPr>
        <w:ind w:firstLine="560"/>
      </w:pPr>
      <w:r>
        <w:rPr>
          <w:rFonts w:hint="eastAsia"/>
        </w:rPr>
        <w:t>碳化后的物料在成品加工车间一的封闭投料室内进行拆包，通过气力输送至卧轴粉碎机进行破碎，破碎完成后进入缓冲仓暂存。</w:t>
      </w:r>
    </w:p>
    <w:p w14:paraId="73ADEBEE">
      <w:pPr>
        <w:ind w:firstLine="560"/>
      </w:pPr>
      <w:r>
        <w:rPr>
          <w:rFonts w:hint="eastAsia"/>
        </w:rPr>
        <w:t>2）混料</w:t>
      </w:r>
    </w:p>
    <w:p w14:paraId="724100F8">
      <w:pPr>
        <w:ind w:firstLine="560"/>
      </w:pPr>
      <w:r>
        <w:rPr>
          <w:rFonts w:hint="eastAsia"/>
        </w:rPr>
        <w:t>破碎完成的物料经气力输送至混料机进行混料，混料完成后进入缓冲仓暂存。</w:t>
      </w:r>
    </w:p>
    <w:p w14:paraId="42CF1F82">
      <w:pPr>
        <w:ind w:firstLine="560"/>
      </w:pPr>
      <w:r>
        <w:rPr>
          <w:rFonts w:hint="eastAsia"/>
        </w:rPr>
        <w:t>3）筛分、除磁</w:t>
      </w:r>
    </w:p>
    <w:p w14:paraId="1EF889FB">
      <w:pPr>
        <w:ind w:firstLine="560"/>
      </w:pPr>
      <w:r>
        <w:rPr>
          <w:rFonts w:hint="eastAsia"/>
        </w:rPr>
        <w:t>混料完成后的物料经气力输送至旋振筛进行筛分。筛上物进入缓冲仓暂存，返回磨粉车间破碎工序使用；筛下物进入除磁机进行除磁，励磁物进入缓冲仓暂存，经气力输送至包装机包装后外售；合格物料进入缓冲仓暂存，经气力输送至包装机包装后进入库房。</w:t>
      </w:r>
    </w:p>
    <w:p w14:paraId="3FD22E29">
      <w:pPr>
        <w:ind w:firstLine="562"/>
        <w:rPr>
          <w:b/>
          <w:bCs/>
        </w:rPr>
      </w:pPr>
      <w:bookmarkStart w:id="259" w:name="_Toc14069"/>
      <w:bookmarkStart w:id="260" w:name="_Toc13854"/>
      <w:bookmarkStart w:id="261" w:name="_Toc8361"/>
      <w:r>
        <w:rPr>
          <w:b/>
          <w:bCs/>
        </w:rPr>
        <w:t>2.</w:t>
      </w:r>
      <w:r>
        <w:rPr>
          <w:rFonts w:hint="eastAsia"/>
          <w:b/>
          <w:bCs/>
        </w:rPr>
        <w:t>4.5</w:t>
      </w:r>
      <w:r>
        <w:rPr>
          <w:b/>
          <w:bCs/>
        </w:rPr>
        <w:t>.</w:t>
      </w:r>
      <w:r>
        <w:rPr>
          <w:rFonts w:hint="eastAsia"/>
          <w:b/>
          <w:bCs/>
        </w:rPr>
        <w:t>2生产线2工艺流程</w:t>
      </w:r>
      <w:bookmarkEnd w:id="259"/>
      <w:bookmarkEnd w:id="260"/>
      <w:bookmarkEnd w:id="261"/>
    </w:p>
    <w:p w14:paraId="7D41BBC6">
      <w:pPr>
        <w:ind w:firstLine="560"/>
      </w:pPr>
      <w:r>
        <w:rPr>
          <w:rFonts w:hint="eastAsia"/>
        </w:rPr>
        <w:t>1.原料预处理</w:t>
      </w:r>
    </w:p>
    <w:p w14:paraId="5DCD95D0">
      <w:pPr>
        <w:ind w:firstLine="560"/>
      </w:pPr>
      <w:r>
        <w:rPr>
          <w:rFonts w:hint="eastAsia"/>
        </w:rPr>
        <w:t>（1）原料准备</w:t>
      </w:r>
    </w:p>
    <w:p w14:paraId="32F92235">
      <w:pPr>
        <w:ind w:firstLine="560"/>
      </w:pPr>
      <w:r>
        <w:rPr>
          <w:rFonts w:hint="eastAsia"/>
        </w:rPr>
        <w:t>生焦：通过汽车以散料（30t)运输至项目原料仓库二，散料通过气力输送至双级破碎机进行初破，初破完成后通过振动给料机输送至干燥工序。</w:t>
      </w:r>
    </w:p>
    <w:p w14:paraId="1AA21656">
      <w:pPr>
        <w:ind w:firstLine="560"/>
      </w:pPr>
      <w:r>
        <w:rPr>
          <w:rFonts w:hint="eastAsia"/>
        </w:rPr>
        <w:t>沥青：通过汽车以吨包运输至项目沥青仓库，用叉车转运至单独设置的沥青破碎工序进行破碎。</w:t>
      </w:r>
    </w:p>
    <w:p w14:paraId="573F94DE">
      <w:pPr>
        <w:ind w:firstLine="560"/>
      </w:pPr>
      <w:r>
        <w:rPr>
          <w:rFonts w:hint="eastAsia"/>
        </w:rPr>
        <w:t>（2）干燥</w:t>
      </w:r>
    </w:p>
    <w:p w14:paraId="3D3EE842">
      <w:pPr>
        <w:ind w:firstLine="560"/>
      </w:pPr>
      <w:r>
        <w:rPr>
          <w:rFonts w:hint="eastAsia"/>
        </w:rPr>
        <w:t>生产线2运营期所需原料为生焦，含有一定的水分，会对后续破碎、包覆效果产生一定影响，同时会影响物料的粘附性，项目需将生焦送入烘干设备进行烘干，烘干过程采用电加热产生的热风（小于150℃)进行干燥，烘干后的生焦含水率小于6%。</w:t>
      </w:r>
    </w:p>
    <w:p w14:paraId="3160FD20">
      <w:pPr>
        <w:ind w:firstLine="560"/>
      </w:pPr>
      <w:r>
        <w:rPr>
          <w:rFonts w:hint="eastAsia"/>
        </w:rPr>
        <w:t>（3）破碎</w:t>
      </w:r>
    </w:p>
    <w:p w14:paraId="70DB8399">
      <w:pPr>
        <w:ind w:firstLine="560"/>
      </w:pPr>
      <w:r>
        <w:rPr>
          <w:rFonts w:hint="eastAsia"/>
        </w:rPr>
        <w:t>生焦破碎：干燥后的生焦通过气力输送至机械磨进行破碎，破碎合格的进入合格物料缓冲仓暂存，经气力输送至混料机进行混批；不合格的进入不合格物料缓冲仓暂存，经气力输送至包装机打包处理。</w:t>
      </w:r>
    </w:p>
    <w:p w14:paraId="30546FA8">
      <w:pPr>
        <w:ind w:firstLine="560"/>
      </w:pPr>
      <w:r>
        <w:rPr>
          <w:rFonts w:hint="eastAsia"/>
        </w:rPr>
        <w:t>沥青破碎：沥青准备完成后通过气力输送至沥青磨进行破碎，破碎合格后进入缓冲仓暂存。</w:t>
      </w:r>
    </w:p>
    <w:p w14:paraId="324C493D">
      <w:pPr>
        <w:ind w:firstLine="560"/>
      </w:pPr>
      <w:r>
        <w:rPr>
          <w:rFonts w:hint="eastAsia"/>
        </w:rPr>
        <w:t>（4）混批</w:t>
      </w:r>
    </w:p>
    <w:p w14:paraId="33A26E65">
      <w:pPr>
        <w:ind w:firstLine="560"/>
      </w:pPr>
      <w:r>
        <w:rPr>
          <w:rFonts w:hint="eastAsia"/>
        </w:rPr>
        <w:t>生焦破碎后各批次物料粒径会有微小差异，通过气力输送至混料机进行混批，混料机内部设置有与旋转方向相反的螺带，通过物理搅拌对物料进行混合，混合均匀后进入缓冲仓暂存。</w:t>
      </w:r>
    </w:p>
    <w:p w14:paraId="7971EC3C">
      <w:pPr>
        <w:ind w:firstLine="560"/>
      </w:pPr>
      <w:r>
        <w:rPr>
          <w:rFonts w:hint="eastAsia"/>
        </w:rPr>
        <w:t>2.改性造粒</w:t>
      </w:r>
    </w:p>
    <w:p w14:paraId="2280A7F2">
      <w:pPr>
        <w:ind w:firstLine="560"/>
      </w:pPr>
      <w:r>
        <w:rPr>
          <w:rFonts w:hint="eastAsia"/>
        </w:rPr>
        <w:t>（1）混料</w:t>
      </w:r>
    </w:p>
    <w:p w14:paraId="3CB7A2FD">
      <w:pPr>
        <w:ind w:firstLine="560"/>
      </w:pPr>
      <w:r>
        <w:rPr>
          <w:rFonts w:hint="eastAsia"/>
        </w:rPr>
        <w:t>将整形工序的生焦、破碎工序的沥青分别经气力输送至混料机，按100：（3-5）比例混合。混料机内部设置有与旋转方向相反的螺带，通过物理搅拌对物料进行混合，将生焦与沥青混合均匀，从而保证后续包覆的均匀性。</w:t>
      </w:r>
    </w:p>
    <w:p w14:paraId="6BF4A6F7">
      <w:pPr>
        <w:ind w:firstLine="560"/>
      </w:pPr>
      <w:r>
        <w:rPr>
          <w:rFonts w:hint="eastAsia"/>
        </w:rPr>
        <w:t>（2）改性造粒</w:t>
      </w:r>
    </w:p>
    <w:p w14:paraId="23B63084">
      <w:pPr>
        <w:ind w:firstLine="560"/>
      </w:pPr>
      <w:r>
        <w:rPr>
          <w:rFonts w:hint="eastAsia"/>
        </w:rPr>
        <w:t>项目改性造粒系统主要由改性回转窑、低温卧式釜组成，回转窑为全封闭形式，窑内设置有电加热器，生产时以电加热为热源进行改性造粒。</w:t>
      </w:r>
    </w:p>
    <w:p w14:paraId="1F700941">
      <w:pPr>
        <w:ind w:firstLine="560"/>
      </w:pPr>
      <w:r>
        <w:rPr>
          <w:rFonts w:hint="eastAsia"/>
        </w:rPr>
        <w:t>混合均匀的生焦与沥青的混合物，经气力输送系统送至改性回转窑内，经低温热处理形成均匀的液、气态挥发分氛围，均匀围绕在石墨颗粒表面。升温和恒温过程中围绕在各颗粒表面的液、气态挥发分在颗粒表面碳化沉积，并使小颗粒黏附于大颗粒表面，在颗粒表面的凹陷、断层等不光滑处粘附沉积，使颗粒球形度增加，液体的表面浸润性增强。改性回转窑为全封闭式电加热设备，窑内以氮气作为保护气体，防止物料燃烧、高温氧化。物料加入改性回转窑内以一定的升温曲线进行加热，升温至600℃左右，保持恒温状态2小时。完成表面改性后，物料以粉状形式通过改性回转窑下部的下料阀落入冷却卧式釜中进行冷却。</w:t>
      </w:r>
    </w:p>
    <w:p w14:paraId="281FB92A">
      <w:pPr>
        <w:ind w:firstLine="560"/>
      </w:pPr>
      <w:r>
        <w:rPr>
          <w:rFonts w:hint="eastAsia"/>
        </w:rPr>
        <w:t>项目冷却卧式釜外覆换热夹套，内部设置有搅拌装置（冷却时不断搅拌物料， 以提高冷却效率)，生产时循环冷却水自夹套上方入口处进入夹套中，对冷却窑内物料进行间接换热冷却。</w:t>
      </w:r>
    </w:p>
    <w:p w14:paraId="640F3CB9">
      <w:pPr>
        <w:ind w:firstLine="560"/>
      </w:pPr>
      <w:r>
        <w:rPr>
          <w:rFonts w:hint="eastAsia"/>
        </w:rPr>
        <w:t>（3）解聚打散</w:t>
      </w:r>
    </w:p>
    <w:p w14:paraId="37997573">
      <w:pPr>
        <w:ind w:firstLine="560"/>
      </w:pPr>
      <w:r>
        <w:rPr>
          <w:rFonts w:hint="eastAsia"/>
        </w:rPr>
        <w:t>物料冷却会有结块现象，项目设置解聚机对物料进一步处理，利用研磨体之间的冲击作用以及研磨体与机器内腔壁之间的研磨作用将物料解聚打散。生产时，人工通过自动控制系统打开解聚段缓冲仓下料阀，物料落入解聚机进行研磨解聚打散，解聚打散完成后进行吨包打包，转运至B料库储存。</w:t>
      </w:r>
    </w:p>
    <w:p w14:paraId="153B9A5E">
      <w:pPr>
        <w:ind w:firstLine="560"/>
      </w:pPr>
      <w:r>
        <w:rPr>
          <w:rFonts w:hint="eastAsia"/>
        </w:rPr>
        <w:t>3.石墨化</w:t>
      </w:r>
    </w:p>
    <w:p w14:paraId="2A9DB69B">
      <w:pPr>
        <w:ind w:firstLine="560"/>
      </w:pPr>
      <w:r>
        <w:rPr>
          <w:rFonts w:hint="eastAsia"/>
        </w:rPr>
        <w:t>石墨化是生产人造石墨负极材料的关键工序。石墨化是利用热活化将热力学不稳定的碳原子实现由乱层结构向石墨晶体结构的有序转化。因此，石墨化需使用高温热处理对原子重排及结构转变提供能量。在石墨化过程中，物料所含有的挥发分、杂质成分会被去除，提高材料的纯度，同时提高材料的导电导热性。云南杉杉新材料有限公司采用的炉型为箱体石墨化炉（以下简称箱体炉)，箱体石墨化炉生产依次包含装炉、石墨化、出炉等工序，生产周期约一个半月。箱体石墨化炉生产工艺流程如下：</w:t>
      </w:r>
    </w:p>
    <w:p w14:paraId="7F732375">
      <w:pPr>
        <w:ind w:firstLine="560"/>
      </w:pPr>
      <w:r>
        <w:rPr>
          <w:rFonts w:hint="eastAsia"/>
        </w:rPr>
        <w:t>（1）装炉</w:t>
      </w:r>
    </w:p>
    <w:p w14:paraId="7F2446D2">
      <w:pPr>
        <w:ind w:firstLine="560"/>
      </w:pPr>
      <w:r>
        <w:rPr>
          <w:rFonts w:hint="eastAsia"/>
        </w:rPr>
        <w:t>吸料天车将物料抽吸至石墨化炉箱体内（原理与气力输送相同)，进行物料装填，每装填300mm-500mm物料，铺填一层发热板，完成装填后，在最上层覆盖一层高700mm的保温料。</w:t>
      </w:r>
    </w:p>
    <w:p w14:paraId="2DBDE84B">
      <w:pPr>
        <w:ind w:firstLine="560"/>
      </w:pPr>
      <w:r>
        <w:rPr>
          <w:rFonts w:hint="eastAsia"/>
        </w:rPr>
        <w:t>（2）石墨化</w:t>
      </w:r>
    </w:p>
    <w:p w14:paraId="69853E6A">
      <w:pPr>
        <w:ind w:firstLine="560"/>
      </w:pPr>
      <w:r>
        <w:rPr>
          <w:rFonts w:hint="eastAsia"/>
        </w:rPr>
        <w:t>箱体炉完成装炉后，进入送电工序，装备为26000kVA直流变压器，直至炉内物料升温至3000℃左右，通电过程需要3-6天。</w:t>
      </w:r>
    </w:p>
    <w:p w14:paraId="37B8590D">
      <w:pPr>
        <w:ind w:firstLine="560"/>
      </w:pPr>
      <w:r>
        <w:rPr>
          <w:rFonts w:hint="eastAsia"/>
        </w:rPr>
        <w:t>生焦在通电加热过程中，其物理结构和化学组成发生了很大变化，平面网格逐渐转化为石墨晶格结构，同时低烃类物质不断向外逸散，形成石墨化废气。石墨化的完善程度主要取决于最高温度，所以温度越高，石墨化效果越好。</w:t>
      </w:r>
    </w:p>
    <w:p w14:paraId="363D1AD2">
      <w:pPr>
        <w:ind w:firstLine="560"/>
      </w:pPr>
      <w:r>
        <w:rPr>
          <w:rFonts w:hint="eastAsia"/>
        </w:rPr>
        <w:t>（3）出炉</w:t>
      </w:r>
    </w:p>
    <w:p w14:paraId="613AAE9F">
      <w:pPr>
        <w:ind w:firstLine="560"/>
      </w:pPr>
      <w:r>
        <w:rPr>
          <w:rFonts w:hint="eastAsia"/>
        </w:rPr>
        <w:t>石墨化完成后的保温料出炉时，通过吸料天车，从顶层保温料开始逐层向下进行，保温料进入冷渣机内对其进行冷却，冷却后的保温料可再次回用。</w:t>
      </w:r>
    </w:p>
    <w:p w14:paraId="2349FCC7">
      <w:pPr>
        <w:ind w:firstLine="560"/>
      </w:pPr>
      <w:r>
        <w:rPr>
          <w:rFonts w:hint="eastAsia"/>
        </w:rPr>
        <w:t>箱体内石墨化完成后物料出炉时，通过吸料天车，从顶层物料开始逐层向下进行，先清理顶层物料、露出下层、下层冷却、清理下层的顺序，直到将物料全部清理出炉。</w:t>
      </w:r>
    </w:p>
    <w:p w14:paraId="68733129">
      <w:pPr>
        <w:ind w:firstLine="560"/>
      </w:pPr>
      <w:r>
        <w:rPr>
          <w:rFonts w:hint="eastAsia"/>
        </w:rPr>
        <w:t>（4）混料</w:t>
      </w:r>
    </w:p>
    <w:p w14:paraId="2631EE0D">
      <w:pPr>
        <w:ind w:firstLine="560"/>
      </w:pPr>
      <w:r>
        <w:rPr>
          <w:rFonts w:hint="eastAsia"/>
        </w:rPr>
        <w:t>石墨化后的物料经气力输送至混料机进行混料，混料完成后进入缓冲仓暂存。</w:t>
      </w:r>
    </w:p>
    <w:p w14:paraId="648641BC">
      <w:pPr>
        <w:ind w:firstLine="560"/>
      </w:pPr>
      <w:r>
        <w:rPr>
          <w:rFonts w:hint="eastAsia"/>
        </w:rPr>
        <w:t>（5）筛分、除磁</w:t>
      </w:r>
    </w:p>
    <w:p w14:paraId="0D94C169">
      <w:pPr>
        <w:ind w:firstLine="560"/>
      </w:pPr>
      <w:r>
        <w:rPr>
          <w:rFonts w:hint="eastAsia"/>
        </w:rPr>
        <w:t>混料完成后的物料经气力输送至旋振筛进行筛分。筛上物进入缓冲仓暂存，返回磨粉车间破碎工序使用；筛下物进入除磁机进行除磁，励磁物进入缓冲仓暂存，经气力输送至包装机包装后外售；合格物料进入缓冲仓暂存，经气力输送至包装机包装后进入二次包覆工序。</w:t>
      </w:r>
    </w:p>
    <w:p w14:paraId="1ECC9324">
      <w:pPr>
        <w:ind w:firstLine="560"/>
      </w:pPr>
      <w:r>
        <w:rPr>
          <w:rFonts w:hint="eastAsia"/>
        </w:rPr>
        <w:t>4.二次包覆</w:t>
      </w:r>
    </w:p>
    <w:p w14:paraId="2935962F">
      <w:pPr>
        <w:ind w:firstLine="560"/>
      </w:pPr>
      <w:r>
        <w:rPr>
          <w:rFonts w:hint="eastAsia"/>
        </w:rPr>
        <w:t>筛分除磁后的物料与沥青经气力输送至混料机，按100：（3-6)比例混配后，经气力输送至改性卧式釜内进行二次包覆，二次包覆恒温约400-550℃，沥青融化，搅拌后均匀附着在物料表面，同时可使沥青的部分挥发分挥发出来，提高物料碳含量百分比，冷却降温后的物料经解聚机打散后进行吨包处理。</w:t>
      </w:r>
    </w:p>
    <w:p w14:paraId="07CF5535">
      <w:pPr>
        <w:ind w:firstLine="560"/>
      </w:pPr>
      <w:r>
        <w:rPr>
          <w:rFonts w:hint="eastAsia"/>
        </w:rPr>
        <w:t>5.碳化</w:t>
      </w:r>
    </w:p>
    <w:p w14:paraId="38047459">
      <w:pPr>
        <w:ind w:firstLine="560"/>
      </w:pPr>
      <w:r>
        <w:rPr>
          <w:rFonts w:hint="eastAsia"/>
        </w:rPr>
        <w:t>完成二次包覆工序的物料进入辊道窑进行碳化。首先将物料拆包后在封闭的送料室内由气力输送至辊道窑内，辊道窑采用电加热，通过不同的升温曲线逐步升温至1000-1150℃，使物料内挥发分加热挥发出来，进一步增加物料含碳百分比，冷却降温后的物料经气力输送至棒销磨处理后进行吨包打包。</w:t>
      </w:r>
    </w:p>
    <w:p w14:paraId="1DF0469D">
      <w:pPr>
        <w:ind w:firstLine="560"/>
      </w:pPr>
      <w:r>
        <w:rPr>
          <w:rFonts w:hint="eastAsia"/>
        </w:rPr>
        <w:t>6.成品加工</w:t>
      </w:r>
    </w:p>
    <w:p w14:paraId="25D1A511">
      <w:pPr>
        <w:ind w:firstLine="560"/>
      </w:pPr>
      <w:r>
        <w:rPr>
          <w:rFonts w:hint="eastAsia"/>
        </w:rPr>
        <w:t>（1）破碎</w:t>
      </w:r>
    </w:p>
    <w:p w14:paraId="76B64135">
      <w:pPr>
        <w:ind w:firstLine="560"/>
      </w:pPr>
      <w:r>
        <w:rPr>
          <w:rFonts w:hint="eastAsia"/>
        </w:rPr>
        <w:t>碳化后的物料在成品加工车间一的封闭投料室内进行拆包，通过气力输送至卧轴粉碎机进行破碎，破碎完成后进入缓冲仓暂存。</w:t>
      </w:r>
    </w:p>
    <w:p w14:paraId="48F08BC2">
      <w:pPr>
        <w:ind w:firstLine="560"/>
      </w:pPr>
      <w:r>
        <w:rPr>
          <w:rFonts w:hint="eastAsia"/>
        </w:rPr>
        <w:t>（2）混料</w:t>
      </w:r>
    </w:p>
    <w:p w14:paraId="4F2E74E8">
      <w:pPr>
        <w:ind w:firstLine="560"/>
      </w:pPr>
      <w:r>
        <w:rPr>
          <w:rFonts w:hint="eastAsia"/>
        </w:rPr>
        <w:t>破碎完成的物料经气力输送至混料机进行混料，混料完成后进入缓冲仓暂存。</w:t>
      </w:r>
    </w:p>
    <w:p w14:paraId="4447C38B">
      <w:pPr>
        <w:ind w:firstLine="560"/>
      </w:pPr>
      <w:r>
        <w:rPr>
          <w:rFonts w:hint="eastAsia"/>
        </w:rPr>
        <w:t>（3）筛分、除磁</w:t>
      </w:r>
    </w:p>
    <w:p w14:paraId="10258E7B">
      <w:pPr>
        <w:ind w:firstLine="560"/>
      </w:pPr>
      <w:r>
        <w:drawing>
          <wp:anchor distT="0" distB="0" distL="114300" distR="114300" simplePos="0" relativeHeight="251661312" behindDoc="0" locked="0" layoutInCell="1" allowOverlap="1">
            <wp:simplePos x="0" y="0"/>
            <wp:positionH relativeFrom="column">
              <wp:posOffset>517525</wp:posOffset>
            </wp:positionH>
            <wp:positionV relativeFrom="paragraph">
              <wp:posOffset>1410335</wp:posOffset>
            </wp:positionV>
            <wp:extent cx="4561840" cy="6586220"/>
            <wp:effectExtent l="0" t="0" r="0" b="5080"/>
            <wp:wrapTopAndBottom/>
            <wp:docPr id="1792171637" name="图片 28"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71637" name="图片 28" descr="图示&#10;&#10;AI 生成的内容可能不正确。"/>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561840" cy="6586220"/>
                    </a:xfrm>
                    <a:prstGeom prst="rect">
                      <a:avLst/>
                    </a:prstGeom>
                    <a:noFill/>
                    <a:ln>
                      <a:noFill/>
                    </a:ln>
                  </pic:spPr>
                </pic:pic>
              </a:graphicData>
            </a:graphic>
          </wp:anchor>
        </w:drawing>
      </w:r>
      <w:r>
        <w:rPr>
          <w:rFonts w:hint="eastAsia"/>
        </w:rPr>
        <w:t>混料完成后的物料经气力输送至旋振筛进行筛分。筛上物进入缓冲仓暂存，返回磨粉车间破碎工序使用；筛下物进入除磁机进行除磁，励磁物进入缓冲仓暂存，经气力输送至包装机包装后外售；合格物料进入缓冲仓暂存，经气力输送至包装机包装后进入库房。</w:t>
      </w:r>
    </w:p>
    <w:p w14:paraId="6D73320E">
      <w:pPr>
        <w:pStyle w:val="574"/>
        <w:widowControl/>
        <w:numPr>
          <w:ilvl w:val="0"/>
          <w:numId w:val="11"/>
        </w:numPr>
        <w:spacing w:before="120" w:after="120" w:line="240" w:lineRule="auto"/>
        <w:ind w:left="482" w:hanging="482" w:hangingChars="200"/>
        <w:jc w:val="center"/>
        <w:textAlignment w:val="baseline"/>
        <w:rPr>
          <w:rFonts w:ascii="Times New Roman" w:hAnsi="Times New Roman" w:cs="Times New Roman"/>
          <w:b/>
          <w:bCs/>
          <w:sz w:val="24"/>
          <w:szCs w:val="24"/>
        </w:rPr>
      </w:pPr>
      <w:r>
        <w:rPr>
          <w:rFonts w:hint="eastAsia" w:ascii="Times New Roman" w:hAnsi="Times New Roman" w:cs="Times New Roman"/>
          <w:b/>
          <w:bCs/>
          <w:sz w:val="24"/>
          <w:szCs w:val="24"/>
        </w:rPr>
        <w:t>生产工艺流程图</w:t>
      </w:r>
    </w:p>
    <w:p w14:paraId="77543F04">
      <w:pPr>
        <w:ind w:firstLine="562"/>
        <w:rPr>
          <w:b/>
          <w:bCs/>
        </w:rPr>
      </w:pPr>
      <w:bookmarkStart w:id="262" w:name="_Toc20546"/>
      <w:bookmarkStart w:id="263" w:name="_Toc29591"/>
      <w:bookmarkStart w:id="264" w:name="_Toc1408"/>
      <w:r>
        <w:rPr>
          <w:b/>
          <w:bCs/>
        </w:rPr>
        <w:t>2.</w:t>
      </w:r>
      <w:r>
        <w:rPr>
          <w:rFonts w:hint="eastAsia"/>
          <w:b/>
          <w:bCs/>
        </w:rPr>
        <w:t>4.5</w:t>
      </w:r>
      <w:r>
        <w:rPr>
          <w:b/>
          <w:bCs/>
        </w:rPr>
        <w:t>.</w:t>
      </w:r>
      <w:r>
        <w:rPr>
          <w:rFonts w:hint="eastAsia"/>
          <w:b/>
          <w:bCs/>
        </w:rPr>
        <w:t>3尾气处理工艺流程</w:t>
      </w:r>
      <w:bookmarkEnd w:id="262"/>
      <w:bookmarkEnd w:id="263"/>
      <w:bookmarkEnd w:id="264"/>
    </w:p>
    <w:p w14:paraId="76026713">
      <w:pPr>
        <w:ind w:firstLine="560"/>
        <w:rPr>
          <w:szCs w:val="28"/>
        </w:rPr>
      </w:pPr>
      <w:r>
        <w:rPr>
          <w:rFonts w:hint="eastAsia"/>
          <w:szCs w:val="28"/>
        </w:rPr>
        <w:t>1.含尘废气</w:t>
      </w:r>
    </w:p>
    <w:p w14:paraId="55393006">
      <w:pPr>
        <w:ind w:firstLine="560"/>
        <w:rPr>
          <w:szCs w:val="28"/>
        </w:rPr>
      </w:pPr>
      <w:r>
        <w:rPr>
          <w:rFonts w:hint="eastAsia"/>
          <w:szCs w:val="28"/>
        </w:rPr>
        <w:t>本项目运营期有组织粉尘主要为破碎、整形、烘干、解聚、棒销磨等工序产生的粉尘，无组织粉尘主要为气力输送粉尘、缓冲仓粉尘等过程产生的粉尘。</w:t>
      </w:r>
    </w:p>
    <w:p w14:paraId="0DF43438">
      <w:pPr>
        <w:ind w:firstLine="560"/>
        <w:rPr>
          <w:szCs w:val="28"/>
        </w:rPr>
      </w:pPr>
      <w:r>
        <w:rPr>
          <w:rFonts w:hint="eastAsia"/>
          <w:szCs w:val="28"/>
        </w:rPr>
        <w:t>有组织粉尘经集气罩+布袋除尘器处理后达标排放；缓冲仓粉尘经除尘筒处理后达标排放，气力输送粉尘经旋风除尘器+在线过滤器处理后达标排放。</w:t>
      </w:r>
    </w:p>
    <w:p w14:paraId="6C83FA3E">
      <w:pPr>
        <w:ind w:firstLine="560"/>
        <w:rPr>
          <w:szCs w:val="28"/>
        </w:rPr>
      </w:pPr>
      <w:r>
        <w:rPr>
          <w:rFonts w:hint="eastAsia"/>
          <w:szCs w:val="28"/>
        </w:rPr>
        <w:t>2.改性造粒废气、二次包覆废气</w:t>
      </w:r>
    </w:p>
    <w:p w14:paraId="1E241BAE">
      <w:pPr>
        <w:ind w:firstLine="560"/>
        <w:rPr>
          <w:szCs w:val="28"/>
        </w:rPr>
      </w:pPr>
      <w:r>
        <w:rPr>
          <w:rFonts w:hint="eastAsia"/>
          <w:szCs w:val="28"/>
        </w:rPr>
        <w:t>本项目采用TO燃烧装置处理改性过程中的有机废气，助燃气体为天然气，改性造粒和二次包覆废气的主要成分有颗粒物、SO</w:t>
      </w:r>
      <w:r>
        <w:rPr>
          <w:rFonts w:hint="eastAsia"/>
          <w:szCs w:val="28"/>
          <w:vertAlign w:val="subscript"/>
        </w:rPr>
        <w:t>2</w:t>
      </w:r>
      <w:r>
        <w:rPr>
          <w:rFonts w:hint="eastAsia"/>
          <w:szCs w:val="28"/>
        </w:rPr>
        <w:t>、NO</w:t>
      </w:r>
      <w:r>
        <w:rPr>
          <w:rFonts w:hint="eastAsia"/>
          <w:szCs w:val="28"/>
          <w:vertAlign w:val="subscript"/>
        </w:rPr>
        <w:t>x</w:t>
      </w:r>
      <w:r>
        <w:rPr>
          <w:rFonts w:hint="eastAsia"/>
          <w:szCs w:val="28"/>
        </w:rPr>
        <w:t>、沥青烟（含苯并[a]芘)等，通过</w:t>
      </w:r>
      <w:r>
        <w:rPr>
          <w:szCs w:val="28"/>
        </w:rPr>
        <w:t>管道输送至尾气处理站</w:t>
      </w:r>
      <w:r>
        <w:rPr>
          <w:rFonts w:hint="eastAsia"/>
          <w:szCs w:val="28"/>
        </w:rPr>
        <w:t>采用“金属丝网滤筒+冷凝罐+TO燃烧装置”进行处置。</w:t>
      </w:r>
    </w:p>
    <w:p w14:paraId="6A469F20">
      <w:pPr>
        <w:ind w:firstLine="560"/>
        <w:rPr>
          <w:szCs w:val="28"/>
        </w:rPr>
      </w:pPr>
      <w:r>
        <w:rPr>
          <w:rFonts w:hint="eastAsia"/>
          <w:szCs w:val="28"/>
        </w:rPr>
        <w:t>3.石墨化废气</w:t>
      </w:r>
    </w:p>
    <w:p w14:paraId="32538251">
      <w:pPr>
        <w:ind w:firstLine="560"/>
        <w:rPr>
          <w:szCs w:val="28"/>
        </w:rPr>
      </w:pPr>
      <w:r>
        <w:rPr>
          <w:rFonts w:hint="eastAsia"/>
          <w:szCs w:val="28"/>
        </w:rPr>
        <w:t>石墨化车间配置箱式石墨化炉，配套独立的烟气净化系统。</w:t>
      </w:r>
    </w:p>
    <w:p w14:paraId="48BB2249">
      <w:pPr>
        <w:ind w:firstLine="560"/>
        <w:rPr>
          <w:szCs w:val="28"/>
        </w:rPr>
      </w:pPr>
      <w:r>
        <w:rPr>
          <w:rFonts w:hint="eastAsia"/>
          <w:szCs w:val="28"/>
        </w:rPr>
        <w:t>石墨化炉烟气采用石灰—石膏法脱硫系统+湿式电除尘器对石墨化烟气进行脱硫除尘处理。石墨化炉烟气先经过主排烟风机，进入石灰-石膏湿法脱硫系统，在脱硫塔洗涤、湿电除尘除雾处理后，达标排放。</w:t>
      </w:r>
    </w:p>
    <w:p w14:paraId="4E1F2196">
      <w:pPr>
        <w:ind w:firstLine="560"/>
        <w:rPr>
          <w:szCs w:val="28"/>
        </w:rPr>
      </w:pPr>
      <w:r>
        <w:rPr>
          <w:szCs w:val="28"/>
        </w:rPr>
        <w:t>对石墨化炉体升温至800</w:t>
      </w:r>
      <w:r>
        <w:rPr>
          <w:rFonts w:hint="eastAsia" w:ascii="宋体" w:hAnsi="宋体"/>
          <w:szCs w:val="28"/>
        </w:rPr>
        <w:t>℃</w:t>
      </w:r>
      <w:r>
        <w:rPr>
          <w:szCs w:val="28"/>
        </w:rPr>
        <w:t>阶段，</w:t>
      </w:r>
      <w:r>
        <w:rPr>
          <w:rFonts w:hint="eastAsia"/>
          <w:szCs w:val="28"/>
        </w:rPr>
        <w:t>改性造粒工序物料剩余的40%挥发分及保温料里的挥发分</w:t>
      </w:r>
      <w:r>
        <w:rPr>
          <w:szCs w:val="28"/>
        </w:rPr>
        <w:t>由于热的不稳定性将会热解产生</w:t>
      </w:r>
      <w:r>
        <w:rPr>
          <w:rFonts w:hint="eastAsia"/>
          <w:szCs w:val="28"/>
        </w:rPr>
        <w:t>有机</w:t>
      </w:r>
      <w:r>
        <w:rPr>
          <w:szCs w:val="28"/>
        </w:rPr>
        <w:t>废气，废气成分主要有</w:t>
      </w:r>
      <w:r>
        <w:rPr>
          <w:rFonts w:hint="eastAsia"/>
          <w:szCs w:val="28"/>
        </w:rPr>
        <w:t>沥青烟、非甲烷总烃、</w:t>
      </w:r>
      <w:r>
        <w:rPr>
          <w:szCs w:val="28"/>
        </w:rPr>
        <w:t>CO等</w:t>
      </w:r>
      <w:r>
        <w:rPr>
          <w:rFonts w:hint="eastAsia"/>
          <w:szCs w:val="28"/>
        </w:rPr>
        <w:t>。</w:t>
      </w:r>
    </w:p>
    <w:p w14:paraId="1B5853E2">
      <w:pPr>
        <w:ind w:firstLine="560"/>
        <w:rPr>
          <w:szCs w:val="28"/>
        </w:rPr>
      </w:pPr>
      <w:r>
        <w:rPr>
          <w:rFonts w:hint="eastAsia"/>
          <w:szCs w:val="28"/>
        </w:rPr>
        <w:t>4.碳化废气</w:t>
      </w:r>
    </w:p>
    <w:p w14:paraId="3C9AC200">
      <w:pPr>
        <w:ind w:firstLine="560"/>
        <w:rPr>
          <w:szCs w:val="28"/>
        </w:rPr>
      </w:pPr>
      <w:r>
        <w:rPr>
          <w:rFonts w:hint="eastAsia"/>
          <w:szCs w:val="28"/>
        </w:rPr>
        <w:t>本项目碳化废气通过</w:t>
      </w:r>
      <w:r>
        <w:rPr>
          <w:szCs w:val="28"/>
        </w:rPr>
        <w:t>管道输送至尾气处理站</w:t>
      </w:r>
      <w:r>
        <w:rPr>
          <w:rFonts w:hint="eastAsia"/>
          <w:szCs w:val="28"/>
        </w:rPr>
        <w:t>经设备自带直燃式烟气焚烧装置进行处理。碳化废气的主要成分</w:t>
      </w:r>
      <w:r>
        <w:rPr>
          <w:szCs w:val="28"/>
        </w:rPr>
        <w:t>为</w:t>
      </w:r>
      <w:r>
        <w:rPr>
          <w:rFonts w:hint="eastAsia"/>
          <w:szCs w:val="28"/>
        </w:rPr>
        <w:t>二次包覆工序剩余挥发分沥青烟（含苯并[a]芘)等。</w:t>
      </w:r>
    </w:p>
    <w:p w14:paraId="0557B96C">
      <w:pPr>
        <w:pStyle w:val="9"/>
        <w:rPr>
          <w:color w:val="auto"/>
        </w:rPr>
      </w:pPr>
      <w:bookmarkStart w:id="265" w:name="_Toc13732"/>
      <w:bookmarkStart w:id="266" w:name="_Toc215210549"/>
      <w:r>
        <w:rPr>
          <w:rFonts w:hint="eastAsia"/>
          <w:color w:val="auto"/>
        </w:rPr>
        <w:t>2.</w:t>
      </w:r>
      <w:bookmarkEnd w:id="265"/>
      <w:r>
        <w:rPr>
          <w:rFonts w:hint="eastAsia"/>
          <w:color w:val="auto"/>
        </w:rPr>
        <w:t>4.2</w:t>
      </w:r>
      <w:r>
        <w:rPr>
          <w:color w:val="auto"/>
        </w:rPr>
        <w:t>智能化生产线</w:t>
      </w:r>
      <w:bookmarkEnd w:id="266"/>
    </w:p>
    <w:p w14:paraId="1171287F">
      <w:pPr>
        <w:pStyle w:val="55"/>
        <w:widowControl/>
        <w:ind w:firstLine="560"/>
        <w:rPr>
          <w:rFonts w:hint="eastAsia" w:ascii="宋体" w:hAnsi="宋体" w:eastAsia="宋体" w:cs="仿宋"/>
          <w:kern w:val="2"/>
        </w:rPr>
      </w:pPr>
      <w:r>
        <w:rPr>
          <w:rFonts w:hint="eastAsia" w:ascii="宋体" w:hAnsi="宋体" w:eastAsia="宋体" w:cs="仿宋"/>
          <w:kern w:val="2"/>
        </w:rPr>
        <w:t>1.建设集成智能化原料预处理生产线，规划年处理能力30万吨，涵盖破碎、多级筛分和全自动包覆三大核心工序。生产线采用模块化布局，配置高精度颚式破碎机组、多层振动筛分系统，通过工业物联网平台实现全流程数字化管控，部署800余个传感器实时采集粒温度、压力等工艺参数。产品合格率提升至99.2%，粉尘排放量控制在5mg/m³以下，全面实现清洁化、智能化生产目标。</w:t>
      </w:r>
    </w:p>
    <w:p w14:paraId="3D2B55D2">
      <w:pPr>
        <w:ind w:firstLine="560"/>
        <w:jc w:val="center"/>
        <w:rPr>
          <w:rFonts w:cs="Times New Roman"/>
        </w:rPr>
      </w:pPr>
      <w:r>
        <w:rPr>
          <w:rFonts w:hint="eastAsia" w:cs="Times New Roman"/>
        </w:rPr>
        <w:drawing>
          <wp:inline distT="0" distB="0" distL="114300" distR="114300">
            <wp:extent cx="2321560" cy="1525270"/>
            <wp:effectExtent l="0" t="0" r="10160" b="13970"/>
            <wp:docPr id="6" name="图片 6" descr="7218f9cc209cdd72b4df561d8a8205c"/>
            <wp:cNvGraphicFramePr/>
            <a:graphic xmlns:a="http://schemas.openxmlformats.org/drawingml/2006/main">
              <a:graphicData uri="http://schemas.openxmlformats.org/drawingml/2006/picture">
                <pic:pic xmlns:pic="http://schemas.openxmlformats.org/drawingml/2006/picture">
                  <pic:nvPicPr>
                    <pic:cNvPr id="6" name="图片 6" descr="7218f9cc209cdd72b4df561d8a8205c"/>
                    <pic:cNvPicPr/>
                  </pic:nvPicPr>
                  <pic:blipFill>
                    <a:blip r:embed="rId21"/>
                    <a:stretch>
                      <a:fillRect/>
                    </a:stretch>
                  </pic:blipFill>
                  <pic:spPr>
                    <a:xfrm>
                      <a:off x="0" y="0"/>
                      <a:ext cx="2321560" cy="1525270"/>
                    </a:xfrm>
                    <a:prstGeom prst="rect">
                      <a:avLst/>
                    </a:prstGeom>
                  </pic:spPr>
                </pic:pic>
              </a:graphicData>
            </a:graphic>
          </wp:inline>
        </w:drawing>
      </w:r>
      <w:r>
        <w:rPr>
          <w:rFonts w:hint="eastAsia" w:cs="Times New Roman"/>
        </w:rPr>
        <w:drawing>
          <wp:inline distT="0" distB="0" distL="114300" distR="114300">
            <wp:extent cx="1515745" cy="2568575"/>
            <wp:effectExtent l="0" t="0" r="6985" b="8255"/>
            <wp:docPr id="7" name="图片 7" descr="34c967646ec5e8d148e0bc7bba48756"/>
            <wp:cNvGraphicFramePr/>
            <a:graphic xmlns:a="http://schemas.openxmlformats.org/drawingml/2006/main">
              <a:graphicData uri="http://schemas.openxmlformats.org/drawingml/2006/picture">
                <pic:pic xmlns:pic="http://schemas.openxmlformats.org/drawingml/2006/picture">
                  <pic:nvPicPr>
                    <pic:cNvPr id="7" name="图片 7" descr="34c967646ec5e8d148e0bc7bba48756"/>
                    <pic:cNvPicPr/>
                  </pic:nvPicPr>
                  <pic:blipFill>
                    <a:blip r:embed="rId22"/>
                    <a:stretch>
                      <a:fillRect/>
                    </a:stretch>
                  </pic:blipFill>
                  <pic:spPr>
                    <a:xfrm rot="16200000">
                      <a:off x="0" y="0"/>
                      <a:ext cx="1515745" cy="2568575"/>
                    </a:xfrm>
                    <a:prstGeom prst="rect">
                      <a:avLst/>
                    </a:prstGeom>
                  </pic:spPr>
                </pic:pic>
              </a:graphicData>
            </a:graphic>
          </wp:inline>
        </w:drawing>
      </w:r>
    </w:p>
    <w:p w14:paraId="42883048">
      <w:pPr>
        <w:ind w:firstLine="560"/>
        <w:rPr>
          <w:rFonts w:hint="eastAsia" w:ascii="宋体" w:hAnsi="宋体" w:cs="仿宋"/>
        </w:rPr>
      </w:pPr>
      <w:r>
        <w:rPr>
          <w:rFonts w:hint="eastAsia" w:ascii="宋体" w:hAnsi="宋体" w:cs="仿宋"/>
          <w:kern w:val="2"/>
        </w:rPr>
        <w:t>2.项目建设196台智能化高温石墨化炉组群，单炉膛设计温度2800℃，优化升温曲线，结合余热梯级回收装置，综合能耗同比下降15%，配套三维孪生监控中心实时追踪炉体热效率、碳排放强度等数据，产品石墨化度稳定控制在98.5%以上，单位电耗降至3200kWh/t，较传统工艺减少二氧化碳排放12万吨/年。</w:t>
      </w:r>
    </w:p>
    <w:p w14:paraId="7DB10F92">
      <w:pPr>
        <w:ind w:firstLine="560"/>
        <w:jc w:val="center"/>
        <w:rPr>
          <w:rFonts w:cs="Times New Roman"/>
        </w:rPr>
      </w:pPr>
      <w:r>
        <w:rPr>
          <w:rFonts w:hint="eastAsia" w:cs="Times New Roman"/>
        </w:rPr>
        <w:drawing>
          <wp:inline distT="0" distB="0" distL="114300" distR="114300">
            <wp:extent cx="2350135" cy="1544320"/>
            <wp:effectExtent l="0" t="0" r="12065" b="10160"/>
            <wp:docPr id="8" name="图片 8" descr="bf471ebc2aad10f327d2798b2504faf"/>
            <wp:cNvGraphicFramePr/>
            <a:graphic xmlns:a="http://schemas.openxmlformats.org/drawingml/2006/main">
              <a:graphicData uri="http://schemas.openxmlformats.org/drawingml/2006/picture">
                <pic:pic xmlns:pic="http://schemas.openxmlformats.org/drawingml/2006/picture">
                  <pic:nvPicPr>
                    <pic:cNvPr id="8" name="图片 8" descr="bf471ebc2aad10f327d2798b2504faf"/>
                    <pic:cNvPicPr/>
                  </pic:nvPicPr>
                  <pic:blipFill>
                    <a:blip r:embed="rId23"/>
                    <a:stretch>
                      <a:fillRect/>
                    </a:stretch>
                  </pic:blipFill>
                  <pic:spPr>
                    <a:xfrm>
                      <a:off x="0" y="0"/>
                      <a:ext cx="2350135" cy="1544320"/>
                    </a:xfrm>
                    <a:prstGeom prst="rect">
                      <a:avLst/>
                    </a:prstGeom>
                  </pic:spPr>
                </pic:pic>
              </a:graphicData>
            </a:graphic>
          </wp:inline>
        </w:drawing>
      </w:r>
      <w:r>
        <w:rPr>
          <w:rFonts w:hint="eastAsia" w:cs="Times New Roman"/>
        </w:rPr>
        <w:drawing>
          <wp:inline distT="0" distB="0" distL="114300" distR="114300">
            <wp:extent cx="2435860" cy="1506220"/>
            <wp:effectExtent l="0" t="0" r="2540" b="2540"/>
            <wp:docPr id="9" name="图片 9" descr="38ed6f9bf76a406473b5762759e43476"/>
            <wp:cNvGraphicFramePr/>
            <a:graphic xmlns:a="http://schemas.openxmlformats.org/drawingml/2006/main">
              <a:graphicData uri="http://schemas.openxmlformats.org/drawingml/2006/picture">
                <pic:pic xmlns:pic="http://schemas.openxmlformats.org/drawingml/2006/picture">
                  <pic:nvPicPr>
                    <pic:cNvPr id="9" name="图片 9" descr="38ed6f9bf76a406473b5762759e43476"/>
                    <pic:cNvPicPr/>
                  </pic:nvPicPr>
                  <pic:blipFill>
                    <a:blip r:embed="rId24"/>
                    <a:stretch>
                      <a:fillRect/>
                    </a:stretch>
                  </pic:blipFill>
                  <pic:spPr>
                    <a:xfrm>
                      <a:off x="0" y="0"/>
                      <a:ext cx="2435860" cy="1506220"/>
                    </a:xfrm>
                    <a:prstGeom prst="rect">
                      <a:avLst/>
                    </a:prstGeom>
                  </pic:spPr>
                </pic:pic>
              </a:graphicData>
            </a:graphic>
          </wp:inline>
        </w:drawing>
      </w:r>
    </w:p>
    <w:p w14:paraId="0CAF56F1">
      <w:pPr>
        <w:ind w:firstLine="560"/>
        <w:rPr>
          <w:rFonts w:hint="eastAsia" w:ascii="宋体" w:hAnsi="宋体" w:cs="Times New Roman"/>
        </w:rPr>
      </w:pPr>
      <w:r>
        <w:rPr>
          <w:rFonts w:hint="eastAsia" w:ascii="宋体" w:hAnsi="宋体" w:cs="Times New Roman"/>
          <w:kern w:val="2"/>
        </w:rPr>
        <w:t>3.全自动包覆-碳化联动产线，搭载包覆反应釜与高温梯度碳化炉，年处理负极材料30万吨，成品率提升至99.6%，单位能耗降低18%，粉尘浓度＜3mg/m³。</w:t>
      </w:r>
    </w:p>
    <w:p w14:paraId="3DA71B9D">
      <w:pPr>
        <w:widowControl/>
        <w:ind w:firstLine="480"/>
        <w:jc w:val="center"/>
        <w:rPr>
          <w:rFonts w:cs="Times New Roman"/>
        </w:rPr>
      </w:pPr>
      <w:r>
        <w:rPr>
          <w:rFonts w:ascii="宋体" w:hAnsi="宋体"/>
          <w:sz w:val="24"/>
          <w:lang w:bidi="ar"/>
        </w:rPr>
        <w:drawing>
          <wp:inline distT="0" distB="0" distL="114300" distR="114300">
            <wp:extent cx="2360295" cy="1573530"/>
            <wp:effectExtent l="0" t="0" r="1905" b="11430"/>
            <wp:docPr id="10" name="图片 3" descr="IMG_256"/>
            <wp:cNvGraphicFramePr/>
            <a:graphic xmlns:a="http://schemas.openxmlformats.org/drawingml/2006/main">
              <a:graphicData uri="http://schemas.openxmlformats.org/drawingml/2006/picture">
                <pic:pic xmlns:pic="http://schemas.openxmlformats.org/drawingml/2006/picture">
                  <pic:nvPicPr>
                    <pic:cNvPr id="10" name="图片 3" descr="IMG_256"/>
                    <pic:cNvPicPr/>
                  </pic:nvPicPr>
                  <pic:blipFill>
                    <a:blip r:embed="rId25"/>
                    <a:stretch>
                      <a:fillRect/>
                    </a:stretch>
                  </pic:blipFill>
                  <pic:spPr>
                    <a:xfrm>
                      <a:off x="0" y="0"/>
                      <a:ext cx="2360295" cy="1573530"/>
                    </a:xfrm>
                    <a:prstGeom prst="rect">
                      <a:avLst/>
                    </a:prstGeom>
                    <a:noFill/>
                    <a:ln w="9525">
                      <a:noFill/>
                    </a:ln>
                  </pic:spPr>
                </pic:pic>
              </a:graphicData>
            </a:graphic>
          </wp:inline>
        </w:drawing>
      </w:r>
      <w:r>
        <w:rPr>
          <w:rFonts w:hint="eastAsia" w:cs="Times New Roman"/>
        </w:rPr>
        <w:drawing>
          <wp:inline distT="0" distB="0" distL="114300" distR="114300">
            <wp:extent cx="2654935" cy="1544320"/>
            <wp:effectExtent l="0" t="0" r="12065" b="10160"/>
            <wp:docPr id="11" name="图片 11" descr="9a545f8cc9bea147925699765c9cfd41"/>
            <wp:cNvGraphicFramePr/>
            <a:graphic xmlns:a="http://schemas.openxmlformats.org/drawingml/2006/main">
              <a:graphicData uri="http://schemas.openxmlformats.org/drawingml/2006/picture">
                <pic:pic xmlns:pic="http://schemas.openxmlformats.org/drawingml/2006/picture">
                  <pic:nvPicPr>
                    <pic:cNvPr id="11" name="图片 11" descr="9a545f8cc9bea147925699765c9cfd41"/>
                    <pic:cNvPicPr/>
                  </pic:nvPicPr>
                  <pic:blipFill>
                    <a:blip r:embed="rId26"/>
                    <a:srcRect l="13066" t="12258" r="21607"/>
                    <a:stretch>
                      <a:fillRect/>
                    </a:stretch>
                  </pic:blipFill>
                  <pic:spPr>
                    <a:xfrm>
                      <a:off x="0" y="0"/>
                      <a:ext cx="2654935" cy="1544320"/>
                    </a:xfrm>
                    <a:prstGeom prst="rect">
                      <a:avLst/>
                    </a:prstGeom>
                  </pic:spPr>
                </pic:pic>
              </a:graphicData>
            </a:graphic>
          </wp:inline>
        </w:drawing>
      </w:r>
    </w:p>
    <w:p w14:paraId="4EDB3B7D">
      <w:pPr>
        <w:ind w:firstLine="560"/>
        <w:rPr>
          <w:rFonts w:hint="eastAsia" w:ascii="宋体" w:hAnsi="宋体" w:cs="Times New Roman"/>
          <w:kern w:val="2"/>
        </w:rPr>
      </w:pPr>
      <w:r>
        <w:rPr>
          <w:rFonts w:hint="eastAsia" w:ascii="宋体" w:hAnsi="宋体" w:cs="Times New Roman"/>
          <w:kern w:val="2"/>
        </w:rPr>
        <w:t>4.涡轮离心多级串联分级机，搭载动态控制系统实现无人值守运行，物料D90分布区间±0.3μm，粒径均匀性较传统设备提升30%。</w:t>
      </w:r>
    </w:p>
    <w:p w14:paraId="4B860200">
      <w:pPr>
        <w:ind w:firstLine="560"/>
        <w:jc w:val="center"/>
        <w:rPr>
          <w:rFonts w:cs="Times New Roman"/>
        </w:rPr>
      </w:pPr>
      <w:r>
        <w:rPr>
          <w:rFonts w:cs="Times New Roman"/>
        </w:rPr>
        <w:drawing>
          <wp:inline distT="0" distB="0" distL="114300" distR="114300">
            <wp:extent cx="2245995" cy="1544320"/>
            <wp:effectExtent l="0" t="0" r="9525" b="10160"/>
            <wp:docPr id="12" name="图片 2" descr="图示, 工程绘图&#10;&#10;AI 生成的内容可能不正确。"/>
            <wp:cNvGraphicFramePr/>
            <a:graphic xmlns:a="http://schemas.openxmlformats.org/drawingml/2006/main">
              <a:graphicData uri="http://schemas.openxmlformats.org/drawingml/2006/picture">
                <pic:pic xmlns:pic="http://schemas.openxmlformats.org/drawingml/2006/picture">
                  <pic:nvPicPr>
                    <pic:cNvPr id="12" name="图片 2" descr="图示, 工程绘图&#10;&#10;AI 生成的内容可能不正确。"/>
                    <pic:cNvPicPr/>
                  </pic:nvPicPr>
                  <pic:blipFill>
                    <a:blip r:embed="rId27"/>
                    <a:stretch>
                      <a:fillRect/>
                    </a:stretch>
                  </pic:blipFill>
                  <pic:spPr>
                    <a:xfrm>
                      <a:off x="0" y="0"/>
                      <a:ext cx="2245995" cy="1544320"/>
                    </a:xfrm>
                    <a:prstGeom prst="rect">
                      <a:avLst/>
                    </a:prstGeom>
                    <a:noFill/>
                    <a:ln>
                      <a:noFill/>
                    </a:ln>
                  </pic:spPr>
                </pic:pic>
              </a:graphicData>
            </a:graphic>
          </wp:inline>
        </w:drawing>
      </w:r>
      <w:r>
        <w:rPr>
          <w:rFonts w:hint="eastAsia" w:cs="Times New Roman"/>
        </w:rPr>
        <w:drawing>
          <wp:inline distT="0" distB="0" distL="114300" distR="114300">
            <wp:extent cx="2264410" cy="1563370"/>
            <wp:effectExtent l="0" t="0" r="6350" b="6350"/>
            <wp:docPr id="13" name="图片 13" descr="c3961663e387d86352d62031dfdffc4"/>
            <wp:cNvGraphicFramePr/>
            <a:graphic xmlns:a="http://schemas.openxmlformats.org/drawingml/2006/main">
              <a:graphicData uri="http://schemas.openxmlformats.org/drawingml/2006/picture">
                <pic:pic xmlns:pic="http://schemas.openxmlformats.org/drawingml/2006/picture">
                  <pic:nvPicPr>
                    <pic:cNvPr id="13" name="图片 13" descr="c3961663e387d86352d62031dfdffc4"/>
                    <pic:cNvPicPr/>
                  </pic:nvPicPr>
                  <pic:blipFill>
                    <a:blip r:embed="rId28"/>
                    <a:srcRect t="17375"/>
                    <a:stretch>
                      <a:fillRect/>
                    </a:stretch>
                  </pic:blipFill>
                  <pic:spPr>
                    <a:xfrm>
                      <a:off x="0" y="0"/>
                      <a:ext cx="2264410" cy="1563370"/>
                    </a:xfrm>
                    <a:prstGeom prst="rect">
                      <a:avLst/>
                    </a:prstGeom>
                  </pic:spPr>
                </pic:pic>
              </a:graphicData>
            </a:graphic>
          </wp:inline>
        </w:drawing>
      </w:r>
    </w:p>
    <w:p w14:paraId="6F07A0CD">
      <w:pPr>
        <w:ind w:firstLine="560"/>
        <w:rPr>
          <w:rFonts w:hint="eastAsia" w:ascii="宋体" w:hAnsi="宋体" w:cs="Times New Roman"/>
          <w:kern w:val="2"/>
        </w:rPr>
      </w:pPr>
      <w:r>
        <w:rPr>
          <w:rFonts w:hint="eastAsia" w:ascii="宋体" w:hAnsi="宋体" w:cs="Times New Roman"/>
          <w:kern w:val="2"/>
        </w:rPr>
        <w:t>5.项目研发间歇式智能输送系统，采用多通道分流阀组与PID自适应算法，实现阶段性脉冲定量输料，通过AI视觉识别动态调节流量，精准匹配整形机节拍，同步集成堵管预警模型，综合能耗下降25%，堵管率降低90%，模块化设计可无缝复制至全厂输送网络。</w:t>
      </w:r>
    </w:p>
    <w:p w14:paraId="12B0BA68">
      <w:pPr>
        <w:ind w:firstLine="560"/>
        <w:jc w:val="center"/>
        <w:rPr>
          <w:rFonts w:cs="Times New Roman"/>
        </w:rPr>
      </w:pPr>
      <w:r>
        <w:rPr>
          <w:rFonts w:hint="eastAsia" w:cs="Times New Roman"/>
        </w:rPr>
        <w:drawing>
          <wp:inline distT="0" distB="0" distL="114300" distR="114300">
            <wp:extent cx="2293620" cy="1649095"/>
            <wp:effectExtent l="0" t="0" r="7620" b="12065"/>
            <wp:docPr id="14" name="图片 14" descr="5b6fada4228ead6af1dc23ebb78b95c"/>
            <wp:cNvGraphicFramePr/>
            <a:graphic xmlns:a="http://schemas.openxmlformats.org/drawingml/2006/main">
              <a:graphicData uri="http://schemas.openxmlformats.org/drawingml/2006/picture">
                <pic:pic xmlns:pic="http://schemas.openxmlformats.org/drawingml/2006/picture">
                  <pic:nvPicPr>
                    <pic:cNvPr id="14" name="图片 14" descr="5b6fada4228ead6af1dc23ebb78b95c"/>
                    <pic:cNvPicPr/>
                  </pic:nvPicPr>
                  <pic:blipFill>
                    <a:blip r:embed="rId29"/>
                    <a:stretch>
                      <a:fillRect/>
                    </a:stretch>
                  </pic:blipFill>
                  <pic:spPr>
                    <a:xfrm>
                      <a:off x="0" y="0"/>
                      <a:ext cx="2293620" cy="1649095"/>
                    </a:xfrm>
                    <a:prstGeom prst="rect">
                      <a:avLst/>
                    </a:prstGeom>
                  </pic:spPr>
                </pic:pic>
              </a:graphicData>
            </a:graphic>
          </wp:inline>
        </w:drawing>
      </w:r>
      <w:r>
        <w:rPr>
          <w:rFonts w:hint="eastAsia" w:cs="Times New Roman"/>
        </w:rPr>
        <w:drawing>
          <wp:inline distT="0" distB="0" distL="114300" distR="114300">
            <wp:extent cx="2484120" cy="1677670"/>
            <wp:effectExtent l="0" t="0" r="0" b="13970"/>
            <wp:docPr id="15" name="图片 15" descr="53afa18d29ea1b02ffa6d568690ac24"/>
            <wp:cNvGraphicFramePr/>
            <a:graphic xmlns:a="http://schemas.openxmlformats.org/drawingml/2006/main">
              <a:graphicData uri="http://schemas.openxmlformats.org/drawingml/2006/picture">
                <pic:pic xmlns:pic="http://schemas.openxmlformats.org/drawingml/2006/picture">
                  <pic:nvPicPr>
                    <pic:cNvPr id="15" name="图片 15" descr="53afa18d29ea1b02ffa6d568690ac24"/>
                    <pic:cNvPicPr/>
                  </pic:nvPicPr>
                  <pic:blipFill>
                    <a:blip r:embed="rId30"/>
                    <a:stretch>
                      <a:fillRect/>
                    </a:stretch>
                  </pic:blipFill>
                  <pic:spPr>
                    <a:xfrm>
                      <a:off x="0" y="0"/>
                      <a:ext cx="2484120" cy="1677670"/>
                    </a:xfrm>
                    <a:prstGeom prst="rect">
                      <a:avLst/>
                    </a:prstGeom>
                  </pic:spPr>
                </pic:pic>
              </a:graphicData>
            </a:graphic>
          </wp:inline>
        </w:drawing>
      </w:r>
    </w:p>
    <w:p w14:paraId="20EBEAD8">
      <w:pPr>
        <w:ind w:firstLine="560"/>
        <w:rPr>
          <w:rFonts w:hint="eastAsia" w:ascii="宋体" w:hAnsi="宋体" w:cs="Times New Roman"/>
        </w:rPr>
      </w:pPr>
      <w:r>
        <w:rPr>
          <w:rFonts w:hint="eastAsia" w:ascii="宋体" w:hAnsi="宋体" w:cs="Times New Roman"/>
          <w:kern w:val="2"/>
        </w:rPr>
        <w:t>6.卧式釜集群智能控制系统，采用全密封自循环风冷电柜（IP65防护）杜绝石墨粉尘短路风险，集成8轴同步驱动模块降低电控柜数量40%；配置分布式IO+PLC架构实时采集128个监测点，植入故障自愈算法可自动隔离触点氧化等12类高频故障，通过数字孪生模型动态优化PID参数，实现进出料节拍智能匹配与无功设备休眠管理，系统自适应调节精度达±0.5%，综合能耗降低22%，年减少故障停机时长超600小时。</w:t>
      </w:r>
    </w:p>
    <w:p w14:paraId="159D29C0">
      <w:pPr>
        <w:ind w:firstLine="560"/>
        <w:jc w:val="center"/>
        <w:rPr>
          <w:rFonts w:cs="Times New Roman"/>
        </w:rPr>
      </w:pPr>
      <w:r>
        <w:rPr>
          <w:rFonts w:hint="eastAsia" w:cs="Times New Roman"/>
        </w:rPr>
        <w:drawing>
          <wp:inline distT="0" distB="0" distL="114300" distR="114300">
            <wp:extent cx="2483485" cy="1678305"/>
            <wp:effectExtent l="0" t="0" r="635" b="13335"/>
            <wp:docPr id="16" name="图片 16" descr="b94393332ee500400692d65410bcdbe"/>
            <wp:cNvGraphicFramePr/>
            <a:graphic xmlns:a="http://schemas.openxmlformats.org/drawingml/2006/main">
              <a:graphicData uri="http://schemas.openxmlformats.org/drawingml/2006/picture">
                <pic:pic xmlns:pic="http://schemas.openxmlformats.org/drawingml/2006/picture">
                  <pic:nvPicPr>
                    <pic:cNvPr id="16" name="图片 16" descr="b94393332ee500400692d65410bcdbe"/>
                    <pic:cNvPicPr/>
                  </pic:nvPicPr>
                  <pic:blipFill>
                    <a:blip r:embed="rId31"/>
                    <a:stretch>
                      <a:fillRect/>
                    </a:stretch>
                  </pic:blipFill>
                  <pic:spPr>
                    <a:xfrm>
                      <a:off x="0" y="0"/>
                      <a:ext cx="2483485" cy="1678305"/>
                    </a:xfrm>
                    <a:prstGeom prst="rect">
                      <a:avLst/>
                    </a:prstGeom>
                  </pic:spPr>
                </pic:pic>
              </a:graphicData>
            </a:graphic>
          </wp:inline>
        </w:drawing>
      </w:r>
      <w:r>
        <w:rPr>
          <w:rFonts w:hint="eastAsia" w:cs="Times New Roman"/>
        </w:rPr>
        <w:drawing>
          <wp:inline distT="0" distB="0" distL="114300" distR="114300">
            <wp:extent cx="2359660" cy="1706245"/>
            <wp:effectExtent l="0" t="0" r="2540" b="635"/>
            <wp:docPr id="17" name="图片 17" descr="de441e8790b013fdfb597ae30a4fe2a"/>
            <wp:cNvGraphicFramePr/>
            <a:graphic xmlns:a="http://schemas.openxmlformats.org/drawingml/2006/main">
              <a:graphicData uri="http://schemas.openxmlformats.org/drawingml/2006/picture">
                <pic:pic xmlns:pic="http://schemas.openxmlformats.org/drawingml/2006/picture">
                  <pic:nvPicPr>
                    <pic:cNvPr id="17" name="图片 17" descr="de441e8790b013fdfb597ae30a4fe2a"/>
                    <pic:cNvPicPr/>
                  </pic:nvPicPr>
                  <pic:blipFill>
                    <a:blip r:embed="rId32"/>
                    <a:stretch>
                      <a:fillRect/>
                    </a:stretch>
                  </pic:blipFill>
                  <pic:spPr>
                    <a:xfrm>
                      <a:off x="0" y="0"/>
                      <a:ext cx="2359660" cy="1706245"/>
                    </a:xfrm>
                    <a:prstGeom prst="rect">
                      <a:avLst/>
                    </a:prstGeom>
                  </pic:spPr>
                </pic:pic>
              </a:graphicData>
            </a:graphic>
          </wp:inline>
        </w:drawing>
      </w:r>
    </w:p>
    <w:p w14:paraId="495776F4">
      <w:pPr>
        <w:ind w:firstLine="560"/>
        <w:rPr>
          <w:rFonts w:hint="eastAsia" w:ascii="宋体" w:hAnsi="宋体" w:cs="Times New Roman"/>
        </w:rPr>
      </w:pPr>
      <w:r>
        <w:rPr>
          <w:rFonts w:hint="eastAsia" w:ascii="宋体" w:hAnsi="宋体" w:cs="Times New Roman"/>
          <w:kern w:val="2"/>
        </w:rPr>
        <w:t>7.全自动粉料电磁选机，采用12000高斯永磁阵列与多级智能梯度调节系统，集成磁通量闭环控制模块，通过在线金属异物监测实现励磁物动态分离，分选效率提升40%，产品纯度达99.95%，磁损功耗降低25%。</w:t>
      </w:r>
    </w:p>
    <w:p w14:paraId="3B7B3E11">
      <w:pPr>
        <w:ind w:firstLine="560"/>
        <w:jc w:val="center"/>
        <w:rPr>
          <w:rFonts w:cs="Times New Roman"/>
        </w:rPr>
      </w:pPr>
      <w:r>
        <w:rPr>
          <w:rFonts w:hint="eastAsia" w:cs="Times New Roman"/>
        </w:rPr>
        <w:drawing>
          <wp:inline distT="0" distB="0" distL="114300" distR="114300">
            <wp:extent cx="2341245" cy="1572895"/>
            <wp:effectExtent l="0" t="0" r="5715" b="12065"/>
            <wp:docPr id="67" name="图片 67" descr="f7f7ad08c6eec0c75078de8e979ea6a"/>
            <wp:cNvGraphicFramePr/>
            <a:graphic xmlns:a="http://schemas.openxmlformats.org/drawingml/2006/main">
              <a:graphicData uri="http://schemas.openxmlformats.org/drawingml/2006/picture">
                <pic:pic xmlns:pic="http://schemas.openxmlformats.org/drawingml/2006/picture">
                  <pic:nvPicPr>
                    <pic:cNvPr id="67" name="图片 67" descr="f7f7ad08c6eec0c75078de8e979ea6a"/>
                    <pic:cNvPicPr/>
                  </pic:nvPicPr>
                  <pic:blipFill>
                    <a:blip r:embed="rId33"/>
                    <a:stretch>
                      <a:fillRect/>
                    </a:stretch>
                  </pic:blipFill>
                  <pic:spPr>
                    <a:xfrm>
                      <a:off x="0" y="0"/>
                      <a:ext cx="2341245" cy="1572895"/>
                    </a:xfrm>
                    <a:prstGeom prst="rect">
                      <a:avLst/>
                    </a:prstGeom>
                  </pic:spPr>
                </pic:pic>
              </a:graphicData>
            </a:graphic>
          </wp:inline>
        </w:drawing>
      </w:r>
      <w:r>
        <w:rPr>
          <w:rFonts w:hint="eastAsia" w:cs="Times New Roman"/>
        </w:rPr>
        <w:drawing>
          <wp:inline distT="0" distB="0" distL="114300" distR="114300">
            <wp:extent cx="2293620" cy="1591945"/>
            <wp:effectExtent l="0" t="0" r="7620" b="8255"/>
            <wp:docPr id="68" name="图片 68" descr="lQDPJxWB7csvi1fNCjDNEhCw8PzW4bizi1AHwN4TVo1aAA_4624_2608"/>
            <wp:cNvGraphicFramePr/>
            <a:graphic xmlns:a="http://schemas.openxmlformats.org/drawingml/2006/main">
              <a:graphicData uri="http://schemas.openxmlformats.org/drawingml/2006/picture">
                <pic:pic xmlns:pic="http://schemas.openxmlformats.org/drawingml/2006/picture">
                  <pic:nvPicPr>
                    <pic:cNvPr id="68" name="图片 68" descr="lQDPJxWB7csvi1fNCjDNEhCw8PzW4bizi1AHwN4TVo1aAA_4624_2608"/>
                    <pic:cNvPicPr/>
                  </pic:nvPicPr>
                  <pic:blipFill>
                    <a:blip r:embed="rId34"/>
                    <a:srcRect l="13121" t="10362" r="27834" b="19345"/>
                    <a:stretch>
                      <a:fillRect/>
                    </a:stretch>
                  </pic:blipFill>
                  <pic:spPr>
                    <a:xfrm>
                      <a:off x="0" y="0"/>
                      <a:ext cx="2293620" cy="1591945"/>
                    </a:xfrm>
                    <a:prstGeom prst="rect">
                      <a:avLst/>
                    </a:prstGeom>
                  </pic:spPr>
                </pic:pic>
              </a:graphicData>
            </a:graphic>
          </wp:inline>
        </w:drawing>
      </w:r>
    </w:p>
    <w:p w14:paraId="0208DA56">
      <w:pPr>
        <w:ind w:firstLine="560"/>
        <w:rPr>
          <w:rFonts w:hint="eastAsia" w:ascii="宋体" w:hAnsi="宋体" w:cs="Times New Roman"/>
        </w:rPr>
      </w:pPr>
      <w:r>
        <w:rPr>
          <w:rFonts w:hint="eastAsia" w:ascii="宋体" w:hAnsi="宋体" w:cs="Times New Roman"/>
          <w:kern w:val="2"/>
        </w:rPr>
        <w:t>8.振动筛选用1200型、外置换能器、高性能电源箱、免维护的电机、智能化电源箱实现不同物料、不同频率分级筛分。成品自动出料自动输送设备实现不同吨包自动出料，将吨包自动转移到成品库内，设备全系配置光电感应器，设备自动实现、避让、等待、加速入库等自动化功能，转运效率提升35%，空载功耗降低40%。</w:t>
      </w:r>
    </w:p>
    <w:p w14:paraId="28ACC5A6">
      <w:pPr>
        <w:ind w:firstLine="560"/>
        <w:rPr>
          <w:rFonts w:cs="Times New Roman"/>
        </w:rPr>
      </w:pPr>
      <w:r>
        <w:rPr>
          <w:rFonts w:hint="eastAsia" w:cs="Times New Roman"/>
        </w:rPr>
        <w:drawing>
          <wp:inline distT="0" distB="0" distL="114300" distR="114300">
            <wp:extent cx="5273675" cy="1113790"/>
            <wp:effectExtent l="0" t="0" r="14605" b="13970"/>
            <wp:docPr id="69" name="图片 69" descr="d9a72b97bdc50c81abcdba488d8b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9a72b97bdc50c81abcdba488d8b867"/>
                    <pic:cNvPicPr>
                      <a:picLocks noChangeAspect="1"/>
                    </pic:cNvPicPr>
                  </pic:nvPicPr>
                  <pic:blipFill>
                    <a:blip r:embed="rId35"/>
                    <a:stretch>
                      <a:fillRect/>
                    </a:stretch>
                  </pic:blipFill>
                  <pic:spPr>
                    <a:xfrm>
                      <a:off x="0" y="0"/>
                      <a:ext cx="5273675" cy="1113790"/>
                    </a:xfrm>
                    <a:prstGeom prst="rect">
                      <a:avLst/>
                    </a:prstGeom>
                  </pic:spPr>
                </pic:pic>
              </a:graphicData>
            </a:graphic>
          </wp:inline>
        </w:drawing>
      </w:r>
    </w:p>
    <w:p w14:paraId="072731D3">
      <w:pPr>
        <w:pStyle w:val="9"/>
        <w:rPr>
          <w:color w:val="auto"/>
        </w:rPr>
      </w:pPr>
      <w:bookmarkStart w:id="267" w:name="_Toc11892"/>
      <w:bookmarkStart w:id="268" w:name="_Toc215210550"/>
      <w:r>
        <w:rPr>
          <w:rFonts w:hint="eastAsia"/>
          <w:color w:val="auto"/>
        </w:rPr>
        <w:t>2.</w:t>
      </w:r>
      <w:bookmarkEnd w:id="267"/>
      <w:r>
        <w:rPr>
          <w:rFonts w:hint="eastAsia"/>
          <w:color w:val="auto"/>
        </w:rPr>
        <w:t>4.3</w:t>
      </w:r>
      <w:r>
        <w:rPr>
          <w:color w:val="auto"/>
        </w:rPr>
        <w:t>数字化管理平台</w:t>
      </w:r>
      <w:bookmarkEnd w:id="268"/>
    </w:p>
    <w:p w14:paraId="05AF1ED5">
      <w:pPr>
        <w:ind w:firstLine="560"/>
        <w:rPr>
          <w:rFonts w:hint="eastAsia" w:ascii="宋体" w:hAnsi="宋体" w:cs="Times New Roman"/>
          <w:kern w:val="2"/>
        </w:rPr>
      </w:pPr>
      <w:r>
        <w:rPr>
          <w:rFonts w:hint="eastAsia" w:ascii="宋体" w:hAnsi="宋体" w:cs="Times New Roman"/>
          <w:kern w:val="2"/>
        </w:rPr>
        <w:t>1.</w:t>
      </w:r>
      <w:r>
        <w:rPr>
          <w:rFonts w:ascii="宋体" w:hAnsi="宋体" w:cs="Times New Roman"/>
          <w:kern w:val="2"/>
        </w:rPr>
        <w:t>智能传感器，覆盖原料入库至成品出库全流程，实现设备互联互通</w:t>
      </w:r>
      <w:r>
        <w:rPr>
          <w:rFonts w:hint="eastAsia" w:ascii="宋体" w:hAnsi="宋体" w:cs="Times New Roman"/>
          <w:kern w:val="2"/>
        </w:rPr>
        <w:t>；</w:t>
      </w:r>
      <w:r>
        <w:rPr>
          <w:rFonts w:ascii="宋体" w:hAnsi="宋体" w:cs="Times New Roman"/>
          <w:kern w:val="2"/>
        </w:rPr>
        <w:t>建立生产计划排程、质量追溯、设备管理模块，数据采集频率达毫秒级</w:t>
      </w:r>
      <w:r>
        <w:rPr>
          <w:rFonts w:hint="eastAsia" w:ascii="宋体" w:hAnsi="宋体" w:cs="Times New Roman"/>
          <w:kern w:val="2"/>
        </w:rPr>
        <w:t>；</w:t>
      </w:r>
      <w:r>
        <w:rPr>
          <w:rFonts w:ascii="宋体" w:hAnsi="宋体" w:cs="Times New Roman"/>
          <w:kern w:val="2"/>
        </w:rPr>
        <w:t>构建石墨化炉、包覆反应</w:t>
      </w:r>
      <w:r>
        <w:rPr>
          <w:rFonts w:hint="eastAsia" w:ascii="宋体" w:hAnsi="宋体" w:cs="Times New Roman"/>
          <w:kern w:val="2"/>
        </w:rPr>
        <w:t>釜</w:t>
      </w:r>
      <w:r>
        <w:rPr>
          <w:rFonts w:ascii="宋体" w:hAnsi="宋体" w:cs="Times New Roman"/>
          <w:kern w:val="2"/>
        </w:rPr>
        <w:t>等关键设备三维模型，实现工艺参数实时仿真优化</w:t>
      </w:r>
      <w:r>
        <w:rPr>
          <w:rFonts w:hint="eastAsia" w:ascii="宋体" w:hAnsi="宋体" w:cs="Times New Roman"/>
          <w:kern w:val="2"/>
        </w:rPr>
        <w:t>。</w:t>
      </w:r>
    </w:p>
    <w:p w14:paraId="2A3E872E">
      <w:pPr>
        <w:ind w:firstLine="560"/>
        <w:rPr>
          <w:rFonts w:cs="Times New Roman"/>
        </w:rPr>
      </w:pPr>
      <w:r>
        <w:rPr>
          <w:rFonts w:hint="eastAsia" w:ascii="宋体" w:hAnsi="宋体" w:cs="Times New Roman"/>
          <w:kern w:val="2"/>
        </w:rPr>
        <w:t>2.间歇式整形机进行数字化改造，植入多模态感知系统与伺服闭环控制模块，通过动态补偿算法实现整形时间智能优化，物料利用率提升至98.5%，能耗降低65%，同步集成晶型缺陷在线检测功能，单机日产能突破12吨，整形精度达±0.03mm。</w:t>
      </w:r>
    </w:p>
    <w:p w14:paraId="3BD4B339">
      <w:pPr>
        <w:ind w:firstLine="560"/>
        <w:jc w:val="center"/>
        <w:rPr>
          <w:rFonts w:cs="Times New Roman"/>
        </w:rPr>
      </w:pPr>
      <w:r>
        <w:rPr>
          <w:rFonts w:hint="eastAsia" w:cs="Times New Roman"/>
        </w:rPr>
        <w:drawing>
          <wp:inline distT="0" distB="0" distL="114300" distR="114300">
            <wp:extent cx="2312670" cy="1611630"/>
            <wp:effectExtent l="0" t="0" r="3810" b="3810"/>
            <wp:docPr id="74" name="图片 74" descr="7928d18a8e6d534e05f28599fc09806"/>
            <wp:cNvGraphicFramePr/>
            <a:graphic xmlns:a="http://schemas.openxmlformats.org/drawingml/2006/main">
              <a:graphicData uri="http://schemas.openxmlformats.org/drawingml/2006/picture">
                <pic:pic xmlns:pic="http://schemas.openxmlformats.org/drawingml/2006/picture">
                  <pic:nvPicPr>
                    <pic:cNvPr id="74" name="图片 74" descr="7928d18a8e6d534e05f28599fc09806"/>
                    <pic:cNvPicPr/>
                  </pic:nvPicPr>
                  <pic:blipFill>
                    <a:blip r:embed="rId36"/>
                    <a:stretch>
                      <a:fillRect/>
                    </a:stretch>
                  </pic:blipFill>
                  <pic:spPr>
                    <a:xfrm>
                      <a:off x="0" y="0"/>
                      <a:ext cx="2312670" cy="1611630"/>
                    </a:xfrm>
                    <a:prstGeom prst="rect">
                      <a:avLst/>
                    </a:prstGeom>
                  </pic:spPr>
                </pic:pic>
              </a:graphicData>
            </a:graphic>
          </wp:inline>
        </w:drawing>
      </w:r>
      <w:r>
        <w:rPr>
          <w:rFonts w:hint="eastAsia" w:cs="Times New Roman"/>
        </w:rPr>
        <w:drawing>
          <wp:inline distT="0" distB="0" distL="114300" distR="114300">
            <wp:extent cx="2264410" cy="1591945"/>
            <wp:effectExtent l="0" t="0" r="6350" b="8255"/>
            <wp:docPr id="75" name="图片 75" descr="lQLPKICqekIYqqfNA3bNBCyw-bs2xUgPQK0HwMtk-Dl-AA_1068_886"/>
            <wp:cNvGraphicFramePr/>
            <a:graphic xmlns:a="http://schemas.openxmlformats.org/drawingml/2006/main">
              <a:graphicData uri="http://schemas.openxmlformats.org/drawingml/2006/picture">
                <pic:pic xmlns:pic="http://schemas.openxmlformats.org/drawingml/2006/picture">
                  <pic:nvPicPr>
                    <pic:cNvPr id="75" name="图片 75" descr="lQLPKICqekIYqqfNA3bNBCyw-bs2xUgPQK0HwMtk-Dl-AA_1068_886"/>
                    <pic:cNvPicPr/>
                  </pic:nvPicPr>
                  <pic:blipFill>
                    <a:blip r:embed="rId37"/>
                    <a:stretch>
                      <a:fillRect/>
                    </a:stretch>
                  </pic:blipFill>
                  <pic:spPr>
                    <a:xfrm>
                      <a:off x="0" y="0"/>
                      <a:ext cx="2264410" cy="1591945"/>
                    </a:xfrm>
                    <a:prstGeom prst="rect">
                      <a:avLst/>
                    </a:prstGeom>
                  </pic:spPr>
                </pic:pic>
              </a:graphicData>
            </a:graphic>
          </wp:inline>
        </w:drawing>
      </w:r>
    </w:p>
    <w:p w14:paraId="69EC5E6E">
      <w:pPr>
        <w:ind w:firstLine="560"/>
        <w:rPr>
          <w:rFonts w:cs="Times New Roman"/>
        </w:rPr>
      </w:pPr>
      <w:r>
        <w:rPr>
          <w:rFonts w:hint="eastAsia" w:ascii="宋体" w:hAnsi="宋体" w:cs="Times New Roman"/>
          <w:kern w:val="2"/>
        </w:rPr>
        <w:t>3.1250V型智能卧式解聚机，采用变频矢量驱动与多模态解聚程序库，通过数字孪生模型实时补偿物料特性差异，实现软硬物料解聚粒径D50偏差≤0.8μm，产品合格率提升13%至98.7%，细粉率降至5.2%。配置滤芯数字压差监测及堵塞预测模型，滤芯更换周期延长3倍，设备MTBF突破4000小时，综合能耗降低22%。</w:t>
      </w:r>
    </w:p>
    <w:p w14:paraId="2BEFA22A">
      <w:pPr>
        <w:ind w:firstLine="560"/>
        <w:jc w:val="center"/>
        <w:rPr>
          <w:rFonts w:cs="Times New Roman"/>
        </w:rPr>
      </w:pPr>
      <w:r>
        <w:rPr>
          <w:rFonts w:hint="eastAsia" w:cs="Times New Roman"/>
        </w:rPr>
        <w:drawing>
          <wp:inline distT="0" distB="0" distL="114300" distR="114300">
            <wp:extent cx="2160270" cy="1440180"/>
            <wp:effectExtent l="0" t="0" r="3810" b="7620"/>
            <wp:docPr id="76" name="图片 76" descr="03c41e45cf3995fdcb8fbc4430e7f93"/>
            <wp:cNvGraphicFramePr/>
            <a:graphic xmlns:a="http://schemas.openxmlformats.org/drawingml/2006/main">
              <a:graphicData uri="http://schemas.openxmlformats.org/drawingml/2006/picture">
                <pic:pic xmlns:pic="http://schemas.openxmlformats.org/drawingml/2006/picture">
                  <pic:nvPicPr>
                    <pic:cNvPr id="76" name="图片 76" descr="03c41e45cf3995fdcb8fbc4430e7f93"/>
                    <pic:cNvPicPr/>
                  </pic:nvPicPr>
                  <pic:blipFill>
                    <a:blip r:embed="rId38"/>
                    <a:stretch>
                      <a:fillRect/>
                    </a:stretch>
                  </pic:blipFill>
                  <pic:spPr>
                    <a:xfrm>
                      <a:off x="0" y="0"/>
                      <a:ext cx="2160270" cy="1440180"/>
                    </a:xfrm>
                    <a:prstGeom prst="rect">
                      <a:avLst/>
                    </a:prstGeom>
                  </pic:spPr>
                </pic:pic>
              </a:graphicData>
            </a:graphic>
          </wp:inline>
        </w:drawing>
      </w:r>
      <w:r>
        <w:rPr>
          <w:rFonts w:hint="eastAsia" w:cs="Times New Roman"/>
        </w:rPr>
        <w:drawing>
          <wp:inline distT="0" distB="0" distL="114300" distR="114300">
            <wp:extent cx="2160270" cy="1440180"/>
            <wp:effectExtent l="0" t="0" r="3810" b="7620"/>
            <wp:docPr id="77" name="图片 77" descr="3ed86b9a90dc9e50e2045bb1f4aa16b"/>
            <wp:cNvGraphicFramePr/>
            <a:graphic xmlns:a="http://schemas.openxmlformats.org/drawingml/2006/main">
              <a:graphicData uri="http://schemas.openxmlformats.org/drawingml/2006/picture">
                <pic:pic xmlns:pic="http://schemas.openxmlformats.org/drawingml/2006/picture">
                  <pic:nvPicPr>
                    <pic:cNvPr id="77" name="图片 77" descr="3ed86b9a90dc9e50e2045bb1f4aa16b"/>
                    <pic:cNvPicPr/>
                  </pic:nvPicPr>
                  <pic:blipFill>
                    <a:blip r:embed="rId39"/>
                    <a:stretch>
                      <a:fillRect/>
                    </a:stretch>
                  </pic:blipFill>
                  <pic:spPr>
                    <a:xfrm>
                      <a:off x="0" y="0"/>
                      <a:ext cx="2160270" cy="1440180"/>
                    </a:xfrm>
                    <a:prstGeom prst="rect">
                      <a:avLst/>
                    </a:prstGeom>
                  </pic:spPr>
                </pic:pic>
              </a:graphicData>
            </a:graphic>
          </wp:inline>
        </w:drawing>
      </w:r>
    </w:p>
    <w:p w14:paraId="232CF6EF">
      <w:pPr>
        <w:pStyle w:val="9"/>
        <w:rPr>
          <w:color w:val="auto"/>
        </w:rPr>
      </w:pPr>
      <w:bookmarkStart w:id="269" w:name="_Toc17531"/>
      <w:bookmarkStart w:id="270" w:name="_Toc215210551"/>
      <w:r>
        <w:rPr>
          <w:rFonts w:hint="eastAsia"/>
          <w:color w:val="auto"/>
        </w:rPr>
        <w:t>2.</w:t>
      </w:r>
      <w:bookmarkEnd w:id="269"/>
      <w:r>
        <w:rPr>
          <w:rFonts w:hint="eastAsia"/>
          <w:color w:val="auto"/>
        </w:rPr>
        <w:t>4.4</w:t>
      </w:r>
      <w:r>
        <w:rPr>
          <w:color w:val="auto"/>
        </w:rPr>
        <w:t>绿色制造设施</w:t>
      </w:r>
      <w:bookmarkEnd w:id="270"/>
    </w:p>
    <w:p w14:paraId="0F09E1DB">
      <w:pPr>
        <w:ind w:firstLine="560"/>
        <w:rPr>
          <w:rFonts w:cs="Times New Roman"/>
        </w:rPr>
      </w:pPr>
      <w:r>
        <w:rPr>
          <w:rFonts w:hint="eastAsia" w:ascii="宋体" w:hAnsi="宋体" w:cs="Times New Roman"/>
          <w:kern w:val="2"/>
        </w:rPr>
        <w:t>1.建设两套智能RTO</w:t>
      </w:r>
      <w:r>
        <w:rPr>
          <w:rFonts w:ascii="宋体" w:hAnsi="宋体" w:cs="Times New Roman"/>
          <w:kern w:val="2"/>
        </w:rPr>
        <w:t>蓄热焚烧装置</w:t>
      </w:r>
      <w:r>
        <w:rPr>
          <w:rFonts w:hint="eastAsia" w:ascii="宋体" w:hAnsi="宋体" w:cs="Times New Roman"/>
          <w:kern w:val="2"/>
        </w:rPr>
        <w:t>系统（热效率≥97%），集成多级旋风+覆膜滤筒除尘装置，实现VOCs去除率≥98%、粉尘捕集率≥99.5%，同步配置反渗透-机械蒸汽压缩结晶机组，中水回用率达95.3%，微米级颗粒物经改性后回用于包覆工序，年减排有机废气1200万m³，危废减量65%。</w:t>
      </w:r>
    </w:p>
    <w:p w14:paraId="092A366D">
      <w:pPr>
        <w:ind w:firstLine="560"/>
        <w:jc w:val="center"/>
        <w:rPr>
          <w:rFonts w:cs="Times New Roman"/>
        </w:rPr>
      </w:pPr>
      <w:r>
        <w:rPr>
          <w:rFonts w:hint="eastAsia" w:cs="Times New Roman"/>
        </w:rPr>
        <w:drawing>
          <wp:inline distT="0" distB="0" distL="114300" distR="114300">
            <wp:extent cx="2160270" cy="1440180"/>
            <wp:effectExtent l="0" t="0" r="3810" b="7620"/>
            <wp:docPr id="78" name="图片 78" descr="d644f19aa98d6211907684bc6c5717f"/>
            <wp:cNvGraphicFramePr/>
            <a:graphic xmlns:a="http://schemas.openxmlformats.org/drawingml/2006/main">
              <a:graphicData uri="http://schemas.openxmlformats.org/drawingml/2006/picture">
                <pic:pic xmlns:pic="http://schemas.openxmlformats.org/drawingml/2006/picture">
                  <pic:nvPicPr>
                    <pic:cNvPr id="78" name="图片 78" descr="d644f19aa98d6211907684bc6c5717f"/>
                    <pic:cNvPicPr/>
                  </pic:nvPicPr>
                  <pic:blipFill>
                    <a:blip r:embed="rId40"/>
                    <a:stretch>
                      <a:fillRect/>
                    </a:stretch>
                  </pic:blipFill>
                  <pic:spPr>
                    <a:xfrm>
                      <a:off x="0" y="0"/>
                      <a:ext cx="2160270" cy="1440180"/>
                    </a:xfrm>
                    <a:prstGeom prst="rect">
                      <a:avLst/>
                    </a:prstGeom>
                  </pic:spPr>
                </pic:pic>
              </a:graphicData>
            </a:graphic>
          </wp:inline>
        </w:drawing>
      </w:r>
      <w:r>
        <w:rPr>
          <w:rFonts w:hint="eastAsia" w:cs="Times New Roman"/>
        </w:rPr>
        <w:drawing>
          <wp:inline distT="0" distB="0" distL="114300" distR="114300">
            <wp:extent cx="2160270" cy="1440180"/>
            <wp:effectExtent l="0" t="0" r="3810" b="7620"/>
            <wp:docPr id="98" name="图片 98" descr="f7bdf787e499f18c165b85d333ee18e"/>
            <wp:cNvGraphicFramePr/>
            <a:graphic xmlns:a="http://schemas.openxmlformats.org/drawingml/2006/main">
              <a:graphicData uri="http://schemas.openxmlformats.org/drawingml/2006/picture">
                <pic:pic xmlns:pic="http://schemas.openxmlformats.org/drawingml/2006/picture">
                  <pic:nvPicPr>
                    <pic:cNvPr id="98" name="图片 98" descr="f7bdf787e499f18c165b85d333ee18e"/>
                    <pic:cNvPicPr/>
                  </pic:nvPicPr>
                  <pic:blipFill>
                    <a:blip r:embed="rId41"/>
                    <a:stretch>
                      <a:fillRect/>
                    </a:stretch>
                  </pic:blipFill>
                  <pic:spPr>
                    <a:xfrm>
                      <a:off x="0" y="0"/>
                      <a:ext cx="2160270" cy="1440180"/>
                    </a:xfrm>
                    <a:prstGeom prst="rect">
                      <a:avLst/>
                    </a:prstGeom>
                  </pic:spPr>
                </pic:pic>
              </a:graphicData>
            </a:graphic>
          </wp:inline>
        </w:drawing>
      </w:r>
    </w:p>
    <w:p w14:paraId="337698FD">
      <w:pPr>
        <w:ind w:firstLine="560"/>
        <w:rPr>
          <w:rFonts w:ascii="Segoe UI" w:hAnsi="Segoe UI" w:eastAsia="Segoe UI" w:cs="Segoe UI"/>
          <w:sz w:val="19"/>
          <w:szCs w:val="19"/>
        </w:rPr>
      </w:pPr>
      <w:r>
        <w:rPr>
          <w:rFonts w:hint="eastAsia" w:ascii="宋体" w:hAnsi="宋体" w:cs="Times New Roman"/>
          <w:kern w:val="2"/>
        </w:rPr>
        <w:t>2.项目采用全密封管链输送系统（IP65防护），配置16点位气动分流阀组，实现无尘输送（粉尘＜3mg/m³）与多点定量给料，定位精度±5mm，较传统皮带输送粉尘降低90%，分流效率提升3倍</w:t>
      </w:r>
      <w:r>
        <w:rPr>
          <w:rFonts w:ascii="宋体" w:hAnsi="宋体" w:cs="Times New Roman"/>
          <w:kern w:val="2"/>
        </w:rPr>
        <w:t>。</w:t>
      </w:r>
    </w:p>
    <w:p w14:paraId="67D7EDE3">
      <w:pPr>
        <w:ind w:firstLine="560"/>
        <w:jc w:val="center"/>
        <w:rPr>
          <w:rFonts w:ascii="Segoe UI" w:hAnsi="Segoe UI" w:eastAsia="Segoe UI" w:cs="Segoe UI"/>
          <w:sz w:val="19"/>
          <w:szCs w:val="19"/>
        </w:rPr>
      </w:pPr>
      <w:r>
        <w:rPr>
          <w:rFonts w:hint="eastAsia" w:cs="Times New Roman"/>
        </w:rPr>
        <w:drawing>
          <wp:inline distT="0" distB="0" distL="114300" distR="114300">
            <wp:extent cx="2160270" cy="1440180"/>
            <wp:effectExtent l="0" t="0" r="3810" b="7620"/>
            <wp:docPr id="99" name="图片 99" descr="65728b1bf73c0a284e7a2bcf0374ac1"/>
            <wp:cNvGraphicFramePr/>
            <a:graphic xmlns:a="http://schemas.openxmlformats.org/drawingml/2006/main">
              <a:graphicData uri="http://schemas.openxmlformats.org/drawingml/2006/picture">
                <pic:pic xmlns:pic="http://schemas.openxmlformats.org/drawingml/2006/picture">
                  <pic:nvPicPr>
                    <pic:cNvPr id="99" name="图片 99" descr="65728b1bf73c0a284e7a2bcf0374ac1"/>
                    <pic:cNvPicPr/>
                  </pic:nvPicPr>
                  <pic:blipFill>
                    <a:blip r:embed="rId42"/>
                    <a:stretch>
                      <a:fillRect/>
                    </a:stretch>
                  </pic:blipFill>
                  <pic:spPr>
                    <a:xfrm>
                      <a:off x="0" y="0"/>
                      <a:ext cx="2160270" cy="1440180"/>
                    </a:xfrm>
                    <a:prstGeom prst="rect">
                      <a:avLst/>
                    </a:prstGeom>
                  </pic:spPr>
                </pic:pic>
              </a:graphicData>
            </a:graphic>
          </wp:inline>
        </w:drawing>
      </w:r>
      <w:r>
        <w:rPr>
          <w:rFonts w:hint="eastAsia" w:cs="Times New Roman"/>
        </w:rPr>
        <w:drawing>
          <wp:inline distT="0" distB="0" distL="114300" distR="114300">
            <wp:extent cx="2160270" cy="1440180"/>
            <wp:effectExtent l="0" t="0" r="3810" b="7620"/>
            <wp:docPr id="100" name="图片 100" descr="489101e0480ddddd6efc84e1e3c842e"/>
            <wp:cNvGraphicFramePr/>
            <a:graphic xmlns:a="http://schemas.openxmlformats.org/drawingml/2006/main">
              <a:graphicData uri="http://schemas.openxmlformats.org/drawingml/2006/picture">
                <pic:pic xmlns:pic="http://schemas.openxmlformats.org/drawingml/2006/picture">
                  <pic:nvPicPr>
                    <pic:cNvPr id="100" name="图片 100" descr="489101e0480ddddd6efc84e1e3c842e"/>
                    <pic:cNvPicPr/>
                  </pic:nvPicPr>
                  <pic:blipFill>
                    <a:blip r:embed="rId43"/>
                    <a:stretch>
                      <a:fillRect/>
                    </a:stretch>
                  </pic:blipFill>
                  <pic:spPr>
                    <a:xfrm>
                      <a:off x="0" y="0"/>
                      <a:ext cx="2160270" cy="1440180"/>
                    </a:xfrm>
                    <a:prstGeom prst="rect">
                      <a:avLst/>
                    </a:prstGeom>
                  </pic:spPr>
                </pic:pic>
              </a:graphicData>
            </a:graphic>
          </wp:inline>
        </w:drawing>
      </w:r>
    </w:p>
    <w:p w14:paraId="61CDFE58">
      <w:pPr>
        <w:ind w:firstLine="560"/>
        <w:rPr>
          <w:rFonts w:cs="Times New Roman"/>
        </w:rPr>
      </w:pPr>
      <w:r>
        <w:rPr>
          <w:rFonts w:hint="eastAsia" w:ascii="宋体" w:hAnsi="宋体" w:cs="Times New Roman"/>
          <w:kern w:val="2"/>
        </w:rPr>
        <w:t>3.30m³智能螺带混料机组，采用双螺带逆向分层搅拌技术（转速0.5-35rpm无极调节），配置伺服电机+行星减速机驱动系统，通过PID算法实现5种物料动态配比（精度±0.05%），配套双联缓冲仓实现24小时连续生产，容积效率达98%（较传统设备提升3倍），粉尘浓度＜3mg/m³，混合均匀度CV值≤3%，单位能耗0.8kW·h/t，同步集成气密封快开门结构杜绝漏料，较原设备节能65%，为绿色制造树立新标杆。</w:t>
      </w:r>
    </w:p>
    <w:p w14:paraId="36A370DA">
      <w:pPr>
        <w:ind w:firstLine="560"/>
        <w:jc w:val="center"/>
        <w:rPr>
          <w:rFonts w:cs="Times New Roman"/>
        </w:rPr>
      </w:pPr>
      <w:r>
        <w:rPr>
          <w:rFonts w:hint="eastAsia" w:cs="Times New Roman"/>
        </w:rPr>
        <w:drawing>
          <wp:inline distT="0" distB="0" distL="114300" distR="114300">
            <wp:extent cx="2160270" cy="1440180"/>
            <wp:effectExtent l="0" t="0" r="3810" b="7620"/>
            <wp:docPr id="101" name="图片 101" descr="6536bbdcd8fff4dc934746f594f0cdd"/>
            <wp:cNvGraphicFramePr/>
            <a:graphic xmlns:a="http://schemas.openxmlformats.org/drawingml/2006/main">
              <a:graphicData uri="http://schemas.openxmlformats.org/drawingml/2006/picture">
                <pic:pic xmlns:pic="http://schemas.openxmlformats.org/drawingml/2006/picture">
                  <pic:nvPicPr>
                    <pic:cNvPr id="101" name="图片 101" descr="6536bbdcd8fff4dc934746f594f0cdd"/>
                    <pic:cNvPicPr/>
                  </pic:nvPicPr>
                  <pic:blipFill>
                    <a:blip r:embed="rId44"/>
                    <a:stretch>
                      <a:fillRect/>
                    </a:stretch>
                  </pic:blipFill>
                  <pic:spPr>
                    <a:xfrm>
                      <a:off x="0" y="0"/>
                      <a:ext cx="2160270" cy="1440180"/>
                    </a:xfrm>
                    <a:prstGeom prst="rect">
                      <a:avLst/>
                    </a:prstGeom>
                  </pic:spPr>
                </pic:pic>
              </a:graphicData>
            </a:graphic>
          </wp:inline>
        </w:drawing>
      </w:r>
      <w:r>
        <w:rPr>
          <w:rFonts w:hint="eastAsia" w:cs="Times New Roman"/>
        </w:rPr>
        <w:drawing>
          <wp:inline distT="0" distB="0" distL="114300" distR="114300">
            <wp:extent cx="2160270" cy="1440180"/>
            <wp:effectExtent l="0" t="0" r="3810" b="7620"/>
            <wp:docPr id="102" name="图片 102" descr="8f32a4f14ac9b52bc48853705ab53c3"/>
            <wp:cNvGraphicFramePr/>
            <a:graphic xmlns:a="http://schemas.openxmlformats.org/drawingml/2006/main">
              <a:graphicData uri="http://schemas.openxmlformats.org/drawingml/2006/picture">
                <pic:pic xmlns:pic="http://schemas.openxmlformats.org/drawingml/2006/picture">
                  <pic:nvPicPr>
                    <pic:cNvPr id="102" name="图片 102" descr="8f32a4f14ac9b52bc48853705ab53c3"/>
                    <pic:cNvPicPr/>
                  </pic:nvPicPr>
                  <pic:blipFill>
                    <a:blip r:embed="rId45"/>
                    <a:stretch>
                      <a:fillRect/>
                    </a:stretch>
                  </pic:blipFill>
                  <pic:spPr>
                    <a:xfrm>
                      <a:off x="0" y="0"/>
                      <a:ext cx="2160270" cy="1440180"/>
                    </a:xfrm>
                    <a:prstGeom prst="rect">
                      <a:avLst/>
                    </a:prstGeom>
                  </pic:spPr>
                </pic:pic>
              </a:graphicData>
            </a:graphic>
          </wp:inline>
        </w:drawing>
      </w:r>
    </w:p>
    <w:p w14:paraId="372D30D7">
      <w:pPr>
        <w:ind w:firstLine="560"/>
        <w:rPr>
          <w:rFonts w:cs="Times New Roman"/>
        </w:rPr>
      </w:pPr>
      <w:r>
        <w:rPr>
          <w:rFonts w:hint="eastAsia" w:ascii="宋体" w:hAnsi="宋体" w:cs="Times New Roman"/>
          <w:kern w:val="2"/>
        </w:rPr>
        <w:t>4.改性尾气智能处理系统，集成TO焚烧炉（热效率≥95%）与双级静电除尘模块，配置AI气体组分分析仪实现VOCs去除率≥98%，颗粒物浓度＜10mg/m³，同步回收余热年产热水8000吨，综合能耗降低40%。</w:t>
      </w:r>
    </w:p>
    <w:p w14:paraId="5BB7732F">
      <w:pPr>
        <w:ind w:firstLine="560"/>
        <w:jc w:val="center"/>
        <w:rPr>
          <w:rFonts w:cs="Times New Roman"/>
        </w:rPr>
      </w:pPr>
      <w:r>
        <w:rPr>
          <w:rFonts w:hint="eastAsia" w:cs="Times New Roman"/>
        </w:rPr>
        <w:drawing>
          <wp:inline distT="0" distB="0" distL="114300" distR="114300">
            <wp:extent cx="2160270" cy="1440180"/>
            <wp:effectExtent l="0" t="0" r="3810" b="7620"/>
            <wp:docPr id="105" name="图片 105" descr="48b5b5a9c3b6eb8e6dc938335adbaf9"/>
            <wp:cNvGraphicFramePr/>
            <a:graphic xmlns:a="http://schemas.openxmlformats.org/drawingml/2006/main">
              <a:graphicData uri="http://schemas.openxmlformats.org/drawingml/2006/picture">
                <pic:pic xmlns:pic="http://schemas.openxmlformats.org/drawingml/2006/picture">
                  <pic:nvPicPr>
                    <pic:cNvPr id="105" name="图片 105" descr="48b5b5a9c3b6eb8e6dc938335adbaf9"/>
                    <pic:cNvPicPr/>
                  </pic:nvPicPr>
                  <pic:blipFill>
                    <a:blip r:embed="rId46"/>
                    <a:stretch>
                      <a:fillRect/>
                    </a:stretch>
                  </pic:blipFill>
                  <pic:spPr>
                    <a:xfrm>
                      <a:off x="0" y="0"/>
                      <a:ext cx="2160270" cy="1440180"/>
                    </a:xfrm>
                    <a:prstGeom prst="rect">
                      <a:avLst/>
                    </a:prstGeom>
                  </pic:spPr>
                </pic:pic>
              </a:graphicData>
            </a:graphic>
          </wp:inline>
        </w:drawing>
      </w:r>
    </w:p>
    <w:p w14:paraId="27CAAC11">
      <w:pPr>
        <w:ind w:firstLine="560"/>
        <w:rPr>
          <w:rFonts w:hint="eastAsia" w:ascii="宋体" w:hAnsi="宋体" w:cs="Times New Roman"/>
          <w:kern w:val="2"/>
        </w:rPr>
      </w:pPr>
      <w:r>
        <w:rPr>
          <w:rFonts w:hint="eastAsia" w:ascii="宋体" w:hAnsi="宋体" w:cs="Times New Roman"/>
          <w:kern w:val="2"/>
        </w:rPr>
        <w:t>5.项目建成全自动辅料筛分线，集成冷渣机-斗提-三层摇摆筛（筛分精度±0.15mm）及FFS包装机，实现物料冷却、分级、包装全流程密闭运行（粉尘＜5mg/m³），筛分效率达25t/h，较人工模式效率提升6倍，场地占用减少80%。</w:t>
      </w:r>
    </w:p>
    <w:p w14:paraId="2537C16C">
      <w:pPr>
        <w:ind w:firstLine="560"/>
        <w:rPr>
          <w:rFonts w:cs="Times New Roman"/>
        </w:rPr>
      </w:pPr>
      <w:r>
        <w:rPr>
          <w:rFonts w:hint="eastAsia" w:ascii="宋体" w:hAnsi="宋体" w:cs="Times New Roman"/>
          <w:kern w:val="2"/>
        </w:rPr>
        <w:t>6.项目在196台石墨化炉区部署四区联动气体监测网络（单炉配136个H2S/CO传感器），构建有毒气体三维浓度场模型，通过边缘计算实现超标0.5秒级声光报警+风机联锁启动，建成24小时智能预警系统，保障作业环境有毒气体浓度＜5ppm，彻底杜绝职业中毒风险。</w:t>
      </w:r>
    </w:p>
    <w:p w14:paraId="67041D61">
      <w:pPr>
        <w:ind w:firstLine="560"/>
        <w:jc w:val="center"/>
        <w:rPr>
          <w:rFonts w:cs="Times New Roman"/>
        </w:rPr>
      </w:pPr>
      <w:r>
        <w:rPr>
          <w:rFonts w:hint="eastAsia" w:cs="Times New Roman"/>
        </w:rPr>
        <w:drawing>
          <wp:inline distT="0" distB="0" distL="114300" distR="114300">
            <wp:extent cx="2160270" cy="1440180"/>
            <wp:effectExtent l="0" t="0" r="3810" b="7620"/>
            <wp:docPr id="106" name="图片 106" descr="097cbba3c3e95333c1df94751db11776"/>
            <wp:cNvGraphicFramePr/>
            <a:graphic xmlns:a="http://schemas.openxmlformats.org/drawingml/2006/main">
              <a:graphicData uri="http://schemas.openxmlformats.org/drawingml/2006/picture">
                <pic:pic xmlns:pic="http://schemas.openxmlformats.org/drawingml/2006/picture">
                  <pic:nvPicPr>
                    <pic:cNvPr id="106" name="图片 106" descr="097cbba3c3e95333c1df94751db11776"/>
                    <pic:cNvPicPr/>
                  </pic:nvPicPr>
                  <pic:blipFill>
                    <a:blip r:embed="rId47"/>
                    <a:stretch>
                      <a:fillRect/>
                    </a:stretch>
                  </pic:blipFill>
                  <pic:spPr>
                    <a:xfrm>
                      <a:off x="0" y="0"/>
                      <a:ext cx="2160270" cy="1440180"/>
                    </a:xfrm>
                    <a:prstGeom prst="rect">
                      <a:avLst/>
                    </a:prstGeom>
                  </pic:spPr>
                </pic:pic>
              </a:graphicData>
            </a:graphic>
          </wp:inline>
        </w:drawing>
      </w:r>
      <w:r>
        <w:rPr>
          <w:rFonts w:cs="Times New Roman"/>
        </w:rPr>
        <w:drawing>
          <wp:inline distT="0" distB="0" distL="114300" distR="114300">
            <wp:extent cx="2160270" cy="1440180"/>
            <wp:effectExtent l="0" t="0" r="3810" b="7620"/>
            <wp:docPr id="107" name="图片 1" descr="电脑萤幕画面&#10;&#10;AI 生成的内容可能不正确。"/>
            <wp:cNvGraphicFramePr/>
            <a:graphic xmlns:a="http://schemas.openxmlformats.org/drawingml/2006/main">
              <a:graphicData uri="http://schemas.openxmlformats.org/drawingml/2006/picture">
                <pic:pic xmlns:pic="http://schemas.openxmlformats.org/drawingml/2006/picture">
                  <pic:nvPicPr>
                    <pic:cNvPr id="107" name="图片 1" descr="电脑萤幕画面&#10;&#10;AI 生成的内容可能不正确。"/>
                    <pic:cNvPicPr/>
                  </pic:nvPicPr>
                  <pic:blipFill>
                    <a:blip r:embed="rId48"/>
                    <a:stretch>
                      <a:fillRect/>
                    </a:stretch>
                  </pic:blipFill>
                  <pic:spPr>
                    <a:xfrm>
                      <a:off x="0" y="0"/>
                      <a:ext cx="2160270" cy="1440180"/>
                    </a:xfrm>
                    <a:prstGeom prst="rect">
                      <a:avLst/>
                    </a:prstGeom>
                    <a:noFill/>
                    <a:ln>
                      <a:noFill/>
                    </a:ln>
                  </pic:spPr>
                </pic:pic>
              </a:graphicData>
            </a:graphic>
          </wp:inline>
        </w:drawing>
      </w:r>
    </w:p>
    <w:p w14:paraId="23E80794">
      <w:pPr>
        <w:pStyle w:val="9"/>
        <w:rPr>
          <w:color w:val="auto"/>
        </w:rPr>
      </w:pPr>
      <w:bookmarkStart w:id="271" w:name="_Toc12140"/>
      <w:bookmarkStart w:id="272" w:name="_Toc215210552"/>
      <w:r>
        <w:rPr>
          <w:rFonts w:hint="eastAsia"/>
          <w:color w:val="auto"/>
        </w:rPr>
        <w:t>2.</w:t>
      </w:r>
      <w:bookmarkEnd w:id="271"/>
      <w:r>
        <w:rPr>
          <w:rFonts w:hint="eastAsia"/>
          <w:color w:val="auto"/>
        </w:rPr>
        <w:t>4.5</w:t>
      </w:r>
      <w:r>
        <w:rPr>
          <w:color w:val="auto"/>
        </w:rPr>
        <w:t>研发检测中心</w:t>
      </w:r>
      <w:bookmarkEnd w:id="272"/>
    </w:p>
    <w:p w14:paraId="17777D7A">
      <w:pPr>
        <w:ind w:firstLine="560"/>
        <w:rPr>
          <w:rFonts w:cs="Times New Roman"/>
        </w:rPr>
      </w:pPr>
      <w:r>
        <w:rPr>
          <w:rFonts w:hint="eastAsia" w:ascii="宋体" w:hAnsi="宋体" w:cs="Times New Roman"/>
          <w:kern w:val="2"/>
        </w:rPr>
        <w:t>1.引进全自动比表面分析仪（BET检测范围0.01-2000m²/g）、场发射扫描电镜（分辨率0.8nm）及全自动XRD衍射仪（2θ范围5-90°）等精密检测设备；配套1280通道蓝电测试系统（充放电精度±0.05mV），年检测能力达10万组；开发基于深度学习的石墨层间距-容量关联模型（预测精度≥92%），研发周期缩短40%。</w:t>
      </w:r>
    </w:p>
    <w:p w14:paraId="5E157A73">
      <w:pPr>
        <w:ind w:firstLine="560"/>
        <w:jc w:val="center"/>
        <w:rPr>
          <w:rFonts w:cs="Times New Roman"/>
        </w:rPr>
      </w:pPr>
      <w:r>
        <w:rPr>
          <w:rFonts w:hint="eastAsia" w:cs="Times New Roman"/>
        </w:rPr>
        <w:drawing>
          <wp:inline distT="0" distB="0" distL="114300" distR="114300">
            <wp:extent cx="2160270" cy="1620520"/>
            <wp:effectExtent l="0" t="0" r="3810" b="10160"/>
            <wp:docPr id="108" name="图片 108" descr="lQDPKcx0MBEJ83fNDADNEACwJ9c4lVl0CnMHwNr9qSzeAA_4096_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lQDPKcx0MBEJ83fNDADNEACwJ9c4lVl0CnMHwNr9qSzeAA_4096_3072"/>
                    <pic:cNvPicPr>
                      <a:picLocks noChangeAspect="1"/>
                    </pic:cNvPicPr>
                  </pic:nvPicPr>
                  <pic:blipFill>
                    <a:blip r:embed="rId49"/>
                    <a:stretch>
                      <a:fillRect/>
                    </a:stretch>
                  </pic:blipFill>
                  <pic:spPr>
                    <a:xfrm>
                      <a:off x="0" y="0"/>
                      <a:ext cx="2160270" cy="1620520"/>
                    </a:xfrm>
                    <a:prstGeom prst="rect">
                      <a:avLst/>
                    </a:prstGeom>
                  </pic:spPr>
                </pic:pic>
              </a:graphicData>
            </a:graphic>
          </wp:inline>
        </w:drawing>
      </w:r>
      <w:r>
        <w:rPr>
          <w:rFonts w:hint="eastAsia" w:cs="Times New Roman"/>
        </w:rPr>
        <w:drawing>
          <wp:inline distT="0" distB="0" distL="114300" distR="114300">
            <wp:extent cx="2160270" cy="1440180"/>
            <wp:effectExtent l="0" t="0" r="3810" b="7620"/>
            <wp:docPr id="112" name="图片 112" descr="lQDPJwFnGS3cAHfNDADNEACwMR2u_5ccZccHwNrnOUJpAA_4096_3072"/>
            <wp:cNvGraphicFramePr/>
            <a:graphic xmlns:a="http://schemas.openxmlformats.org/drawingml/2006/main">
              <a:graphicData uri="http://schemas.openxmlformats.org/drawingml/2006/picture">
                <pic:pic xmlns:pic="http://schemas.openxmlformats.org/drawingml/2006/picture">
                  <pic:nvPicPr>
                    <pic:cNvPr id="112" name="图片 112" descr="lQDPJwFnGS3cAHfNDADNEACwMR2u_5ccZccHwNrnOUJpAA_4096_3072"/>
                    <pic:cNvPicPr/>
                  </pic:nvPicPr>
                  <pic:blipFill>
                    <a:blip r:embed="rId50"/>
                    <a:stretch>
                      <a:fillRect/>
                    </a:stretch>
                  </pic:blipFill>
                  <pic:spPr>
                    <a:xfrm>
                      <a:off x="0" y="0"/>
                      <a:ext cx="2160270" cy="1440180"/>
                    </a:xfrm>
                    <a:prstGeom prst="rect">
                      <a:avLst/>
                    </a:prstGeom>
                  </pic:spPr>
                </pic:pic>
              </a:graphicData>
            </a:graphic>
          </wp:inline>
        </w:drawing>
      </w:r>
    </w:p>
    <w:p w14:paraId="79077267">
      <w:pPr>
        <w:ind w:firstLine="560"/>
        <w:rPr>
          <w:kern w:val="2"/>
        </w:rPr>
      </w:pPr>
      <w:r>
        <w:rPr>
          <w:rFonts w:hint="eastAsia" w:ascii="宋体" w:hAnsi="宋体" w:cs="Times New Roman"/>
          <w:kern w:val="2"/>
        </w:rPr>
        <w:t>2.对粉碎系统进行智能化改造，采用QXJ-600型间歇式整形机（功率55kW±2%）与多级气流分级机组，植入AI视觉晶型识别系统，实现粒径D50控制精度±0.8μm，产能提升至12吨/小时，合格率达98.5%。该设备成功量产负极材料（振实密度≥1.15g/cm³），填补3C数码产品高端市场空白，晶型一致性CV值≤3%，能耗较传统设备降低40%，同步开发高容量硅碳体系产品研发验证平台。</w:t>
      </w:r>
    </w:p>
    <w:p w14:paraId="2DBCD773">
      <w:pPr>
        <w:ind w:firstLine="560"/>
        <w:jc w:val="center"/>
        <w:rPr>
          <w:rFonts w:cs="Times New Roman"/>
        </w:rPr>
      </w:pPr>
      <w:r>
        <w:rPr>
          <w:rFonts w:hint="eastAsia" w:cs="Times New Roman"/>
        </w:rPr>
        <w:drawing>
          <wp:inline distT="0" distB="0" distL="114300" distR="114300">
            <wp:extent cx="2160270" cy="1440180"/>
            <wp:effectExtent l="0" t="0" r="3810" b="7620"/>
            <wp:docPr id="113" name="图片 113" descr="3d068f31ad2d18dfcdeff2de2a61d4e"/>
            <wp:cNvGraphicFramePr/>
            <a:graphic xmlns:a="http://schemas.openxmlformats.org/drawingml/2006/main">
              <a:graphicData uri="http://schemas.openxmlformats.org/drawingml/2006/picture">
                <pic:pic xmlns:pic="http://schemas.openxmlformats.org/drawingml/2006/picture">
                  <pic:nvPicPr>
                    <pic:cNvPr id="113" name="图片 113" descr="3d068f31ad2d18dfcdeff2de2a61d4e"/>
                    <pic:cNvPicPr/>
                  </pic:nvPicPr>
                  <pic:blipFill>
                    <a:blip r:embed="rId51"/>
                    <a:stretch>
                      <a:fillRect/>
                    </a:stretch>
                  </pic:blipFill>
                  <pic:spPr>
                    <a:xfrm>
                      <a:off x="0" y="0"/>
                      <a:ext cx="2160270" cy="1440180"/>
                    </a:xfrm>
                    <a:prstGeom prst="rect">
                      <a:avLst/>
                    </a:prstGeom>
                  </pic:spPr>
                </pic:pic>
              </a:graphicData>
            </a:graphic>
          </wp:inline>
        </w:drawing>
      </w:r>
      <w:r>
        <w:rPr>
          <w:rFonts w:hint="eastAsia" w:cs="Times New Roman"/>
        </w:rPr>
        <w:drawing>
          <wp:inline distT="0" distB="0" distL="114300" distR="114300">
            <wp:extent cx="2160270" cy="1440180"/>
            <wp:effectExtent l="0" t="0" r="3810" b="7620"/>
            <wp:docPr id="114" name="图片 114" descr="5d86fcc20040f8267a9a35ebda065e6"/>
            <wp:cNvGraphicFramePr/>
            <a:graphic xmlns:a="http://schemas.openxmlformats.org/drawingml/2006/main">
              <a:graphicData uri="http://schemas.openxmlformats.org/drawingml/2006/picture">
                <pic:pic xmlns:pic="http://schemas.openxmlformats.org/drawingml/2006/picture">
                  <pic:nvPicPr>
                    <pic:cNvPr id="114" name="图片 114" descr="5d86fcc20040f8267a9a35ebda065e6"/>
                    <pic:cNvPicPr/>
                  </pic:nvPicPr>
                  <pic:blipFill>
                    <a:blip r:embed="rId52"/>
                    <a:stretch>
                      <a:fillRect/>
                    </a:stretch>
                  </pic:blipFill>
                  <pic:spPr>
                    <a:xfrm>
                      <a:off x="0" y="0"/>
                      <a:ext cx="2160270" cy="1440180"/>
                    </a:xfrm>
                    <a:prstGeom prst="rect">
                      <a:avLst/>
                    </a:prstGeom>
                  </pic:spPr>
                </pic:pic>
              </a:graphicData>
            </a:graphic>
          </wp:inline>
        </w:drawing>
      </w:r>
    </w:p>
    <w:p w14:paraId="40A21E56">
      <w:pPr>
        <w:ind w:firstLine="560"/>
        <w:rPr>
          <w:rFonts w:cs="Times New Roman"/>
        </w:rPr>
      </w:pPr>
      <w:r>
        <w:rPr>
          <w:rFonts w:hint="eastAsia" w:ascii="宋体" w:hAnsi="宋体" w:cs="Times New Roman"/>
          <w:kern w:val="2"/>
        </w:rPr>
        <w:t>3.下沉式智能包装机组，称重精度±300g，集成脉冲除尘（粉尘＜5mg/m³）与电地牛平面输送系统，替代叉车降低运维成本45%，包装效率达120包/小时。</w:t>
      </w:r>
    </w:p>
    <w:p w14:paraId="26728EA1">
      <w:pPr>
        <w:ind w:firstLine="560"/>
        <w:jc w:val="center"/>
        <w:rPr>
          <w:rFonts w:cs="Times New Roman"/>
        </w:rPr>
      </w:pPr>
      <w:r>
        <w:rPr>
          <w:rFonts w:hint="eastAsia" w:cs="Times New Roman"/>
        </w:rPr>
        <w:drawing>
          <wp:inline distT="0" distB="0" distL="114300" distR="114300">
            <wp:extent cx="2160270" cy="1440180"/>
            <wp:effectExtent l="0" t="0" r="3810" b="7620"/>
            <wp:docPr id="115" name="图片 115" descr="0672ed3e4ea4667be2c9ce1f805bd22"/>
            <wp:cNvGraphicFramePr/>
            <a:graphic xmlns:a="http://schemas.openxmlformats.org/drawingml/2006/main">
              <a:graphicData uri="http://schemas.openxmlformats.org/drawingml/2006/picture">
                <pic:pic xmlns:pic="http://schemas.openxmlformats.org/drawingml/2006/picture">
                  <pic:nvPicPr>
                    <pic:cNvPr id="115" name="图片 115" descr="0672ed3e4ea4667be2c9ce1f805bd22"/>
                    <pic:cNvPicPr/>
                  </pic:nvPicPr>
                  <pic:blipFill>
                    <a:blip r:embed="rId53"/>
                    <a:stretch>
                      <a:fillRect/>
                    </a:stretch>
                  </pic:blipFill>
                  <pic:spPr>
                    <a:xfrm>
                      <a:off x="0" y="0"/>
                      <a:ext cx="2160270" cy="1440180"/>
                    </a:xfrm>
                    <a:prstGeom prst="rect">
                      <a:avLst/>
                    </a:prstGeom>
                  </pic:spPr>
                </pic:pic>
              </a:graphicData>
            </a:graphic>
          </wp:inline>
        </w:drawing>
      </w:r>
      <w:r>
        <w:rPr>
          <w:rFonts w:hint="eastAsia" w:cs="Times New Roman"/>
        </w:rPr>
        <w:drawing>
          <wp:inline distT="0" distB="0" distL="114300" distR="114300">
            <wp:extent cx="2160270" cy="1440180"/>
            <wp:effectExtent l="0" t="0" r="3810" b="7620"/>
            <wp:docPr id="116" name="图片 116" descr="4b04ad3727a66f75d1b814c6c0e2c6f"/>
            <wp:cNvGraphicFramePr/>
            <a:graphic xmlns:a="http://schemas.openxmlformats.org/drawingml/2006/main">
              <a:graphicData uri="http://schemas.openxmlformats.org/drawingml/2006/picture">
                <pic:pic xmlns:pic="http://schemas.openxmlformats.org/drawingml/2006/picture">
                  <pic:nvPicPr>
                    <pic:cNvPr id="116" name="图片 116" descr="4b04ad3727a66f75d1b814c6c0e2c6f"/>
                    <pic:cNvPicPr/>
                  </pic:nvPicPr>
                  <pic:blipFill>
                    <a:blip r:embed="rId54"/>
                    <a:stretch>
                      <a:fillRect/>
                    </a:stretch>
                  </pic:blipFill>
                  <pic:spPr>
                    <a:xfrm>
                      <a:off x="0" y="0"/>
                      <a:ext cx="2160270" cy="1440180"/>
                    </a:xfrm>
                    <a:prstGeom prst="rect">
                      <a:avLst/>
                    </a:prstGeom>
                  </pic:spPr>
                </pic:pic>
              </a:graphicData>
            </a:graphic>
          </wp:inline>
        </w:drawing>
      </w:r>
    </w:p>
    <w:p w14:paraId="13D6719C">
      <w:pPr>
        <w:ind w:firstLine="560"/>
        <w:rPr>
          <w:rFonts w:cs="Times New Roman"/>
        </w:rPr>
      </w:pPr>
      <w:r>
        <w:rPr>
          <w:rFonts w:hint="eastAsia" w:ascii="宋体" w:hAnsi="宋体" w:cs="Times New Roman"/>
          <w:kern w:val="2"/>
        </w:rPr>
        <w:t>4.石墨化双模输送系统（负压30m³/h+正压0.8MPa），采用PLC集群控制实现包装车间物理隔离，配置无功工位智能休眠算法，输送效率提升50%至45t/h，产品合格率提升1.2%，粉尘泄漏量＜3mg/m³，同步拓展至辅料系统替代60%吸料天车作业，综合电耗降低25%。</w:t>
      </w:r>
    </w:p>
    <w:p w14:paraId="24D12D37">
      <w:pPr>
        <w:ind w:firstLine="560"/>
        <w:jc w:val="center"/>
        <w:rPr>
          <w:rFonts w:cs="Times New Roman"/>
        </w:rPr>
      </w:pPr>
      <w:r>
        <w:rPr>
          <w:rFonts w:hint="eastAsia" w:cs="Times New Roman"/>
        </w:rPr>
        <w:drawing>
          <wp:inline distT="0" distB="0" distL="114300" distR="114300">
            <wp:extent cx="2160270" cy="1440180"/>
            <wp:effectExtent l="0" t="0" r="3810" b="7620"/>
            <wp:docPr id="117" name="图片 117" descr="b621435b946bc93f6fef9eac600e1be"/>
            <wp:cNvGraphicFramePr/>
            <a:graphic xmlns:a="http://schemas.openxmlformats.org/drawingml/2006/main">
              <a:graphicData uri="http://schemas.openxmlformats.org/drawingml/2006/picture">
                <pic:pic xmlns:pic="http://schemas.openxmlformats.org/drawingml/2006/picture">
                  <pic:nvPicPr>
                    <pic:cNvPr id="117" name="图片 117" descr="b621435b946bc93f6fef9eac600e1be"/>
                    <pic:cNvPicPr/>
                  </pic:nvPicPr>
                  <pic:blipFill>
                    <a:blip r:embed="rId55"/>
                    <a:stretch>
                      <a:fillRect/>
                    </a:stretch>
                  </pic:blipFill>
                  <pic:spPr>
                    <a:xfrm>
                      <a:off x="0" y="0"/>
                      <a:ext cx="2160270" cy="1440180"/>
                    </a:xfrm>
                    <a:prstGeom prst="rect">
                      <a:avLst/>
                    </a:prstGeom>
                  </pic:spPr>
                </pic:pic>
              </a:graphicData>
            </a:graphic>
          </wp:inline>
        </w:drawing>
      </w:r>
      <w:r>
        <w:rPr>
          <w:rFonts w:hint="eastAsia" w:cs="Times New Roman"/>
        </w:rPr>
        <w:drawing>
          <wp:inline distT="0" distB="0" distL="114300" distR="114300">
            <wp:extent cx="2160270" cy="1440180"/>
            <wp:effectExtent l="0" t="0" r="3810" b="7620"/>
            <wp:docPr id="118" name="图片 118" descr="87d48a4c16095da035c650951fafe20"/>
            <wp:cNvGraphicFramePr/>
            <a:graphic xmlns:a="http://schemas.openxmlformats.org/drawingml/2006/main">
              <a:graphicData uri="http://schemas.openxmlformats.org/drawingml/2006/picture">
                <pic:pic xmlns:pic="http://schemas.openxmlformats.org/drawingml/2006/picture">
                  <pic:nvPicPr>
                    <pic:cNvPr id="118" name="图片 118" descr="87d48a4c16095da035c650951fafe20"/>
                    <pic:cNvPicPr/>
                  </pic:nvPicPr>
                  <pic:blipFill>
                    <a:blip r:embed="rId56"/>
                    <a:stretch>
                      <a:fillRect/>
                    </a:stretch>
                  </pic:blipFill>
                  <pic:spPr>
                    <a:xfrm>
                      <a:off x="0" y="0"/>
                      <a:ext cx="2160270" cy="1440180"/>
                    </a:xfrm>
                    <a:prstGeom prst="rect">
                      <a:avLst/>
                    </a:prstGeom>
                  </pic:spPr>
                </pic:pic>
              </a:graphicData>
            </a:graphic>
          </wp:inline>
        </w:drawing>
      </w:r>
    </w:p>
    <w:p w14:paraId="07C04BA9">
      <w:pPr>
        <w:ind w:firstLine="560"/>
        <w:rPr>
          <w:rFonts w:cs="Times New Roman"/>
        </w:rPr>
      </w:pPr>
      <w:r>
        <w:rPr>
          <w:rFonts w:hint="eastAsia" w:ascii="宋体" w:hAnsi="宋体" w:cs="Times New Roman"/>
          <w:kern w:val="2"/>
        </w:rPr>
        <w:t>5.配置28000KVA有载调压整流变，支持50米超长炉体送电，单炉产能达210吨（提升40%），配套液压推臂小车实现秒级通断电，通电定位精度±2mm，系统集成电弧抑制算法，异常断电响应＜0.3秒，年节约送电操作时长1200小时。</w:t>
      </w:r>
    </w:p>
    <w:p w14:paraId="77233A1A">
      <w:pPr>
        <w:ind w:firstLine="560"/>
        <w:jc w:val="center"/>
      </w:pPr>
      <w:r>
        <w:rPr>
          <w:rFonts w:hint="eastAsia" w:cs="Times New Roman"/>
        </w:rPr>
        <w:drawing>
          <wp:inline distT="0" distB="0" distL="114300" distR="114300">
            <wp:extent cx="2160270" cy="1440180"/>
            <wp:effectExtent l="0" t="0" r="3810" b="7620"/>
            <wp:docPr id="119" name="图片 119" descr="778026af5c7d5abc8a4c6f2099fcdaa0"/>
            <wp:cNvGraphicFramePr/>
            <a:graphic xmlns:a="http://schemas.openxmlformats.org/drawingml/2006/main">
              <a:graphicData uri="http://schemas.openxmlformats.org/drawingml/2006/picture">
                <pic:pic xmlns:pic="http://schemas.openxmlformats.org/drawingml/2006/picture">
                  <pic:nvPicPr>
                    <pic:cNvPr id="119" name="图片 119" descr="778026af5c7d5abc8a4c6f2099fcdaa0"/>
                    <pic:cNvPicPr/>
                  </pic:nvPicPr>
                  <pic:blipFill>
                    <a:blip r:embed="rId57"/>
                    <a:stretch>
                      <a:fillRect/>
                    </a:stretch>
                  </pic:blipFill>
                  <pic:spPr>
                    <a:xfrm>
                      <a:off x="0" y="0"/>
                      <a:ext cx="2160270" cy="1440180"/>
                    </a:xfrm>
                    <a:prstGeom prst="rect">
                      <a:avLst/>
                    </a:prstGeom>
                  </pic:spPr>
                </pic:pic>
              </a:graphicData>
            </a:graphic>
          </wp:inline>
        </w:drawing>
      </w:r>
      <w:r>
        <w:rPr>
          <w:rFonts w:hint="eastAsia" w:cs="Times New Roman"/>
        </w:rPr>
        <w:drawing>
          <wp:inline distT="0" distB="0" distL="114300" distR="114300">
            <wp:extent cx="2160270" cy="1440180"/>
            <wp:effectExtent l="0" t="0" r="3810" b="7620"/>
            <wp:docPr id="120" name="图片 120" descr="10c1a2aa252050a668496e0e070ade1"/>
            <wp:cNvGraphicFramePr/>
            <a:graphic xmlns:a="http://schemas.openxmlformats.org/drawingml/2006/main">
              <a:graphicData uri="http://schemas.openxmlformats.org/drawingml/2006/picture">
                <pic:pic xmlns:pic="http://schemas.openxmlformats.org/drawingml/2006/picture">
                  <pic:nvPicPr>
                    <pic:cNvPr id="120" name="图片 120" descr="10c1a2aa252050a668496e0e070ade1"/>
                    <pic:cNvPicPr/>
                  </pic:nvPicPr>
                  <pic:blipFill>
                    <a:blip r:embed="rId58"/>
                    <a:stretch>
                      <a:fillRect/>
                    </a:stretch>
                  </pic:blipFill>
                  <pic:spPr>
                    <a:xfrm>
                      <a:off x="0" y="0"/>
                      <a:ext cx="2160270" cy="1440180"/>
                    </a:xfrm>
                    <a:prstGeom prst="rect">
                      <a:avLst/>
                    </a:prstGeom>
                  </pic:spPr>
                </pic:pic>
              </a:graphicData>
            </a:graphic>
          </wp:inline>
        </w:drawing>
      </w:r>
    </w:p>
    <w:p w14:paraId="0770F253">
      <w:pPr>
        <w:pStyle w:val="9"/>
        <w:rPr>
          <w:color w:val="auto"/>
        </w:rPr>
      </w:pPr>
      <w:bookmarkStart w:id="273" w:name="_Toc215210553"/>
      <w:r>
        <w:rPr>
          <w:rFonts w:hint="eastAsia"/>
          <w:color w:val="auto"/>
        </w:rPr>
        <w:t>2.4.6主要设备</w:t>
      </w:r>
      <w:bookmarkEnd w:id="273"/>
    </w:p>
    <w:p w14:paraId="49A3F474">
      <w:pPr>
        <w:pStyle w:val="658"/>
        <w:widowControl/>
        <w:numPr>
          <w:ilvl w:val="0"/>
          <w:numId w:val="9"/>
        </w:numPr>
        <w:adjustRightInd/>
        <w:snapToGrid/>
        <w:spacing w:line="240" w:lineRule="auto"/>
        <w:ind w:left="0" w:firstLine="482"/>
        <w:jc w:val="center"/>
        <w:textAlignment w:val="baseline"/>
        <w:rPr>
          <w:b/>
          <w:bCs/>
          <w:sz w:val="24"/>
        </w:rPr>
      </w:pPr>
      <w:r>
        <w:rPr>
          <w:rFonts w:hint="eastAsia" w:cs="Times New Roman"/>
          <w:b/>
          <w:bCs/>
          <w:sz w:val="24"/>
        </w:rPr>
        <w:t>主要</w:t>
      </w:r>
      <w:r>
        <w:rPr>
          <w:rFonts w:hint="eastAsia"/>
          <w:b/>
          <w:bCs/>
          <w:sz w:val="24"/>
        </w:rPr>
        <w:t>设备</w:t>
      </w:r>
      <w:r>
        <w:rPr>
          <w:rFonts w:hint="eastAsia" w:cs="Times New Roman"/>
          <w:b/>
          <w:bCs/>
          <w:sz w:val="24"/>
        </w:rPr>
        <w:t>清单明细表</w:t>
      </w:r>
    </w:p>
    <w:tbl>
      <w:tblPr>
        <w:tblStyle w:val="59"/>
        <w:tblpPr w:leftFromText="180" w:rightFromText="180" w:vertAnchor="text" w:horzAnchor="page" w:tblpXSpec="center" w:tblpY="450"/>
        <w:tblOverlap w:val="never"/>
        <w:tblW w:w="8102" w:type="dxa"/>
        <w:tblInd w:w="0" w:type="dxa"/>
        <w:tblLayout w:type="fixed"/>
        <w:tblCellMar>
          <w:top w:w="0" w:type="dxa"/>
          <w:left w:w="108" w:type="dxa"/>
          <w:bottom w:w="0" w:type="dxa"/>
          <w:right w:w="108" w:type="dxa"/>
        </w:tblCellMar>
      </w:tblPr>
      <w:tblGrid>
        <w:gridCol w:w="978"/>
        <w:gridCol w:w="3552"/>
        <w:gridCol w:w="2192"/>
        <w:gridCol w:w="1380"/>
      </w:tblGrid>
      <w:tr w14:paraId="644393B7">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shd w:val="clear" w:color="auto" w:fill="BDD7EE"/>
            <w:noWrap/>
            <w:vAlign w:val="center"/>
          </w:tcPr>
          <w:p w14:paraId="4E961F0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序号</w:t>
            </w:r>
          </w:p>
        </w:tc>
        <w:tc>
          <w:tcPr>
            <w:tcW w:w="3552" w:type="dxa"/>
            <w:tcBorders>
              <w:top w:val="single" w:color="000000" w:sz="4" w:space="0"/>
              <w:left w:val="single" w:color="000000" w:sz="4" w:space="0"/>
              <w:bottom w:val="single" w:color="000000" w:sz="4" w:space="0"/>
              <w:right w:val="single" w:color="000000" w:sz="4" w:space="0"/>
            </w:tcBorders>
            <w:shd w:val="clear" w:color="auto" w:fill="BDD7EE"/>
            <w:noWrap/>
            <w:vAlign w:val="center"/>
          </w:tcPr>
          <w:p w14:paraId="7030124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供方名称</w:t>
            </w:r>
          </w:p>
        </w:tc>
        <w:tc>
          <w:tcPr>
            <w:tcW w:w="2192" w:type="dxa"/>
            <w:tcBorders>
              <w:top w:val="single" w:color="000000" w:sz="4" w:space="0"/>
              <w:left w:val="single" w:color="000000" w:sz="4" w:space="0"/>
              <w:bottom w:val="single" w:color="000000" w:sz="4" w:space="0"/>
              <w:right w:val="single" w:color="000000" w:sz="4" w:space="0"/>
            </w:tcBorders>
            <w:shd w:val="clear" w:color="auto" w:fill="BDD7EE"/>
            <w:noWrap/>
            <w:vAlign w:val="center"/>
          </w:tcPr>
          <w:p w14:paraId="7F39FF0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设备名称</w:t>
            </w:r>
          </w:p>
        </w:tc>
        <w:tc>
          <w:tcPr>
            <w:tcW w:w="1380" w:type="dxa"/>
            <w:tcBorders>
              <w:top w:val="single" w:color="000000" w:sz="4" w:space="0"/>
              <w:left w:val="single" w:color="000000" w:sz="4" w:space="0"/>
              <w:bottom w:val="single" w:color="000000" w:sz="4" w:space="0"/>
              <w:right w:val="single" w:color="000000" w:sz="4" w:space="0"/>
            </w:tcBorders>
            <w:shd w:val="clear" w:color="auto" w:fill="BDD7EE"/>
            <w:vAlign w:val="center"/>
          </w:tcPr>
          <w:p w14:paraId="6EF9126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备注</w:t>
            </w:r>
          </w:p>
        </w:tc>
      </w:tr>
      <w:tr w14:paraId="0C0A37D1">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F86CA6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10F424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北京三维天地科技股份有限公司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16EA9D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实验室信息管理系统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D763CE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3CC5026">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F0C151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D930D5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复纳科学仪器（上海）有限公司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D7347A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清洁度测试仪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8FA57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3628BE1">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02BB44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7B0901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北京卓亚方舟粉体机械有限公司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B93A87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气旋筛</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B2408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E8A57A3">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69D14D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335A81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苏州市新杉本电子科技有限公司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C7D68D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电感耦合光谱仪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22C0A0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EFAF9DA">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C50C3A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16DF94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深圳新嘉拓自动化技术有限公司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300704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涂布机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2DF638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E108D8D">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D50141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420500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武汉市蓝电电子股份有限公司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6AA54D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测试系统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F85761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2FA4B3C">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C13265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5B3132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贝士德仪器科技（北京）有限公司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1F28B7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比表面分析仪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0DC6AC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0F9157C">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72513F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47AC18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苏州市新杉本电子科技有限公司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45FC5C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康塔、安东帕</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933BD7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A9C098F">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EBA354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89AA8C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成都恒睿晨科技有限公司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048C44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麦克比表面仪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29F0BF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2941B36">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F27773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815184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珠海欧美克仪器有限公司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C5218F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激光粒度仪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494913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2059A6A">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6E4C8D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1FA0BB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云南屹伯科技有限公司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09F5D7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微波消解仪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CD27CA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31AFB3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C01BCB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9B2452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昆明纳瑞科技有限公司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71490C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 xml:space="preserve">卡尔费休水分仪 </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B02524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0E1A969">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D23E77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5727C9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昆明德冠科技有限公司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422A2F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 xml:space="preserve">万分之一天平 </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D1DB9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0B82038">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C2D098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6D30E3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力试（上海）科学仪器有限公司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9D4C76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万能材料试验机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2F233C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BDC5BC1">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2B8EB8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B302BB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南京莫杰斯能源科技有限公司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20A535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电池测试温控系统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12B0E9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B67E640">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FB8AFD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B3F865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天津语瓶仪器技术有限公司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F11249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洗瓶机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FB4EFF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54AD07D">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BF8EC3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78A879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昆明德冠科技有限公司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881947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 xml:space="preserve">真空干燥箱 </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E2A3BF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808431B">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22D24D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8EC7A9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昆明纳瑞科技有限公司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326FAA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 xml:space="preserve">半自动模切机 </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96B64D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2BC868E">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00322B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357EAB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苏州市新杉本电子科技有限公司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ED49B0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 xml:space="preserve">粉末电阻率仪 </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D4CB4A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756F90A">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582952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D9FFEE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浙江鋆泽智能科技有限公司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E022A8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UPS</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4262B4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0F31E3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E9CE1F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395280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苏州市新杉本电子科技有限公司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C2C8A9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 xml:space="preserve">溶剂回收机 </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3CE006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6CD8178">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9DA8B1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01758F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上海世赫机电设备有限公司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ABCA5A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双行星搅拌机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22BD66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C221841">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4EC8DD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20B5D1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苏州市新杉本电子科技有限公司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8FFBE6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马弗炉</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6378CD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9AA94E0">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3091F6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00759B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昆明浙宇仪器有限公司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5096F0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抗压抗折试验机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5F596E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E9FEAC0">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01E2C5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098E79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苏州市新杉本电子科技有限公司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4F8823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电阻率测试仪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CA8465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C11A57D">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7FD8B9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4DFD58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云南泽洋贸易有限公司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A104B9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粘度计、打印机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E303FF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0380FA2">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C069B4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480D29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昆明市盛云自动化技术有限责任公司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D1B706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检测设备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0B3E3D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E07538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1BCAEF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E910FE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众时(上海)机械有限公司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E1BC00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砂磨机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9A36FD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1C54739">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A1BCDD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7B37CC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昆明纳瑞科技有限公司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BC5C9E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检测设备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DE0BD2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A6E85EE">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84A4F9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5DD282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成都市叁陆零商贸有限公司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05B470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电阻率测试仪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8BFA01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A10879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D14A59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C20AF0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四川阿基米得科技有限公司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CE762F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振实密度仪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3CCFCF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E180B7E">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72E5DC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8CFB46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长沙天创粉末技术有限公司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34937A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球磨机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AE8BFE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39FDF1A">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B7DA82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EA9CA8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昆明恒平科学仪器有限公司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2CB3A0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滴定仪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97E76C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B9DEE21">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73EB95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C5A2B9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长沙开元仪器有限公司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A46C43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红外测硫仪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7E1C70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4438CAB">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4C528A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AB55F2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武汉市蓝电电子股份有限公司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B0FC51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蓝电电池测试系统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707E0B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FC68D64">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E782F9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3C6D24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南京莫杰斯能源科技有限公司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D7CE12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电池测试温控系统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D6715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EC92E1F">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F2B020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FFAACE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昆明米格贸易有限公司</w:t>
            </w:r>
          </w:p>
        </w:tc>
        <w:tc>
          <w:tcPr>
            <w:tcW w:w="2192" w:type="dxa"/>
            <w:tcBorders>
              <w:top w:val="single" w:color="000000" w:sz="4" w:space="0"/>
              <w:left w:val="single" w:color="000000" w:sz="4" w:space="0"/>
              <w:bottom w:val="single" w:color="000000" w:sz="4" w:space="0"/>
              <w:right w:val="single" w:color="000000" w:sz="4" w:space="0"/>
            </w:tcBorders>
            <w:vAlign w:val="center"/>
          </w:tcPr>
          <w:p w14:paraId="2EC8D1D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真空（充气）包装机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9272BD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90E2A6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6FB276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C22EFC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昆明米格贸易有限公司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355BE4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比表面仪处理器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B72400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1CD8760">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F7D623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82CFB8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0B9F19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876D4C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5EECF74">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4CF206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919ED0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江阴市林路机械设备有限公司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2A7CDF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卧轴粉碎机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951FB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5A9EE59">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599676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92111E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昆明百川电气有限公司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4B937F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检修箱</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A5DA0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23FE137">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329A1D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F31FF2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济南众诚液压机械有限公司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C1683C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卸车机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6C9AEB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5364497">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7AFF32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410799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715357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3B155D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4966BC1">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DF20C8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9D76F4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云南恒力重工机械有限公司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8D6027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破碎输送</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52A589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2BA98E1">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9B0BA7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BEDF13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龙岩亿丰机械科技有限公司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24AEB1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辊压磨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28FE8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6E2A90E">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B87BCE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1673A4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潍坊正远粉体工程设备有限公司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0342EA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整形机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CEDB91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B454AC7">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07C767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1DABC1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潍坊正远粉体工程设备有限公司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F6E324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沥青粉碎机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18C37C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0CF4A84">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C527AA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33821A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上海申银机械(集团)有限公司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B6FB3F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混料机15m³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7591D8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0D58982">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B6A8EC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1F5616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上海申银机械(集团)有限公司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DA6B44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混料机5m³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F5E545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A1B50AB">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B09112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5E3BF3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D2C583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941BDC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2591A67">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4F278E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514118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上海霏润机械设备有限公司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DF12DF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包装机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87CAF2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D667CC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F56BF2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DF01DE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上海贯川流体科技有限公司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FB8D00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010BE7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929EB6A">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FCD603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4F2075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宁波奥克斯智能科技股份有限公司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411305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动力柜</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2790E6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ED68FC0">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839409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76F96B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云南化机压力容器装备有限公司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EF64E6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储气罐</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A2B011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88B5F49">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85586E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42510B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东唐新能源工程(山东)有限公司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CFE997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碳钢烟囱</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E5330F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CD1B666">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5D3334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263411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宁波共盛电器科技有限公司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4C5442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变压器、配电柜</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ED497D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163C53B">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44F2FB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CE7207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宁波奥克斯智能科技股份有限公司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9D5D8B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0.4KV低压柜</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E7A9A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EB85687">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B923B4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3F9F52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宜兴市中亚电炉有限公司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73DCC0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回转窑</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8C8141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D9084FE">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0DC698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2C892C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宜兴市中亚电炉有限公司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3B4452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回转窑</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5CE7CA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567E66D">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C4AEB8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13A590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潍坊正远粉体工程设备有限公司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677651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机械磨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D6D4E7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B3FD9CE">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DFFAA1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42DA4B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潍坊正远粉体工程设备有限公司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615420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机械磨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8929A8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BD901DD">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B9391B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74A308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潍坊正远粉体工程设备有限公司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434D8C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分级机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A6E12E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ED55BD2">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F29471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D99F67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潍坊正远粉体工程设备有限公司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691A97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分级机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D1E4F4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EA9886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A30642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D7DFB7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常州逸盛机电技术有限公司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525B86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输送设备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320715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084ED4A">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8E290D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6DA5AC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广州恒尔电子设备有限公司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1DA18C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包装机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6F56DD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1C5064B">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68FEB3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A3FE48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东唐新能源工程(山东)有限公司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02E6AA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碳钢烟囱</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FBD71D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A6FBBE2">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E8F548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BA99C1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4D55C1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83BD53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188F0AE">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B878E3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A67A7E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5A10D2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E83636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B3F7279">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D863EF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22B72D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云南化机压力容器装备有限公司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7E0558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碳钢储罐</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43EE0B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EBC4BAA">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C1742F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37070E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江苏中创远达新能源装备有限公司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BA8BEE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反应釜</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3AFEA4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C81C038">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8AF7B5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F1CB15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江苏中创远达新能源装备有限公司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ACC61E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清灰搅拌装置</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DD481B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F0D2602">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8B803A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670F94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华自科技股份有限公司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71904C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卧式釜电控设备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5D9C95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ED3A85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677DEB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FA6D61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华自科技股份有限公司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E70D7A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卧式釜电控设备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A0DCF3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12C9CA8">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8ED8A8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BE98D4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高特自控阀门有限公司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9DEBEC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48CEA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EF027A9">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782B78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CC72A2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上海申银机械(集团)有限公司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FA8126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混料机8m³</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DD6A7C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FB9F01B">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E2E3D1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EEB364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浙江捷罡科技有限公司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08E639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解聚机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18E6B5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DE7E5DF">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B3D186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1DEAE3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广州恒尔电子设备有限公司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6CD682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包装机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121EF5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0C5BE6A">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46A933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79ECB3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1E80C1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E25F21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5EEFD3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D26C2B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309015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云南化机压力容器装备有限公司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B85EB3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碳钢储罐</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B9D205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E4E1082">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C748BE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E2913B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沈阳海普瑞真空科技有限公司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8E5F65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水环真空泵</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927936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F22CF76">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3DC395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291CBC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山东东唐环境科技有限公司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E444CA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碳钢烟囱</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D3E03C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D0D1911">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57DE5A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9E0981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云南大象滇鼓风机有限公司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83711B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尾气风机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3AF098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8CE1129">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A8794A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E5E2DE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江阴市林路机械设备有限公司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E138DA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卧轴粉碎机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F2CE80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1BFC7BD">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47529C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DD0E05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广州恒尔电子设备有限公司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13AEE5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简易包装机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CD5D0F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A7AE84B">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55E764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3ED3D3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云南化机压力容器装备有限公司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F53422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碳钢储罐</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81C8DD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8F5E693">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82E680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758B14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镇江默勒电器有限公司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095AC2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变压器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8F98F2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CD5DEFE">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C9B3E3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AAF83C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宁波奥克斯智能科技股份有限公司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A5F260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配电柜</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43F33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8B61709">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3D88C9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596604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云南大象滇鼓风机有限公司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4F8ABC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尾气风机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2E2FAA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B12777C">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C9E634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35263D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广州恒尔电子设备有限公司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ACC336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包装机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6DCAE2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366EBD8">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E7EB2B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D9B6BF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潍坊正远粉体工程设备有限公司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E89361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沥青磨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0EC46D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0EA7965">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E727E5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9664E7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云南化机压力容器装备有限公司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4DBEF4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过滤器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478949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C0B66D8">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E3FE52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447756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云南化机压力容器装备有限公司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47058B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碳钢储罐</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50781C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03989EB">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C75505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B98451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沈阳海普瑞真空科技有限公司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BA0611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水环真空泵</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2BAB83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719EFE8">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A6CCCD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AFB6E7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AC95F3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A576DB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C59B98D">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91587F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A0E3C7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无锡华雷新材料有限公司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F3369D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物料输送管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271370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C3495CF">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930292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7A8336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宁波奥克斯智能科技股份有限公司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AC80B7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0.4KV低压柜</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76DD94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77A7128">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864286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56FABC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镇江默勒电器有限公司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81CA98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10KV变压器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EA0BCD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96A7946">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F53E39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04E424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江阴市林路机械设备有限公司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551DA1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卧轴粉碎机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02869A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21450CE">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4BB361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D16EB0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新乡市振英机械设备有限公司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342F06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振动筛</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0DE4E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B06BE0D">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06CE09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BF05D6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佛山市高明星源机械有限公司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F3C889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除磁机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050137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02FA066">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CB5D71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708283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无锡满意包装机械有限公司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EFC016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包装机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4CDA49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79F9196">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E2952B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256A19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浙江捷罡科技有限公司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0816A9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棒销磨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FE38CD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722C1C9">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FA1142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18E6B1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云南化机压力容器装备有限公司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FAF2C2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碳钢储罐</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E3E4D2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B7608C9">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B71162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C6BEA1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上海诺冷冷暖设备有限公司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2FFCA2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冷水机组</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9FBC9B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A33EA02">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A3BCD4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33FEB5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634902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98ABAF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8DC844C">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4A4F26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6F3D1D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湖南宏工智能科技有限公司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2C664C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成品自动输送</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14CBD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111BFC2">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ECC09E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4A41EB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上海磅科衡器有限公司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73BE0E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复检称</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F2F9FC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10A06E4">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0F631D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FE3FAE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广州恒尔电子设备有限公司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81E117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包装机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48FF07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FAF834C">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8B708A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0D3045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A5A877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E0C0F2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B66E5EF">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B4CD2F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D45940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广州恒尔电子设备有限公司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14CFC8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包装机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17FB59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F65BC3A">
        <w:tblPrEx>
          <w:tblCellMar>
            <w:top w:w="0" w:type="dxa"/>
            <w:left w:w="108" w:type="dxa"/>
            <w:bottom w:w="0" w:type="dxa"/>
            <w:right w:w="108" w:type="dxa"/>
          </w:tblCellMar>
        </w:tblPrEx>
        <w:trPr>
          <w:trHeight w:val="169"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58FC78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7E59D3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ECD42C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3870F6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BA1AACD">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CF2DB8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BDDB24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广东维杰物料自动化系统有限公司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30DF40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输送系统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957E2B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9908BD0">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4223AE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03ADE9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阿特拉斯·科普柯(上海)贸易有限公司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D7996D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空压机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C9C0C4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F66A73D">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95079F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F64A71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上海凯泉泵业(集团)有限公司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36A0DF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厂区总循环水泵</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6A5BD9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38A9D33">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02AAC2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01AF13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常州中冷环保技术有限公司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4A59D4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冷却水塔</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8FB11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AA0CF89">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7BD641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7B50FB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山东东唐环境科技有限公司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829694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改性尾气站</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7B7A0C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53DB694">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646864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A9AEF0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山东泰开高压开关有限公司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4D1663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GIS</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04C2BE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614C9D4">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B922E4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206EDF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常州西电变压器有限责任公司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EE47E0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220KV主变</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EC426E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56FBA6E">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68F8B0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BD6650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河南华蒲重型智能机械有限公司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AEEF90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CD3D3C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86EFFE5">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A4FD89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434EF6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DD0EE0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348519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4319792">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55BDF9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09C7C5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河南省矿山起重机有限公司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E5A039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E47D13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D8795D5">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D90BA8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4504B2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山东金钊能源装备科技有限公司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7609C1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辅料筛分</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050242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DC2AAB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58BBF8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D40952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青岛子登电力设备有限公司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1A61E9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冷渣机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CEFFCD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8B79366">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01C8DD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27A5D1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株洲天桥起重机股份有限公司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B51984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吸料天车</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44C286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02351B1">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59E739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AC44E6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河南华蒲重型智能机械有限公司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8009F4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AEA78A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6229BD2">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601E7E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229E19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宁波奥克斯智能科技股份有限公司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BBFDD1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配电箱</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A9235B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FDD04F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8C09CF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05147E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湘潭华夏特种变压器有限公司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94042E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整流变压器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1539DE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835490F">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D14B9C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F288BD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青岛宜博科技股份有限公司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188C07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送电小车</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64D8D5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2E0F914">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F408C3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A508DB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盐城市兰丰环境工程科技有限公司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F59C76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脱硫塔</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243820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679BD29">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BC02B4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6488F9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云南宏升起重设备有限公司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8BA77E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地爬车</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4972BD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98F16C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75A908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866910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浙江金鼎锯业有限公司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1D7D16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石墨锯床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F88436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C9C0C4F">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16A490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58179B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宁波奥克斯智能科技股份有限公司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3278DA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配电设备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F72A7C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E288B55">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9910C5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C923C3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上海凯泉泵业(集团)有限公司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11C098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石墨化循环水泵</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A759B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1A4418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475FFE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DE78B2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常州中冷环保技术有限公司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6D2142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冷却水塔</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45C3D3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6BAC12D">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573229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D023A4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山东金钊能源装备科技有限公司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9822CE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辅料筛分系统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20075F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C44AB0C">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591AE8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0E0EF9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青岛盛世泰华环保科技有限公司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0556F4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辅料筛分系统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89B637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F7E4DCB">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162AFC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1FDEC3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青岛子登电力设备有限公司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55ABC3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冷渣机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4F2539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550748C">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B7B564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5AA3D4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河南省碧易克实业有限公司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EFCE7C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吸料天车</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7550FE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138436C">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A94185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E75C61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株洲天桥起重机股份有限公司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73E864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吸料天车</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4B224B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C64BCB9">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67F5B2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ED7D31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河南华蒲重型智能机械有限公司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8CAB60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桥式起重机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3B546A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36948D3">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FA904A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224A02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宁波奥克斯智能科技股份有限公司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2220E5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配电柜</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8D866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6F5E6E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91B9DB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37E783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湘潭华夏特种变压器有限公司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5D747D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整流变压器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EEC368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B0BF49D">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2A8661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1624ED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青岛宜博科技股份有限公司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3773B9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送电小车</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35CD2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28F7FC7">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4B3DB4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2F07ED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中船绿洲环保（南京）有限公司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F3E2F6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脱硫塔</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FAE737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0577A24">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625EB4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7C0EC7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云南宏升起重设备有限公司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F3CAF5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地爬车</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61F0D8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CE16124">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6F59F7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7F2FFF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宁波奥克斯智能科技股份有限公司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052132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配电设备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7B66F8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29C6B06">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D58667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3609D0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镇江默勒电器有限公司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C750AA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变压器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26A53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121EAE4">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5C2825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20E660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云南荣喆电气设备有限公司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D6CC3A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整流变远传交互系统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09BB95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07D6780">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D3CEDB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5786AD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上海凯泉泵业(集团)有限公司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7A84A8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石墨化循环水泵</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E40A16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0F666D7">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5F88D5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B53156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常州中冷环保技术有限公司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D68DF3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冷却水塔</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B492AA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F28E19B">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7D4310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269BB2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包头市千仪机电科技有限公司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D3E7AD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电子汽车衡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0FAC37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F3B73F5">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E63AE1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11A2D0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日立电梯（中国）有限公司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43D3D0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电梯</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C5B223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B38FCC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6DC8D3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6216F2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上海格为电子安全设备有限公司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BB15F7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有毒气体监测</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EA92D3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CA93E8B">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446886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0EAD78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青岛盛世泰华环保科技有限公司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C5ABA8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冷渣机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FB34D4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A4E0B5E">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3D11D7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864E05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云南聚控电气设备有限公司</w:t>
            </w:r>
          </w:p>
        </w:tc>
        <w:tc>
          <w:tcPr>
            <w:tcW w:w="2192" w:type="dxa"/>
            <w:tcBorders>
              <w:top w:val="single" w:color="000000" w:sz="4" w:space="0"/>
              <w:left w:val="single" w:color="000000" w:sz="4" w:space="0"/>
              <w:bottom w:val="single" w:color="000000" w:sz="4" w:space="0"/>
              <w:right w:val="single" w:color="000000" w:sz="4" w:space="0"/>
            </w:tcBorders>
            <w:vAlign w:val="center"/>
          </w:tcPr>
          <w:p w14:paraId="60FFF9B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配电箱</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71CE36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FAB55D1">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F16DA2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ABC158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成都市叁陆零商贸有限公司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C92FCE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有毒气体监测</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DFD762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88B5845">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B0818F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0B317F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云南浩铁环境工程有限公司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1AA72B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空调</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2FE804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1B9ED77">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4C5FEF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AD2666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众时(上海)机械有限公司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4AE504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砂磨机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E49D69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C3FEB4D">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4D7D84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790105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浙江捷罡科技有限公司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CD0254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旋风分离器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83249A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8E9F5BD">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B32B0D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2B6964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昆明纳瑞科技有限公司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1AFCC9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封口机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04818B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C929BFD">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284F66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1EE983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云南聚力丰电控设备有限公司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952C0B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电器柜</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6B8DA1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C9C5A9E">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F76FC4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2B8C83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云南深隆环保（集团）有限公司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5E5EE6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有毒气体监测</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0F89C9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571EE2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54D52B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26AFEF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昆明现代阳光新能源有限公司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DC3097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锅炉房余热回收系统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E4EF09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F76F6E7">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ECA720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785A6A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湖南群钢智能装备有限公司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D561C6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破碎皮带改造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8D1BF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E744A5C">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1EAAE6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332290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云南宏升起重设备有限公司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65D739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行车加装称重</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A287DF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869CB16">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E55940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41C738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深圳市东星制冷机电有限公司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28921F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冷水机组</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1E7E5D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445880C">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DA1049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53A5A3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云南深隆环保（集团）有限公司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AA3DAC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碳化尾气在线监测</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B0BF1B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37E3242">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A810A8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37DB28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宁波奥克斯智能科技股份有限公司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837154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配电设备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43800A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FEF6848">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B5ABFC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37D13A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诸城市中硕机械科技有限公司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067FB5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托盘自动清洗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022BE6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C513F81">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E807D8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25C891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湖南群钢智能装备有限公司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305455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刮板机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C4348E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4D38836">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3FE136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53C151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常州中冷环保技术有限公司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D01DAA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冷却塔</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B2F68C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13252C6">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21D6B7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DAF902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云南宏升起重设备有限公司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339707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简易吸料车</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D9D938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E672CE7">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29E6BD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29CF9B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云南浩铁环境工程有限公司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B25BC8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厂区空调</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BF2E7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9F7C625">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7327C4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6D75C6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青岛盛世泰华环保科技有限公司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F00D1B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原料二破碎输送</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D7AC58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B33189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17962F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8D587C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浙江捷罡科技有限公司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2C78B8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旋风分离器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C41966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858AE32">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2438E1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4AF8A8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云南晨鸣电器有限公司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D63673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高压柜改造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97C807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E4BF0D5">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D1F75B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AF437E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安宁进华机械制造有限公司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612C41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气液分离器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8F9480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F883949">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262E42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6D6D48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广州恒尔电子设备有限公司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AA31EC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脱气小包系统</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EE0577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C500C00">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80A834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65A375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昆明恒平科学仪器有限公司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E0AFA6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压实密度仪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635E2F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CA45878">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5E9046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75A202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福建龙亿粉体装备制造有限公司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78F8DF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间歇整形机</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9473AB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CE676BB">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7E2D33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3CD430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常州逸盛机电技术有限公司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491A59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间歇整形机输送设备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28B166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C445CB0">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065C89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3BCC140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云南玛尔斯科技有限公司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F2A2B7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麦克比表面仪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FD2278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E7B789C">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5A4873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3E3C9B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常州逸盛机电技术有限公司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4BEDDB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混焦输送设备</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94D1DC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6092D48">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1CEF06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AE9A9C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昆明电缆集团昆电工电缆有限公司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12456D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控制电缆</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A2484D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A4A43CB">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91B02B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C430A7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特变电工（德阳）电缆股份有限公司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2F5E3C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控制电缆</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E30341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2C0DB97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E17B7D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EF5491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江苏上上电缆集团有限公司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301CCD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10KV、110KV电缆</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71C845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21796F8">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59135D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ECA6B1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特变电工（德阳）电缆股份有限公司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67C2FB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控制电缆</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53F8D2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B49AC15">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E07749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F10D68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远程电缆股份有限公司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40263F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第五批电缆</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C2B94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11A84D0">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45B87A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671073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宁波球冠电缆股份有限公司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92D824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110KV电缆</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1EB75F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5340FE9">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165FCD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0A1F02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长缆电工长缆电工科技股份有限公司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F8670B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110KV电缆终端接头</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39EFBF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EF687A6">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95342C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A366E3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成都华力华电力科技有限公司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052E1EB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110KV电缆终端接头</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55D7FA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9F7F84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2BED9A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EB18AC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上海贯川流体科技有限公司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C24DDD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D5F3EC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1BF3FC9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8FCF7D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BBDAFF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714E9C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85A517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4FB3CEDB">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A2E668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12026E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98242D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54C004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DE98A91">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4013755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45892C8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高特自控阀门有限公司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3A7EDB9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FBA01F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11F7B17">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5375947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0CEB25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上海贯川流体科技有限公司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49C842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386B02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AA2B91A">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FC1F56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0EF128C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4B6D78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57813F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6852BA3">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7FA41A7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197</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599643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8A7336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气动高温球阀</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6CD07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1C8D497">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3DE7C29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198</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F21D5E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5018DD9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4F979F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2EF2CA4">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090993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199</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6652D68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高特自控阀门有限公司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12FDDDE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高温阀门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037ACD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0EFCA1E3">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C907CA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200</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1E0BBE4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上海贯川流体科技有限公司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3909EC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高温阀门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E2866C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79BA9C19">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CDB4C0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201</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54002B6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58D716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高温阀门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E450AC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BBBE942">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0703734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202</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A6B338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6DA3B03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BACB58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C64546E">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22F0693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203</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7C00129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29D698A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自控阀门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8AC131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3E5661A6">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6007F75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204</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CA7EC4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11FC0A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烟气阀门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A2D7E6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6BBBAD9E">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2ECF47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205</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76A9CC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江苏江恒阀业有限公司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400D05D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烟气阀门</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EA6B00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r w14:paraId="5197D91B">
        <w:tblPrEx>
          <w:tblCellMar>
            <w:top w:w="0" w:type="dxa"/>
            <w:left w:w="108" w:type="dxa"/>
            <w:bottom w:w="0" w:type="dxa"/>
            <w:right w:w="108" w:type="dxa"/>
          </w:tblCellMar>
        </w:tblPrEx>
        <w:trPr>
          <w:trHeight w:val="333" w:hRule="atLeast"/>
        </w:trPr>
        <w:tc>
          <w:tcPr>
            <w:tcW w:w="978" w:type="dxa"/>
            <w:tcBorders>
              <w:top w:val="single" w:color="000000" w:sz="4" w:space="0"/>
              <w:left w:val="single" w:color="000000" w:sz="4" w:space="0"/>
              <w:bottom w:val="single" w:color="000000" w:sz="4" w:space="0"/>
              <w:right w:val="single" w:color="000000" w:sz="4" w:space="0"/>
            </w:tcBorders>
            <w:noWrap/>
            <w:vAlign w:val="center"/>
          </w:tcPr>
          <w:p w14:paraId="1A0085A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206</w:t>
            </w:r>
          </w:p>
        </w:tc>
        <w:tc>
          <w:tcPr>
            <w:tcW w:w="3552" w:type="dxa"/>
            <w:tcBorders>
              <w:top w:val="single" w:color="000000" w:sz="4" w:space="0"/>
              <w:left w:val="single" w:color="000000" w:sz="4" w:space="0"/>
              <w:bottom w:val="single" w:color="000000" w:sz="4" w:space="0"/>
              <w:right w:val="single" w:color="000000" w:sz="4" w:space="0"/>
            </w:tcBorders>
            <w:noWrap/>
            <w:vAlign w:val="center"/>
          </w:tcPr>
          <w:p w14:paraId="2113357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上海思百吉仪器系统有限公司</w:t>
            </w:r>
          </w:p>
        </w:tc>
        <w:tc>
          <w:tcPr>
            <w:tcW w:w="2192" w:type="dxa"/>
            <w:tcBorders>
              <w:top w:val="single" w:color="000000" w:sz="4" w:space="0"/>
              <w:left w:val="single" w:color="000000" w:sz="4" w:space="0"/>
              <w:bottom w:val="single" w:color="000000" w:sz="4" w:space="0"/>
              <w:right w:val="single" w:color="000000" w:sz="4" w:space="0"/>
            </w:tcBorders>
            <w:noWrap/>
            <w:vAlign w:val="center"/>
          </w:tcPr>
          <w:p w14:paraId="78F64CF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马尔文粒度仪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F2EDC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p>
        </w:tc>
      </w:tr>
    </w:tbl>
    <w:p w14:paraId="5CF021B4">
      <w:pPr>
        <w:ind w:firstLine="0" w:firstLineChars="0"/>
        <w:sectPr>
          <w:footerReference r:id="rId13" w:type="default"/>
          <w:pgSz w:w="11906" w:h="16838"/>
          <w:pgMar w:top="1418" w:right="1134" w:bottom="1247" w:left="1588" w:header="851" w:footer="1008" w:gutter="0"/>
          <w:pgNumType w:fmt="decimal" w:start="1"/>
          <w:cols w:space="720" w:num="1"/>
          <w:docGrid w:linePitch="312" w:charSpace="0"/>
        </w:sectPr>
      </w:pPr>
    </w:p>
    <w:p w14:paraId="7BBEC8C5">
      <w:pPr>
        <w:pStyle w:val="5"/>
        <w:rPr>
          <w:color w:val="auto"/>
        </w:rPr>
      </w:pPr>
      <w:bookmarkStart w:id="274" w:name="_Toc463820830"/>
      <w:bookmarkStart w:id="275" w:name="_Toc331686987"/>
      <w:bookmarkStart w:id="276" w:name="_Toc449389072"/>
      <w:bookmarkStart w:id="277" w:name="_Toc434310409"/>
      <w:bookmarkStart w:id="278" w:name="_Toc449443439"/>
      <w:bookmarkStart w:id="279" w:name="_Toc449442642"/>
      <w:bookmarkStart w:id="280" w:name="_Toc451549759"/>
      <w:bookmarkStart w:id="281" w:name="_Toc448780574"/>
      <w:bookmarkStart w:id="282" w:name="_Toc9852693"/>
      <w:bookmarkStart w:id="283" w:name="_Toc451549957"/>
      <w:bookmarkStart w:id="284" w:name="_Toc448780956"/>
      <w:bookmarkStart w:id="285" w:name="_Toc160982175"/>
      <w:bookmarkStart w:id="286" w:name="_Toc160982407"/>
      <w:bookmarkStart w:id="287" w:name="_Toc160982062"/>
      <w:bookmarkStart w:id="288" w:name="_Toc160982526"/>
      <w:bookmarkStart w:id="289" w:name="_Toc215210554"/>
      <w:r>
        <w:rPr>
          <w:color w:val="auto"/>
        </w:rPr>
        <w:t>2.</w:t>
      </w:r>
      <w:bookmarkEnd w:id="274"/>
      <w:bookmarkEnd w:id="275"/>
      <w:bookmarkEnd w:id="276"/>
      <w:bookmarkEnd w:id="277"/>
      <w:bookmarkEnd w:id="278"/>
      <w:bookmarkEnd w:id="279"/>
      <w:bookmarkEnd w:id="280"/>
      <w:bookmarkEnd w:id="281"/>
      <w:bookmarkEnd w:id="282"/>
      <w:bookmarkEnd w:id="283"/>
      <w:bookmarkEnd w:id="284"/>
      <w:r>
        <w:rPr>
          <w:rFonts w:hint="eastAsia"/>
          <w:color w:val="auto"/>
        </w:rPr>
        <w:t>6</w:t>
      </w:r>
      <w:r>
        <w:rPr>
          <w:color w:val="auto"/>
        </w:rPr>
        <w:t>安全管理情况</w:t>
      </w:r>
      <w:bookmarkEnd w:id="285"/>
      <w:bookmarkEnd w:id="286"/>
      <w:bookmarkEnd w:id="287"/>
      <w:bookmarkEnd w:id="288"/>
      <w:bookmarkEnd w:id="289"/>
    </w:p>
    <w:p w14:paraId="002D3A04">
      <w:pPr>
        <w:pStyle w:val="9"/>
        <w:rPr>
          <w:color w:val="auto"/>
        </w:rPr>
      </w:pPr>
      <w:bookmarkStart w:id="290" w:name="_Toc451549763"/>
      <w:bookmarkStart w:id="291" w:name="_Toc448780578"/>
      <w:bookmarkStart w:id="292" w:name="_Toc449442646"/>
      <w:bookmarkStart w:id="293" w:name="_Toc463820832"/>
      <w:bookmarkStart w:id="294" w:name="_Toc448780960"/>
      <w:bookmarkStart w:id="295" w:name="_Toc449389076"/>
      <w:bookmarkStart w:id="296" w:name="_Toc451549961"/>
      <w:bookmarkStart w:id="297" w:name="_Toc449443443"/>
      <w:bookmarkStart w:id="298" w:name="_Toc215210555"/>
      <w:bookmarkStart w:id="299" w:name="_Toc9852695"/>
      <w:r>
        <w:rPr>
          <w:color w:val="auto"/>
        </w:rPr>
        <w:t>2.</w:t>
      </w:r>
      <w:r>
        <w:rPr>
          <w:rFonts w:hint="eastAsia"/>
          <w:color w:val="auto"/>
        </w:rPr>
        <w:t>5</w:t>
      </w:r>
      <w:r>
        <w:rPr>
          <w:color w:val="auto"/>
        </w:rPr>
        <w:t>.1</w:t>
      </w:r>
      <w:bookmarkEnd w:id="290"/>
      <w:bookmarkEnd w:id="291"/>
      <w:bookmarkEnd w:id="292"/>
      <w:bookmarkEnd w:id="293"/>
      <w:bookmarkEnd w:id="294"/>
      <w:bookmarkEnd w:id="295"/>
      <w:bookmarkEnd w:id="296"/>
      <w:bookmarkEnd w:id="297"/>
      <w:r>
        <w:rPr>
          <w:rFonts w:hint="eastAsia"/>
          <w:color w:val="auto"/>
        </w:rPr>
        <w:t>安全管理</w:t>
      </w:r>
      <w:r>
        <w:rPr>
          <w:color w:val="auto"/>
        </w:rPr>
        <w:t>机构</w:t>
      </w:r>
      <w:bookmarkEnd w:id="298"/>
      <w:bookmarkEnd w:id="299"/>
    </w:p>
    <w:p w14:paraId="34F8429F">
      <w:pPr>
        <w:ind w:firstLine="560"/>
        <w:rPr>
          <w:rFonts w:cs="Times New Roman"/>
        </w:rPr>
      </w:pPr>
      <w:r>
        <w:rPr>
          <w:rFonts w:hint="eastAsia"/>
          <w:szCs w:val="28"/>
        </w:rPr>
        <w:t>云南杉杉新材料有限公司数字化转型专项建设</w:t>
      </w:r>
      <w:r>
        <w:rPr>
          <w:rFonts w:hint="eastAsia"/>
        </w:rPr>
        <w:t>项目针对现有磨粉、改性、石墨化、成品加工等数字化进行优化升级，实现数字化水平提升，</w:t>
      </w:r>
      <w:r>
        <w:rPr>
          <w:rFonts w:hint="eastAsia" w:cs="Times New Roman"/>
        </w:rPr>
        <w:t>安全管理机构不变</w:t>
      </w:r>
      <w:r>
        <w:rPr>
          <w:rFonts w:cs="Times New Roman"/>
        </w:rPr>
        <w:t>。</w:t>
      </w:r>
      <w:r>
        <w:rPr>
          <w:rFonts w:hint="eastAsia"/>
          <w:szCs w:val="28"/>
        </w:rPr>
        <w:t>项目建设安全管理纳入全公司安全管理机构，杉杉公司</w:t>
      </w:r>
      <w:r>
        <w:rPr>
          <w:szCs w:val="28"/>
        </w:rPr>
        <w:t>下设</w:t>
      </w:r>
      <w:r>
        <w:rPr>
          <w:rFonts w:hint="eastAsia"/>
          <w:szCs w:val="28"/>
        </w:rPr>
        <w:t>财务部、内控部、工程部、设备部、技术一部、行政部、人事部、采购部、生产一部、安环部、生产二部、技术二部、PMC部</w:t>
      </w:r>
      <w:r>
        <w:rPr>
          <w:szCs w:val="28"/>
        </w:rPr>
        <w:t>。</w:t>
      </w:r>
    </w:p>
    <w:p w14:paraId="3320983E">
      <w:pPr>
        <w:ind w:firstLine="560"/>
        <w:rPr>
          <w:szCs w:val="28"/>
        </w:rPr>
      </w:pPr>
      <w:r>
        <w:rPr>
          <w:rFonts w:hint="eastAsia"/>
          <w:szCs w:val="28"/>
        </w:rPr>
        <w:t>云南杉杉新材料有限公司</w:t>
      </w:r>
      <w:r>
        <w:rPr>
          <w:szCs w:val="28"/>
        </w:rPr>
        <w:t>为了加强安全生产管理，健全安全管理机构，设置安环部作为安全生产日常管理机构，成立了安全环保委员会，并任命了</w:t>
      </w:r>
      <w:r>
        <w:rPr>
          <w:rFonts w:hint="eastAsia"/>
          <w:szCs w:val="28"/>
        </w:rPr>
        <w:t>6</w:t>
      </w:r>
      <w:r>
        <w:rPr>
          <w:szCs w:val="28"/>
        </w:rPr>
        <w:t>名专职安全生产管理员。安全环保委员会组织机构网络图见下图所示。</w:t>
      </w:r>
    </w:p>
    <w:p w14:paraId="047D4B22">
      <w:pPr>
        <w:ind w:left="-1400" w:leftChars="-500" w:right="-1400" w:rightChars="-500" w:firstLine="560"/>
        <w:jc w:val="center"/>
      </w:pPr>
      <w:r>
        <w:drawing>
          <wp:inline distT="0" distB="0" distL="0" distR="0">
            <wp:extent cx="5831840" cy="3624580"/>
            <wp:effectExtent l="0" t="0" r="0" b="0"/>
            <wp:docPr id="739228750" name="图片 29"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28750" name="图片 29" descr="图示&#10;&#10;AI 生成的内容可能不正确。"/>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831840" cy="3624580"/>
                    </a:xfrm>
                    <a:prstGeom prst="rect">
                      <a:avLst/>
                    </a:prstGeom>
                    <a:noFill/>
                    <a:ln>
                      <a:noFill/>
                    </a:ln>
                    <a:effectLst/>
                  </pic:spPr>
                </pic:pic>
              </a:graphicData>
            </a:graphic>
          </wp:inline>
        </w:drawing>
      </w:r>
    </w:p>
    <w:p w14:paraId="33D2D6F5">
      <w:pPr>
        <w:pStyle w:val="574"/>
        <w:widowControl/>
        <w:numPr>
          <w:ilvl w:val="0"/>
          <w:numId w:val="11"/>
        </w:numPr>
        <w:spacing w:before="120" w:after="120" w:line="240" w:lineRule="auto"/>
        <w:ind w:left="482" w:hanging="482" w:hangingChars="200"/>
        <w:jc w:val="center"/>
        <w:textAlignment w:val="baseline"/>
        <w:rPr>
          <w:rFonts w:ascii="Times New Roman" w:hAnsi="Times New Roman" w:cs="Times New Roman"/>
          <w:b/>
          <w:bCs/>
          <w:sz w:val="24"/>
          <w:szCs w:val="24"/>
        </w:rPr>
      </w:pPr>
      <w:r>
        <w:rPr>
          <w:rFonts w:ascii="Times New Roman" w:hAnsi="Times New Roman" w:cs="Times New Roman"/>
          <w:b/>
          <w:bCs/>
          <w:sz w:val="24"/>
          <w:szCs w:val="24"/>
        </w:rPr>
        <w:t>安全环保组织机构网络图</w:t>
      </w:r>
    </w:p>
    <w:p w14:paraId="2231E8EB">
      <w:pPr>
        <w:spacing w:line="500" w:lineRule="exact"/>
        <w:ind w:firstLine="560"/>
        <w:rPr>
          <w:rFonts w:cs="Times New Roman"/>
        </w:rPr>
      </w:pPr>
      <w:r>
        <w:rPr>
          <w:rFonts w:hint="eastAsia" w:cs="Times New Roman"/>
        </w:rPr>
        <w:t>云南杉杉新材料有限公司锂离子电池负极材料一体化数字化转型改造项目建设沿用现有安全管理机构，满安全管理要求。</w:t>
      </w:r>
    </w:p>
    <w:p w14:paraId="3A8D41BB">
      <w:pPr>
        <w:pStyle w:val="9"/>
        <w:rPr>
          <w:color w:val="auto"/>
        </w:rPr>
      </w:pPr>
      <w:bookmarkStart w:id="300" w:name="_Toc438677464"/>
      <w:bookmarkStart w:id="301" w:name="_Toc9852696"/>
      <w:bookmarkStart w:id="302" w:name="_Toc416698269"/>
      <w:bookmarkStart w:id="303" w:name="_Toc463820833"/>
      <w:bookmarkStart w:id="304" w:name="_Toc215210556"/>
      <w:r>
        <w:rPr>
          <w:color w:val="auto"/>
        </w:rPr>
        <w:t>2.</w:t>
      </w:r>
      <w:r>
        <w:rPr>
          <w:rFonts w:hint="eastAsia"/>
          <w:color w:val="auto"/>
        </w:rPr>
        <w:t>6</w:t>
      </w:r>
      <w:r>
        <w:rPr>
          <w:color w:val="auto"/>
        </w:rPr>
        <w:t>.2劳动定员</w:t>
      </w:r>
      <w:bookmarkEnd w:id="300"/>
      <w:bookmarkEnd w:id="301"/>
      <w:bookmarkEnd w:id="302"/>
      <w:bookmarkEnd w:id="303"/>
      <w:bookmarkEnd w:id="304"/>
    </w:p>
    <w:p w14:paraId="4B02899A">
      <w:pPr>
        <w:spacing w:line="500" w:lineRule="exact"/>
        <w:ind w:firstLine="560"/>
        <w:rPr>
          <w:rFonts w:cs="Times New Roman"/>
        </w:rPr>
      </w:pPr>
      <w:r>
        <w:rPr>
          <w:rFonts w:hint="eastAsia"/>
          <w:szCs w:val="28"/>
        </w:rPr>
        <w:t>云南杉杉新材料有限公司数字化转型专项建设</w:t>
      </w:r>
      <w:r>
        <w:rPr>
          <w:rFonts w:hint="eastAsia"/>
        </w:rPr>
        <w:t>项目</w:t>
      </w:r>
      <w:r>
        <w:rPr>
          <w:rFonts w:cs="Times New Roman"/>
          <w:lang w:val="en-GB"/>
        </w:rPr>
        <w:t>无新增定员。</w:t>
      </w:r>
    </w:p>
    <w:p w14:paraId="3B65B256">
      <w:pPr>
        <w:pStyle w:val="9"/>
        <w:rPr>
          <w:color w:val="auto"/>
        </w:rPr>
      </w:pPr>
      <w:bookmarkStart w:id="305" w:name="_Toc463820834"/>
      <w:bookmarkStart w:id="306" w:name="_Toc438677465"/>
      <w:bookmarkStart w:id="307" w:name="_Toc416698270"/>
      <w:bookmarkStart w:id="308" w:name="_Toc9852697"/>
      <w:bookmarkStart w:id="309" w:name="_Toc215210557"/>
      <w:r>
        <w:rPr>
          <w:color w:val="auto"/>
        </w:rPr>
        <w:t>2.</w:t>
      </w:r>
      <w:r>
        <w:rPr>
          <w:rFonts w:hint="eastAsia"/>
          <w:color w:val="auto"/>
        </w:rPr>
        <w:t>6</w:t>
      </w:r>
      <w:r>
        <w:rPr>
          <w:color w:val="auto"/>
        </w:rPr>
        <w:t>.3人员教育培训</w:t>
      </w:r>
      <w:bookmarkEnd w:id="305"/>
      <w:bookmarkEnd w:id="306"/>
      <w:bookmarkEnd w:id="307"/>
      <w:bookmarkEnd w:id="308"/>
      <w:bookmarkEnd w:id="309"/>
    </w:p>
    <w:p w14:paraId="48FCD659">
      <w:pPr>
        <w:spacing w:line="500" w:lineRule="exact"/>
        <w:ind w:firstLine="560"/>
        <w:rPr>
          <w:rFonts w:cs="Times New Roman"/>
        </w:rPr>
      </w:pPr>
      <w:r>
        <w:rPr>
          <w:rFonts w:cs="Times New Roman"/>
        </w:rPr>
        <w:t>本</w:t>
      </w:r>
      <w:r>
        <w:rPr>
          <w:rFonts w:hint="eastAsia" w:cs="Times New Roman"/>
        </w:rPr>
        <w:t>项目</w:t>
      </w:r>
      <w:r>
        <w:rPr>
          <w:rFonts w:cs="Times New Roman"/>
        </w:rPr>
        <w:t>自动化水平较高，在本</w:t>
      </w:r>
      <w:r>
        <w:rPr>
          <w:rFonts w:hint="eastAsia" w:cs="Times New Roman"/>
        </w:rPr>
        <w:t>项目</w:t>
      </w:r>
      <w:r>
        <w:rPr>
          <w:rFonts w:cs="Times New Roman"/>
        </w:rPr>
        <w:t>投产前组织人员进行培训。培训按各个岗位要求分别进行，另外对于重要设备的维护、维修人员，在设备生产期间即到制造商所在地进行培训，并要求参加设备的调试。</w:t>
      </w:r>
    </w:p>
    <w:p w14:paraId="4FCB124B">
      <w:pPr>
        <w:pStyle w:val="5"/>
        <w:rPr>
          <w:color w:val="auto"/>
        </w:rPr>
      </w:pPr>
      <w:bookmarkStart w:id="310" w:name="_Toc160982065"/>
      <w:bookmarkStart w:id="311" w:name="_Toc9852699"/>
      <w:bookmarkStart w:id="312" w:name="_Toc160982178"/>
      <w:bookmarkStart w:id="313" w:name="_Toc160982410"/>
      <w:bookmarkStart w:id="314" w:name="_Toc160982529"/>
      <w:bookmarkStart w:id="315" w:name="_Toc215210558"/>
      <w:r>
        <w:rPr>
          <w:color w:val="auto"/>
        </w:rPr>
        <w:t>2.</w:t>
      </w:r>
      <w:r>
        <w:rPr>
          <w:rFonts w:hint="eastAsia"/>
          <w:color w:val="auto"/>
        </w:rPr>
        <w:t xml:space="preserve">7 </w:t>
      </w:r>
      <w:r>
        <w:rPr>
          <w:color w:val="auto"/>
        </w:rPr>
        <w:t>项目安全设施及投资</w:t>
      </w:r>
      <w:bookmarkEnd w:id="310"/>
      <w:bookmarkEnd w:id="311"/>
      <w:bookmarkEnd w:id="312"/>
      <w:bookmarkEnd w:id="313"/>
      <w:bookmarkEnd w:id="314"/>
      <w:bookmarkEnd w:id="315"/>
    </w:p>
    <w:p w14:paraId="21CA1584">
      <w:pPr>
        <w:spacing w:line="500" w:lineRule="exact"/>
        <w:ind w:firstLine="560"/>
        <w:rPr>
          <w:rFonts w:cs="Times New Roman"/>
        </w:rPr>
      </w:pPr>
      <w:r>
        <w:rPr>
          <w:rFonts w:cs="Times New Roman"/>
        </w:rPr>
        <w:t>本</w:t>
      </w:r>
      <w:r>
        <w:rPr>
          <w:rFonts w:hint="eastAsia" w:cs="Times New Roman"/>
        </w:rPr>
        <w:t>项目总投资27000万元，其中固定资产投资27000万元且均为设备投资。</w:t>
      </w:r>
    </w:p>
    <w:p w14:paraId="0A203633">
      <w:pPr>
        <w:spacing w:line="500" w:lineRule="exact"/>
        <w:ind w:firstLine="560"/>
        <w:rPr>
          <w:rFonts w:eastAsia="仿宋_GB2312" w:cs="Times New Roman"/>
          <w:szCs w:val="28"/>
        </w:rPr>
      </w:pPr>
      <w:r>
        <w:rPr>
          <w:rFonts w:cs="Times New Roman"/>
          <w:szCs w:val="28"/>
        </w:rPr>
        <w:t>目前</w:t>
      </w:r>
      <w:r>
        <w:rPr>
          <w:rFonts w:hint="eastAsia" w:cs="Times New Roman"/>
          <w:szCs w:val="28"/>
        </w:rPr>
        <w:t>项目建议书</w:t>
      </w:r>
      <w:r>
        <w:rPr>
          <w:rFonts w:cs="Times New Roman"/>
          <w:szCs w:val="28"/>
        </w:rPr>
        <w:t>中尚未明确安全设施及其投资明细，建议在下一步安全设施设计中予以明确。</w:t>
      </w:r>
    </w:p>
    <w:p w14:paraId="10CBEA51">
      <w:pPr>
        <w:pStyle w:val="13"/>
        <w:widowControl w:val="0"/>
        <w:spacing w:line="500" w:lineRule="exact"/>
        <w:ind w:left="529" w:leftChars="189" w:firstLine="300"/>
        <w:jc w:val="both"/>
        <w:rPr>
          <w:snapToGrid/>
          <w:spacing w:val="10"/>
          <w:kern w:val="28"/>
          <w:sz w:val="28"/>
          <w:szCs w:val="28"/>
          <w:u w:val="none"/>
        </w:rPr>
      </w:pPr>
    </w:p>
    <w:p w14:paraId="79E8EA35">
      <w:pPr>
        <w:pStyle w:val="13"/>
        <w:widowControl w:val="0"/>
        <w:spacing w:line="500" w:lineRule="exact"/>
        <w:ind w:left="529" w:leftChars="189" w:firstLine="300"/>
        <w:jc w:val="both"/>
        <w:rPr>
          <w:snapToGrid/>
          <w:spacing w:val="10"/>
          <w:kern w:val="28"/>
          <w:sz w:val="28"/>
          <w:szCs w:val="28"/>
          <w:u w:val="none"/>
        </w:rPr>
        <w:sectPr>
          <w:pgSz w:w="11906" w:h="16838"/>
          <w:pgMar w:top="1418" w:right="1134" w:bottom="1247" w:left="1588" w:header="851" w:footer="1008" w:gutter="0"/>
          <w:pgNumType w:fmt="decimal"/>
          <w:cols w:space="720" w:num="1"/>
          <w:docGrid w:linePitch="312" w:charSpace="0"/>
        </w:sectPr>
      </w:pPr>
    </w:p>
    <w:p w14:paraId="776DE9B6">
      <w:pPr>
        <w:pStyle w:val="3"/>
        <w:spacing w:before="0" w:after="240" w:afterLines="100"/>
        <w:ind w:firstLine="883"/>
        <w:rPr>
          <w:color w:val="auto"/>
          <w:kern w:val="0"/>
        </w:rPr>
      </w:pPr>
      <w:bookmarkStart w:id="316" w:name="_Toc160982066"/>
      <w:bookmarkStart w:id="317" w:name="_Toc448780581"/>
      <w:bookmarkStart w:id="318" w:name="_Toc160982411"/>
      <w:bookmarkStart w:id="319" w:name="_Toc463820836"/>
      <w:bookmarkStart w:id="320" w:name="_Toc449443446"/>
      <w:bookmarkStart w:id="321" w:name="_Toc160982530"/>
      <w:bookmarkStart w:id="322" w:name="_Toc451549766"/>
      <w:bookmarkStart w:id="323" w:name="_Toc215210559"/>
      <w:bookmarkStart w:id="324" w:name="_Toc9852700"/>
      <w:bookmarkStart w:id="325" w:name="_Toc449442649"/>
      <w:bookmarkStart w:id="326" w:name="_Toc448780963"/>
      <w:bookmarkStart w:id="327" w:name="_Toc449389079"/>
      <w:bookmarkStart w:id="328" w:name="_Toc451549964"/>
      <w:bookmarkStart w:id="329" w:name="_Toc160982179"/>
      <w:r>
        <w:rPr>
          <w:color w:val="auto"/>
          <w:kern w:val="0"/>
        </w:rPr>
        <w:t>第3章 主要危险、有害因素辨识与分析</w:t>
      </w:r>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4EABF210">
      <w:pPr>
        <w:pStyle w:val="5"/>
        <w:rPr>
          <w:color w:val="auto"/>
        </w:rPr>
      </w:pPr>
      <w:bookmarkStart w:id="330" w:name="_Toc160982412"/>
      <w:bookmarkStart w:id="331" w:name="_Toc160982180"/>
      <w:bookmarkStart w:id="332" w:name="_Toc160982531"/>
      <w:bookmarkStart w:id="333" w:name="_Toc160982067"/>
      <w:bookmarkStart w:id="334" w:name="_Toc215210560"/>
      <w:r>
        <w:rPr>
          <w:color w:val="auto"/>
        </w:rPr>
        <w:t>3.1主要物质危险、有害因素分析</w:t>
      </w:r>
      <w:bookmarkEnd w:id="330"/>
      <w:bookmarkEnd w:id="331"/>
      <w:bookmarkEnd w:id="332"/>
      <w:bookmarkEnd w:id="333"/>
      <w:bookmarkEnd w:id="334"/>
    </w:p>
    <w:p w14:paraId="35722EE6">
      <w:pPr>
        <w:pStyle w:val="9"/>
        <w:rPr>
          <w:color w:val="auto"/>
        </w:rPr>
      </w:pPr>
      <w:bookmarkStart w:id="335" w:name="_Toc160982181"/>
      <w:bookmarkStart w:id="336" w:name="_Toc160982413"/>
      <w:bookmarkStart w:id="337" w:name="_Toc215210561"/>
      <w:bookmarkStart w:id="338" w:name="_Toc160982068"/>
      <w:bookmarkStart w:id="339" w:name="_Toc160982532"/>
      <w:r>
        <w:rPr>
          <w:color w:val="auto"/>
        </w:rPr>
        <w:t>3.1.1主要危险、有害物质</w:t>
      </w:r>
      <w:bookmarkEnd w:id="335"/>
      <w:bookmarkEnd w:id="336"/>
      <w:bookmarkEnd w:id="337"/>
      <w:bookmarkEnd w:id="338"/>
      <w:bookmarkEnd w:id="339"/>
    </w:p>
    <w:p w14:paraId="5B89ED4B">
      <w:pPr>
        <w:ind w:firstLine="560"/>
        <w:rPr>
          <w:szCs w:val="28"/>
        </w:rPr>
      </w:pPr>
      <w:r>
        <w:rPr>
          <w:rFonts w:hint="eastAsia"/>
          <w:szCs w:val="28"/>
        </w:rPr>
        <w:t>拟改造项目</w:t>
      </w:r>
      <w:r>
        <w:rPr>
          <w:szCs w:val="28"/>
        </w:rPr>
        <w:t>存在的主要危险、有害物质有：</w:t>
      </w:r>
    </w:p>
    <w:p w14:paraId="0CEBC8C1">
      <w:pPr>
        <w:ind w:firstLine="560"/>
        <w:rPr>
          <w:szCs w:val="28"/>
        </w:rPr>
      </w:pPr>
      <w:r>
        <w:rPr>
          <w:rFonts w:hint="eastAsia"/>
          <w:szCs w:val="28"/>
        </w:rPr>
        <w:t>1</w:t>
      </w:r>
      <w:r>
        <w:rPr>
          <w:szCs w:val="28"/>
        </w:rPr>
        <w:t>.</w:t>
      </w:r>
      <w:r>
        <w:rPr>
          <w:rFonts w:hint="eastAsia"/>
          <w:szCs w:val="28"/>
        </w:rPr>
        <w:t>尾气：含有少量的CO、SO</w:t>
      </w:r>
      <w:r>
        <w:rPr>
          <w:rFonts w:hint="eastAsia"/>
          <w:szCs w:val="28"/>
          <w:vertAlign w:val="subscript"/>
        </w:rPr>
        <w:t>2</w:t>
      </w:r>
      <w:r>
        <w:rPr>
          <w:rFonts w:hint="eastAsia"/>
          <w:szCs w:val="28"/>
        </w:rPr>
        <w:t>、NO</w:t>
      </w:r>
      <w:r>
        <w:rPr>
          <w:rFonts w:hint="eastAsia"/>
          <w:szCs w:val="28"/>
          <w:vertAlign w:val="subscript"/>
        </w:rPr>
        <w:t>X</w:t>
      </w:r>
    </w:p>
    <w:p w14:paraId="4C8143FE">
      <w:pPr>
        <w:ind w:firstLine="560"/>
        <w:rPr>
          <w:szCs w:val="28"/>
        </w:rPr>
      </w:pPr>
      <w:r>
        <w:rPr>
          <w:rFonts w:hint="eastAsia"/>
          <w:szCs w:val="28"/>
        </w:rPr>
        <w:t>2</w:t>
      </w:r>
      <w:r>
        <w:rPr>
          <w:szCs w:val="28"/>
        </w:rPr>
        <w:t>.</w:t>
      </w:r>
      <w:r>
        <w:rPr>
          <w:rFonts w:hint="eastAsia"/>
          <w:szCs w:val="28"/>
        </w:rPr>
        <w:t>过程产生的粉尘：原料沥青、石墨粉尘</w:t>
      </w:r>
    </w:p>
    <w:p w14:paraId="08A562AF">
      <w:pPr>
        <w:ind w:firstLine="560"/>
        <w:rPr>
          <w:szCs w:val="28"/>
        </w:rPr>
      </w:pPr>
      <w:r>
        <w:rPr>
          <w:rFonts w:hint="eastAsia"/>
          <w:szCs w:val="28"/>
        </w:rPr>
        <w:t>3</w:t>
      </w:r>
      <w:r>
        <w:rPr>
          <w:szCs w:val="28"/>
        </w:rPr>
        <w:t>.</w:t>
      </w:r>
      <w:r>
        <w:rPr>
          <w:rFonts w:hint="eastAsia"/>
          <w:szCs w:val="28"/>
        </w:rPr>
        <w:t>仪表用压缩空气</w:t>
      </w:r>
    </w:p>
    <w:p w14:paraId="4BC78FD1">
      <w:pPr>
        <w:ind w:firstLine="560"/>
        <w:rPr>
          <w:szCs w:val="28"/>
        </w:rPr>
      </w:pPr>
      <w:r>
        <w:rPr>
          <w:rFonts w:hint="eastAsia"/>
          <w:szCs w:val="28"/>
        </w:rPr>
        <w:t>通过</w:t>
      </w:r>
      <w:r>
        <w:rPr>
          <w:szCs w:val="28"/>
        </w:rPr>
        <w:t>对本项目进行分析</w:t>
      </w:r>
      <w:r>
        <w:rPr>
          <w:rFonts w:hint="eastAsia"/>
          <w:szCs w:val="28"/>
        </w:rPr>
        <w:t>，项目主要原料为生焦（针状焦）、煅后石油焦、石油沥青等</w:t>
      </w:r>
      <w:r>
        <w:rPr>
          <w:szCs w:val="28"/>
        </w:rPr>
        <w:t>，得出项目生产</w:t>
      </w:r>
      <w:r>
        <w:rPr>
          <w:rFonts w:hint="eastAsia" w:cs="Times New Roman"/>
          <w:szCs w:val="28"/>
        </w:rPr>
        <w:t>中涉及的主要危险、有害物质有：粉尘、CO、废气（主要成分为：颗粒物、SO</w:t>
      </w:r>
      <w:r>
        <w:rPr>
          <w:rFonts w:hint="eastAsia" w:cs="Times New Roman"/>
          <w:szCs w:val="28"/>
          <w:vertAlign w:val="subscript"/>
        </w:rPr>
        <w:t>2</w:t>
      </w:r>
      <w:r>
        <w:rPr>
          <w:rFonts w:hint="eastAsia" w:cs="Times New Roman"/>
          <w:szCs w:val="28"/>
        </w:rPr>
        <w:t>、NOx、沥青烟）等。</w:t>
      </w:r>
    </w:p>
    <w:p w14:paraId="7BA70A0E">
      <w:pPr>
        <w:pStyle w:val="9"/>
        <w:rPr>
          <w:color w:val="auto"/>
        </w:rPr>
      </w:pPr>
      <w:bookmarkStart w:id="340" w:name="_Toc154494467"/>
      <w:bookmarkStart w:id="341" w:name="_Toc19883"/>
      <w:bookmarkStart w:id="342" w:name="_Toc333247925"/>
      <w:bookmarkStart w:id="343" w:name="_Toc360004844"/>
      <w:bookmarkStart w:id="344" w:name="_Toc20351"/>
      <w:bookmarkStart w:id="345" w:name="_Toc215210562"/>
      <w:bookmarkStart w:id="346" w:name="_Toc313453513"/>
      <w:bookmarkStart w:id="347" w:name="_Toc397088133"/>
      <w:bookmarkStart w:id="348" w:name="_Toc10146"/>
      <w:r>
        <w:rPr>
          <w:color w:val="auto"/>
        </w:rPr>
        <w:t>3.</w:t>
      </w:r>
      <w:r>
        <w:rPr>
          <w:rFonts w:hint="eastAsia"/>
          <w:color w:val="auto"/>
        </w:rPr>
        <w:t>1</w:t>
      </w:r>
      <w:r>
        <w:rPr>
          <w:color w:val="auto"/>
        </w:rPr>
        <w:t>.2危险化学品辨识</w:t>
      </w:r>
      <w:bookmarkEnd w:id="340"/>
      <w:bookmarkEnd w:id="341"/>
      <w:bookmarkEnd w:id="342"/>
      <w:bookmarkEnd w:id="343"/>
      <w:bookmarkEnd w:id="344"/>
      <w:bookmarkEnd w:id="345"/>
      <w:bookmarkEnd w:id="346"/>
      <w:bookmarkEnd w:id="347"/>
      <w:bookmarkEnd w:id="348"/>
    </w:p>
    <w:p w14:paraId="5239C1A8">
      <w:pPr>
        <w:ind w:firstLine="560"/>
        <w:rPr>
          <w:rFonts w:cs="Times New Roman"/>
          <w:szCs w:val="28"/>
        </w:rPr>
      </w:pPr>
      <w:r>
        <w:rPr>
          <w:rFonts w:cs="Times New Roman"/>
          <w:szCs w:val="28"/>
        </w:rPr>
        <w:t>依据《危险化学品目录》（20</w:t>
      </w:r>
      <w:r>
        <w:rPr>
          <w:rFonts w:hint="eastAsia" w:cs="Times New Roman"/>
          <w:szCs w:val="28"/>
        </w:rPr>
        <w:t>22年调整</w:t>
      </w:r>
      <w:r>
        <w:rPr>
          <w:rFonts w:cs="Times New Roman"/>
          <w:szCs w:val="28"/>
        </w:rPr>
        <w:t>版）判定可知，</w:t>
      </w:r>
      <w:r>
        <w:rPr>
          <w:rFonts w:hint="eastAsia" w:cs="Times New Roman"/>
          <w:szCs w:val="28"/>
        </w:rPr>
        <w:t>本</w:t>
      </w:r>
      <w:r>
        <w:rPr>
          <w:rFonts w:cs="Times New Roman"/>
          <w:szCs w:val="28"/>
        </w:rPr>
        <w:t>项目</w:t>
      </w:r>
      <w:r>
        <w:rPr>
          <w:rFonts w:hint="eastAsia" w:cs="Times New Roman"/>
          <w:szCs w:val="28"/>
        </w:rPr>
        <w:t>不涉及</w:t>
      </w:r>
      <w:r>
        <w:rPr>
          <w:rFonts w:cs="Times New Roman"/>
          <w:szCs w:val="28"/>
        </w:rPr>
        <w:t>的危险化学品</w:t>
      </w:r>
      <w:r>
        <w:rPr>
          <w:rFonts w:hint="eastAsia" w:cs="Times New Roman"/>
          <w:szCs w:val="28"/>
        </w:rPr>
        <w:t>使用</w:t>
      </w:r>
      <w:r>
        <w:rPr>
          <w:rFonts w:cs="Times New Roman"/>
          <w:szCs w:val="28"/>
        </w:rPr>
        <w:t>。</w:t>
      </w:r>
      <w:r>
        <w:rPr>
          <w:rFonts w:hint="eastAsia" w:cs="Times New Roman"/>
          <w:szCs w:val="28"/>
        </w:rPr>
        <w:t>尾气含有的CO、SO</w:t>
      </w:r>
      <w:r>
        <w:rPr>
          <w:rFonts w:hint="eastAsia" w:cs="Times New Roman"/>
          <w:szCs w:val="28"/>
          <w:vertAlign w:val="subscript"/>
        </w:rPr>
        <w:t>2</w:t>
      </w:r>
      <w:r>
        <w:rPr>
          <w:rFonts w:hint="eastAsia" w:cs="Times New Roman"/>
          <w:szCs w:val="28"/>
        </w:rPr>
        <w:t>、NOx也属于危险化学品，因含量较少，可忽略不计。</w:t>
      </w:r>
    </w:p>
    <w:p w14:paraId="0CC72C91">
      <w:pPr>
        <w:pStyle w:val="9"/>
        <w:rPr>
          <w:color w:val="auto"/>
        </w:rPr>
      </w:pPr>
      <w:bookmarkStart w:id="349" w:name="_Toc154494468"/>
      <w:bookmarkStart w:id="350" w:name="_Toc28176"/>
      <w:bookmarkStart w:id="351" w:name="_Toc6497"/>
      <w:bookmarkStart w:id="352" w:name="_Toc7359"/>
      <w:bookmarkStart w:id="353" w:name="_Toc215210563"/>
      <w:r>
        <w:rPr>
          <w:color w:val="auto"/>
        </w:rPr>
        <w:t>3.</w:t>
      </w:r>
      <w:r>
        <w:rPr>
          <w:rFonts w:hint="eastAsia"/>
          <w:color w:val="auto"/>
        </w:rPr>
        <w:t>1</w:t>
      </w:r>
      <w:r>
        <w:rPr>
          <w:color w:val="auto"/>
        </w:rPr>
        <w:t>.3剧毒品、易制毒品、监控化学品、重点监管危险化学品及特别管控化学品辨识</w:t>
      </w:r>
      <w:bookmarkEnd w:id="349"/>
      <w:bookmarkEnd w:id="350"/>
      <w:bookmarkEnd w:id="351"/>
      <w:bookmarkEnd w:id="352"/>
      <w:bookmarkEnd w:id="353"/>
    </w:p>
    <w:p w14:paraId="500564AE">
      <w:pPr>
        <w:ind w:firstLine="560"/>
        <w:rPr>
          <w:szCs w:val="28"/>
        </w:rPr>
      </w:pPr>
      <w:r>
        <w:rPr>
          <w:szCs w:val="28"/>
        </w:rPr>
        <w:t>根据</w:t>
      </w:r>
      <w:r>
        <w:rPr>
          <w:rFonts w:hint="eastAsia"/>
          <w:szCs w:val="28"/>
        </w:rPr>
        <w:t>《危险化学品目录》（2022年调整版）、</w:t>
      </w:r>
      <w:r>
        <w:rPr>
          <w:szCs w:val="28"/>
        </w:rPr>
        <w:t>《易制毒化学品管理条例》（国务院令第445号，根据国务院第666号令修改，根据国务院令第703号</w:t>
      </w:r>
      <w:r>
        <w:rPr>
          <w:rFonts w:hint="eastAsia"/>
          <w:szCs w:val="28"/>
        </w:rPr>
        <w:t>〈</w:t>
      </w:r>
      <w:r>
        <w:rPr>
          <w:szCs w:val="28"/>
        </w:rPr>
        <w:t>国务院关于修改部分行政法规的决定</w:t>
      </w:r>
      <w:r>
        <w:rPr>
          <w:rFonts w:hint="eastAsia"/>
          <w:szCs w:val="28"/>
        </w:rPr>
        <w:t>〉</w:t>
      </w:r>
      <w:r>
        <w:rPr>
          <w:szCs w:val="28"/>
        </w:rPr>
        <w:t>修正）、《非药品类易制毒化学品生产、经营许可办法》（国家安全生产监督管理总局令第5号）、《国务院办公厅关于同意将N-苯乙基-4-哌啶酮、4-苯胺基-N-苯乙基哌啶、N-甲基-1-苯基-1-氯-2-丙胺、溴素、1-苯基-1-丙酮列入易制毒化学品品种目录的函》（国办函〔2017〕120号）</w:t>
      </w:r>
      <w:r>
        <w:rPr>
          <w:rFonts w:hint="eastAsia"/>
          <w:szCs w:val="28"/>
        </w:rPr>
        <w:t>、《关于将4-(N-苯基氨基)哌啶、1-叔丁氧羰基-4-(N-苯基氨基)哌啶、N-苯基-N-(4-哌啶基)丙酰胺、大麻二酚、2-甲基-3-苯基缩水甘油酸及其酯类、3-氧-2-苯基丁酸及其酯类、2-甲基-3-[3,4-（亚甲二氧基)苯基]缩水甘油酸酯类列入易制毒化学品管理的公告》（公安部、商务部、国家卫生健康委员会、应急管理部、海关总署、国家药品监督管理局，2024年8月2日发布，2024年9月1日起施行）</w:t>
      </w:r>
      <w:r>
        <w:rPr>
          <w:szCs w:val="28"/>
        </w:rPr>
        <w:t>的相关规定，</w:t>
      </w:r>
      <w:r>
        <w:rPr>
          <w:rFonts w:hint="eastAsia"/>
          <w:szCs w:val="28"/>
        </w:rPr>
        <w:t>本</w:t>
      </w:r>
      <w:r>
        <w:rPr>
          <w:szCs w:val="28"/>
        </w:rPr>
        <w:t>项目在生产过程</w:t>
      </w:r>
      <w:r>
        <w:rPr>
          <w:rFonts w:hint="eastAsia"/>
          <w:szCs w:val="28"/>
        </w:rPr>
        <w:t>不涉及</w:t>
      </w:r>
      <w:r>
        <w:rPr>
          <w:szCs w:val="28"/>
        </w:rPr>
        <w:t>易制毒化学品</w:t>
      </w:r>
      <w:r>
        <w:rPr>
          <w:rFonts w:hint="eastAsia"/>
          <w:szCs w:val="28"/>
        </w:rPr>
        <w:t>、剧毒化学品</w:t>
      </w:r>
      <w:r>
        <w:rPr>
          <w:szCs w:val="28"/>
        </w:rPr>
        <w:t>。</w:t>
      </w:r>
    </w:p>
    <w:p w14:paraId="79F45547">
      <w:pPr>
        <w:ind w:firstLine="560"/>
        <w:rPr>
          <w:szCs w:val="28"/>
        </w:rPr>
      </w:pPr>
      <w:r>
        <w:rPr>
          <w:szCs w:val="28"/>
        </w:rPr>
        <w:t>根据《中华人民共和国监控化学品</w:t>
      </w:r>
      <w:r>
        <w:rPr>
          <w:rFonts w:hint="eastAsia"/>
          <w:szCs w:val="28"/>
        </w:rPr>
        <w:t>管理</w:t>
      </w:r>
      <w:r>
        <w:rPr>
          <w:szCs w:val="28"/>
        </w:rPr>
        <w:t>条例》（国务院令190号），</w:t>
      </w:r>
      <w:r>
        <w:rPr>
          <w:rFonts w:hint="eastAsia"/>
          <w:szCs w:val="28"/>
        </w:rPr>
        <w:t>本</w:t>
      </w:r>
      <w:r>
        <w:rPr>
          <w:szCs w:val="28"/>
        </w:rPr>
        <w:t>项目在生产过程中未涉及监控化学品。</w:t>
      </w:r>
    </w:p>
    <w:p w14:paraId="2D787E7A">
      <w:pPr>
        <w:ind w:firstLine="560"/>
        <w:rPr>
          <w:szCs w:val="28"/>
        </w:rPr>
      </w:pPr>
      <w:r>
        <w:rPr>
          <w:szCs w:val="28"/>
        </w:rPr>
        <w:t>根据《国家安全监管总局关于公布首批重点监管的危险化学品名录的通知》（安监总管三〔2011〕95号）、《国家安全监管总局关于公布第二批重点监管危险化学品名录的通知》（安监总管三〔2013〕12号）进行判定，本项目</w:t>
      </w:r>
      <w:r>
        <w:rPr>
          <w:rFonts w:hint="eastAsia"/>
          <w:szCs w:val="28"/>
        </w:rPr>
        <w:t>涉及</w:t>
      </w:r>
      <w:r>
        <w:rPr>
          <w:szCs w:val="28"/>
        </w:rPr>
        <w:t>的重点监管的危险化学品有</w:t>
      </w:r>
      <w:r>
        <w:rPr>
          <w:rFonts w:hint="eastAsia"/>
          <w:szCs w:val="28"/>
        </w:rPr>
        <w:t>CO</w:t>
      </w:r>
      <w:r>
        <w:rPr>
          <w:szCs w:val="28"/>
        </w:rPr>
        <w:t>。</w:t>
      </w:r>
    </w:p>
    <w:p w14:paraId="0298E790">
      <w:pPr>
        <w:ind w:firstLine="560"/>
        <w:rPr>
          <w:rFonts w:cs="Times New Roman"/>
          <w:szCs w:val="28"/>
        </w:rPr>
      </w:pPr>
      <w:bookmarkStart w:id="354" w:name="_Hlk88482376"/>
      <w:r>
        <w:rPr>
          <w:szCs w:val="28"/>
        </w:rPr>
        <w:t>根据《特别管控危险化学品目录（第一版）》（应急管理部、工业和信息化部、公安部</w:t>
      </w:r>
      <w:r>
        <w:rPr>
          <w:rFonts w:cs="Times New Roman"/>
          <w:szCs w:val="28"/>
        </w:rPr>
        <w:t>、交通运输部公告2020年第3号）</w:t>
      </w:r>
      <w:bookmarkEnd w:id="354"/>
      <w:r>
        <w:rPr>
          <w:rFonts w:cs="Times New Roman"/>
          <w:szCs w:val="28"/>
        </w:rPr>
        <w:t>，</w:t>
      </w:r>
      <w:r>
        <w:rPr>
          <w:rFonts w:hint="eastAsia" w:cs="Times New Roman"/>
          <w:szCs w:val="28"/>
        </w:rPr>
        <w:t>本</w:t>
      </w:r>
      <w:r>
        <w:rPr>
          <w:rFonts w:cs="Times New Roman"/>
          <w:szCs w:val="28"/>
        </w:rPr>
        <w:t>项目在生产过程中未涉及特别管控危险化学品。</w:t>
      </w:r>
    </w:p>
    <w:p w14:paraId="3EF83F9A">
      <w:pPr>
        <w:ind w:firstLine="560"/>
        <w:rPr>
          <w:szCs w:val="28"/>
        </w:rPr>
      </w:pPr>
      <w:r>
        <w:rPr>
          <w:rFonts w:cs="Times New Roman"/>
          <w:szCs w:val="28"/>
        </w:rPr>
        <w:t>根据《易制爆危险化学品名</w:t>
      </w:r>
      <w:r>
        <w:rPr>
          <w:szCs w:val="28"/>
        </w:rPr>
        <w:t>录（2017年版）》，</w:t>
      </w:r>
      <w:r>
        <w:rPr>
          <w:rFonts w:hint="eastAsia"/>
          <w:szCs w:val="28"/>
        </w:rPr>
        <w:t>本</w:t>
      </w:r>
      <w:r>
        <w:rPr>
          <w:szCs w:val="28"/>
        </w:rPr>
        <w:t>项目不涉及易制爆危险化学品。</w:t>
      </w:r>
    </w:p>
    <w:p w14:paraId="54ACCAF1">
      <w:pPr>
        <w:ind w:firstLine="560"/>
        <w:rPr>
          <w:szCs w:val="28"/>
        </w:rPr>
      </w:pPr>
      <w:r>
        <w:rPr>
          <w:szCs w:val="28"/>
        </w:rPr>
        <w:t>综上所述，</w:t>
      </w:r>
      <w:r>
        <w:rPr>
          <w:rFonts w:hint="eastAsia"/>
          <w:szCs w:val="28"/>
        </w:rPr>
        <w:t>本项目未涉及</w:t>
      </w:r>
      <w:r>
        <w:rPr>
          <w:szCs w:val="28"/>
        </w:rPr>
        <w:t>监控化学品</w:t>
      </w:r>
      <w:r>
        <w:rPr>
          <w:rFonts w:hint="eastAsia"/>
          <w:szCs w:val="28"/>
        </w:rPr>
        <w:t>、</w:t>
      </w:r>
      <w:r>
        <w:rPr>
          <w:szCs w:val="28"/>
        </w:rPr>
        <w:t>剧毒品</w:t>
      </w:r>
      <w:r>
        <w:rPr>
          <w:rFonts w:hint="eastAsia"/>
          <w:szCs w:val="28"/>
        </w:rPr>
        <w:t>、</w:t>
      </w:r>
      <w:r>
        <w:rPr>
          <w:szCs w:val="28"/>
        </w:rPr>
        <w:t>易制毒化学品。</w:t>
      </w:r>
    </w:p>
    <w:p w14:paraId="692DE42D">
      <w:pPr>
        <w:pStyle w:val="9"/>
        <w:rPr>
          <w:color w:val="auto"/>
        </w:rPr>
      </w:pPr>
      <w:bookmarkStart w:id="355" w:name="_Toc106"/>
      <w:bookmarkStart w:id="356" w:name="_Toc215210564"/>
      <w:r>
        <w:rPr>
          <w:color w:val="auto"/>
        </w:rPr>
        <w:t>3.</w:t>
      </w:r>
      <w:r>
        <w:rPr>
          <w:rFonts w:hint="eastAsia"/>
          <w:color w:val="auto"/>
        </w:rPr>
        <w:t>1</w:t>
      </w:r>
      <w:r>
        <w:rPr>
          <w:color w:val="auto"/>
        </w:rPr>
        <w:t>.4危险、有害物质的主要危险特性</w:t>
      </w:r>
      <w:bookmarkEnd w:id="355"/>
      <w:bookmarkEnd w:id="356"/>
    </w:p>
    <w:p w14:paraId="20978464">
      <w:pPr>
        <w:pStyle w:val="40"/>
        <w:spacing w:after="0" w:line="360" w:lineRule="auto"/>
        <w:ind w:left="0" w:leftChars="0" w:firstLine="560"/>
        <w:rPr>
          <w:snapToGrid w:val="0"/>
          <w:sz w:val="28"/>
          <w:szCs w:val="28"/>
        </w:rPr>
      </w:pPr>
      <w:r>
        <w:rPr>
          <w:snapToGrid w:val="0"/>
          <w:sz w:val="28"/>
          <w:szCs w:val="28"/>
        </w:rPr>
        <w:t>本项目在生产过程中涉及的主要危险、有害物质的主要危险特性见下表。</w:t>
      </w:r>
    </w:p>
    <w:p w14:paraId="6FBEB556">
      <w:pPr>
        <w:numPr>
          <w:ilvl w:val="0"/>
          <w:numId w:val="13"/>
        </w:numPr>
        <w:spacing w:line="500" w:lineRule="exact"/>
        <w:ind w:left="1281" w:firstLine="480" w:firstLineChars="0"/>
        <w:jc w:val="center"/>
        <w:rPr>
          <w:sz w:val="24"/>
        </w:rPr>
      </w:pPr>
      <w:r>
        <w:rPr>
          <w:sz w:val="24"/>
        </w:rPr>
        <w:t>危险、有害物质的危险特性表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1"/>
        <w:gridCol w:w="1448"/>
        <w:gridCol w:w="1908"/>
        <w:gridCol w:w="5303"/>
      </w:tblGrid>
      <w:tr w14:paraId="26148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94" w:type="pct"/>
            <w:vAlign w:val="center"/>
          </w:tcPr>
          <w:p w14:paraId="023F8940">
            <w:pPr>
              <w:widowControl/>
              <w:spacing w:line="240" w:lineRule="auto"/>
              <w:ind w:firstLine="0" w:firstLineChars="0"/>
              <w:jc w:val="center"/>
              <w:textAlignment w:val="baseline"/>
              <w:rPr>
                <w:sz w:val="21"/>
                <w:szCs w:val="21"/>
              </w:rPr>
            </w:pPr>
            <w:r>
              <w:rPr>
                <w:sz w:val="21"/>
                <w:szCs w:val="21"/>
              </w:rPr>
              <w:t>序号</w:t>
            </w:r>
          </w:p>
        </w:tc>
        <w:tc>
          <w:tcPr>
            <w:tcW w:w="770" w:type="pct"/>
            <w:vAlign w:val="center"/>
          </w:tcPr>
          <w:p w14:paraId="5A810A08">
            <w:pPr>
              <w:widowControl/>
              <w:spacing w:line="240" w:lineRule="auto"/>
              <w:ind w:firstLine="0" w:firstLineChars="0"/>
              <w:jc w:val="center"/>
              <w:textAlignment w:val="baseline"/>
              <w:rPr>
                <w:sz w:val="21"/>
                <w:szCs w:val="21"/>
              </w:rPr>
            </w:pPr>
            <w:r>
              <w:rPr>
                <w:sz w:val="21"/>
                <w:szCs w:val="21"/>
              </w:rPr>
              <w:t>危险、有害物质名称</w:t>
            </w:r>
          </w:p>
        </w:tc>
        <w:tc>
          <w:tcPr>
            <w:tcW w:w="1015" w:type="pct"/>
            <w:vAlign w:val="center"/>
          </w:tcPr>
          <w:p w14:paraId="236AAE13">
            <w:pPr>
              <w:widowControl/>
              <w:spacing w:line="240" w:lineRule="auto"/>
              <w:ind w:firstLine="0" w:firstLineChars="0"/>
              <w:jc w:val="center"/>
              <w:textAlignment w:val="baseline"/>
              <w:rPr>
                <w:sz w:val="21"/>
                <w:szCs w:val="21"/>
              </w:rPr>
            </w:pPr>
            <w:r>
              <w:rPr>
                <w:sz w:val="21"/>
                <w:szCs w:val="21"/>
              </w:rPr>
              <w:t>主要存在场所</w:t>
            </w:r>
          </w:p>
        </w:tc>
        <w:tc>
          <w:tcPr>
            <w:tcW w:w="2821" w:type="pct"/>
            <w:vAlign w:val="center"/>
          </w:tcPr>
          <w:p w14:paraId="4EA4DF3A">
            <w:pPr>
              <w:widowControl/>
              <w:spacing w:line="240" w:lineRule="auto"/>
              <w:ind w:firstLine="0" w:firstLineChars="0"/>
              <w:jc w:val="center"/>
              <w:textAlignment w:val="baseline"/>
              <w:rPr>
                <w:sz w:val="21"/>
                <w:szCs w:val="21"/>
              </w:rPr>
            </w:pPr>
            <w:r>
              <w:rPr>
                <w:sz w:val="21"/>
                <w:szCs w:val="21"/>
              </w:rPr>
              <w:t>主要危险特性</w:t>
            </w:r>
          </w:p>
        </w:tc>
      </w:tr>
      <w:tr w14:paraId="0D4B4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Align w:val="center"/>
          </w:tcPr>
          <w:p w14:paraId="44CF6DF6">
            <w:pPr>
              <w:widowControl/>
              <w:spacing w:line="240" w:lineRule="auto"/>
              <w:ind w:firstLine="0" w:firstLineChars="0"/>
              <w:jc w:val="center"/>
              <w:textAlignment w:val="baseline"/>
              <w:rPr>
                <w:sz w:val="21"/>
                <w:szCs w:val="21"/>
              </w:rPr>
            </w:pPr>
            <w:r>
              <w:rPr>
                <w:rFonts w:hint="eastAsia"/>
                <w:sz w:val="21"/>
                <w:szCs w:val="21"/>
              </w:rPr>
              <w:t>1</w:t>
            </w:r>
          </w:p>
        </w:tc>
        <w:tc>
          <w:tcPr>
            <w:tcW w:w="770" w:type="pct"/>
            <w:vAlign w:val="center"/>
          </w:tcPr>
          <w:p w14:paraId="64BA4AF6">
            <w:pPr>
              <w:widowControl/>
              <w:ind w:firstLine="0" w:firstLineChars="0"/>
              <w:jc w:val="center"/>
              <w:textAlignment w:val="baseline"/>
              <w:rPr>
                <w:sz w:val="21"/>
                <w:szCs w:val="21"/>
              </w:rPr>
            </w:pPr>
            <w:r>
              <w:rPr>
                <w:rFonts w:hint="eastAsia"/>
                <w:sz w:val="21"/>
                <w:szCs w:val="21"/>
              </w:rPr>
              <w:t>尾气（含有CO、SO</w:t>
            </w:r>
            <w:r>
              <w:rPr>
                <w:rFonts w:hint="eastAsia"/>
                <w:sz w:val="21"/>
                <w:szCs w:val="21"/>
                <w:vertAlign w:val="subscript"/>
              </w:rPr>
              <w:t>2</w:t>
            </w:r>
            <w:r>
              <w:rPr>
                <w:rFonts w:hint="eastAsia"/>
                <w:sz w:val="21"/>
                <w:szCs w:val="21"/>
              </w:rPr>
              <w:t>、NOx）</w:t>
            </w:r>
          </w:p>
        </w:tc>
        <w:tc>
          <w:tcPr>
            <w:tcW w:w="1015" w:type="pct"/>
            <w:vAlign w:val="center"/>
          </w:tcPr>
          <w:p w14:paraId="59DA9BFA">
            <w:pPr>
              <w:widowControl/>
              <w:ind w:firstLine="0" w:firstLineChars="0"/>
              <w:jc w:val="center"/>
              <w:textAlignment w:val="baseline"/>
              <w:rPr>
                <w:sz w:val="21"/>
                <w:szCs w:val="21"/>
              </w:rPr>
            </w:pPr>
            <w:r>
              <w:rPr>
                <w:rFonts w:hint="eastAsia"/>
                <w:sz w:val="21"/>
                <w:szCs w:val="21"/>
              </w:rPr>
              <w:t>改性、二次包覆尾气，石墨化车间尾气，碳化、石墨化工序</w:t>
            </w:r>
          </w:p>
        </w:tc>
        <w:tc>
          <w:tcPr>
            <w:tcW w:w="2821" w:type="pct"/>
            <w:vAlign w:val="center"/>
          </w:tcPr>
          <w:p w14:paraId="329EB324">
            <w:pPr>
              <w:widowControl/>
              <w:ind w:firstLine="0" w:firstLineChars="0"/>
              <w:jc w:val="left"/>
              <w:textAlignment w:val="baseline"/>
              <w:rPr>
                <w:sz w:val="21"/>
                <w:szCs w:val="21"/>
              </w:rPr>
            </w:pPr>
            <w:r>
              <w:rPr>
                <w:rFonts w:hint="eastAsia"/>
                <w:sz w:val="21"/>
                <w:szCs w:val="21"/>
              </w:rPr>
              <w:t>是一种易燃易爆气体。与空气混合能形成爆炸性混合物，遇明火、高热能引起燃烧爆炸，泄漏扩散容易引起人员中毒</w:t>
            </w:r>
          </w:p>
        </w:tc>
      </w:tr>
      <w:tr w14:paraId="56D07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Align w:val="center"/>
          </w:tcPr>
          <w:p w14:paraId="15A40D47">
            <w:pPr>
              <w:widowControl/>
              <w:spacing w:line="240" w:lineRule="auto"/>
              <w:ind w:firstLine="0" w:firstLineChars="0"/>
              <w:jc w:val="center"/>
              <w:textAlignment w:val="baseline"/>
              <w:rPr>
                <w:sz w:val="21"/>
                <w:szCs w:val="21"/>
              </w:rPr>
            </w:pPr>
            <w:bookmarkStart w:id="357" w:name="_Toc360004846"/>
            <w:bookmarkStart w:id="358" w:name="_Toc309682439"/>
            <w:bookmarkStart w:id="359" w:name="_Toc25728"/>
            <w:bookmarkStart w:id="360" w:name="_Toc333247928"/>
            <w:bookmarkStart w:id="361" w:name="_Toc397088135"/>
            <w:bookmarkStart w:id="362" w:name="_Toc278151372"/>
            <w:bookmarkStart w:id="363" w:name="_Toc154494470"/>
            <w:bookmarkStart w:id="364" w:name="_Toc327017776"/>
            <w:bookmarkStart w:id="365" w:name="_Toc359340286"/>
            <w:bookmarkStart w:id="366" w:name="_Toc313453515"/>
            <w:r>
              <w:rPr>
                <w:rFonts w:hint="eastAsia"/>
                <w:sz w:val="21"/>
                <w:szCs w:val="21"/>
              </w:rPr>
              <w:t>2</w:t>
            </w:r>
          </w:p>
        </w:tc>
        <w:tc>
          <w:tcPr>
            <w:tcW w:w="770" w:type="pct"/>
            <w:vAlign w:val="center"/>
          </w:tcPr>
          <w:p w14:paraId="519E2925">
            <w:pPr>
              <w:widowControl/>
              <w:ind w:firstLine="0" w:firstLineChars="0"/>
              <w:jc w:val="center"/>
              <w:textAlignment w:val="baseline"/>
              <w:rPr>
                <w:sz w:val="21"/>
                <w:szCs w:val="21"/>
              </w:rPr>
            </w:pPr>
            <w:r>
              <w:rPr>
                <w:rFonts w:hint="eastAsia"/>
                <w:sz w:val="21"/>
                <w:szCs w:val="21"/>
              </w:rPr>
              <w:t>氧气[压缩的]</w:t>
            </w:r>
          </w:p>
        </w:tc>
        <w:tc>
          <w:tcPr>
            <w:tcW w:w="1015" w:type="pct"/>
            <w:vAlign w:val="center"/>
          </w:tcPr>
          <w:p w14:paraId="3B9D4DCD">
            <w:pPr>
              <w:widowControl/>
              <w:ind w:firstLine="0" w:firstLineChars="0"/>
              <w:jc w:val="center"/>
              <w:textAlignment w:val="baseline"/>
              <w:rPr>
                <w:sz w:val="21"/>
                <w:szCs w:val="21"/>
              </w:rPr>
            </w:pPr>
            <w:r>
              <w:rPr>
                <w:rFonts w:hint="eastAsia"/>
                <w:sz w:val="21"/>
                <w:szCs w:val="21"/>
              </w:rPr>
              <w:t>检修车间、检修区域</w:t>
            </w:r>
          </w:p>
        </w:tc>
        <w:tc>
          <w:tcPr>
            <w:tcW w:w="2821" w:type="pct"/>
            <w:vAlign w:val="center"/>
          </w:tcPr>
          <w:p w14:paraId="1CBE97C1">
            <w:pPr>
              <w:widowControl/>
              <w:ind w:firstLine="0" w:firstLineChars="0"/>
              <w:jc w:val="left"/>
              <w:textAlignment w:val="baseline"/>
              <w:rPr>
                <w:sz w:val="21"/>
                <w:szCs w:val="21"/>
              </w:rPr>
            </w:pPr>
            <w:r>
              <w:rPr>
                <w:sz w:val="21"/>
                <w:szCs w:val="21"/>
              </w:rPr>
              <w:t>是易燃物、可燃物燃烧爆炸的基本要素之一，能氧化大多数活性物质。与易燃物（如乙炔、甲烷等）形成爆炸性的混合物</w:t>
            </w:r>
          </w:p>
        </w:tc>
      </w:tr>
      <w:tr w14:paraId="3BA71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4" w:type="pct"/>
            <w:vAlign w:val="center"/>
          </w:tcPr>
          <w:p w14:paraId="16A2A88A">
            <w:pPr>
              <w:widowControl/>
              <w:spacing w:line="240" w:lineRule="auto"/>
              <w:ind w:firstLine="0" w:firstLineChars="0"/>
              <w:jc w:val="center"/>
              <w:textAlignment w:val="baseline"/>
              <w:rPr>
                <w:sz w:val="21"/>
                <w:szCs w:val="21"/>
              </w:rPr>
            </w:pPr>
            <w:r>
              <w:rPr>
                <w:rFonts w:hint="eastAsia"/>
                <w:sz w:val="21"/>
                <w:szCs w:val="21"/>
              </w:rPr>
              <w:t>3</w:t>
            </w:r>
          </w:p>
        </w:tc>
        <w:tc>
          <w:tcPr>
            <w:tcW w:w="770" w:type="pct"/>
            <w:vAlign w:val="center"/>
          </w:tcPr>
          <w:p w14:paraId="792875D2">
            <w:pPr>
              <w:widowControl/>
              <w:ind w:firstLine="0" w:firstLineChars="0"/>
              <w:jc w:val="center"/>
              <w:textAlignment w:val="baseline"/>
              <w:rPr>
                <w:sz w:val="21"/>
                <w:szCs w:val="21"/>
              </w:rPr>
            </w:pPr>
            <w:r>
              <w:rPr>
                <w:rFonts w:hint="eastAsia"/>
                <w:sz w:val="21"/>
                <w:szCs w:val="21"/>
              </w:rPr>
              <w:t>乙炔</w:t>
            </w:r>
          </w:p>
        </w:tc>
        <w:tc>
          <w:tcPr>
            <w:tcW w:w="1015" w:type="pct"/>
            <w:vAlign w:val="center"/>
          </w:tcPr>
          <w:p w14:paraId="203CE244">
            <w:pPr>
              <w:widowControl/>
              <w:ind w:firstLine="0" w:firstLineChars="0"/>
              <w:jc w:val="center"/>
              <w:textAlignment w:val="baseline"/>
              <w:rPr>
                <w:sz w:val="21"/>
                <w:szCs w:val="21"/>
              </w:rPr>
            </w:pPr>
            <w:r>
              <w:rPr>
                <w:rFonts w:hint="eastAsia"/>
                <w:sz w:val="21"/>
                <w:szCs w:val="21"/>
              </w:rPr>
              <w:t>检修车间、检修区域</w:t>
            </w:r>
          </w:p>
        </w:tc>
        <w:tc>
          <w:tcPr>
            <w:tcW w:w="2821" w:type="pct"/>
            <w:vAlign w:val="center"/>
          </w:tcPr>
          <w:p w14:paraId="5AC1109C">
            <w:pPr>
              <w:widowControl/>
              <w:ind w:firstLine="0" w:firstLineChars="0"/>
              <w:jc w:val="left"/>
              <w:textAlignment w:val="baseline"/>
              <w:rPr>
                <w:sz w:val="21"/>
                <w:szCs w:val="21"/>
              </w:rPr>
            </w:pPr>
            <w:r>
              <w:rPr>
                <w:sz w:val="21"/>
                <w:szCs w:val="21"/>
              </w:rPr>
              <w:t>与空气混合能形成爆炸性混合物，遇明火、高热能引起燃烧爆炸。与氧化剂接触会猛烈反应。与氟、氯等接触会发生剧烈的化学反应。能与铜、银、汞等的化合物生成爆炸性物质。具有弱麻醉作用</w:t>
            </w:r>
          </w:p>
        </w:tc>
      </w:tr>
    </w:tbl>
    <w:p w14:paraId="14FFD619">
      <w:pPr>
        <w:pStyle w:val="9"/>
        <w:rPr>
          <w:bCs w:val="0"/>
          <w:color w:val="auto"/>
        </w:rPr>
      </w:pPr>
      <w:bookmarkStart w:id="367" w:name="_Toc215210565"/>
      <w:bookmarkStart w:id="368" w:name="_Toc1071"/>
      <w:r>
        <w:rPr>
          <w:bCs w:val="0"/>
          <w:color w:val="auto"/>
        </w:rPr>
        <w:t>3.</w:t>
      </w:r>
      <w:r>
        <w:rPr>
          <w:rFonts w:hint="eastAsia"/>
          <w:bCs w:val="0"/>
          <w:color w:val="auto"/>
        </w:rPr>
        <w:t>1</w:t>
      </w:r>
      <w:r>
        <w:rPr>
          <w:bCs w:val="0"/>
          <w:color w:val="auto"/>
        </w:rPr>
        <w:t>.5主要危险化学品理化特性</w:t>
      </w:r>
      <w:bookmarkEnd w:id="357"/>
      <w:bookmarkEnd w:id="358"/>
      <w:bookmarkEnd w:id="359"/>
      <w:bookmarkEnd w:id="360"/>
      <w:bookmarkEnd w:id="361"/>
      <w:bookmarkEnd w:id="362"/>
      <w:bookmarkEnd w:id="363"/>
      <w:bookmarkEnd w:id="364"/>
      <w:bookmarkEnd w:id="365"/>
      <w:bookmarkEnd w:id="367"/>
      <w:bookmarkEnd w:id="368"/>
      <w:bookmarkStart w:id="369" w:name="_Toc327017777"/>
      <w:bookmarkStart w:id="370" w:name="_Toc309682440"/>
    </w:p>
    <w:p w14:paraId="0C1D1163">
      <w:pPr>
        <w:pStyle w:val="11"/>
        <w:spacing w:after="120" w:afterLines="50" w:line="500" w:lineRule="exact"/>
        <w:rPr>
          <w:rFonts w:eastAsia="宋体"/>
          <w:bCs w:val="0"/>
          <w:color w:val="auto"/>
        </w:rPr>
      </w:pPr>
      <w:r>
        <w:rPr>
          <w:rFonts w:eastAsia="宋体"/>
          <w:bCs w:val="0"/>
          <w:color w:val="auto"/>
        </w:rPr>
        <w:t>3.</w:t>
      </w:r>
      <w:r>
        <w:rPr>
          <w:rFonts w:hint="eastAsia" w:eastAsia="宋体"/>
          <w:bCs w:val="0"/>
          <w:color w:val="auto"/>
        </w:rPr>
        <w:t>1</w:t>
      </w:r>
      <w:r>
        <w:rPr>
          <w:rFonts w:eastAsia="宋体"/>
          <w:bCs w:val="0"/>
          <w:color w:val="auto"/>
        </w:rPr>
        <w:t>.5.</w:t>
      </w:r>
      <w:r>
        <w:rPr>
          <w:rFonts w:hint="eastAsia" w:eastAsia="宋体"/>
          <w:bCs w:val="0"/>
          <w:color w:val="auto"/>
        </w:rPr>
        <w:t>1一氧化碳</w:t>
      </w:r>
      <w:r>
        <w:rPr>
          <w:rFonts w:eastAsia="宋体"/>
          <w:bCs w:val="0"/>
          <w:color w:val="auto"/>
        </w:rPr>
        <w:t>理化特性</w:t>
      </w:r>
    </w:p>
    <w:p w14:paraId="5230C354">
      <w:pPr>
        <w:numPr>
          <w:ilvl w:val="0"/>
          <w:numId w:val="13"/>
        </w:numPr>
        <w:spacing w:line="500" w:lineRule="exact"/>
        <w:ind w:left="1281" w:firstLine="480" w:firstLineChars="0"/>
        <w:jc w:val="center"/>
        <w:rPr>
          <w:sz w:val="24"/>
        </w:rPr>
      </w:pPr>
      <w:r>
        <w:rPr>
          <w:rFonts w:hint="eastAsia"/>
          <w:sz w:val="24"/>
        </w:rPr>
        <w:t>一氧化碳</w:t>
      </w:r>
      <w:r>
        <w:rPr>
          <w:sz w:val="24"/>
        </w:rPr>
        <w:t>理化特性表</w:t>
      </w:r>
    </w:p>
    <w:tbl>
      <w:tblPr>
        <w:tblStyle w:val="59"/>
        <w:tblW w:w="5003"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330"/>
        <w:gridCol w:w="1312"/>
        <w:gridCol w:w="983"/>
        <w:gridCol w:w="311"/>
        <w:gridCol w:w="1456"/>
        <w:gridCol w:w="547"/>
        <w:gridCol w:w="537"/>
        <w:gridCol w:w="2724"/>
      </w:tblGrid>
      <w:tr w14:paraId="10F2CB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restart"/>
            <w:tcBorders>
              <w:top w:val="single" w:color="auto" w:sz="4" w:space="0"/>
              <w:left w:val="single" w:color="auto" w:sz="4" w:space="0"/>
              <w:bottom w:val="single" w:color="auto" w:sz="4" w:space="0"/>
              <w:right w:val="single" w:color="auto" w:sz="4" w:space="0"/>
            </w:tcBorders>
            <w:vAlign w:val="center"/>
          </w:tcPr>
          <w:p w14:paraId="33C2487B">
            <w:pPr>
              <w:widowControl/>
              <w:spacing w:line="240" w:lineRule="auto"/>
              <w:ind w:firstLine="0" w:firstLineChars="0"/>
              <w:jc w:val="center"/>
              <w:textAlignment w:val="baseline"/>
              <w:rPr>
                <w:sz w:val="21"/>
                <w:szCs w:val="21"/>
              </w:rPr>
            </w:pPr>
            <w:r>
              <w:rPr>
                <w:sz w:val="21"/>
                <w:szCs w:val="21"/>
              </w:rPr>
              <w:t>标识</w:t>
            </w:r>
          </w:p>
        </w:tc>
        <w:tc>
          <w:tcPr>
            <w:tcW w:w="1416" w:type="pct"/>
            <w:gridSpan w:val="3"/>
            <w:tcBorders>
              <w:top w:val="single" w:color="auto" w:sz="4" w:space="0"/>
              <w:left w:val="single" w:color="auto" w:sz="4" w:space="0"/>
              <w:bottom w:val="single" w:color="auto" w:sz="4" w:space="0"/>
              <w:right w:val="single" w:color="auto" w:sz="4" w:space="0"/>
            </w:tcBorders>
            <w:vAlign w:val="center"/>
          </w:tcPr>
          <w:p w14:paraId="3F635DCA">
            <w:pPr>
              <w:widowControl/>
              <w:spacing w:line="240" w:lineRule="auto"/>
              <w:ind w:firstLine="0" w:firstLineChars="0"/>
              <w:jc w:val="center"/>
              <w:textAlignment w:val="baseline"/>
              <w:rPr>
                <w:sz w:val="21"/>
                <w:szCs w:val="21"/>
              </w:rPr>
            </w:pPr>
            <w:r>
              <w:rPr>
                <w:sz w:val="21"/>
                <w:szCs w:val="21"/>
              </w:rPr>
              <w:t>中文名：一氧化碳</w:t>
            </w:r>
          </w:p>
        </w:tc>
        <w:tc>
          <w:tcPr>
            <w:tcW w:w="1380" w:type="pct"/>
            <w:gridSpan w:val="3"/>
            <w:tcBorders>
              <w:left w:val="single" w:color="auto" w:sz="4" w:space="0"/>
            </w:tcBorders>
            <w:vAlign w:val="center"/>
          </w:tcPr>
          <w:p w14:paraId="6211F6AE">
            <w:pPr>
              <w:widowControl/>
              <w:spacing w:line="240" w:lineRule="auto"/>
              <w:ind w:firstLine="0" w:firstLineChars="0"/>
              <w:jc w:val="center"/>
              <w:textAlignment w:val="baseline"/>
              <w:rPr>
                <w:sz w:val="21"/>
                <w:szCs w:val="21"/>
              </w:rPr>
            </w:pPr>
            <w:r>
              <w:rPr>
                <w:sz w:val="21"/>
                <w:szCs w:val="21"/>
              </w:rPr>
              <w:t>分子式：CO</w:t>
            </w:r>
          </w:p>
        </w:tc>
        <w:tc>
          <w:tcPr>
            <w:tcW w:w="1479" w:type="pct"/>
            <w:vAlign w:val="center"/>
          </w:tcPr>
          <w:p w14:paraId="66316B6B">
            <w:pPr>
              <w:widowControl/>
              <w:spacing w:line="240" w:lineRule="auto"/>
              <w:ind w:firstLine="0" w:firstLineChars="0"/>
              <w:jc w:val="center"/>
              <w:textAlignment w:val="baseline"/>
              <w:rPr>
                <w:sz w:val="21"/>
                <w:szCs w:val="21"/>
              </w:rPr>
            </w:pPr>
            <w:r>
              <w:rPr>
                <w:sz w:val="21"/>
                <w:szCs w:val="21"/>
              </w:rPr>
              <w:t>分子量：28.01</w:t>
            </w:r>
          </w:p>
        </w:tc>
      </w:tr>
      <w:tr w14:paraId="40632F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tcBorders>
              <w:top w:val="single" w:color="auto" w:sz="4" w:space="0"/>
              <w:left w:val="single" w:color="auto" w:sz="4" w:space="0"/>
              <w:bottom w:val="single" w:color="auto" w:sz="4" w:space="0"/>
              <w:right w:val="single" w:color="auto" w:sz="4" w:space="0"/>
            </w:tcBorders>
            <w:vAlign w:val="center"/>
          </w:tcPr>
          <w:p w14:paraId="4D76C3D9">
            <w:pPr>
              <w:widowControl/>
              <w:spacing w:line="240" w:lineRule="auto"/>
              <w:ind w:firstLine="0" w:firstLineChars="0"/>
              <w:jc w:val="center"/>
              <w:textAlignment w:val="baseline"/>
              <w:rPr>
                <w:sz w:val="21"/>
                <w:szCs w:val="21"/>
              </w:rPr>
            </w:pPr>
          </w:p>
        </w:tc>
        <w:tc>
          <w:tcPr>
            <w:tcW w:w="1416" w:type="pct"/>
            <w:gridSpan w:val="3"/>
            <w:tcBorders>
              <w:top w:val="single" w:color="auto" w:sz="4" w:space="0"/>
              <w:left w:val="single" w:color="auto" w:sz="4" w:space="0"/>
              <w:bottom w:val="single" w:color="auto" w:sz="4" w:space="0"/>
              <w:right w:val="single" w:color="auto" w:sz="4" w:space="0"/>
            </w:tcBorders>
            <w:vAlign w:val="center"/>
          </w:tcPr>
          <w:p w14:paraId="60443273">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英文名</w:t>
            </w:r>
            <w:r>
              <w:rPr>
                <w:rFonts w:hint="eastAsia" w:ascii="Times New Roman" w:hAnsi="Times New Roman"/>
                <w:kern w:val="0"/>
                <w:sz w:val="21"/>
                <w:szCs w:val="21"/>
              </w:rPr>
              <w:t>：</w:t>
            </w:r>
            <w:r>
              <w:rPr>
                <w:rFonts w:ascii="Times New Roman" w:hAnsi="Times New Roman"/>
                <w:kern w:val="0"/>
                <w:sz w:val="21"/>
                <w:szCs w:val="21"/>
              </w:rPr>
              <w:t>carbonmonoxide</w:t>
            </w:r>
          </w:p>
        </w:tc>
        <w:tc>
          <w:tcPr>
            <w:tcW w:w="1380" w:type="pct"/>
            <w:gridSpan w:val="3"/>
            <w:tcBorders>
              <w:left w:val="single" w:color="auto" w:sz="4" w:space="0"/>
            </w:tcBorders>
            <w:vAlign w:val="center"/>
          </w:tcPr>
          <w:p w14:paraId="33503EB8">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UN编号：1016</w:t>
            </w:r>
          </w:p>
        </w:tc>
        <w:tc>
          <w:tcPr>
            <w:tcW w:w="1479" w:type="pct"/>
            <w:vAlign w:val="center"/>
          </w:tcPr>
          <w:p w14:paraId="2882E3A0">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CAS号：630-08-0</w:t>
            </w:r>
          </w:p>
        </w:tc>
      </w:tr>
      <w:tr w14:paraId="540F9F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tcBorders>
              <w:top w:val="single" w:color="auto" w:sz="4" w:space="0"/>
              <w:left w:val="single" w:color="auto" w:sz="4" w:space="0"/>
              <w:bottom w:val="single" w:color="auto" w:sz="4" w:space="0"/>
              <w:right w:val="single" w:color="auto" w:sz="4" w:space="0"/>
            </w:tcBorders>
            <w:vAlign w:val="center"/>
          </w:tcPr>
          <w:p w14:paraId="38182741">
            <w:pPr>
              <w:widowControl/>
              <w:spacing w:line="240" w:lineRule="auto"/>
              <w:ind w:firstLine="0" w:firstLineChars="0"/>
              <w:jc w:val="center"/>
              <w:textAlignment w:val="baseline"/>
              <w:rPr>
                <w:sz w:val="21"/>
                <w:szCs w:val="21"/>
              </w:rPr>
            </w:pPr>
          </w:p>
        </w:tc>
        <w:tc>
          <w:tcPr>
            <w:tcW w:w="1416" w:type="pct"/>
            <w:gridSpan w:val="3"/>
            <w:tcBorders>
              <w:top w:val="single" w:color="auto" w:sz="4" w:space="0"/>
              <w:left w:val="single" w:color="auto" w:sz="4" w:space="0"/>
              <w:bottom w:val="single" w:color="auto" w:sz="4" w:space="0"/>
              <w:right w:val="single" w:color="auto" w:sz="4" w:space="0"/>
            </w:tcBorders>
            <w:vAlign w:val="center"/>
          </w:tcPr>
          <w:p w14:paraId="11A6B844">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危规号：21005</w:t>
            </w:r>
          </w:p>
        </w:tc>
        <w:tc>
          <w:tcPr>
            <w:tcW w:w="2859" w:type="pct"/>
            <w:gridSpan w:val="4"/>
            <w:tcBorders>
              <w:left w:val="single" w:color="auto" w:sz="4" w:space="0"/>
            </w:tcBorders>
            <w:vAlign w:val="center"/>
          </w:tcPr>
          <w:p w14:paraId="43F7BF67">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危险性类别：易燃气体</w:t>
            </w:r>
            <w:r>
              <w:rPr>
                <w:rFonts w:hint="eastAsia" w:ascii="Times New Roman" w:hAnsi="Times New Roman"/>
                <w:kern w:val="0"/>
                <w:sz w:val="21"/>
                <w:szCs w:val="21"/>
              </w:rPr>
              <w:t>，</w:t>
            </w:r>
            <w:r>
              <w:rPr>
                <w:rFonts w:ascii="Times New Roman" w:hAnsi="Times New Roman"/>
                <w:kern w:val="0"/>
                <w:sz w:val="21"/>
                <w:szCs w:val="21"/>
              </w:rPr>
              <w:t>类别1</w:t>
            </w:r>
          </w:p>
          <w:p w14:paraId="12769CD3">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加压气体急性毒性-吸入</w:t>
            </w:r>
            <w:r>
              <w:rPr>
                <w:rFonts w:hint="eastAsia" w:ascii="Times New Roman" w:hAnsi="Times New Roman"/>
                <w:kern w:val="0"/>
                <w:sz w:val="21"/>
                <w:szCs w:val="21"/>
              </w:rPr>
              <w:t>，</w:t>
            </w:r>
            <w:r>
              <w:rPr>
                <w:rFonts w:ascii="Times New Roman" w:hAnsi="Times New Roman"/>
                <w:kern w:val="0"/>
                <w:sz w:val="21"/>
                <w:szCs w:val="21"/>
              </w:rPr>
              <w:t>类别3*</w:t>
            </w:r>
          </w:p>
          <w:p w14:paraId="6B6B0C4A">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生殖毒性</w:t>
            </w:r>
            <w:r>
              <w:rPr>
                <w:rFonts w:hint="eastAsia" w:ascii="Times New Roman" w:hAnsi="Times New Roman"/>
                <w:kern w:val="0"/>
                <w:sz w:val="21"/>
                <w:szCs w:val="21"/>
              </w:rPr>
              <w:t>，</w:t>
            </w:r>
            <w:r>
              <w:rPr>
                <w:rFonts w:ascii="Times New Roman" w:hAnsi="Times New Roman"/>
                <w:kern w:val="0"/>
                <w:sz w:val="21"/>
                <w:szCs w:val="21"/>
              </w:rPr>
              <w:t>类别1A</w:t>
            </w:r>
          </w:p>
          <w:p w14:paraId="04C35139">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特异性靶器官毒性-反复接触</w:t>
            </w:r>
            <w:r>
              <w:rPr>
                <w:rFonts w:hint="eastAsia" w:ascii="Times New Roman" w:hAnsi="Times New Roman"/>
                <w:kern w:val="0"/>
                <w:sz w:val="21"/>
                <w:szCs w:val="21"/>
              </w:rPr>
              <w:t>，</w:t>
            </w:r>
            <w:r>
              <w:rPr>
                <w:rFonts w:ascii="Times New Roman" w:hAnsi="Times New Roman"/>
                <w:kern w:val="0"/>
                <w:sz w:val="21"/>
                <w:szCs w:val="21"/>
              </w:rPr>
              <w:t>类别1</w:t>
            </w:r>
          </w:p>
        </w:tc>
      </w:tr>
      <w:tr w14:paraId="4FDB3D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restart"/>
            <w:tcBorders>
              <w:top w:val="single" w:color="auto" w:sz="4" w:space="0"/>
              <w:bottom w:val="nil"/>
            </w:tcBorders>
            <w:vAlign w:val="center"/>
          </w:tcPr>
          <w:p w14:paraId="765B106F">
            <w:pPr>
              <w:widowControl/>
              <w:spacing w:line="240" w:lineRule="auto"/>
              <w:ind w:firstLine="0" w:firstLineChars="0"/>
              <w:jc w:val="center"/>
              <w:textAlignment w:val="baseline"/>
              <w:rPr>
                <w:sz w:val="21"/>
                <w:szCs w:val="21"/>
              </w:rPr>
            </w:pPr>
            <w:r>
              <w:rPr>
                <w:sz w:val="21"/>
                <w:szCs w:val="21"/>
              </w:rPr>
              <w:t>理化性质</w:t>
            </w:r>
          </w:p>
        </w:tc>
        <w:tc>
          <w:tcPr>
            <w:tcW w:w="1416" w:type="pct"/>
            <w:gridSpan w:val="3"/>
            <w:tcBorders>
              <w:top w:val="single" w:color="auto" w:sz="4" w:space="0"/>
            </w:tcBorders>
            <w:vAlign w:val="center"/>
          </w:tcPr>
          <w:p w14:paraId="1E927946">
            <w:pPr>
              <w:widowControl/>
              <w:spacing w:line="240" w:lineRule="auto"/>
              <w:ind w:firstLine="0" w:firstLineChars="0"/>
              <w:jc w:val="center"/>
              <w:textAlignment w:val="baseline"/>
              <w:rPr>
                <w:sz w:val="21"/>
                <w:szCs w:val="21"/>
              </w:rPr>
            </w:pPr>
            <w:r>
              <w:rPr>
                <w:sz w:val="21"/>
                <w:szCs w:val="21"/>
              </w:rPr>
              <w:t>外观与性状</w:t>
            </w:r>
          </w:p>
        </w:tc>
        <w:tc>
          <w:tcPr>
            <w:tcW w:w="2859" w:type="pct"/>
            <w:gridSpan w:val="4"/>
            <w:vAlign w:val="center"/>
          </w:tcPr>
          <w:p w14:paraId="74432B26">
            <w:pPr>
              <w:widowControl/>
              <w:spacing w:line="240" w:lineRule="auto"/>
              <w:ind w:firstLine="0" w:firstLineChars="0"/>
              <w:jc w:val="center"/>
              <w:textAlignment w:val="baseline"/>
              <w:rPr>
                <w:sz w:val="21"/>
                <w:szCs w:val="21"/>
              </w:rPr>
            </w:pPr>
            <w:r>
              <w:rPr>
                <w:sz w:val="21"/>
                <w:szCs w:val="21"/>
              </w:rPr>
              <w:t>无色无臭气体。</w:t>
            </w:r>
          </w:p>
        </w:tc>
      </w:tr>
      <w:tr w14:paraId="4E62C6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tcBorders>
              <w:top w:val="nil"/>
              <w:bottom w:val="nil"/>
            </w:tcBorders>
            <w:vAlign w:val="center"/>
          </w:tcPr>
          <w:p w14:paraId="28E28C61">
            <w:pPr>
              <w:widowControl/>
              <w:spacing w:line="240" w:lineRule="auto"/>
              <w:ind w:firstLine="0" w:firstLineChars="0"/>
              <w:jc w:val="center"/>
              <w:textAlignment w:val="baseline"/>
              <w:rPr>
                <w:sz w:val="21"/>
                <w:szCs w:val="21"/>
              </w:rPr>
            </w:pPr>
          </w:p>
        </w:tc>
        <w:tc>
          <w:tcPr>
            <w:tcW w:w="1416" w:type="pct"/>
            <w:gridSpan w:val="3"/>
            <w:vAlign w:val="center"/>
          </w:tcPr>
          <w:p w14:paraId="16302754">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熔点：-199.1℃</w:t>
            </w:r>
          </w:p>
        </w:tc>
        <w:tc>
          <w:tcPr>
            <w:tcW w:w="1380" w:type="pct"/>
            <w:gridSpan w:val="3"/>
            <w:vMerge w:val="restart"/>
            <w:tcBorders>
              <w:bottom w:val="nil"/>
            </w:tcBorders>
            <w:vAlign w:val="center"/>
          </w:tcPr>
          <w:p w14:paraId="50617CEF">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相对密度（水=1）：0.79相对密度（空气=1）：0.97</w:t>
            </w:r>
          </w:p>
        </w:tc>
        <w:tc>
          <w:tcPr>
            <w:tcW w:w="1479" w:type="pct"/>
            <w:vAlign w:val="center"/>
          </w:tcPr>
          <w:p w14:paraId="4702B83D">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燃烧热（KJ/mol）：无资料</w:t>
            </w:r>
          </w:p>
        </w:tc>
      </w:tr>
      <w:tr w14:paraId="4686C21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tcBorders>
              <w:top w:val="nil"/>
              <w:bottom w:val="nil"/>
            </w:tcBorders>
            <w:vAlign w:val="center"/>
          </w:tcPr>
          <w:p w14:paraId="3E6E2A0E">
            <w:pPr>
              <w:widowControl/>
              <w:spacing w:line="240" w:lineRule="auto"/>
              <w:ind w:firstLine="0" w:firstLineChars="0"/>
              <w:jc w:val="center"/>
              <w:textAlignment w:val="baseline"/>
              <w:rPr>
                <w:sz w:val="21"/>
                <w:szCs w:val="21"/>
              </w:rPr>
            </w:pPr>
          </w:p>
        </w:tc>
        <w:tc>
          <w:tcPr>
            <w:tcW w:w="1416" w:type="pct"/>
            <w:gridSpan w:val="3"/>
            <w:vAlign w:val="center"/>
          </w:tcPr>
          <w:p w14:paraId="2350312E">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沸点：-191.4℃</w:t>
            </w:r>
          </w:p>
        </w:tc>
        <w:tc>
          <w:tcPr>
            <w:tcW w:w="1380" w:type="pct"/>
            <w:gridSpan w:val="3"/>
            <w:vMerge w:val="continue"/>
            <w:tcBorders>
              <w:top w:val="nil"/>
            </w:tcBorders>
            <w:vAlign w:val="center"/>
          </w:tcPr>
          <w:p w14:paraId="567B803C">
            <w:pPr>
              <w:widowControl/>
              <w:spacing w:line="240" w:lineRule="auto"/>
              <w:ind w:firstLine="0" w:firstLineChars="0"/>
              <w:jc w:val="center"/>
              <w:textAlignment w:val="baseline"/>
              <w:rPr>
                <w:sz w:val="21"/>
                <w:szCs w:val="21"/>
              </w:rPr>
            </w:pPr>
          </w:p>
        </w:tc>
        <w:tc>
          <w:tcPr>
            <w:tcW w:w="1479" w:type="pct"/>
            <w:vAlign w:val="center"/>
          </w:tcPr>
          <w:p w14:paraId="5AF3656C">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溶解性：微溶于水，溶于乙醇、苯等多数有机溶剂。</w:t>
            </w:r>
          </w:p>
        </w:tc>
      </w:tr>
      <w:tr w14:paraId="4249E1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tcBorders>
              <w:top w:val="nil"/>
            </w:tcBorders>
            <w:vAlign w:val="center"/>
          </w:tcPr>
          <w:p w14:paraId="3AD0CEBD">
            <w:pPr>
              <w:spacing w:line="240" w:lineRule="auto"/>
              <w:ind w:firstLine="560"/>
              <w:rPr>
                <w:szCs w:val="21"/>
              </w:rPr>
            </w:pPr>
          </w:p>
        </w:tc>
        <w:tc>
          <w:tcPr>
            <w:tcW w:w="1416" w:type="pct"/>
            <w:gridSpan w:val="3"/>
            <w:vAlign w:val="center"/>
          </w:tcPr>
          <w:p w14:paraId="7797EF17">
            <w:pPr>
              <w:pStyle w:val="814"/>
              <w:ind w:firstLine="440"/>
              <w:rPr>
                <w:rFonts w:hint="eastAsia"/>
                <w:sz w:val="21"/>
                <w:szCs w:val="21"/>
              </w:rPr>
            </w:pPr>
            <w:r>
              <w:rPr>
                <w:spacing w:val="5"/>
                <w:sz w:val="21"/>
                <w:szCs w:val="21"/>
              </w:rPr>
              <w:t>临界温度：-140.2</w:t>
            </w:r>
          </w:p>
        </w:tc>
        <w:tc>
          <w:tcPr>
            <w:tcW w:w="2859" w:type="pct"/>
            <w:gridSpan w:val="4"/>
            <w:vAlign w:val="center"/>
          </w:tcPr>
          <w:p w14:paraId="1ABC3BAB">
            <w:pPr>
              <w:pStyle w:val="814"/>
              <w:ind w:firstLine="456"/>
              <w:rPr>
                <w:rFonts w:hint="eastAsia"/>
                <w:sz w:val="21"/>
                <w:szCs w:val="21"/>
              </w:rPr>
            </w:pPr>
            <w:r>
              <w:rPr>
                <w:spacing w:val="9"/>
                <w:sz w:val="21"/>
                <w:szCs w:val="21"/>
              </w:rPr>
              <w:t>饱和蒸气压（</w:t>
            </w:r>
            <w:r>
              <w:rPr>
                <w:sz w:val="21"/>
                <w:szCs w:val="21"/>
              </w:rPr>
              <w:t>kPa</w:t>
            </w:r>
            <w:r>
              <w:rPr>
                <w:spacing w:val="17"/>
                <w:sz w:val="21"/>
                <w:szCs w:val="21"/>
              </w:rPr>
              <w:t>）：</w:t>
            </w:r>
            <w:r>
              <w:rPr>
                <w:spacing w:val="9"/>
                <w:sz w:val="21"/>
                <w:szCs w:val="21"/>
              </w:rPr>
              <w:t>无资料</w:t>
            </w:r>
          </w:p>
        </w:tc>
      </w:tr>
      <w:tr w14:paraId="1A5899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restart"/>
            <w:tcBorders>
              <w:bottom w:val="nil"/>
            </w:tcBorders>
            <w:vAlign w:val="center"/>
          </w:tcPr>
          <w:p w14:paraId="27670375">
            <w:pPr>
              <w:widowControl/>
              <w:spacing w:line="240" w:lineRule="auto"/>
              <w:ind w:firstLine="0" w:firstLineChars="0"/>
              <w:jc w:val="center"/>
              <w:textAlignment w:val="baseline"/>
              <w:rPr>
                <w:sz w:val="21"/>
                <w:szCs w:val="21"/>
              </w:rPr>
            </w:pPr>
            <w:r>
              <w:rPr>
                <w:sz w:val="21"/>
                <w:szCs w:val="21"/>
              </w:rPr>
              <w:t>毒性及健康危害</w:t>
            </w:r>
          </w:p>
        </w:tc>
        <w:tc>
          <w:tcPr>
            <w:tcW w:w="713" w:type="pct"/>
            <w:vAlign w:val="center"/>
          </w:tcPr>
          <w:p w14:paraId="35FC5E85">
            <w:pPr>
              <w:widowControl/>
              <w:spacing w:line="240" w:lineRule="auto"/>
              <w:ind w:firstLine="0" w:firstLineChars="0"/>
              <w:jc w:val="center"/>
              <w:textAlignment w:val="baseline"/>
              <w:rPr>
                <w:sz w:val="21"/>
                <w:szCs w:val="21"/>
              </w:rPr>
            </w:pPr>
            <w:r>
              <w:rPr>
                <w:sz w:val="21"/>
                <w:szCs w:val="21"/>
              </w:rPr>
              <w:t>侵入途径</w:t>
            </w:r>
          </w:p>
        </w:tc>
        <w:tc>
          <w:tcPr>
            <w:tcW w:w="1494" w:type="pct"/>
            <w:gridSpan w:val="3"/>
            <w:vAlign w:val="center"/>
          </w:tcPr>
          <w:p w14:paraId="2DC2E4F1">
            <w:pPr>
              <w:widowControl/>
              <w:spacing w:line="240" w:lineRule="auto"/>
              <w:ind w:firstLine="0" w:firstLineChars="0"/>
              <w:jc w:val="center"/>
              <w:textAlignment w:val="baseline"/>
              <w:rPr>
                <w:sz w:val="21"/>
                <w:szCs w:val="21"/>
              </w:rPr>
            </w:pPr>
            <w:r>
              <w:rPr>
                <w:sz w:val="21"/>
                <w:szCs w:val="21"/>
              </w:rPr>
              <w:t>侵入途径：吸入、食入、经皮吸收。</w:t>
            </w:r>
          </w:p>
        </w:tc>
        <w:tc>
          <w:tcPr>
            <w:tcW w:w="2067" w:type="pct"/>
            <w:gridSpan w:val="3"/>
            <w:vAlign w:val="center"/>
          </w:tcPr>
          <w:p w14:paraId="28D5B61D">
            <w:pPr>
              <w:widowControl/>
              <w:spacing w:line="240" w:lineRule="auto"/>
              <w:ind w:firstLine="0" w:firstLineChars="0"/>
              <w:jc w:val="center"/>
              <w:textAlignment w:val="baseline"/>
              <w:rPr>
                <w:sz w:val="21"/>
                <w:szCs w:val="21"/>
              </w:rPr>
            </w:pPr>
            <w:r>
              <w:rPr>
                <w:sz w:val="21"/>
                <w:szCs w:val="21"/>
              </w:rPr>
              <w:t>急性毒性：LD50无资料</w:t>
            </w:r>
          </w:p>
          <w:p w14:paraId="29B831BB">
            <w:pPr>
              <w:widowControl/>
              <w:spacing w:line="240" w:lineRule="auto"/>
              <w:ind w:firstLine="0" w:firstLineChars="0"/>
              <w:jc w:val="center"/>
              <w:textAlignment w:val="baseline"/>
              <w:rPr>
                <w:sz w:val="21"/>
                <w:szCs w:val="21"/>
              </w:rPr>
            </w:pPr>
            <w:r>
              <w:rPr>
                <w:sz w:val="21"/>
                <w:szCs w:val="21"/>
              </w:rPr>
              <w:t>LC50</w:t>
            </w:r>
            <w:r>
              <w:rPr>
                <w:rFonts w:hint="eastAsia"/>
                <w:sz w:val="21"/>
                <w:szCs w:val="21"/>
              </w:rPr>
              <w:t>：</w:t>
            </w:r>
            <w:r>
              <w:rPr>
                <w:sz w:val="21"/>
                <w:szCs w:val="21"/>
              </w:rPr>
              <w:t>2069mg/m3，4小时</w:t>
            </w:r>
            <w:r>
              <w:rPr>
                <w:rFonts w:hint="eastAsia"/>
                <w:sz w:val="21"/>
                <w:szCs w:val="21"/>
              </w:rPr>
              <w:t>（</w:t>
            </w:r>
            <w:r>
              <w:rPr>
                <w:sz w:val="21"/>
                <w:szCs w:val="21"/>
              </w:rPr>
              <w:t>大鼠吸入)</w:t>
            </w:r>
          </w:p>
        </w:tc>
      </w:tr>
      <w:tr w14:paraId="2DE3F9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tcBorders>
              <w:top w:val="nil"/>
            </w:tcBorders>
            <w:vAlign w:val="center"/>
          </w:tcPr>
          <w:p w14:paraId="54035AF7">
            <w:pPr>
              <w:widowControl/>
              <w:spacing w:line="240" w:lineRule="auto"/>
              <w:ind w:firstLine="0" w:firstLineChars="0"/>
              <w:jc w:val="center"/>
              <w:textAlignment w:val="baseline"/>
              <w:rPr>
                <w:sz w:val="21"/>
                <w:szCs w:val="21"/>
              </w:rPr>
            </w:pPr>
          </w:p>
        </w:tc>
        <w:tc>
          <w:tcPr>
            <w:tcW w:w="713" w:type="pct"/>
            <w:vAlign w:val="center"/>
          </w:tcPr>
          <w:p w14:paraId="1FC5AA8C">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健康危害</w:t>
            </w:r>
          </w:p>
        </w:tc>
        <w:tc>
          <w:tcPr>
            <w:tcW w:w="3562" w:type="pct"/>
            <w:gridSpan w:val="6"/>
            <w:vAlign w:val="center"/>
          </w:tcPr>
          <w:p w14:paraId="7D2C7726">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健康危害：一氧化碳在血中与血红蛋白结合而造成组织缺氧。急性中毒：轻度中毒者出现头痛、头晕、耳鸣、心悸、恶心、呕吐、无力，血液碳氧血红蛋白浓度可高于10％；中度中毒者除上述症状外，还有皮肤粘膜呈樱红色、脉快、烦躁、步态不稳、浅至中度昏迷，血液碳氧血红蛋白浓度可高于30％；重度患者深度昏迷、瞳孔缩小、肌张力增强、频繁抽搐、大小便失禁、休克、肺水肿、严重心肌损害等，血液碳氧血红蛋白可高于50％。部分患者昏迷苏醒后，约经2～60天的症状缓解期后，又可能出现迟发性脑病，以意识精神障碍、锥体系或锥体外系损害为主。慢性影响：能否造成慢性中毒及对心血管影响无定论。</w:t>
            </w:r>
          </w:p>
        </w:tc>
      </w:tr>
      <w:tr w14:paraId="2C1F06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restart"/>
            <w:vAlign w:val="center"/>
          </w:tcPr>
          <w:p w14:paraId="1DD9E286">
            <w:pPr>
              <w:widowControl/>
              <w:spacing w:line="240" w:lineRule="auto"/>
              <w:ind w:firstLine="0" w:firstLineChars="0"/>
              <w:jc w:val="center"/>
              <w:textAlignment w:val="baseline"/>
              <w:rPr>
                <w:sz w:val="21"/>
                <w:szCs w:val="21"/>
              </w:rPr>
            </w:pPr>
            <w:r>
              <w:rPr>
                <w:sz w:val="21"/>
                <w:szCs w:val="21"/>
              </w:rPr>
              <w:t>燃烧、爆炸危险性</w:t>
            </w:r>
          </w:p>
        </w:tc>
        <w:tc>
          <w:tcPr>
            <w:tcW w:w="1247" w:type="pct"/>
            <w:gridSpan w:val="2"/>
            <w:vAlign w:val="center"/>
          </w:tcPr>
          <w:p w14:paraId="4AD3FF9A">
            <w:pPr>
              <w:widowControl/>
              <w:spacing w:line="240" w:lineRule="auto"/>
              <w:ind w:firstLine="0" w:firstLineChars="0"/>
              <w:jc w:val="center"/>
              <w:textAlignment w:val="baseline"/>
              <w:rPr>
                <w:sz w:val="21"/>
                <w:szCs w:val="21"/>
              </w:rPr>
            </w:pPr>
            <w:r>
              <w:rPr>
                <w:sz w:val="21"/>
                <w:szCs w:val="21"/>
              </w:rPr>
              <w:t>闪点</w:t>
            </w:r>
            <w:r>
              <w:rPr>
                <w:rFonts w:hint="eastAsia"/>
                <w:sz w:val="21"/>
                <w:szCs w:val="21"/>
              </w:rPr>
              <w:t>（</w:t>
            </w:r>
            <w:r>
              <w:rPr>
                <w:sz w:val="21"/>
                <w:szCs w:val="21"/>
              </w:rPr>
              <w:t>℃)：</w:t>
            </w:r>
            <w:r>
              <w:rPr>
                <w:rFonts w:hint="eastAsia"/>
                <w:sz w:val="21"/>
                <w:szCs w:val="21"/>
              </w:rPr>
              <w:t>〈</w:t>
            </w:r>
            <w:r>
              <w:rPr>
                <w:sz w:val="21"/>
                <w:szCs w:val="21"/>
              </w:rPr>
              <w:t>-50</w:t>
            </w:r>
          </w:p>
        </w:tc>
        <w:tc>
          <w:tcPr>
            <w:tcW w:w="1257" w:type="pct"/>
            <w:gridSpan w:val="3"/>
            <w:vAlign w:val="center"/>
          </w:tcPr>
          <w:p w14:paraId="42019761">
            <w:pPr>
              <w:widowControl/>
              <w:spacing w:line="240" w:lineRule="auto"/>
              <w:ind w:firstLine="0" w:firstLineChars="0"/>
              <w:jc w:val="center"/>
              <w:textAlignment w:val="baseline"/>
              <w:rPr>
                <w:sz w:val="21"/>
                <w:szCs w:val="21"/>
              </w:rPr>
            </w:pPr>
            <w:r>
              <w:rPr>
                <w:sz w:val="21"/>
                <w:szCs w:val="21"/>
              </w:rPr>
              <w:t>爆炸下限[%(V/V)]：12.5</w:t>
            </w:r>
          </w:p>
        </w:tc>
        <w:tc>
          <w:tcPr>
            <w:tcW w:w="1771" w:type="pct"/>
            <w:gridSpan w:val="2"/>
            <w:vAlign w:val="center"/>
          </w:tcPr>
          <w:p w14:paraId="5219354F">
            <w:pPr>
              <w:widowControl/>
              <w:spacing w:line="240" w:lineRule="auto"/>
              <w:ind w:firstLine="0" w:firstLineChars="0"/>
              <w:jc w:val="center"/>
              <w:textAlignment w:val="baseline"/>
              <w:rPr>
                <w:sz w:val="21"/>
                <w:szCs w:val="21"/>
              </w:rPr>
            </w:pPr>
            <w:r>
              <w:rPr>
                <w:sz w:val="21"/>
                <w:szCs w:val="21"/>
              </w:rPr>
              <w:t>爆炸上限[%(V/V)]：74.2</w:t>
            </w:r>
          </w:p>
        </w:tc>
      </w:tr>
      <w:tr w14:paraId="172C89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vAlign w:val="center"/>
          </w:tcPr>
          <w:p w14:paraId="3D38A95F">
            <w:pPr>
              <w:widowControl/>
              <w:spacing w:line="240" w:lineRule="auto"/>
              <w:ind w:firstLine="0" w:firstLineChars="0"/>
              <w:jc w:val="center"/>
              <w:textAlignment w:val="baseline"/>
              <w:rPr>
                <w:sz w:val="21"/>
                <w:szCs w:val="21"/>
              </w:rPr>
            </w:pPr>
          </w:p>
        </w:tc>
        <w:tc>
          <w:tcPr>
            <w:tcW w:w="1247" w:type="pct"/>
            <w:gridSpan w:val="2"/>
            <w:vAlign w:val="center"/>
          </w:tcPr>
          <w:p w14:paraId="41C66A44">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引燃温度</w:t>
            </w:r>
            <w:r>
              <w:rPr>
                <w:rFonts w:hint="eastAsia" w:ascii="Times New Roman" w:hAnsi="Times New Roman"/>
                <w:kern w:val="0"/>
                <w:sz w:val="21"/>
                <w:szCs w:val="21"/>
              </w:rPr>
              <w:t>（</w:t>
            </w:r>
            <w:r>
              <w:rPr>
                <w:rFonts w:ascii="Times New Roman" w:hAnsi="Times New Roman"/>
                <w:kern w:val="0"/>
                <w:sz w:val="21"/>
                <w:szCs w:val="21"/>
              </w:rPr>
              <w:t>℃)：610</w:t>
            </w:r>
          </w:p>
        </w:tc>
        <w:tc>
          <w:tcPr>
            <w:tcW w:w="3028" w:type="pct"/>
            <w:gridSpan w:val="5"/>
            <w:vAlign w:val="center"/>
          </w:tcPr>
          <w:p w14:paraId="73E79ADA">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有害燃烧产物：二氧化碳。</w:t>
            </w:r>
          </w:p>
        </w:tc>
      </w:tr>
      <w:tr w14:paraId="0F01610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vAlign w:val="center"/>
          </w:tcPr>
          <w:p w14:paraId="22A28634">
            <w:pPr>
              <w:widowControl/>
              <w:spacing w:line="240" w:lineRule="auto"/>
              <w:ind w:firstLine="0" w:firstLineChars="0"/>
              <w:jc w:val="center"/>
              <w:textAlignment w:val="baseline"/>
              <w:rPr>
                <w:sz w:val="21"/>
                <w:szCs w:val="21"/>
              </w:rPr>
            </w:pPr>
          </w:p>
        </w:tc>
        <w:tc>
          <w:tcPr>
            <w:tcW w:w="713" w:type="pct"/>
            <w:vAlign w:val="center"/>
          </w:tcPr>
          <w:p w14:paraId="500348EA">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禁忌物</w:t>
            </w:r>
          </w:p>
        </w:tc>
        <w:tc>
          <w:tcPr>
            <w:tcW w:w="3562" w:type="pct"/>
            <w:gridSpan w:val="6"/>
            <w:vAlign w:val="center"/>
          </w:tcPr>
          <w:p w14:paraId="2911128D">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禁配物：强氧化剂、碱类。</w:t>
            </w:r>
          </w:p>
        </w:tc>
      </w:tr>
      <w:tr w14:paraId="32E6B8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vAlign w:val="center"/>
          </w:tcPr>
          <w:p w14:paraId="42F3E6B1">
            <w:pPr>
              <w:widowControl/>
              <w:spacing w:line="240" w:lineRule="auto"/>
              <w:ind w:firstLine="0" w:firstLineChars="0"/>
              <w:jc w:val="center"/>
              <w:textAlignment w:val="baseline"/>
              <w:rPr>
                <w:sz w:val="21"/>
                <w:szCs w:val="21"/>
              </w:rPr>
            </w:pPr>
          </w:p>
        </w:tc>
        <w:tc>
          <w:tcPr>
            <w:tcW w:w="713" w:type="pct"/>
            <w:vAlign w:val="center"/>
          </w:tcPr>
          <w:p w14:paraId="21E5E108">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危险特性</w:t>
            </w:r>
          </w:p>
        </w:tc>
        <w:tc>
          <w:tcPr>
            <w:tcW w:w="3562" w:type="pct"/>
            <w:gridSpan w:val="6"/>
            <w:vAlign w:val="center"/>
          </w:tcPr>
          <w:p w14:paraId="0AF6A363">
            <w:pPr>
              <w:pStyle w:val="814"/>
              <w:widowControl/>
              <w:jc w:val="center"/>
              <w:textAlignment w:val="baseline"/>
              <w:rPr>
                <w:rFonts w:ascii="Times New Roman" w:hAnsi="Times New Roman"/>
                <w:kern w:val="0"/>
                <w:sz w:val="21"/>
                <w:szCs w:val="21"/>
              </w:rPr>
            </w:pPr>
            <w:r>
              <w:rPr>
                <w:rFonts w:ascii="Times New Roman" w:hAnsi="Times New Roman"/>
                <w:kern w:val="0"/>
                <w:sz w:val="21"/>
                <w:szCs w:val="21"/>
              </w:rPr>
              <w:t>危险特征：是一种易燃易爆气体。与空气混合能形成爆炸性混合物，遇明火、高热能引起燃烧爆炸。</w:t>
            </w:r>
          </w:p>
        </w:tc>
      </w:tr>
      <w:tr w14:paraId="12492E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Merge w:val="continue"/>
            <w:vAlign w:val="center"/>
          </w:tcPr>
          <w:p w14:paraId="58382ED1">
            <w:pPr>
              <w:spacing w:line="240" w:lineRule="auto"/>
              <w:ind w:firstLine="560"/>
              <w:rPr>
                <w:szCs w:val="21"/>
              </w:rPr>
            </w:pPr>
          </w:p>
        </w:tc>
        <w:tc>
          <w:tcPr>
            <w:tcW w:w="713" w:type="pct"/>
            <w:vAlign w:val="center"/>
          </w:tcPr>
          <w:p w14:paraId="7E68FC83">
            <w:pPr>
              <w:widowControl/>
              <w:spacing w:line="240" w:lineRule="auto"/>
              <w:ind w:firstLine="0" w:firstLineChars="0"/>
              <w:jc w:val="center"/>
              <w:textAlignment w:val="baseline"/>
              <w:rPr>
                <w:sz w:val="21"/>
                <w:szCs w:val="21"/>
              </w:rPr>
            </w:pPr>
            <w:r>
              <w:rPr>
                <w:sz w:val="21"/>
                <w:szCs w:val="21"/>
              </w:rPr>
              <w:t>灭火方法</w:t>
            </w:r>
          </w:p>
        </w:tc>
        <w:tc>
          <w:tcPr>
            <w:tcW w:w="3562" w:type="pct"/>
            <w:gridSpan w:val="6"/>
            <w:vAlign w:val="center"/>
          </w:tcPr>
          <w:p w14:paraId="1CAC1FB5">
            <w:pPr>
              <w:widowControl/>
              <w:spacing w:line="240" w:lineRule="auto"/>
              <w:ind w:firstLine="0" w:firstLineChars="0"/>
              <w:jc w:val="center"/>
              <w:textAlignment w:val="baseline"/>
              <w:rPr>
                <w:sz w:val="21"/>
                <w:szCs w:val="21"/>
              </w:rPr>
            </w:pPr>
            <w:r>
              <w:rPr>
                <w:sz w:val="21"/>
                <w:szCs w:val="21"/>
              </w:rPr>
              <w:t>灭火方法：切断气源。若不能切断气源，则不允许熄灭泄漏处的火焰。喷水冷却容器，可能的话将容器从火场移至空旷处。灭火剂：雾状水、泡沫、二氧化碳、干粉。</w:t>
            </w:r>
          </w:p>
        </w:tc>
      </w:tr>
      <w:tr w14:paraId="1B6085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Align w:val="center"/>
          </w:tcPr>
          <w:p w14:paraId="1C957CB0">
            <w:pPr>
              <w:widowControl/>
              <w:spacing w:line="240" w:lineRule="auto"/>
              <w:ind w:firstLine="0" w:firstLineChars="0"/>
              <w:jc w:val="center"/>
              <w:textAlignment w:val="baseline"/>
              <w:rPr>
                <w:sz w:val="21"/>
                <w:szCs w:val="21"/>
              </w:rPr>
            </w:pPr>
            <w:r>
              <w:rPr>
                <w:sz w:val="21"/>
                <w:szCs w:val="21"/>
              </w:rPr>
              <w:t>急救措施</w:t>
            </w:r>
          </w:p>
        </w:tc>
        <w:tc>
          <w:tcPr>
            <w:tcW w:w="4276" w:type="pct"/>
            <w:gridSpan w:val="7"/>
            <w:vAlign w:val="center"/>
          </w:tcPr>
          <w:p w14:paraId="2DDD3C56">
            <w:pPr>
              <w:widowControl/>
              <w:spacing w:line="240" w:lineRule="auto"/>
              <w:ind w:firstLine="0" w:firstLineChars="0"/>
              <w:jc w:val="center"/>
              <w:textAlignment w:val="baseline"/>
              <w:rPr>
                <w:sz w:val="21"/>
                <w:szCs w:val="21"/>
              </w:rPr>
            </w:pPr>
            <w:r>
              <w:rPr>
                <w:sz w:val="21"/>
                <w:szCs w:val="21"/>
              </w:rPr>
              <w:t>吸入：迅速脱离现场至空气新鲜处。保持呼吸道通畅。如呼吸困难，给输氧。呼吸心跳停止时，立即进行人工呼吸和胸外心脏按压术。就医。</w:t>
            </w:r>
          </w:p>
        </w:tc>
      </w:tr>
      <w:tr w14:paraId="1A4356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Align w:val="center"/>
          </w:tcPr>
          <w:p w14:paraId="60E522E5">
            <w:pPr>
              <w:widowControl/>
              <w:spacing w:line="240" w:lineRule="auto"/>
              <w:ind w:firstLine="0" w:firstLineChars="0"/>
              <w:jc w:val="center"/>
              <w:textAlignment w:val="baseline"/>
              <w:rPr>
                <w:sz w:val="21"/>
                <w:szCs w:val="21"/>
              </w:rPr>
            </w:pPr>
            <w:r>
              <w:rPr>
                <w:sz w:val="21"/>
                <w:szCs w:val="21"/>
              </w:rPr>
              <w:t>防护措施</w:t>
            </w:r>
          </w:p>
        </w:tc>
        <w:tc>
          <w:tcPr>
            <w:tcW w:w="4276" w:type="pct"/>
            <w:gridSpan w:val="7"/>
            <w:vAlign w:val="center"/>
          </w:tcPr>
          <w:p w14:paraId="517896F0">
            <w:pPr>
              <w:widowControl/>
              <w:spacing w:line="240" w:lineRule="auto"/>
              <w:ind w:firstLine="0" w:firstLineChars="0"/>
              <w:jc w:val="center"/>
              <w:textAlignment w:val="baseline"/>
              <w:rPr>
                <w:sz w:val="21"/>
                <w:szCs w:val="21"/>
              </w:rPr>
            </w:pPr>
            <w:r>
              <w:rPr>
                <w:sz w:val="21"/>
                <w:szCs w:val="21"/>
              </w:rPr>
              <w:t>严加密闭，提供充分的局部排风和全面通风。操作人员必须经过专门培训，严格遵守操作规程。建议操作人员佩戴自吸过滤式防毒面具（半面罩），穿防静电工作服。远离火种、热源，工作场所严禁吸烟。使用防爆型的通风系统和设备。防止气体泄漏到工作场所空气中。避免与氧化剂、碱类接触。在传送过程中，钢瓶和容器必须接地和跨接，防止产生静电。搬运时轻装轻卸，防止钢瓶及附件破损。配备相应品种和数量的消防器材及泄漏应急处理设备。</w:t>
            </w:r>
          </w:p>
        </w:tc>
      </w:tr>
      <w:tr w14:paraId="366833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Align w:val="center"/>
          </w:tcPr>
          <w:p w14:paraId="2460C407">
            <w:pPr>
              <w:widowControl/>
              <w:spacing w:line="240" w:lineRule="auto"/>
              <w:ind w:firstLine="0" w:firstLineChars="0"/>
              <w:jc w:val="center"/>
              <w:textAlignment w:val="baseline"/>
              <w:rPr>
                <w:sz w:val="21"/>
                <w:szCs w:val="21"/>
              </w:rPr>
            </w:pPr>
            <w:r>
              <w:rPr>
                <w:sz w:val="21"/>
                <w:szCs w:val="21"/>
              </w:rPr>
              <w:t>泄漏应急处理</w:t>
            </w:r>
          </w:p>
        </w:tc>
        <w:tc>
          <w:tcPr>
            <w:tcW w:w="4276" w:type="pct"/>
            <w:gridSpan w:val="7"/>
            <w:vAlign w:val="center"/>
          </w:tcPr>
          <w:p w14:paraId="2F4CF538">
            <w:pPr>
              <w:widowControl/>
              <w:spacing w:line="240" w:lineRule="auto"/>
              <w:ind w:firstLine="0" w:firstLineChars="0"/>
              <w:jc w:val="center"/>
              <w:textAlignment w:val="baseline"/>
              <w:rPr>
                <w:sz w:val="21"/>
                <w:szCs w:val="21"/>
              </w:rPr>
            </w:pPr>
            <w:r>
              <w:rPr>
                <w:sz w:val="21"/>
                <w:szCs w:val="21"/>
              </w:rPr>
              <w:t>迅速撤离泄漏污染区人员至上风处，并立即隔离150m，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用管路导至炉中、凹地焚之。漏气容器要妥善处理，修复、检验后再用。</w:t>
            </w:r>
          </w:p>
        </w:tc>
      </w:tr>
      <w:tr w14:paraId="1982FF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Align w:val="center"/>
          </w:tcPr>
          <w:p w14:paraId="5689740D">
            <w:pPr>
              <w:widowControl/>
              <w:spacing w:line="240" w:lineRule="auto"/>
              <w:ind w:firstLine="0" w:firstLineChars="0"/>
              <w:jc w:val="center"/>
              <w:textAlignment w:val="baseline"/>
              <w:rPr>
                <w:sz w:val="21"/>
                <w:szCs w:val="21"/>
              </w:rPr>
            </w:pPr>
            <w:r>
              <w:rPr>
                <w:sz w:val="21"/>
                <w:szCs w:val="21"/>
              </w:rPr>
              <w:t>储运注意事项</w:t>
            </w:r>
          </w:p>
        </w:tc>
        <w:tc>
          <w:tcPr>
            <w:tcW w:w="4276" w:type="pct"/>
            <w:gridSpan w:val="7"/>
            <w:vAlign w:val="center"/>
          </w:tcPr>
          <w:p w14:paraId="7235EAF0">
            <w:pPr>
              <w:widowControl/>
              <w:spacing w:line="240" w:lineRule="auto"/>
              <w:ind w:firstLine="0" w:firstLineChars="0"/>
              <w:jc w:val="center"/>
              <w:textAlignment w:val="baseline"/>
              <w:rPr>
                <w:sz w:val="21"/>
                <w:szCs w:val="21"/>
              </w:rPr>
            </w:pPr>
            <w:r>
              <w:rPr>
                <w:sz w:val="21"/>
                <w:szCs w:val="21"/>
              </w:rPr>
              <w:t>储存于阴凉、通风的库房。远离火种、热源。库温不宜超过30℃。应与氧化剂、碱类、食用化学品分开存放，切忌混储。采用防爆型照明、通风设施。禁止使用易产生火花的机械设备和工具。储区应备有泄漏应急处理设备。</w:t>
            </w:r>
          </w:p>
        </w:tc>
      </w:tr>
      <w:tr w14:paraId="694EF5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Align w:val="center"/>
          </w:tcPr>
          <w:p w14:paraId="5197B836">
            <w:pPr>
              <w:widowControl/>
              <w:spacing w:line="240" w:lineRule="auto"/>
              <w:ind w:firstLine="0" w:firstLineChars="0"/>
              <w:jc w:val="center"/>
              <w:textAlignment w:val="baseline"/>
              <w:rPr>
                <w:sz w:val="21"/>
                <w:szCs w:val="21"/>
              </w:rPr>
            </w:pPr>
            <w:r>
              <w:rPr>
                <w:sz w:val="21"/>
                <w:szCs w:val="21"/>
              </w:rPr>
              <w:t>环境资料</w:t>
            </w:r>
          </w:p>
        </w:tc>
        <w:tc>
          <w:tcPr>
            <w:tcW w:w="4276" w:type="pct"/>
            <w:gridSpan w:val="7"/>
            <w:vAlign w:val="center"/>
          </w:tcPr>
          <w:p w14:paraId="4482CF13">
            <w:pPr>
              <w:widowControl/>
              <w:spacing w:line="240" w:lineRule="auto"/>
              <w:ind w:firstLine="0" w:firstLineChars="0"/>
              <w:jc w:val="center"/>
              <w:textAlignment w:val="baseline"/>
              <w:rPr>
                <w:sz w:val="21"/>
                <w:szCs w:val="21"/>
              </w:rPr>
            </w:pPr>
            <w:r>
              <w:rPr>
                <w:sz w:val="21"/>
                <w:szCs w:val="21"/>
              </w:rPr>
              <w:t>该物质对环境有危害，应特别注意对地表水、土壤、大气和饮用水的污染。</w:t>
            </w:r>
          </w:p>
        </w:tc>
      </w:tr>
      <w:tr w14:paraId="0067F2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723" w:type="pct"/>
            <w:vAlign w:val="center"/>
          </w:tcPr>
          <w:p w14:paraId="152C208A">
            <w:pPr>
              <w:widowControl/>
              <w:spacing w:line="240" w:lineRule="auto"/>
              <w:ind w:firstLine="0" w:firstLineChars="0"/>
              <w:jc w:val="center"/>
              <w:textAlignment w:val="baseline"/>
              <w:rPr>
                <w:sz w:val="21"/>
                <w:szCs w:val="21"/>
              </w:rPr>
            </w:pPr>
            <w:r>
              <w:rPr>
                <w:sz w:val="21"/>
                <w:szCs w:val="21"/>
              </w:rPr>
              <w:t>废弃处理</w:t>
            </w:r>
          </w:p>
        </w:tc>
        <w:tc>
          <w:tcPr>
            <w:tcW w:w="4276" w:type="pct"/>
            <w:gridSpan w:val="7"/>
            <w:vAlign w:val="center"/>
          </w:tcPr>
          <w:p w14:paraId="58E91217">
            <w:pPr>
              <w:widowControl/>
              <w:spacing w:line="240" w:lineRule="auto"/>
              <w:ind w:firstLine="0" w:firstLineChars="0"/>
              <w:jc w:val="center"/>
              <w:textAlignment w:val="baseline"/>
              <w:rPr>
                <w:sz w:val="21"/>
                <w:szCs w:val="21"/>
              </w:rPr>
            </w:pPr>
            <w:r>
              <w:rPr>
                <w:sz w:val="21"/>
                <w:szCs w:val="21"/>
              </w:rPr>
              <w:t>用焚烧法处置。</w:t>
            </w:r>
          </w:p>
        </w:tc>
      </w:tr>
      <w:bookmarkEnd w:id="366"/>
      <w:bookmarkEnd w:id="369"/>
      <w:bookmarkEnd w:id="370"/>
    </w:tbl>
    <w:p w14:paraId="2EDDFC4E">
      <w:pPr>
        <w:pStyle w:val="11"/>
        <w:spacing w:after="120" w:afterLines="50" w:line="500" w:lineRule="exact"/>
        <w:rPr>
          <w:rFonts w:eastAsia="宋体"/>
          <w:bCs w:val="0"/>
          <w:color w:val="auto"/>
        </w:rPr>
      </w:pPr>
      <w:r>
        <w:rPr>
          <w:rFonts w:eastAsia="宋体"/>
          <w:bCs w:val="0"/>
          <w:color w:val="auto"/>
        </w:rPr>
        <w:t>3.</w:t>
      </w:r>
      <w:r>
        <w:rPr>
          <w:rFonts w:hint="eastAsia" w:eastAsia="宋体"/>
          <w:bCs w:val="0"/>
          <w:color w:val="auto"/>
        </w:rPr>
        <w:t>1</w:t>
      </w:r>
      <w:r>
        <w:rPr>
          <w:rFonts w:eastAsia="宋体"/>
          <w:bCs w:val="0"/>
          <w:color w:val="auto"/>
        </w:rPr>
        <w:t>.5.</w:t>
      </w:r>
      <w:r>
        <w:rPr>
          <w:rFonts w:hint="eastAsia" w:eastAsia="宋体"/>
          <w:bCs w:val="0"/>
          <w:color w:val="auto"/>
        </w:rPr>
        <w:t>2</w:t>
      </w:r>
      <w:r>
        <w:rPr>
          <w:rFonts w:eastAsia="宋体"/>
          <w:bCs w:val="0"/>
          <w:color w:val="auto"/>
        </w:rPr>
        <w:t xml:space="preserve"> 氧（压缩的）理化特性</w:t>
      </w:r>
    </w:p>
    <w:p w14:paraId="15251043">
      <w:pPr>
        <w:numPr>
          <w:ilvl w:val="0"/>
          <w:numId w:val="13"/>
        </w:numPr>
        <w:spacing w:line="500" w:lineRule="exact"/>
        <w:ind w:left="1281" w:firstLine="480" w:firstLineChars="0"/>
        <w:jc w:val="center"/>
        <w:rPr>
          <w:sz w:val="24"/>
        </w:rPr>
      </w:pPr>
      <w:r>
        <w:rPr>
          <w:sz w:val="24"/>
        </w:rPr>
        <w:t>氧（</w:t>
      </w:r>
      <w:r>
        <w:rPr>
          <w:rFonts w:hint="eastAsia"/>
          <w:sz w:val="24"/>
        </w:rPr>
        <w:t>压缩</w:t>
      </w:r>
      <w:r>
        <w:rPr>
          <w:sz w:val="24"/>
        </w:rPr>
        <w:t>的）理化特性表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56"/>
        <w:gridCol w:w="2203"/>
        <w:gridCol w:w="6235"/>
      </w:tblGrid>
      <w:tr w14:paraId="4C937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09" w:type="pct"/>
            <w:gridSpan w:val="2"/>
            <w:vAlign w:val="center"/>
          </w:tcPr>
          <w:p w14:paraId="49ED869F">
            <w:pPr>
              <w:autoSpaceDE w:val="0"/>
              <w:autoSpaceDN w:val="0"/>
              <w:spacing w:line="240" w:lineRule="auto"/>
              <w:ind w:firstLine="422"/>
              <w:jc w:val="center"/>
              <w:rPr>
                <w:b/>
                <w:bCs/>
                <w:sz w:val="21"/>
                <w:szCs w:val="21"/>
              </w:rPr>
            </w:pPr>
            <w:r>
              <w:rPr>
                <w:b/>
                <w:bCs/>
                <w:sz w:val="21"/>
                <w:szCs w:val="21"/>
              </w:rPr>
              <w:t>项目</w:t>
            </w:r>
          </w:p>
        </w:tc>
        <w:tc>
          <w:tcPr>
            <w:tcW w:w="3391" w:type="pct"/>
            <w:vAlign w:val="center"/>
          </w:tcPr>
          <w:p w14:paraId="38526904">
            <w:pPr>
              <w:tabs>
                <w:tab w:val="center" w:pos="2861"/>
              </w:tabs>
              <w:autoSpaceDE w:val="0"/>
              <w:autoSpaceDN w:val="0"/>
              <w:spacing w:line="240" w:lineRule="auto"/>
              <w:ind w:firstLine="422"/>
              <w:jc w:val="center"/>
              <w:rPr>
                <w:b/>
                <w:bCs/>
                <w:sz w:val="21"/>
                <w:szCs w:val="21"/>
              </w:rPr>
            </w:pPr>
            <w:r>
              <w:rPr>
                <w:b/>
                <w:bCs/>
                <w:sz w:val="21"/>
                <w:szCs w:val="21"/>
              </w:rPr>
              <w:t>名称</w:t>
            </w:r>
          </w:p>
        </w:tc>
      </w:tr>
      <w:tr w14:paraId="74CF7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restart"/>
            <w:vAlign w:val="center"/>
          </w:tcPr>
          <w:p w14:paraId="51413537">
            <w:pPr>
              <w:widowControl/>
              <w:spacing w:line="240" w:lineRule="auto"/>
              <w:ind w:firstLine="0" w:firstLineChars="0"/>
              <w:jc w:val="center"/>
              <w:textAlignment w:val="baseline"/>
              <w:rPr>
                <w:sz w:val="21"/>
                <w:szCs w:val="21"/>
              </w:rPr>
            </w:pPr>
            <w:r>
              <w:rPr>
                <w:sz w:val="21"/>
                <w:szCs w:val="21"/>
              </w:rPr>
              <w:t>标</w:t>
            </w:r>
          </w:p>
          <w:p w14:paraId="4DA369E7">
            <w:pPr>
              <w:widowControl/>
              <w:spacing w:line="240" w:lineRule="auto"/>
              <w:ind w:firstLine="0" w:firstLineChars="0"/>
              <w:jc w:val="center"/>
              <w:textAlignment w:val="baseline"/>
              <w:rPr>
                <w:sz w:val="21"/>
                <w:szCs w:val="21"/>
              </w:rPr>
            </w:pPr>
            <w:r>
              <w:rPr>
                <w:sz w:val="21"/>
                <w:szCs w:val="21"/>
              </w:rPr>
              <w:t>识</w:t>
            </w:r>
          </w:p>
        </w:tc>
        <w:tc>
          <w:tcPr>
            <w:tcW w:w="1197" w:type="pct"/>
            <w:vAlign w:val="center"/>
          </w:tcPr>
          <w:p w14:paraId="1122A47A">
            <w:pPr>
              <w:widowControl/>
              <w:spacing w:line="240" w:lineRule="auto"/>
              <w:ind w:firstLine="0" w:firstLineChars="0"/>
              <w:jc w:val="center"/>
              <w:textAlignment w:val="baseline"/>
              <w:rPr>
                <w:sz w:val="21"/>
                <w:szCs w:val="21"/>
              </w:rPr>
            </w:pPr>
            <w:r>
              <w:rPr>
                <w:sz w:val="21"/>
                <w:szCs w:val="21"/>
              </w:rPr>
              <w:t>中文名</w:t>
            </w:r>
          </w:p>
        </w:tc>
        <w:tc>
          <w:tcPr>
            <w:tcW w:w="3391" w:type="pct"/>
            <w:vAlign w:val="center"/>
          </w:tcPr>
          <w:p w14:paraId="790CA2D3">
            <w:pPr>
              <w:widowControl/>
              <w:spacing w:line="240" w:lineRule="auto"/>
              <w:ind w:firstLine="0" w:firstLineChars="0"/>
              <w:jc w:val="center"/>
              <w:textAlignment w:val="baseline"/>
              <w:rPr>
                <w:sz w:val="21"/>
                <w:szCs w:val="21"/>
              </w:rPr>
            </w:pPr>
            <w:r>
              <w:rPr>
                <w:sz w:val="21"/>
                <w:szCs w:val="21"/>
              </w:rPr>
              <w:t>氧：氧气</w:t>
            </w:r>
          </w:p>
        </w:tc>
      </w:tr>
      <w:tr w14:paraId="73FBB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55EC2046">
            <w:pPr>
              <w:widowControl/>
              <w:spacing w:line="240" w:lineRule="auto"/>
              <w:ind w:firstLine="0" w:firstLineChars="0"/>
              <w:jc w:val="center"/>
              <w:textAlignment w:val="baseline"/>
              <w:rPr>
                <w:sz w:val="21"/>
                <w:szCs w:val="21"/>
              </w:rPr>
            </w:pPr>
          </w:p>
        </w:tc>
        <w:tc>
          <w:tcPr>
            <w:tcW w:w="1197" w:type="pct"/>
            <w:vAlign w:val="center"/>
          </w:tcPr>
          <w:p w14:paraId="5E9EFE29">
            <w:pPr>
              <w:widowControl/>
              <w:spacing w:line="240" w:lineRule="auto"/>
              <w:ind w:firstLine="0" w:firstLineChars="0"/>
              <w:jc w:val="center"/>
              <w:textAlignment w:val="baseline"/>
              <w:rPr>
                <w:sz w:val="21"/>
                <w:szCs w:val="21"/>
              </w:rPr>
            </w:pPr>
            <w:r>
              <w:rPr>
                <w:sz w:val="21"/>
                <w:szCs w:val="21"/>
              </w:rPr>
              <w:t>英文名</w:t>
            </w:r>
          </w:p>
        </w:tc>
        <w:tc>
          <w:tcPr>
            <w:tcW w:w="3391" w:type="pct"/>
            <w:vAlign w:val="center"/>
          </w:tcPr>
          <w:p w14:paraId="148957D8">
            <w:pPr>
              <w:widowControl/>
              <w:spacing w:line="240" w:lineRule="auto"/>
              <w:ind w:firstLine="0" w:firstLineChars="0"/>
              <w:jc w:val="center"/>
              <w:textAlignment w:val="baseline"/>
              <w:rPr>
                <w:sz w:val="21"/>
                <w:szCs w:val="21"/>
              </w:rPr>
            </w:pPr>
            <w:r>
              <w:rPr>
                <w:sz w:val="21"/>
                <w:szCs w:val="21"/>
              </w:rPr>
              <w:t>Ox</w:t>
            </w:r>
            <w:r>
              <w:rPr>
                <w:rFonts w:hint="eastAsia"/>
                <w:sz w:val="21"/>
                <w:szCs w:val="21"/>
              </w:rPr>
              <w:t>y</w:t>
            </w:r>
            <w:r>
              <w:rPr>
                <w:sz w:val="21"/>
                <w:szCs w:val="21"/>
              </w:rPr>
              <w:t>gen</w:t>
            </w:r>
          </w:p>
        </w:tc>
      </w:tr>
      <w:tr w14:paraId="408F4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19C1CA9B">
            <w:pPr>
              <w:widowControl/>
              <w:spacing w:line="240" w:lineRule="auto"/>
              <w:ind w:firstLine="0" w:firstLineChars="0"/>
              <w:jc w:val="center"/>
              <w:textAlignment w:val="baseline"/>
              <w:rPr>
                <w:sz w:val="21"/>
                <w:szCs w:val="21"/>
              </w:rPr>
            </w:pPr>
          </w:p>
        </w:tc>
        <w:tc>
          <w:tcPr>
            <w:tcW w:w="1197" w:type="pct"/>
            <w:vAlign w:val="center"/>
          </w:tcPr>
          <w:p w14:paraId="3A8656FA">
            <w:pPr>
              <w:widowControl/>
              <w:spacing w:line="240" w:lineRule="auto"/>
              <w:ind w:firstLine="0" w:firstLineChars="0"/>
              <w:jc w:val="center"/>
              <w:textAlignment w:val="baseline"/>
              <w:rPr>
                <w:sz w:val="21"/>
                <w:szCs w:val="21"/>
              </w:rPr>
            </w:pPr>
            <w:r>
              <w:rPr>
                <w:sz w:val="21"/>
                <w:szCs w:val="21"/>
              </w:rPr>
              <w:t>分子式</w:t>
            </w:r>
          </w:p>
        </w:tc>
        <w:tc>
          <w:tcPr>
            <w:tcW w:w="3391" w:type="pct"/>
            <w:vAlign w:val="center"/>
          </w:tcPr>
          <w:p w14:paraId="4EC39747">
            <w:pPr>
              <w:widowControl/>
              <w:spacing w:line="240" w:lineRule="auto"/>
              <w:ind w:firstLine="0" w:firstLineChars="0"/>
              <w:jc w:val="center"/>
              <w:textAlignment w:val="baseline"/>
              <w:rPr>
                <w:sz w:val="21"/>
                <w:szCs w:val="21"/>
              </w:rPr>
            </w:pPr>
            <w:r>
              <w:rPr>
                <w:sz w:val="21"/>
                <w:szCs w:val="21"/>
              </w:rPr>
              <w:t>O2</w:t>
            </w:r>
          </w:p>
        </w:tc>
      </w:tr>
      <w:tr w14:paraId="4AF93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546AE5FE">
            <w:pPr>
              <w:widowControl/>
              <w:spacing w:line="240" w:lineRule="auto"/>
              <w:ind w:firstLine="0" w:firstLineChars="0"/>
              <w:jc w:val="center"/>
              <w:textAlignment w:val="baseline"/>
              <w:rPr>
                <w:sz w:val="21"/>
                <w:szCs w:val="21"/>
              </w:rPr>
            </w:pPr>
          </w:p>
        </w:tc>
        <w:tc>
          <w:tcPr>
            <w:tcW w:w="1197" w:type="pct"/>
            <w:vAlign w:val="center"/>
          </w:tcPr>
          <w:p w14:paraId="24061439">
            <w:pPr>
              <w:widowControl/>
              <w:spacing w:line="240" w:lineRule="auto"/>
              <w:ind w:firstLine="0" w:firstLineChars="0"/>
              <w:jc w:val="center"/>
              <w:textAlignment w:val="baseline"/>
              <w:rPr>
                <w:sz w:val="21"/>
                <w:szCs w:val="21"/>
              </w:rPr>
            </w:pPr>
            <w:r>
              <w:rPr>
                <w:sz w:val="21"/>
                <w:szCs w:val="21"/>
              </w:rPr>
              <w:t>分子量</w:t>
            </w:r>
          </w:p>
        </w:tc>
        <w:tc>
          <w:tcPr>
            <w:tcW w:w="3391" w:type="pct"/>
            <w:vAlign w:val="center"/>
          </w:tcPr>
          <w:p w14:paraId="1842851C">
            <w:pPr>
              <w:widowControl/>
              <w:spacing w:line="240" w:lineRule="auto"/>
              <w:ind w:firstLine="0" w:firstLineChars="0"/>
              <w:jc w:val="center"/>
              <w:textAlignment w:val="baseline"/>
              <w:rPr>
                <w:sz w:val="21"/>
                <w:szCs w:val="21"/>
              </w:rPr>
            </w:pPr>
            <w:r>
              <w:rPr>
                <w:sz w:val="21"/>
                <w:szCs w:val="21"/>
              </w:rPr>
              <w:t>32</w:t>
            </w:r>
          </w:p>
        </w:tc>
      </w:tr>
      <w:tr w14:paraId="1D0F2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54F49883">
            <w:pPr>
              <w:widowControl/>
              <w:spacing w:line="240" w:lineRule="auto"/>
              <w:ind w:firstLine="0" w:firstLineChars="0"/>
              <w:jc w:val="center"/>
              <w:textAlignment w:val="baseline"/>
              <w:rPr>
                <w:sz w:val="21"/>
                <w:szCs w:val="21"/>
              </w:rPr>
            </w:pPr>
          </w:p>
        </w:tc>
        <w:tc>
          <w:tcPr>
            <w:tcW w:w="1197" w:type="pct"/>
            <w:vAlign w:val="center"/>
          </w:tcPr>
          <w:p w14:paraId="468BB66D">
            <w:pPr>
              <w:widowControl/>
              <w:spacing w:line="240" w:lineRule="auto"/>
              <w:ind w:firstLine="0" w:firstLineChars="0"/>
              <w:jc w:val="center"/>
              <w:textAlignment w:val="baseline"/>
              <w:rPr>
                <w:sz w:val="21"/>
                <w:szCs w:val="21"/>
              </w:rPr>
            </w:pPr>
            <w:r>
              <w:rPr>
                <w:sz w:val="21"/>
                <w:szCs w:val="21"/>
              </w:rPr>
              <w:t>CAS号</w:t>
            </w:r>
          </w:p>
        </w:tc>
        <w:tc>
          <w:tcPr>
            <w:tcW w:w="3391" w:type="pct"/>
            <w:vAlign w:val="center"/>
          </w:tcPr>
          <w:p w14:paraId="78E24F75">
            <w:pPr>
              <w:widowControl/>
              <w:spacing w:line="240" w:lineRule="auto"/>
              <w:ind w:firstLine="0" w:firstLineChars="0"/>
              <w:jc w:val="center"/>
              <w:textAlignment w:val="baseline"/>
              <w:rPr>
                <w:sz w:val="21"/>
                <w:szCs w:val="21"/>
              </w:rPr>
            </w:pPr>
            <w:r>
              <w:rPr>
                <w:sz w:val="21"/>
                <w:szCs w:val="21"/>
              </w:rPr>
              <w:t>7782-44-7</w:t>
            </w:r>
          </w:p>
        </w:tc>
      </w:tr>
      <w:tr w14:paraId="55DB9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6AAC34EF">
            <w:pPr>
              <w:widowControl/>
              <w:spacing w:line="240" w:lineRule="auto"/>
              <w:ind w:firstLine="0" w:firstLineChars="0"/>
              <w:jc w:val="center"/>
              <w:textAlignment w:val="baseline"/>
              <w:rPr>
                <w:sz w:val="21"/>
                <w:szCs w:val="21"/>
              </w:rPr>
            </w:pPr>
          </w:p>
        </w:tc>
        <w:tc>
          <w:tcPr>
            <w:tcW w:w="1197" w:type="pct"/>
            <w:vAlign w:val="center"/>
          </w:tcPr>
          <w:p w14:paraId="6B779421">
            <w:pPr>
              <w:widowControl/>
              <w:spacing w:line="240" w:lineRule="auto"/>
              <w:ind w:firstLine="0" w:firstLineChars="0"/>
              <w:jc w:val="center"/>
              <w:textAlignment w:val="baseline"/>
              <w:rPr>
                <w:sz w:val="21"/>
                <w:szCs w:val="21"/>
              </w:rPr>
            </w:pPr>
            <w:r>
              <w:rPr>
                <w:sz w:val="21"/>
                <w:szCs w:val="21"/>
              </w:rPr>
              <w:t>危险性类别</w:t>
            </w:r>
          </w:p>
        </w:tc>
        <w:tc>
          <w:tcPr>
            <w:tcW w:w="3391" w:type="pct"/>
            <w:vAlign w:val="center"/>
          </w:tcPr>
          <w:p w14:paraId="657AB7FD">
            <w:pPr>
              <w:widowControl/>
              <w:spacing w:line="240" w:lineRule="auto"/>
              <w:ind w:firstLine="0" w:firstLineChars="0"/>
              <w:jc w:val="center"/>
              <w:textAlignment w:val="baseline"/>
              <w:rPr>
                <w:sz w:val="21"/>
                <w:szCs w:val="21"/>
              </w:rPr>
            </w:pPr>
            <w:r>
              <w:rPr>
                <w:sz w:val="21"/>
                <w:szCs w:val="21"/>
              </w:rPr>
              <w:t>氧化性气体，类别1</w:t>
            </w:r>
          </w:p>
          <w:p w14:paraId="2FF14472">
            <w:pPr>
              <w:widowControl/>
              <w:spacing w:line="240" w:lineRule="auto"/>
              <w:ind w:firstLine="0" w:firstLineChars="0"/>
              <w:jc w:val="center"/>
              <w:textAlignment w:val="baseline"/>
              <w:rPr>
                <w:sz w:val="21"/>
                <w:szCs w:val="21"/>
              </w:rPr>
            </w:pPr>
            <w:r>
              <w:rPr>
                <w:sz w:val="21"/>
                <w:szCs w:val="21"/>
              </w:rPr>
              <w:t>加压气体</w:t>
            </w:r>
          </w:p>
        </w:tc>
      </w:tr>
      <w:tr w14:paraId="4EA3E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63BA0150">
            <w:pPr>
              <w:widowControl/>
              <w:spacing w:line="240" w:lineRule="auto"/>
              <w:ind w:firstLine="0" w:firstLineChars="0"/>
              <w:jc w:val="center"/>
              <w:textAlignment w:val="baseline"/>
              <w:rPr>
                <w:sz w:val="21"/>
                <w:szCs w:val="21"/>
              </w:rPr>
            </w:pPr>
          </w:p>
        </w:tc>
        <w:tc>
          <w:tcPr>
            <w:tcW w:w="1197" w:type="pct"/>
            <w:vAlign w:val="center"/>
          </w:tcPr>
          <w:p w14:paraId="71D144C2">
            <w:pPr>
              <w:widowControl/>
              <w:spacing w:line="240" w:lineRule="auto"/>
              <w:ind w:firstLine="0" w:firstLineChars="0"/>
              <w:jc w:val="center"/>
              <w:textAlignment w:val="baseline"/>
              <w:rPr>
                <w:sz w:val="21"/>
                <w:szCs w:val="21"/>
              </w:rPr>
            </w:pPr>
            <w:r>
              <w:rPr>
                <w:sz w:val="21"/>
                <w:szCs w:val="21"/>
              </w:rPr>
              <w:t>UN编号</w:t>
            </w:r>
          </w:p>
        </w:tc>
        <w:tc>
          <w:tcPr>
            <w:tcW w:w="3391" w:type="pct"/>
            <w:vAlign w:val="center"/>
          </w:tcPr>
          <w:p w14:paraId="0447B97F">
            <w:pPr>
              <w:widowControl/>
              <w:spacing w:line="240" w:lineRule="auto"/>
              <w:ind w:firstLine="0" w:firstLineChars="0"/>
              <w:jc w:val="center"/>
              <w:textAlignment w:val="baseline"/>
              <w:rPr>
                <w:sz w:val="21"/>
                <w:szCs w:val="21"/>
              </w:rPr>
            </w:pPr>
            <w:r>
              <w:rPr>
                <w:sz w:val="21"/>
                <w:szCs w:val="21"/>
              </w:rPr>
              <w:t>1072</w:t>
            </w:r>
          </w:p>
        </w:tc>
      </w:tr>
      <w:tr w14:paraId="024D8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014A149C">
            <w:pPr>
              <w:autoSpaceDE w:val="0"/>
              <w:autoSpaceDN w:val="0"/>
              <w:spacing w:line="240" w:lineRule="auto"/>
              <w:ind w:firstLine="420"/>
              <w:jc w:val="center"/>
              <w:rPr>
                <w:sz w:val="21"/>
                <w:szCs w:val="21"/>
              </w:rPr>
            </w:pPr>
          </w:p>
        </w:tc>
        <w:tc>
          <w:tcPr>
            <w:tcW w:w="1197" w:type="pct"/>
            <w:vAlign w:val="center"/>
          </w:tcPr>
          <w:p w14:paraId="12055335">
            <w:pPr>
              <w:widowControl/>
              <w:spacing w:line="240" w:lineRule="auto"/>
              <w:ind w:firstLine="0" w:firstLineChars="0"/>
              <w:jc w:val="center"/>
              <w:textAlignment w:val="baseline"/>
              <w:rPr>
                <w:sz w:val="21"/>
                <w:szCs w:val="21"/>
              </w:rPr>
            </w:pPr>
            <w:r>
              <w:rPr>
                <w:sz w:val="21"/>
                <w:szCs w:val="21"/>
              </w:rPr>
              <w:t>危险货物编号</w:t>
            </w:r>
          </w:p>
        </w:tc>
        <w:tc>
          <w:tcPr>
            <w:tcW w:w="3391" w:type="pct"/>
            <w:vAlign w:val="center"/>
          </w:tcPr>
          <w:p w14:paraId="7155C403">
            <w:pPr>
              <w:widowControl/>
              <w:spacing w:line="240" w:lineRule="auto"/>
              <w:ind w:firstLine="0" w:firstLineChars="0"/>
              <w:jc w:val="center"/>
              <w:textAlignment w:val="baseline"/>
              <w:rPr>
                <w:sz w:val="21"/>
                <w:szCs w:val="21"/>
              </w:rPr>
            </w:pPr>
            <w:r>
              <w:rPr>
                <w:sz w:val="21"/>
                <w:szCs w:val="21"/>
              </w:rPr>
              <w:t>22001</w:t>
            </w:r>
          </w:p>
        </w:tc>
      </w:tr>
      <w:tr w14:paraId="6034E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74843338">
            <w:pPr>
              <w:autoSpaceDE w:val="0"/>
              <w:autoSpaceDN w:val="0"/>
              <w:spacing w:line="240" w:lineRule="auto"/>
              <w:ind w:firstLine="420"/>
              <w:jc w:val="center"/>
              <w:rPr>
                <w:sz w:val="21"/>
                <w:szCs w:val="21"/>
              </w:rPr>
            </w:pPr>
          </w:p>
        </w:tc>
        <w:tc>
          <w:tcPr>
            <w:tcW w:w="1197" w:type="pct"/>
            <w:vAlign w:val="center"/>
          </w:tcPr>
          <w:p w14:paraId="0EADD765">
            <w:pPr>
              <w:widowControl/>
              <w:spacing w:line="240" w:lineRule="auto"/>
              <w:ind w:firstLine="0" w:firstLineChars="0"/>
              <w:jc w:val="center"/>
              <w:textAlignment w:val="baseline"/>
              <w:rPr>
                <w:sz w:val="21"/>
                <w:szCs w:val="21"/>
              </w:rPr>
            </w:pPr>
            <w:r>
              <w:rPr>
                <w:sz w:val="21"/>
                <w:szCs w:val="21"/>
              </w:rPr>
              <w:t>IMDG规则页码</w:t>
            </w:r>
          </w:p>
        </w:tc>
        <w:tc>
          <w:tcPr>
            <w:tcW w:w="3391" w:type="pct"/>
            <w:vAlign w:val="center"/>
          </w:tcPr>
          <w:p w14:paraId="3E2D0566">
            <w:pPr>
              <w:widowControl/>
              <w:spacing w:line="240" w:lineRule="auto"/>
              <w:ind w:firstLine="0" w:firstLineChars="0"/>
              <w:jc w:val="center"/>
              <w:textAlignment w:val="baseline"/>
              <w:rPr>
                <w:sz w:val="21"/>
                <w:szCs w:val="21"/>
              </w:rPr>
            </w:pPr>
            <w:r>
              <w:rPr>
                <w:sz w:val="21"/>
                <w:szCs w:val="21"/>
              </w:rPr>
              <w:t>2169</w:t>
            </w:r>
          </w:p>
        </w:tc>
      </w:tr>
      <w:tr w14:paraId="36046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restart"/>
            <w:vAlign w:val="center"/>
          </w:tcPr>
          <w:p w14:paraId="6983551D">
            <w:pPr>
              <w:widowControl/>
              <w:spacing w:line="240" w:lineRule="auto"/>
              <w:ind w:firstLine="0" w:firstLineChars="0"/>
              <w:jc w:val="center"/>
              <w:textAlignment w:val="baseline"/>
              <w:rPr>
                <w:sz w:val="21"/>
                <w:szCs w:val="21"/>
              </w:rPr>
            </w:pPr>
            <w:r>
              <w:rPr>
                <w:sz w:val="21"/>
                <w:szCs w:val="21"/>
              </w:rPr>
              <w:t>理</w:t>
            </w:r>
          </w:p>
          <w:p w14:paraId="6E65202F">
            <w:pPr>
              <w:widowControl/>
              <w:spacing w:line="240" w:lineRule="auto"/>
              <w:ind w:firstLine="0" w:firstLineChars="0"/>
              <w:jc w:val="center"/>
              <w:textAlignment w:val="baseline"/>
              <w:rPr>
                <w:sz w:val="21"/>
                <w:szCs w:val="21"/>
              </w:rPr>
            </w:pPr>
            <w:r>
              <w:rPr>
                <w:sz w:val="21"/>
                <w:szCs w:val="21"/>
              </w:rPr>
              <w:t>化</w:t>
            </w:r>
          </w:p>
          <w:p w14:paraId="3890A56F">
            <w:pPr>
              <w:widowControl/>
              <w:spacing w:line="240" w:lineRule="auto"/>
              <w:ind w:firstLine="0" w:firstLineChars="0"/>
              <w:jc w:val="center"/>
              <w:textAlignment w:val="baseline"/>
              <w:rPr>
                <w:sz w:val="21"/>
                <w:szCs w:val="21"/>
              </w:rPr>
            </w:pPr>
            <w:r>
              <w:rPr>
                <w:sz w:val="21"/>
                <w:szCs w:val="21"/>
              </w:rPr>
              <w:t>性</w:t>
            </w:r>
          </w:p>
          <w:p w14:paraId="20275EA1">
            <w:pPr>
              <w:widowControl/>
              <w:spacing w:line="240" w:lineRule="auto"/>
              <w:ind w:firstLine="0" w:firstLineChars="0"/>
              <w:jc w:val="center"/>
              <w:textAlignment w:val="baseline"/>
              <w:rPr>
                <w:sz w:val="21"/>
                <w:szCs w:val="21"/>
              </w:rPr>
            </w:pPr>
            <w:r>
              <w:rPr>
                <w:sz w:val="21"/>
                <w:szCs w:val="21"/>
              </w:rPr>
              <w:t>质</w:t>
            </w:r>
          </w:p>
        </w:tc>
        <w:tc>
          <w:tcPr>
            <w:tcW w:w="1197" w:type="pct"/>
            <w:vAlign w:val="center"/>
          </w:tcPr>
          <w:p w14:paraId="21660F05">
            <w:pPr>
              <w:widowControl/>
              <w:spacing w:line="240" w:lineRule="auto"/>
              <w:ind w:firstLine="0" w:firstLineChars="0"/>
              <w:jc w:val="center"/>
              <w:textAlignment w:val="baseline"/>
              <w:rPr>
                <w:sz w:val="21"/>
                <w:szCs w:val="21"/>
              </w:rPr>
            </w:pPr>
            <w:r>
              <w:rPr>
                <w:sz w:val="21"/>
                <w:szCs w:val="21"/>
              </w:rPr>
              <w:t>外观与性状</w:t>
            </w:r>
          </w:p>
        </w:tc>
        <w:tc>
          <w:tcPr>
            <w:tcW w:w="3391" w:type="pct"/>
            <w:vAlign w:val="center"/>
          </w:tcPr>
          <w:p w14:paraId="635B060F">
            <w:pPr>
              <w:widowControl/>
              <w:spacing w:line="240" w:lineRule="auto"/>
              <w:ind w:firstLine="0" w:firstLineChars="0"/>
              <w:jc w:val="center"/>
              <w:textAlignment w:val="baseline"/>
              <w:rPr>
                <w:sz w:val="21"/>
                <w:szCs w:val="21"/>
              </w:rPr>
            </w:pPr>
            <w:r>
              <w:rPr>
                <w:sz w:val="21"/>
                <w:szCs w:val="21"/>
              </w:rPr>
              <w:t>无色无臭气体</w:t>
            </w:r>
          </w:p>
        </w:tc>
      </w:tr>
      <w:tr w14:paraId="14FB0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61CD1E66">
            <w:pPr>
              <w:widowControl/>
              <w:spacing w:line="240" w:lineRule="auto"/>
              <w:ind w:firstLine="0" w:firstLineChars="0"/>
              <w:jc w:val="center"/>
              <w:textAlignment w:val="baseline"/>
              <w:rPr>
                <w:sz w:val="21"/>
                <w:szCs w:val="21"/>
              </w:rPr>
            </w:pPr>
          </w:p>
        </w:tc>
        <w:tc>
          <w:tcPr>
            <w:tcW w:w="1197" w:type="pct"/>
            <w:vAlign w:val="center"/>
          </w:tcPr>
          <w:p w14:paraId="1514290A">
            <w:pPr>
              <w:widowControl/>
              <w:spacing w:line="240" w:lineRule="auto"/>
              <w:ind w:firstLine="0" w:firstLineChars="0"/>
              <w:jc w:val="center"/>
              <w:textAlignment w:val="baseline"/>
              <w:rPr>
                <w:sz w:val="21"/>
                <w:szCs w:val="21"/>
              </w:rPr>
            </w:pPr>
            <w:r>
              <w:rPr>
                <w:sz w:val="21"/>
                <w:szCs w:val="21"/>
              </w:rPr>
              <w:t>主要成份</w:t>
            </w:r>
          </w:p>
        </w:tc>
        <w:tc>
          <w:tcPr>
            <w:tcW w:w="3391" w:type="pct"/>
            <w:vAlign w:val="center"/>
          </w:tcPr>
          <w:p w14:paraId="41773362">
            <w:pPr>
              <w:widowControl/>
              <w:spacing w:line="240" w:lineRule="auto"/>
              <w:ind w:firstLine="0" w:firstLineChars="0"/>
              <w:jc w:val="center"/>
              <w:textAlignment w:val="baseline"/>
              <w:rPr>
                <w:sz w:val="21"/>
                <w:szCs w:val="21"/>
              </w:rPr>
            </w:pPr>
            <w:r>
              <w:rPr>
                <w:sz w:val="21"/>
                <w:szCs w:val="21"/>
              </w:rPr>
              <w:t>含量：高纯氧（体积）≥99.99％</w:t>
            </w:r>
          </w:p>
        </w:tc>
      </w:tr>
      <w:tr w14:paraId="5EC0F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7E25B70E">
            <w:pPr>
              <w:widowControl/>
              <w:spacing w:line="240" w:lineRule="auto"/>
              <w:ind w:firstLine="0" w:firstLineChars="0"/>
              <w:jc w:val="center"/>
              <w:textAlignment w:val="baseline"/>
              <w:rPr>
                <w:sz w:val="21"/>
                <w:szCs w:val="21"/>
              </w:rPr>
            </w:pPr>
          </w:p>
        </w:tc>
        <w:tc>
          <w:tcPr>
            <w:tcW w:w="1197" w:type="pct"/>
            <w:vAlign w:val="center"/>
          </w:tcPr>
          <w:p w14:paraId="07EC9DF5">
            <w:pPr>
              <w:widowControl/>
              <w:spacing w:line="240" w:lineRule="auto"/>
              <w:ind w:firstLine="0" w:firstLineChars="0"/>
              <w:jc w:val="center"/>
              <w:textAlignment w:val="baseline"/>
              <w:rPr>
                <w:sz w:val="21"/>
                <w:szCs w:val="21"/>
              </w:rPr>
            </w:pPr>
            <w:r>
              <w:rPr>
                <w:sz w:val="21"/>
                <w:szCs w:val="21"/>
              </w:rPr>
              <w:t>主要用途</w:t>
            </w:r>
          </w:p>
        </w:tc>
        <w:tc>
          <w:tcPr>
            <w:tcW w:w="3391" w:type="pct"/>
            <w:vAlign w:val="center"/>
          </w:tcPr>
          <w:p w14:paraId="1B747BE0">
            <w:pPr>
              <w:widowControl/>
              <w:spacing w:line="240" w:lineRule="auto"/>
              <w:ind w:firstLine="0" w:firstLineChars="0"/>
              <w:jc w:val="center"/>
              <w:textAlignment w:val="baseline"/>
              <w:rPr>
                <w:sz w:val="21"/>
                <w:szCs w:val="21"/>
              </w:rPr>
            </w:pPr>
            <w:r>
              <w:rPr>
                <w:sz w:val="21"/>
                <w:szCs w:val="21"/>
              </w:rPr>
              <w:t>用于切割、焊接金属，制造医药、染料、炸药等</w:t>
            </w:r>
          </w:p>
        </w:tc>
      </w:tr>
      <w:tr w14:paraId="32507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2C185B34">
            <w:pPr>
              <w:widowControl/>
              <w:spacing w:line="240" w:lineRule="auto"/>
              <w:ind w:firstLine="0" w:firstLineChars="0"/>
              <w:jc w:val="center"/>
              <w:textAlignment w:val="baseline"/>
              <w:rPr>
                <w:sz w:val="21"/>
                <w:szCs w:val="21"/>
              </w:rPr>
            </w:pPr>
          </w:p>
        </w:tc>
        <w:tc>
          <w:tcPr>
            <w:tcW w:w="1197" w:type="pct"/>
            <w:vAlign w:val="center"/>
          </w:tcPr>
          <w:p w14:paraId="3D6FABB6">
            <w:pPr>
              <w:widowControl/>
              <w:spacing w:line="240" w:lineRule="auto"/>
              <w:ind w:firstLine="0" w:firstLineChars="0"/>
              <w:jc w:val="center"/>
              <w:textAlignment w:val="baseline"/>
              <w:rPr>
                <w:sz w:val="21"/>
                <w:szCs w:val="21"/>
              </w:rPr>
            </w:pPr>
            <w:r>
              <w:rPr>
                <w:sz w:val="21"/>
                <w:szCs w:val="21"/>
              </w:rPr>
              <w:t>熔点</w:t>
            </w:r>
          </w:p>
        </w:tc>
        <w:tc>
          <w:tcPr>
            <w:tcW w:w="3391" w:type="pct"/>
            <w:vAlign w:val="center"/>
          </w:tcPr>
          <w:p w14:paraId="001B4C73">
            <w:pPr>
              <w:widowControl/>
              <w:spacing w:line="240" w:lineRule="auto"/>
              <w:ind w:firstLine="0" w:firstLineChars="0"/>
              <w:jc w:val="center"/>
              <w:textAlignment w:val="baseline"/>
              <w:rPr>
                <w:sz w:val="21"/>
                <w:szCs w:val="21"/>
              </w:rPr>
            </w:pPr>
            <w:r>
              <w:rPr>
                <w:sz w:val="21"/>
                <w:szCs w:val="21"/>
              </w:rPr>
              <w:t>-2l8.8</w:t>
            </w:r>
          </w:p>
        </w:tc>
      </w:tr>
      <w:tr w14:paraId="150D9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5401508F">
            <w:pPr>
              <w:widowControl/>
              <w:spacing w:line="240" w:lineRule="auto"/>
              <w:ind w:firstLine="0" w:firstLineChars="0"/>
              <w:jc w:val="center"/>
              <w:textAlignment w:val="baseline"/>
              <w:rPr>
                <w:sz w:val="21"/>
                <w:szCs w:val="21"/>
              </w:rPr>
            </w:pPr>
          </w:p>
        </w:tc>
        <w:tc>
          <w:tcPr>
            <w:tcW w:w="1197" w:type="pct"/>
            <w:vAlign w:val="center"/>
          </w:tcPr>
          <w:p w14:paraId="517C5145">
            <w:pPr>
              <w:widowControl/>
              <w:spacing w:line="240" w:lineRule="auto"/>
              <w:ind w:firstLine="0" w:firstLineChars="0"/>
              <w:jc w:val="center"/>
              <w:textAlignment w:val="baseline"/>
              <w:rPr>
                <w:sz w:val="21"/>
                <w:szCs w:val="21"/>
              </w:rPr>
            </w:pPr>
            <w:r>
              <w:rPr>
                <w:sz w:val="21"/>
                <w:szCs w:val="21"/>
              </w:rPr>
              <w:t>沸点</w:t>
            </w:r>
          </w:p>
        </w:tc>
        <w:tc>
          <w:tcPr>
            <w:tcW w:w="3391" w:type="pct"/>
            <w:vAlign w:val="center"/>
          </w:tcPr>
          <w:p w14:paraId="29469D4F">
            <w:pPr>
              <w:widowControl/>
              <w:spacing w:line="240" w:lineRule="auto"/>
              <w:ind w:firstLine="0" w:firstLineChars="0"/>
              <w:jc w:val="center"/>
              <w:textAlignment w:val="baseline"/>
              <w:rPr>
                <w:sz w:val="21"/>
                <w:szCs w:val="21"/>
              </w:rPr>
            </w:pPr>
            <w:r>
              <w:rPr>
                <w:sz w:val="21"/>
                <w:szCs w:val="21"/>
              </w:rPr>
              <w:t>-183.1</w:t>
            </w:r>
          </w:p>
        </w:tc>
      </w:tr>
      <w:tr w14:paraId="68306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46BF80E8">
            <w:pPr>
              <w:widowControl/>
              <w:spacing w:line="240" w:lineRule="auto"/>
              <w:ind w:firstLine="0" w:firstLineChars="0"/>
              <w:jc w:val="center"/>
              <w:textAlignment w:val="baseline"/>
              <w:rPr>
                <w:sz w:val="21"/>
                <w:szCs w:val="21"/>
              </w:rPr>
            </w:pPr>
          </w:p>
        </w:tc>
        <w:tc>
          <w:tcPr>
            <w:tcW w:w="1197" w:type="pct"/>
            <w:vAlign w:val="center"/>
          </w:tcPr>
          <w:p w14:paraId="3BC10F83">
            <w:pPr>
              <w:widowControl/>
              <w:spacing w:line="240" w:lineRule="auto"/>
              <w:ind w:firstLine="0" w:firstLineChars="0"/>
              <w:jc w:val="center"/>
              <w:textAlignment w:val="baseline"/>
              <w:rPr>
                <w:sz w:val="21"/>
                <w:szCs w:val="21"/>
              </w:rPr>
            </w:pPr>
            <w:r>
              <w:rPr>
                <w:sz w:val="21"/>
                <w:szCs w:val="21"/>
              </w:rPr>
              <w:t>相对密度（水=1）</w:t>
            </w:r>
          </w:p>
        </w:tc>
        <w:tc>
          <w:tcPr>
            <w:tcW w:w="3391" w:type="pct"/>
            <w:vAlign w:val="center"/>
          </w:tcPr>
          <w:p w14:paraId="787CD626">
            <w:pPr>
              <w:widowControl/>
              <w:spacing w:line="240" w:lineRule="auto"/>
              <w:ind w:firstLine="0" w:firstLineChars="0"/>
              <w:jc w:val="center"/>
              <w:textAlignment w:val="baseline"/>
              <w:rPr>
                <w:sz w:val="21"/>
                <w:szCs w:val="21"/>
              </w:rPr>
            </w:pPr>
            <w:r>
              <w:rPr>
                <w:sz w:val="21"/>
                <w:szCs w:val="21"/>
              </w:rPr>
              <w:t>1.14/-183℃</w:t>
            </w:r>
          </w:p>
        </w:tc>
      </w:tr>
      <w:tr w14:paraId="0A0D6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24E6F2D1">
            <w:pPr>
              <w:widowControl/>
              <w:spacing w:line="240" w:lineRule="auto"/>
              <w:ind w:firstLine="0" w:firstLineChars="0"/>
              <w:jc w:val="center"/>
              <w:textAlignment w:val="baseline"/>
              <w:rPr>
                <w:sz w:val="21"/>
                <w:szCs w:val="21"/>
              </w:rPr>
            </w:pPr>
          </w:p>
        </w:tc>
        <w:tc>
          <w:tcPr>
            <w:tcW w:w="1197" w:type="pct"/>
            <w:vAlign w:val="center"/>
          </w:tcPr>
          <w:p w14:paraId="4AFE11CB">
            <w:pPr>
              <w:widowControl/>
              <w:spacing w:line="240" w:lineRule="auto"/>
              <w:ind w:firstLine="0" w:firstLineChars="0"/>
              <w:jc w:val="center"/>
              <w:textAlignment w:val="baseline"/>
              <w:rPr>
                <w:sz w:val="21"/>
                <w:szCs w:val="21"/>
              </w:rPr>
            </w:pPr>
            <w:r>
              <w:rPr>
                <w:sz w:val="21"/>
                <w:szCs w:val="21"/>
              </w:rPr>
              <w:t>相对密度（空气=1）</w:t>
            </w:r>
          </w:p>
        </w:tc>
        <w:tc>
          <w:tcPr>
            <w:tcW w:w="3391" w:type="pct"/>
            <w:vAlign w:val="center"/>
          </w:tcPr>
          <w:p w14:paraId="0FFD78BC">
            <w:pPr>
              <w:widowControl/>
              <w:spacing w:line="240" w:lineRule="auto"/>
              <w:ind w:firstLine="0" w:firstLineChars="0"/>
              <w:jc w:val="center"/>
              <w:textAlignment w:val="baseline"/>
              <w:rPr>
                <w:sz w:val="21"/>
                <w:szCs w:val="21"/>
              </w:rPr>
            </w:pPr>
            <w:r>
              <w:rPr>
                <w:sz w:val="21"/>
                <w:szCs w:val="21"/>
              </w:rPr>
              <w:t>1.43</w:t>
            </w:r>
          </w:p>
        </w:tc>
      </w:tr>
      <w:tr w14:paraId="73DAA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3FE42DAF">
            <w:pPr>
              <w:widowControl/>
              <w:spacing w:line="240" w:lineRule="auto"/>
              <w:ind w:firstLine="0" w:firstLineChars="0"/>
              <w:jc w:val="center"/>
              <w:textAlignment w:val="baseline"/>
              <w:rPr>
                <w:sz w:val="21"/>
                <w:szCs w:val="21"/>
              </w:rPr>
            </w:pPr>
          </w:p>
        </w:tc>
        <w:tc>
          <w:tcPr>
            <w:tcW w:w="1197" w:type="pct"/>
            <w:vAlign w:val="center"/>
          </w:tcPr>
          <w:p w14:paraId="2FB95928">
            <w:pPr>
              <w:widowControl/>
              <w:spacing w:line="240" w:lineRule="auto"/>
              <w:ind w:firstLine="0" w:firstLineChars="0"/>
              <w:jc w:val="center"/>
              <w:textAlignment w:val="baseline"/>
              <w:rPr>
                <w:sz w:val="21"/>
                <w:szCs w:val="21"/>
              </w:rPr>
            </w:pPr>
            <w:r>
              <w:rPr>
                <w:sz w:val="21"/>
                <w:szCs w:val="21"/>
              </w:rPr>
              <w:t>饱和蒸汽压（kPa）</w:t>
            </w:r>
          </w:p>
        </w:tc>
        <w:tc>
          <w:tcPr>
            <w:tcW w:w="3391" w:type="pct"/>
            <w:vAlign w:val="center"/>
          </w:tcPr>
          <w:p w14:paraId="749E316A">
            <w:pPr>
              <w:widowControl/>
              <w:spacing w:line="240" w:lineRule="auto"/>
              <w:ind w:firstLine="0" w:firstLineChars="0"/>
              <w:jc w:val="center"/>
              <w:textAlignment w:val="baseline"/>
              <w:rPr>
                <w:sz w:val="21"/>
                <w:szCs w:val="21"/>
              </w:rPr>
            </w:pPr>
            <w:r>
              <w:rPr>
                <w:sz w:val="21"/>
                <w:szCs w:val="21"/>
              </w:rPr>
              <w:t>506.62/-l64℃</w:t>
            </w:r>
          </w:p>
        </w:tc>
      </w:tr>
      <w:tr w14:paraId="26884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2540A590">
            <w:pPr>
              <w:widowControl/>
              <w:spacing w:line="240" w:lineRule="auto"/>
              <w:ind w:firstLine="0" w:firstLineChars="0"/>
              <w:jc w:val="center"/>
              <w:textAlignment w:val="baseline"/>
              <w:rPr>
                <w:sz w:val="21"/>
                <w:szCs w:val="21"/>
              </w:rPr>
            </w:pPr>
          </w:p>
        </w:tc>
        <w:tc>
          <w:tcPr>
            <w:tcW w:w="1197" w:type="pct"/>
            <w:vAlign w:val="center"/>
          </w:tcPr>
          <w:p w14:paraId="3C1C417B">
            <w:pPr>
              <w:widowControl/>
              <w:spacing w:line="240" w:lineRule="auto"/>
              <w:ind w:firstLine="0" w:firstLineChars="0"/>
              <w:jc w:val="center"/>
              <w:textAlignment w:val="baseline"/>
              <w:rPr>
                <w:sz w:val="21"/>
                <w:szCs w:val="21"/>
              </w:rPr>
            </w:pPr>
            <w:r>
              <w:rPr>
                <w:sz w:val="21"/>
                <w:szCs w:val="21"/>
              </w:rPr>
              <w:t>溶解性</w:t>
            </w:r>
          </w:p>
        </w:tc>
        <w:tc>
          <w:tcPr>
            <w:tcW w:w="3391" w:type="pct"/>
            <w:vAlign w:val="center"/>
          </w:tcPr>
          <w:p w14:paraId="2308E00E">
            <w:pPr>
              <w:widowControl/>
              <w:spacing w:line="240" w:lineRule="auto"/>
              <w:ind w:firstLine="0" w:firstLineChars="0"/>
              <w:jc w:val="center"/>
              <w:textAlignment w:val="baseline"/>
              <w:rPr>
                <w:sz w:val="21"/>
                <w:szCs w:val="21"/>
              </w:rPr>
            </w:pPr>
            <w:r>
              <w:rPr>
                <w:sz w:val="21"/>
                <w:szCs w:val="21"/>
              </w:rPr>
              <w:t>溶于水、乙醇。在水中沉底并沸腾</w:t>
            </w:r>
          </w:p>
        </w:tc>
      </w:tr>
      <w:tr w14:paraId="3711C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542A7F11">
            <w:pPr>
              <w:widowControl/>
              <w:spacing w:line="240" w:lineRule="auto"/>
              <w:ind w:firstLine="0" w:firstLineChars="0"/>
              <w:jc w:val="center"/>
              <w:textAlignment w:val="baseline"/>
              <w:rPr>
                <w:sz w:val="21"/>
                <w:szCs w:val="21"/>
              </w:rPr>
            </w:pPr>
          </w:p>
        </w:tc>
        <w:tc>
          <w:tcPr>
            <w:tcW w:w="1197" w:type="pct"/>
            <w:vAlign w:val="center"/>
          </w:tcPr>
          <w:p w14:paraId="7D598869">
            <w:pPr>
              <w:widowControl/>
              <w:spacing w:line="240" w:lineRule="auto"/>
              <w:ind w:firstLine="0" w:firstLineChars="0"/>
              <w:jc w:val="center"/>
              <w:textAlignment w:val="baseline"/>
              <w:rPr>
                <w:sz w:val="21"/>
                <w:szCs w:val="21"/>
              </w:rPr>
            </w:pPr>
            <w:r>
              <w:rPr>
                <w:sz w:val="21"/>
                <w:szCs w:val="21"/>
              </w:rPr>
              <w:t>临界温度（℃）</w:t>
            </w:r>
          </w:p>
        </w:tc>
        <w:tc>
          <w:tcPr>
            <w:tcW w:w="3391" w:type="pct"/>
            <w:vAlign w:val="center"/>
          </w:tcPr>
          <w:p w14:paraId="6ED33128">
            <w:pPr>
              <w:widowControl/>
              <w:spacing w:line="240" w:lineRule="auto"/>
              <w:ind w:firstLine="0" w:firstLineChars="0"/>
              <w:jc w:val="center"/>
              <w:textAlignment w:val="baseline"/>
              <w:rPr>
                <w:sz w:val="21"/>
                <w:szCs w:val="21"/>
              </w:rPr>
            </w:pPr>
            <w:r>
              <w:rPr>
                <w:sz w:val="21"/>
                <w:szCs w:val="21"/>
              </w:rPr>
              <w:t>-118.4</w:t>
            </w:r>
          </w:p>
        </w:tc>
      </w:tr>
      <w:tr w14:paraId="3FE0A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3FE746DF">
            <w:pPr>
              <w:widowControl/>
              <w:spacing w:line="240" w:lineRule="auto"/>
              <w:ind w:firstLine="0" w:firstLineChars="0"/>
              <w:jc w:val="center"/>
              <w:textAlignment w:val="baseline"/>
              <w:rPr>
                <w:sz w:val="21"/>
                <w:szCs w:val="21"/>
              </w:rPr>
            </w:pPr>
          </w:p>
        </w:tc>
        <w:tc>
          <w:tcPr>
            <w:tcW w:w="1197" w:type="pct"/>
            <w:vAlign w:val="center"/>
          </w:tcPr>
          <w:p w14:paraId="2696BFAA">
            <w:pPr>
              <w:widowControl/>
              <w:spacing w:line="240" w:lineRule="auto"/>
              <w:ind w:firstLine="0" w:firstLineChars="0"/>
              <w:jc w:val="center"/>
              <w:textAlignment w:val="baseline"/>
              <w:rPr>
                <w:sz w:val="21"/>
                <w:szCs w:val="21"/>
              </w:rPr>
            </w:pPr>
            <w:r>
              <w:rPr>
                <w:sz w:val="21"/>
                <w:szCs w:val="21"/>
              </w:rPr>
              <w:t>临界压力（MPa）</w:t>
            </w:r>
          </w:p>
        </w:tc>
        <w:tc>
          <w:tcPr>
            <w:tcW w:w="3391" w:type="pct"/>
            <w:vAlign w:val="center"/>
          </w:tcPr>
          <w:p w14:paraId="0043B0C2">
            <w:pPr>
              <w:widowControl/>
              <w:spacing w:line="240" w:lineRule="auto"/>
              <w:ind w:firstLine="0" w:firstLineChars="0"/>
              <w:jc w:val="center"/>
              <w:textAlignment w:val="baseline"/>
              <w:rPr>
                <w:sz w:val="21"/>
                <w:szCs w:val="21"/>
              </w:rPr>
            </w:pPr>
            <w:r>
              <w:rPr>
                <w:sz w:val="21"/>
                <w:szCs w:val="21"/>
              </w:rPr>
              <w:t>5.08</w:t>
            </w:r>
          </w:p>
        </w:tc>
      </w:tr>
      <w:tr w14:paraId="70C96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28809C89">
            <w:pPr>
              <w:widowControl/>
              <w:spacing w:line="240" w:lineRule="auto"/>
              <w:ind w:firstLine="0" w:firstLineChars="0"/>
              <w:jc w:val="center"/>
              <w:textAlignment w:val="baseline"/>
              <w:rPr>
                <w:sz w:val="21"/>
                <w:szCs w:val="21"/>
              </w:rPr>
            </w:pPr>
          </w:p>
        </w:tc>
        <w:tc>
          <w:tcPr>
            <w:tcW w:w="1197" w:type="pct"/>
            <w:vAlign w:val="center"/>
          </w:tcPr>
          <w:p w14:paraId="6901F328">
            <w:pPr>
              <w:widowControl/>
              <w:spacing w:line="240" w:lineRule="auto"/>
              <w:ind w:firstLine="0" w:firstLineChars="0"/>
              <w:jc w:val="center"/>
              <w:textAlignment w:val="baseline"/>
              <w:rPr>
                <w:sz w:val="21"/>
                <w:szCs w:val="21"/>
              </w:rPr>
            </w:pPr>
            <w:r>
              <w:rPr>
                <w:sz w:val="21"/>
                <w:szCs w:val="21"/>
              </w:rPr>
              <w:t>燃烧热（kj/m01）</w:t>
            </w:r>
          </w:p>
        </w:tc>
        <w:tc>
          <w:tcPr>
            <w:tcW w:w="3391" w:type="pct"/>
            <w:vAlign w:val="center"/>
          </w:tcPr>
          <w:p w14:paraId="0ADA3900">
            <w:pPr>
              <w:widowControl/>
              <w:spacing w:line="240" w:lineRule="auto"/>
              <w:ind w:firstLine="0" w:firstLineChars="0"/>
              <w:jc w:val="center"/>
              <w:textAlignment w:val="baseline"/>
              <w:rPr>
                <w:sz w:val="21"/>
                <w:szCs w:val="21"/>
              </w:rPr>
            </w:pPr>
            <w:r>
              <w:rPr>
                <w:sz w:val="21"/>
                <w:szCs w:val="21"/>
              </w:rPr>
              <w:t>无意义</w:t>
            </w:r>
          </w:p>
        </w:tc>
      </w:tr>
      <w:tr w14:paraId="3CDA2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restart"/>
            <w:vAlign w:val="center"/>
          </w:tcPr>
          <w:p w14:paraId="7932C811">
            <w:pPr>
              <w:widowControl/>
              <w:spacing w:line="240" w:lineRule="auto"/>
              <w:ind w:firstLine="0" w:firstLineChars="0"/>
              <w:jc w:val="center"/>
              <w:textAlignment w:val="baseline"/>
              <w:rPr>
                <w:sz w:val="21"/>
                <w:szCs w:val="21"/>
              </w:rPr>
            </w:pPr>
            <w:r>
              <w:rPr>
                <w:sz w:val="21"/>
                <w:szCs w:val="21"/>
              </w:rPr>
              <w:t>燃</w:t>
            </w:r>
          </w:p>
          <w:p w14:paraId="2C3235E1">
            <w:pPr>
              <w:widowControl/>
              <w:spacing w:line="240" w:lineRule="auto"/>
              <w:ind w:firstLine="0" w:firstLineChars="0"/>
              <w:jc w:val="center"/>
              <w:textAlignment w:val="baseline"/>
              <w:rPr>
                <w:sz w:val="21"/>
                <w:szCs w:val="21"/>
              </w:rPr>
            </w:pPr>
            <w:r>
              <w:rPr>
                <w:sz w:val="21"/>
                <w:szCs w:val="21"/>
              </w:rPr>
              <w:t>烧</w:t>
            </w:r>
          </w:p>
          <w:p w14:paraId="1D49BC67">
            <w:pPr>
              <w:widowControl/>
              <w:spacing w:line="240" w:lineRule="auto"/>
              <w:ind w:firstLine="0" w:firstLineChars="0"/>
              <w:jc w:val="center"/>
              <w:textAlignment w:val="baseline"/>
              <w:rPr>
                <w:sz w:val="21"/>
                <w:szCs w:val="21"/>
              </w:rPr>
            </w:pPr>
            <w:r>
              <w:rPr>
                <w:sz w:val="21"/>
                <w:szCs w:val="21"/>
              </w:rPr>
              <w:t>爆</w:t>
            </w:r>
          </w:p>
          <w:p w14:paraId="30CD6FB8">
            <w:pPr>
              <w:widowControl/>
              <w:spacing w:line="240" w:lineRule="auto"/>
              <w:ind w:firstLine="0" w:firstLineChars="0"/>
              <w:jc w:val="center"/>
              <w:textAlignment w:val="baseline"/>
              <w:rPr>
                <w:sz w:val="21"/>
                <w:szCs w:val="21"/>
              </w:rPr>
            </w:pPr>
            <w:r>
              <w:rPr>
                <w:sz w:val="21"/>
                <w:szCs w:val="21"/>
              </w:rPr>
              <w:t>炸</w:t>
            </w:r>
          </w:p>
          <w:p w14:paraId="5443B771">
            <w:pPr>
              <w:widowControl/>
              <w:spacing w:line="240" w:lineRule="auto"/>
              <w:ind w:firstLine="0" w:firstLineChars="0"/>
              <w:jc w:val="center"/>
              <w:textAlignment w:val="baseline"/>
              <w:rPr>
                <w:sz w:val="21"/>
                <w:szCs w:val="21"/>
              </w:rPr>
            </w:pPr>
            <w:r>
              <w:rPr>
                <w:sz w:val="21"/>
                <w:szCs w:val="21"/>
              </w:rPr>
              <w:t>危</w:t>
            </w:r>
          </w:p>
          <w:p w14:paraId="44E13C79">
            <w:pPr>
              <w:widowControl/>
              <w:spacing w:line="240" w:lineRule="auto"/>
              <w:ind w:firstLine="0" w:firstLineChars="0"/>
              <w:jc w:val="center"/>
              <w:textAlignment w:val="baseline"/>
              <w:rPr>
                <w:sz w:val="21"/>
                <w:szCs w:val="21"/>
              </w:rPr>
            </w:pPr>
            <w:r>
              <w:rPr>
                <w:sz w:val="21"/>
                <w:szCs w:val="21"/>
              </w:rPr>
              <w:t>险</w:t>
            </w:r>
          </w:p>
          <w:p w14:paraId="0FD9C04E">
            <w:pPr>
              <w:widowControl/>
              <w:spacing w:line="240" w:lineRule="auto"/>
              <w:ind w:firstLine="0" w:firstLineChars="0"/>
              <w:jc w:val="center"/>
              <w:textAlignment w:val="baseline"/>
              <w:rPr>
                <w:sz w:val="21"/>
                <w:szCs w:val="21"/>
              </w:rPr>
            </w:pPr>
            <w:r>
              <w:rPr>
                <w:sz w:val="21"/>
                <w:szCs w:val="21"/>
              </w:rPr>
              <w:t>性</w:t>
            </w:r>
          </w:p>
        </w:tc>
        <w:tc>
          <w:tcPr>
            <w:tcW w:w="1197" w:type="pct"/>
            <w:vAlign w:val="center"/>
          </w:tcPr>
          <w:p w14:paraId="2FB33BB7">
            <w:pPr>
              <w:widowControl/>
              <w:spacing w:line="240" w:lineRule="auto"/>
              <w:ind w:firstLine="0" w:firstLineChars="0"/>
              <w:jc w:val="center"/>
              <w:textAlignment w:val="baseline"/>
              <w:rPr>
                <w:sz w:val="21"/>
                <w:szCs w:val="21"/>
              </w:rPr>
            </w:pPr>
            <w:r>
              <w:rPr>
                <w:sz w:val="21"/>
                <w:szCs w:val="21"/>
              </w:rPr>
              <w:t>避免接触的条件</w:t>
            </w:r>
          </w:p>
        </w:tc>
        <w:tc>
          <w:tcPr>
            <w:tcW w:w="3391" w:type="pct"/>
            <w:vAlign w:val="center"/>
          </w:tcPr>
          <w:p w14:paraId="0A06AAFC">
            <w:pPr>
              <w:widowControl/>
              <w:spacing w:line="240" w:lineRule="auto"/>
              <w:ind w:firstLine="0" w:firstLineChars="0"/>
              <w:jc w:val="center"/>
              <w:textAlignment w:val="baseline"/>
              <w:rPr>
                <w:sz w:val="21"/>
                <w:szCs w:val="21"/>
              </w:rPr>
            </w:pPr>
          </w:p>
        </w:tc>
      </w:tr>
      <w:tr w14:paraId="1B55F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192F5F59">
            <w:pPr>
              <w:widowControl/>
              <w:spacing w:line="240" w:lineRule="auto"/>
              <w:ind w:firstLine="0" w:firstLineChars="0"/>
              <w:jc w:val="center"/>
              <w:textAlignment w:val="baseline"/>
              <w:rPr>
                <w:sz w:val="21"/>
                <w:szCs w:val="21"/>
              </w:rPr>
            </w:pPr>
          </w:p>
        </w:tc>
        <w:tc>
          <w:tcPr>
            <w:tcW w:w="1197" w:type="pct"/>
            <w:vAlign w:val="center"/>
          </w:tcPr>
          <w:p w14:paraId="49699A38">
            <w:pPr>
              <w:widowControl/>
              <w:spacing w:line="240" w:lineRule="auto"/>
              <w:ind w:firstLine="0" w:firstLineChars="0"/>
              <w:jc w:val="center"/>
              <w:textAlignment w:val="baseline"/>
              <w:rPr>
                <w:sz w:val="21"/>
                <w:szCs w:val="21"/>
              </w:rPr>
            </w:pPr>
            <w:r>
              <w:rPr>
                <w:sz w:val="21"/>
                <w:szCs w:val="21"/>
              </w:rPr>
              <w:t>燃烧性</w:t>
            </w:r>
          </w:p>
        </w:tc>
        <w:tc>
          <w:tcPr>
            <w:tcW w:w="3391" w:type="pct"/>
            <w:vAlign w:val="center"/>
          </w:tcPr>
          <w:p w14:paraId="734E3BB8">
            <w:pPr>
              <w:widowControl/>
              <w:spacing w:line="240" w:lineRule="auto"/>
              <w:ind w:firstLine="0" w:firstLineChars="0"/>
              <w:jc w:val="center"/>
              <w:textAlignment w:val="baseline"/>
              <w:rPr>
                <w:sz w:val="21"/>
                <w:szCs w:val="21"/>
              </w:rPr>
            </w:pPr>
            <w:r>
              <w:rPr>
                <w:sz w:val="21"/>
                <w:szCs w:val="21"/>
              </w:rPr>
              <w:t>助燃</w:t>
            </w:r>
          </w:p>
        </w:tc>
      </w:tr>
      <w:tr w14:paraId="44975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4C37C7F0">
            <w:pPr>
              <w:widowControl/>
              <w:spacing w:line="240" w:lineRule="auto"/>
              <w:ind w:firstLine="0" w:firstLineChars="0"/>
              <w:jc w:val="center"/>
              <w:textAlignment w:val="baseline"/>
              <w:rPr>
                <w:sz w:val="21"/>
                <w:szCs w:val="21"/>
              </w:rPr>
            </w:pPr>
          </w:p>
        </w:tc>
        <w:tc>
          <w:tcPr>
            <w:tcW w:w="1197" w:type="pct"/>
            <w:vAlign w:val="center"/>
          </w:tcPr>
          <w:p w14:paraId="12FE23BF">
            <w:pPr>
              <w:widowControl/>
              <w:spacing w:line="240" w:lineRule="auto"/>
              <w:ind w:firstLine="0" w:firstLineChars="0"/>
              <w:jc w:val="center"/>
              <w:textAlignment w:val="baseline"/>
              <w:rPr>
                <w:sz w:val="21"/>
                <w:szCs w:val="21"/>
              </w:rPr>
            </w:pPr>
            <w:r>
              <w:rPr>
                <w:sz w:val="21"/>
                <w:szCs w:val="21"/>
              </w:rPr>
              <w:t>建规火险分级</w:t>
            </w:r>
          </w:p>
        </w:tc>
        <w:tc>
          <w:tcPr>
            <w:tcW w:w="3391" w:type="pct"/>
            <w:vAlign w:val="center"/>
          </w:tcPr>
          <w:p w14:paraId="3AAE1CE5">
            <w:pPr>
              <w:widowControl/>
              <w:spacing w:line="240" w:lineRule="auto"/>
              <w:ind w:firstLine="0" w:firstLineChars="0"/>
              <w:jc w:val="center"/>
              <w:textAlignment w:val="baseline"/>
              <w:rPr>
                <w:sz w:val="21"/>
                <w:szCs w:val="21"/>
              </w:rPr>
            </w:pPr>
            <w:r>
              <w:rPr>
                <w:sz w:val="21"/>
                <w:szCs w:val="21"/>
              </w:rPr>
              <w:t>乙</w:t>
            </w:r>
          </w:p>
        </w:tc>
      </w:tr>
      <w:tr w14:paraId="266B8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7C82849E">
            <w:pPr>
              <w:widowControl/>
              <w:spacing w:line="240" w:lineRule="auto"/>
              <w:ind w:firstLine="0" w:firstLineChars="0"/>
              <w:jc w:val="center"/>
              <w:textAlignment w:val="baseline"/>
              <w:rPr>
                <w:sz w:val="21"/>
                <w:szCs w:val="21"/>
              </w:rPr>
            </w:pPr>
          </w:p>
        </w:tc>
        <w:tc>
          <w:tcPr>
            <w:tcW w:w="1197" w:type="pct"/>
            <w:vAlign w:val="center"/>
          </w:tcPr>
          <w:p w14:paraId="3626A86C">
            <w:pPr>
              <w:widowControl/>
              <w:spacing w:line="240" w:lineRule="auto"/>
              <w:ind w:firstLine="0" w:firstLineChars="0"/>
              <w:jc w:val="center"/>
              <w:textAlignment w:val="baseline"/>
              <w:rPr>
                <w:sz w:val="21"/>
                <w:szCs w:val="21"/>
              </w:rPr>
            </w:pPr>
            <w:r>
              <w:rPr>
                <w:sz w:val="21"/>
                <w:szCs w:val="21"/>
              </w:rPr>
              <w:t>闪点（℃）</w:t>
            </w:r>
          </w:p>
        </w:tc>
        <w:tc>
          <w:tcPr>
            <w:tcW w:w="3391" w:type="pct"/>
            <w:vAlign w:val="center"/>
          </w:tcPr>
          <w:p w14:paraId="0417F701">
            <w:pPr>
              <w:widowControl/>
              <w:spacing w:line="240" w:lineRule="auto"/>
              <w:ind w:firstLine="0" w:firstLineChars="0"/>
              <w:jc w:val="center"/>
              <w:textAlignment w:val="baseline"/>
              <w:rPr>
                <w:sz w:val="21"/>
                <w:szCs w:val="21"/>
              </w:rPr>
            </w:pPr>
            <w:r>
              <w:rPr>
                <w:sz w:val="21"/>
                <w:szCs w:val="21"/>
              </w:rPr>
              <w:t>无意义</w:t>
            </w:r>
          </w:p>
        </w:tc>
      </w:tr>
      <w:tr w14:paraId="5714C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05CA09D8">
            <w:pPr>
              <w:widowControl/>
              <w:spacing w:line="240" w:lineRule="auto"/>
              <w:ind w:firstLine="0" w:firstLineChars="0"/>
              <w:jc w:val="center"/>
              <w:textAlignment w:val="baseline"/>
              <w:rPr>
                <w:sz w:val="21"/>
                <w:szCs w:val="21"/>
              </w:rPr>
            </w:pPr>
          </w:p>
        </w:tc>
        <w:tc>
          <w:tcPr>
            <w:tcW w:w="1197" w:type="pct"/>
            <w:vAlign w:val="center"/>
          </w:tcPr>
          <w:p w14:paraId="32E86269">
            <w:pPr>
              <w:widowControl/>
              <w:spacing w:line="240" w:lineRule="auto"/>
              <w:ind w:firstLine="0" w:firstLineChars="0"/>
              <w:jc w:val="center"/>
              <w:textAlignment w:val="baseline"/>
              <w:rPr>
                <w:sz w:val="21"/>
                <w:szCs w:val="21"/>
              </w:rPr>
            </w:pPr>
            <w:r>
              <w:rPr>
                <w:sz w:val="21"/>
                <w:szCs w:val="21"/>
              </w:rPr>
              <w:t>自燃温度（℃）</w:t>
            </w:r>
          </w:p>
        </w:tc>
        <w:tc>
          <w:tcPr>
            <w:tcW w:w="3391" w:type="pct"/>
            <w:vAlign w:val="center"/>
          </w:tcPr>
          <w:p w14:paraId="18141FCD">
            <w:pPr>
              <w:widowControl/>
              <w:spacing w:line="240" w:lineRule="auto"/>
              <w:ind w:firstLine="0" w:firstLineChars="0"/>
              <w:jc w:val="center"/>
              <w:textAlignment w:val="baseline"/>
              <w:rPr>
                <w:sz w:val="21"/>
                <w:szCs w:val="21"/>
              </w:rPr>
            </w:pPr>
            <w:r>
              <w:rPr>
                <w:sz w:val="21"/>
                <w:szCs w:val="21"/>
              </w:rPr>
              <w:t>无意义</w:t>
            </w:r>
          </w:p>
        </w:tc>
      </w:tr>
      <w:tr w14:paraId="7E48F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52B5ED59">
            <w:pPr>
              <w:widowControl/>
              <w:spacing w:line="240" w:lineRule="auto"/>
              <w:ind w:firstLine="0" w:firstLineChars="0"/>
              <w:jc w:val="center"/>
              <w:textAlignment w:val="baseline"/>
              <w:rPr>
                <w:sz w:val="21"/>
                <w:szCs w:val="21"/>
              </w:rPr>
            </w:pPr>
          </w:p>
        </w:tc>
        <w:tc>
          <w:tcPr>
            <w:tcW w:w="1197" w:type="pct"/>
            <w:vAlign w:val="center"/>
          </w:tcPr>
          <w:p w14:paraId="285F5FBA">
            <w:pPr>
              <w:widowControl/>
              <w:spacing w:line="240" w:lineRule="auto"/>
              <w:ind w:firstLine="0" w:firstLineChars="0"/>
              <w:jc w:val="center"/>
              <w:textAlignment w:val="baseline"/>
              <w:rPr>
                <w:sz w:val="21"/>
                <w:szCs w:val="21"/>
              </w:rPr>
            </w:pPr>
            <w:r>
              <w:rPr>
                <w:sz w:val="21"/>
                <w:szCs w:val="21"/>
              </w:rPr>
              <w:t>爆炸下限（V％）</w:t>
            </w:r>
          </w:p>
        </w:tc>
        <w:tc>
          <w:tcPr>
            <w:tcW w:w="3391" w:type="pct"/>
            <w:vAlign w:val="center"/>
          </w:tcPr>
          <w:p w14:paraId="6DE827BA">
            <w:pPr>
              <w:widowControl/>
              <w:spacing w:line="240" w:lineRule="auto"/>
              <w:ind w:firstLine="0" w:firstLineChars="0"/>
              <w:jc w:val="center"/>
              <w:textAlignment w:val="baseline"/>
              <w:rPr>
                <w:sz w:val="21"/>
                <w:szCs w:val="21"/>
              </w:rPr>
            </w:pPr>
            <w:r>
              <w:rPr>
                <w:sz w:val="21"/>
                <w:szCs w:val="21"/>
              </w:rPr>
              <w:t>无意义</w:t>
            </w:r>
          </w:p>
        </w:tc>
      </w:tr>
      <w:tr w14:paraId="48B5E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513256A4">
            <w:pPr>
              <w:widowControl/>
              <w:spacing w:line="240" w:lineRule="auto"/>
              <w:ind w:firstLine="0" w:firstLineChars="0"/>
              <w:jc w:val="center"/>
              <w:textAlignment w:val="baseline"/>
              <w:rPr>
                <w:sz w:val="21"/>
                <w:szCs w:val="21"/>
              </w:rPr>
            </w:pPr>
          </w:p>
        </w:tc>
        <w:tc>
          <w:tcPr>
            <w:tcW w:w="1197" w:type="pct"/>
            <w:vAlign w:val="center"/>
          </w:tcPr>
          <w:p w14:paraId="1332B982">
            <w:pPr>
              <w:widowControl/>
              <w:spacing w:line="240" w:lineRule="auto"/>
              <w:ind w:firstLine="0" w:firstLineChars="0"/>
              <w:jc w:val="center"/>
              <w:textAlignment w:val="baseline"/>
              <w:rPr>
                <w:sz w:val="21"/>
                <w:szCs w:val="21"/>
              </w:rPr>
            </w:pPr>
            <w:r>
              <w:rPr>
                <w:sz w:val="21"/>
                <w:szCs w:val="21"/>
              </w:rPr>
              <w:t>爆炸上限（V％）</w:t>
            </w:r>
          </w:p>
        </w:tc>
        <w:tc>
          <w:tcPr>
            <w:tcW w:w="3391" w:type="pct"/>
            <w:vAlign w:val="center"/>
          </w:tcPr>
          <w:p w14:paraId="1C03613B">
            <w:pPr>
              <w:widowControl/>
              <w:spacing w:line="240" w:lineRule="auto"/>
              <w:ind w:firstLine="0" w:firstLineChars="0"/>
              <w:jc w:val="center"/>
              <w:textAlignment w:val="baseline"/>
              <w:rPr>
                <w:sz w:val="21"/>
                <w:szCs w:val="21"/>
              </w:rPr>
            </w:pPr>
            <w:r>
              <w:rPr>
                <w:sz w:val="21"/>
                <w:szCs w:val="21"/>
              </w:rPr>
              <w:t>无意义</w:t>
            </w:r>
          </w:p>
        </w:tc>
      </w:tr>
      <w:tr w14:paraId="39E6B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055212D0">
            <w:pPr>
              <w:widowControl/>
              <w:spacing w:line="240" w:lineRule="auto"/>
              <w:ind w:firstLine="0" w:firstLineChars="0"/>
              <w:jc w:val="center"/>
              <w:textAlignment w:val="baseline"/>
              <w:rPr>
                <w:sz w:val="21"/>
                <w:szCs w:val="21"/>
              </w:rPr>
            </w:pPr>
          </w:p>
        </w:tc>
        <w:tc>
          <w:tcPr>
            <w:tcW w:w="1197" w:type="pct"/>
            <w:vAlign w:val="center"/>
          </w:tcPr>
          <w:p w14:paraId="38A8776D">
            <w:pPr>
              <w:widowControl/>
              <w:spacing w:line="240" w:lineRule="auto"/>
              <w:ind w:firstLine="0" w:firstLineChars="0"/>
              <w:jc w:val="center"/>
              <w:textAlignment w:val="baseline"/>
              <w:rPr>
                <w:sz w:val="21"/>
                <w:szCs w:val="21"/>
              </w:rPr>
            </w:pPr>
            <w:r>
              <w:rPr>
                <w:sz w:val="21"/>
                <w:szCs w:val="21"/>
              </w:rPr>
              <w:t>危险特性</w:t>
            </w:r>
          </w:p>
        </w:tc>
        <w:tc>
          <w:tcPr>
            <w:tcW w:w="3391" w:type="pct"/>
            <w:vAlign w:val="center"/>
          </w:tcPr>
          <w:p w14:paraId="31FA5D7A">
            <w:pPr>
              <w:widowControl/>
              <w:spacing w:line="240" w:lineRule="auto"/>
              <w:ind w:firstLine="0" w:firstLineChars="0"/>
              <w:textAlignment w:val="baseline"/>
              <w:rPr>
                <w:sz w:val="21"/>
                <w:szCs w:val="21"/>
              </w:rPr>
            </w:pPr>
            <w:r>
              <w:rPr>
                <w:sz w:val="21"/>
                <w:szCs w:val="21"/>
              </w:rPr>
              <w:t>是易燃物、可燃物燃烧爆炸的基本元素之一，能氧化大多数活性物质。与易燃物（乙炔、甲烷等）形成有爆炸性的混合物。</w:t>
            </w:r>
          </w:p>
          <w:p w14:paraId="6CE0D2BB">
            <w:pPr>
              <w:widowControl/>
              <w:spacing w:line="240" w:lineRule="auto"/>
              <w:ind w:firstLine="0" w:firstLineChars="0"/>
              <w:textAlignment w:val="baseline"/>
              <w:rPr>
                <w:sz w:val="21"/>
                <w:szCs w:val="21"/>
              </w:rPr>
            </w:pPr>
            <w:r>
              <w:rPr>
                <w:sz w:val="21"/>
                <w:szCs w:val="21"/>
              </w:rPr>
              <w:t>易燃性（红色）：0</w:t>
            </w:r>
          </w:p>
          <w:p w14:paraId="08013FBB">
            <w:pPr>
              <w:widowControl/>
              <w:spacing w:line="240" w:lineRule="auto"/>
              <w:ind w:firstLine="0" w:firstLineChars="0"/>
              <w:textAlignment w:val="baseline"/>
              <w:rPr>
                <w:sz w:val="21"/>
                <w:szCs w:val="21"/>
              </w:rPr>
            </w:pPr>
            <w:r>
              <w:rPr>
                <w:sz w:val="21"/>
                <w:szCs w:val="21"/>
              </w:rPr>
              <w:t>反应活性（黄色）：0</w:t>
            </w:r>
          </w:p>
          <w:p w14:paraId="32F69CB6">
            <w:pPr>
              <w:widowControl/>
              <w:spacing w:line="240" w:lineRule="auto"/>
              <w:ind w:firstLine="0" w:firstLineChars="0"/>
              <w:textAlignment w:val="baseline"/>
              <w:rPr>
                <w:sz w:val="21"/>
                <w:szCs w:val="21"/>
              </w:rPr>
            </w:pPr>
            <w:r>
              <w:rPr>
                <w:sz w:val="21"/>
                <w:szCs w:val="21"/>
              </w:rPr>
              <w:t>特殊危险：氧化剂</w:t>
            </w:r>
          </w:p>
        </w:tc>
      </w:tr>
      <w:tr w14:paraId="407EE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635F87E0">
            <w:pPr>
              <w:autoSpaceDE w:val="0"/>
              <w:autoSpaceDN w:val="0"/>
              <w:spacing w:line="240" w:lineRule="auto"/>
              <w:ind w:firstLine="420"/>
              <w:jc w:val="center"/>
              <w:rPr>
                <w:sz w:val="21"/>
                <w:szCs w:val="21"/>
              </w:rPr>
            </w:pPr>
          </w:p>
        </w:tc>
        <w:tc>
          <w:tcPr>
            <w:tcW w:w="1197" w:type="pct"/>
            <w:vAlign w:val="center"/>
          </w:tcPr>
          <w:p w14:paraId="62EC9276">
            <w:pPr>
              <w:widowControl/>
              <w:spacing w:line="240" w:lineRule="auto"/>
              <w:ind w:firstLine="0" w:firstLineChars="0"/>
              <w:jc w:val="center"/>
              <w:textAlignment w:val="baseline"/>
              <w:rPr>
                <w:sz w:val="21"/>
                <w:szCs w:val="21"/>
              </w:rPr>
            </w:pPr>
            <w:r>
              <w:rPr>
                <w:sz w:val="21"/>
                <w:szCs w:val="21"/>
              </w:rPr>
              <w:t>燃烧（分解）产物</w:t>
            </w:r>
          </w:p>
        </w:tc>
        <w:tc>
          <w:tcPr>
            <w:tcW w:w="3391" w:type="pct"/>
            <w:vAlign w:val="center"/>
          </w:tcPr>
          <w:p w14:paraId="28BB9CE6">
            <w:pPr>
              <w:autoSpaceDE w:val="0"/>
              <w:autoSpaceDN w:val="0"/>
              <w:spacing w:line="240" w:lineRule="auto"/>
              <w:ind w:firstLine="172" w:firstLineChars="82"/>
              <w:rPr>
                <w:sz w:val="21"/>
                <w:szCs w:val="21"/>
              </w:rPr>
            </w:pPr>
          </w:p>
        </w:tc>
      </w:tr>
      <w:tr w14:paraId="75193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5FDD9F1E">
            <w:pPr>
              <w:autoSpaceDE w:val="0"/>
              <w:autoSpaceDN w:val="0"/>
              <w:spacing w:line="240" w:lineRule="auto"/>
              <w:ind w:firstLine="420"/>
              <w:jc w:val="center"/>
              <w:rPr>
                <w:sz w:val="21"/>
                <w:szCs w:val="21"/>
              </w:rPr>
            </w:pPr>
          </w:p>
        </w:tc>
        <w:tc>
          <w:tcPr>
            <w:tcW w:w="1197" w:type="pct"/>
            <w:vAlign w:val="center"/>
          </w:tcPr>
          <w:p w14:paraId="542E1CB6">
            <w:pPr>
              <w:widowControl/>
              <w:spacing w:line="240" w:lineRule="auto"/>
              <w:ind w:firstLine="0" w:firstLineChars="0"/>
              <w:jc w:val="center"/>
              <w:textAlignment w:val="baseline"/>
              <w:rPr>
                <w:sz w:val="21"/>
                <w:szCs w:val="21"/>
              </w:rPr>
            </w:pPr>
            <w:r>
              <w:rPr>
                <w:sz w:val="21"/>
                <w:szCs w:val="21"/>
              </w:rPr>
              <w:t>稳定性</w:t>
            </w:r>
          </w:p>
        </w:tc>
        <w:tc>
          <w:tcPr>
            <w:tcW w:w="3391" w:type="pct"/>
            <w:vAlign w:val="center"/>
          </w:tcPr>
          <w:p w14:paraId="081051A8">
            <w:pPr>
              <w:widowControl/>
              <w:spacing w:line="240" w:lineRule="auto"/>
              <w:ind w:firstLine="0" w:firstLineChars="0"/>
              <w:jc w:val="center"/>
              <w:textAlignment w:val="baseline"/>
              <w:rPr>
                <w:sz w:val="21"/>
                <w:szCs w:val="21"/>
              </w:rPr>
            </w:pPr>
            <w:r>
              <w:rPr>
                <w:sz w:val="21"/>
                <w:szCs w:val="21"/>
              </w:rPr>
              <w:t>稳定</w:t>
            </w:r>
          </w:p>
        </w:tc>
      </w:tr>
      <w:tr w14:paraId="0E627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646680ED">
            <w:pPr>
              <w:autoSpaceDE w:val="0"/>
              <w:autoSpaceDN w:val="0"/>
              <w:spacing w:line="240" w:lineRule="auto"/>
              <w:ind w:firstLine="420"/>
              <w:jc w:val="center"/>
              <w:rPr>
                <w:sz w:val="21"/>
                <w:szCs w:val="21"/>
              </w:rPr>
            </w:pPr>
          </w:p>
        </w:tc>
        <w:tc>
          <w:tcPr>
            <w:tcW w:w="1197" w:type="pct"/>
            <w:vAlign w:val="center"/>
          </w:tcPr>
          <w:p w14:paraId="4B6CEEDF">
            <w:pPr>
              <w:widowControl/>
              <w:spacing w:line="240" w:lineRule="auto"/>
              <w:ind w:firstLine="0" w:firstLineChars="0"/>
              <w:jc w:val="center"/>
              <w:textAlignment w:val="baseline"/>
              <w:rPr>
                <w:sz w:val="21"/>
                <w:szCs w:val="21"/>
              </w:rPr>
            </w:pPr>
            <w:r>
              <w:rPr>
                <w:sz w:val="21"/>
                <w:szCs w:val="21"/>
              </w:rPr>
              <w:t>聚合危害</w:t>
            </w:r>
          </w:p>
        </w:tc>
        <w:tc>
          <w:tcPr>
            <w:tcW w:w="3391" w:type="pct"/>
            <w:vAlign w:val="center"/>
          </w:tcPr>
          <w:p w14:paraId="2D14B4A2">
            <w:pPr>
              <w:widowControl/>
              <w:spacing w:line="240" w:lineRule="auto"/>
              <w:ind w:firstLine="0" w:firstLineChars="0"/>
              <w:jc w:val="center"/>
              <w:textAlignment w:val="baseline"/>
              <w:rPr>
                <w:sz w:val="21"/>
                <w:szCs w:val="21"/>
              </w:rPr>
            </w:pPr>
            <w:r>
              <w:rPr>
                <w:sz w:val="21"/>
                <w:szCs w:val="21"/>
              </w:rPr>
              <w:t>不能出现</w:t>
            </w:r>
          </w:p>
        </w:tc>
      </w:tr>
      <w:tr w14:paraId="33CC3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72DFDF1C">
            <w:pPr>
              <w:autoSpaceDE w:val="0"/>
              <w:autoSpaceDN w:val="0"/>
              <w:spacing w:line="240" w:lineRule="auto"/>
              <w:ind w:firstLine="420"/>
              <w:jc w:val="center"/>
              <w:rPr>
                <w:sz w:val="21"/>
                <w:szCs w:val="21"/>
              </w:rPr>
            </w:pPr>
          </w:p>
        </w:tc>
        <w:tc>
          <w:tcPr>
            <w:tcW w:w="1197" w:type="pct"/>
            <w:vAlign w:val="center"/>
          </w:tcPr>
          <w:p w14:paraId="117F3108">
            <w:pPr>
              <w:widowControl/>
              <w:spacing w:line="240" w:lineRule="auto"/>
              <w:ind w:firstLine="0" w:firstLineChars="0"/>
              <w:jc w:val="center"/>
              <w:textAlignment w:val="baseline"/>
              <w:rPr>
                <w:sz w:val="21"/>
                <w:szCs w:val="21"/>
              </w:rPr>
            </w:pPr>
            <w:r>
              <w:rPr>
                <w:sz w:val="21"/>
                <w:szCs w:val="21"/>
              </w:rPr>
              <w:t>禁忌物</w:t>
            </w:r>
          </w:p>
        </w:tc>
        <w:tc>
          <w:tcPr>
            <w:tcW w:w="3391" w:type="pct"/>
            <w:vAlign w:val="center"/>
          </w:tcPr>
          <w:p w14:paraId="5788BD1F">
            <w:pPr>
              <w:widowControl/>
              <w:spacing w:line="240" w:lineRule="auto"/>
              <w:ind w:firstLine="0" w:firstLineChars="0"/>
              <w:jc w:val="center"/>
              <w:textAlignment w:val="baseline"/>
              <w:rPr>
                <w:sz w:val="21"/>
                <w:szCs w:val="21"/>
              </w:rPr>
            </w:pPr>
            <w:r>
              <w:rPr>
                <w:sz w:val="21"/>
                <w:szCs w:val="21"/>
              </w:rPr>
              <w:t>易燃或可燃物、活性金属粉末、乙炔</w:t>
            </w:r>
          </w:p>
        </w:tc>
      </w:tr>
      <w:tr w14:paraId="5D2FF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3C78849B">
            <w:pPr>
              <w:autoSpaceDE w:val="0"/>
              <w:autoSpaceDN w:val="0"/>
              <w:spacing w:line="240" w:lineRule="auto"/>
              <w:ind w:firstLine="420"/>
              <w:jc w:val="center"/>
              <w:rPr>
                <w:sz w:val="21"/>
                <w:szCs w:val="21"/>
              </w:rPr>
            </w:pPr>
          </w:p>
        </w:tc>
        <w:tc>
          <w:tcPr>
            <w:tcW w:w="1197" w:type="pct"/>
            <w:vAlign w:val="center"/>
          </w:tcPr>
          <w:p w14:paraId="768406DF">
            <w:pPr>
              <w:widowControl/>
              <w:spacing w:line="240" w:lineRule="auto"/>
              <w:ind w:firstLine="0" w:firstLineChars="0"/>
              <w:jc w:val="center"/>
              <w:textAlignment w:val="baseline"/>
              <w:rPr>
                <w:sz w:val="21"/>
                <w:szCs w:val="21"/>
              </w:rPr>
            </w:pPr>
            <w:r>
              <w:rPr>
                <w:sz w:val="21"/>
                <w:szCs w:val="21"/>
              </w:rPr>
              <w:t>灭火方法</w:t>
            </w:r>
          </w:p>
        </w:tc>
        <w:tc>
          <w:tcPr>
            <w:tcW w:w="3391" w:type="pct"/>
            <w:vAlign w:val="center"/>
          </w:tcPr>
          <w:p w14:paraId="42088DAD">
            <w:pPr>
              <w:widowControl/>
              <w:spacing w:line="240" w:lineRule="auto"/>
              <w:ind w:firstLine="0" w:firstLineChars="0"/>
              <w:jc w:val="center"/>
              <w:textAlignment w:val="baseline"/>
              <w:rPr>
                <w:sz w:val="21"/>
                <w:szCs w:val="21"/>
              </w:rPr>
            </w:pPr>
            <w:r>
              <w:rPr>
                <w:sz w:val="21"/>
                <w:szCs w:val="21"/>
              </w:rPr>
              <w:t>切断气源。喷水冷却容器，可能的话将容器从火场移至空旷处。雾状水、二氧化碳。</w:t>
            </w:r>
          </w:p>
        </w:tc>
      </w:tr>
      <w:tr w14:paraId="4E570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restart"/>
            <w:vAlign w:val="center"/>
          </w:tcPr>
          <w:p w14:paraId="1462A0C5">
            <w:pPr>
              <w:widowControl/>
              <w:spacing w:line="240" w:lineRule="auto"/>
              <w:ind w:firstLine="0" w:firstLineChars="0"/>
              <w:jc w:val="center"/>
              <w:textAlignment w:val="baseline"/>
              <w:rPr>
                <w:sz w:val="21"/>
                <w:szCs w:val="21"/>
              </w:rPr>
            </w:pPr>
            <w:r>
              <w:rPr>
                <w:sz w:val="21"/>
                <w:szCs w:val="21"/>
              </w:rPr>
              <w:t>包</w:t>
            </w:r>
          </w:p>
          <w:p w14:paraId="26BE5C57">
            <w:pPr>
              <w:widowControl/>
              <w:spacing w:line="240" w:lineRule="auto"/>
              <w:ind w:firstLine="0" w:firstLineChars="0"/>
              <w:jc w:val="center"/>
              <w:textAlignment w:val="baseline"/>
              <w:rPr>
                <w:sz w:val="21"/>
                <w:szCs w:val="21"/>
              </w:rPr>
            </w:pPr>
            <w:r>
              <w:rPr>
                <w:sz w:val="21"/>
                <w:szCs w:val="21"/>
              </w:rPr>
              <w:t>装</w:t>
            </w:r>
          </w:p>
          <w:p w14:paraId="6FE946FA">
            <w:pPr>
              <w:widowControl/>
              <w:spacing w:line="240" w:lineRule="auto"/>
              <w:ind w:firstLine="0" w:firstLineChars="0"/>
              <w:jc w:val="center"/>
              <w:textAlignment w:val="baseline"/>
              <w:rPr>
                <w:sz w:val="21"/>
                <w:szCs w:val="21"/>
              </w:rPr>
            </w:pPr>
            <w:r>
              <w:rPr>
                <w:sz w:val="21"/>
                <w:szCs w:val="21"/>
              </w:rPr>
              <w:t>与</w:t>
            </w:r>
          </w:p>
          <w:p w14:paraId="6354C8B3">
            <w:pPr>
              <w:widowControl/>
              <w:spacing w:line="240" w:lineRule="auto"/>
              <w:ind w:firstLine="0" w:firstLineChars="0"/>
              <w:jc w:val="center"/>
              <w:textAlignment w:val="baseline"/>
              <w:rPr>
                <w:sz w:val="21"/>
                <w:szCs w:val="21"/>
              </w:rPr>
            </w:pPr>
            <w:r>
              <w:rPr>
                <w:sz w:val="21"/>
                <w:szCs w:val="21"/>
              </w:rPr>
              <w:t>储</w:t>
            </w:r>
          </w:p>
          <w:p w14:paraId="46A459D0">
            <w:pPr>
              <w:widowControl/>
              <w:spacing w:line="240" w:lineRule="auto"/>
              <w:ind w:firstLine="0" w:firstLineChars="0"/>
              <w:jc w:val="center"/>
              <w:textAlignment w:val="baseline"/>
              <w:rPr>
                <w:sz w:val="21"/>
                <w:szCs w:val="21"/>
              </w:rPr>
            </w:pPr>
            <w:r>
              <w:rPr>
                <w:sz w:val="21"/>
                <w:szCs w:val="21"/>
              </w:rPr>
              <w:t>运</w:t>
            </w:r>
          </w:p>
        </w:tc>
        <w:tc>
          <w:tcPr>
            <w:tcW w:w="1197" w:type="pct"/>
            <w:vAlign w:val="center"/>
          </w:tcPr>
          <w:p w14:paraId="2A1651C9">
            <w:pPr>
              <w:widowControl/>
              <w:spacing w:line="240" w:lineRule="auto"/>
              <w:ind w:firstLine="0" w:firstLineChars="0"/>
              <w:jc w:val="center"/>
              <w:textAlignment w:val="baseline"/>
              <w:rPr>
                <w:sz w:val="21"/>
                <w:szCs w:val="21"/>
              </w:rPr>
            </w:pPr>
            <w:r>
              <w:rPr>
                <w:sz w:val="21"/>
                <w:szCs w:val="21"/>
              </w:rPr>
              <w:t>危险货物包装标志</w:t>
            </w:r>
          </w:p>
        </w:tc>
        <w:tc>
          <w:tcPr>
            <w:tcW w:w="3391" w:type="pct"/>
            <w:vAlign w:val="center"/>
          </w:tcPr>
          <w:p w14:paraId="354C61F7">
            <w:pPr>
              <w:spacing w:line="240" w:lineRule="auto"/>
              <w:ind w:firstLine="420"/>
              <w:rPr>
                <w:sz w:val="21"/>
                <w:szCs w:val="21"/>
              </w:rPr>
            </w:pPr>
            <w:r>
              <w:rPr>
                <w:sz w:val="21"/>
                <w:szCs w:val="21"/>
              </w:rPr>
              <w:t>5；38</w:t>
            </w:r>
          </w:p>
        </w:tc>
      </w:tr>
      <w:tr w14:paraId="32A63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7ADA704A">
            <w:pPr>
              <w:autoSpaceDE w:val="0"/>
              <w:autoSpaceDN w:val="0"/>
              <w:spacing w:line="240" w:lineRule="auto"/>
              <w:ind w:firstLine="420"/>
              <w:jc w:val="center"/>
              <w:rPr>
                <w:sz w:val="21"/>
                <w:szCs w:val="21"/>
              </w:rPr>
            </w:pPr>
          </w:p>
        </w:tc>
        <w:tc>
          <w:tcPr>
            <w:tcW w:w="1197" w:type="pct"/>
            <w:vAlign w:val="center"/>
          </w:tcPr>
          <w:p w14:paraId="2912CE5B">
            <w:pPr>
              <w:autoSpaceDE w:val="0"/>
              <w:autoSpaceDN w:val="0"/>
              <w:spacing w:line="240" w:lineRule="auto"/>
              <w:ind w:firstLine="420"/>
              <w:jc w:val="center"/>
              <w:rPr>
                <w:sz w:val="21"/>
                <w:szCs w:val="21"/>
              </w:rPr>
            </w:pPr>
            <w:r>
              <w:rPr>
                <w:sz w:val="21"/>
                <w:szCs w:val="21"/>
              </w:rPr>
              <w:t>包装类别</w:t>
            </w:r>
          </w:p>
        </w:tc>
        <w:tc>
          <w:tcPr>
            <w:tcW w:w="3391" w:type="pct"/>
            <w:vAlign w:val="center"/>
          </w:tcPr>
          <w:p w14:paraId="51833C1E">
            <w:pPr>
              <w:autoSpaceDE w:val="0"/>
              <w:autoSpaceDN w:val="0"/>
              <w:spacing w:line="240" w:lineRule="auto"/>
              <w:ind w:firstLine="172" w:firstLineChars="82"/>
              <w:rPr>
                <w:sz w:val="21"/>
                <w:szCs w:val="21"/>
              </w:rPr>
            </w:pPr>
            <w:r>
              <w:rPr>
                <w:sz w:val="21"/>
                <w:szCs w:val="21"/>
              </w:rPr>
              <w:t>Ⅲ</w:t>
            </w:r>
          </w:p>
        </w:tc>
      </w:tr>
      <w:tr w14:paraId="08C6E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2E20B2B3">
            <w:pPr>
              <w:autoSpaceDE w:val="0"/>
              <w:autoSpaceDN w:val="0"/>
              <w:spacing w:line="240" w:lineRule="auto"/>
              <w:ind w:firstLine="420"/>
              <w:jc w:val="center"/>
              <w:rPr>
                <w:sz w:val="21"/>
                <w:szCs w:val="21"/>
              </w:rPr>
            </w:pPr>
          </w:p>
        </w:tc>
        <w:tc>
          <w:tcPr>
            <w:tcW w:w="1197" w:type="pct"/>
            <w:vAlign w:val="center"/>
          </w:tcPr>
          <w:p w14:paraId="37744C74">
            <w:pPr>
              <w:autoSpaceDE w:val="0"/>
              <w:autoSpaceDN w:val="0"/>
              <w:spacing w:line="240" w:lineRule="auto"/>
              <w:ind w:firstLine="420"/>
              <w:jc w:val="center"/>
              <w:rPr>
                <w:sz w:val="21"/>
                <w:szCs w:val="21"/>
              </w:rPr>
            </w:pPr>
            <w:r>
              <w:rPr>
                <w:sz w:val="21"/>
                <w:szCs w:val="21"/>
              </w:rPr>
              <w:t>储运注意事项</w:t>
            </w:r>
          </w:p>
        </w:tc>
        <w:tc>
          <w:tcPr>
            <w:tcW w:w="3391" w:type="pct"/>
            <w:vAlign w:val="center"/>
          </w:tcPr>
          <w:p w14:paraId="03A5C64D">
            <w:pPr>
              <w:autoSpaceDE w:val="0"/>
              <w:autoSpaceDN w:val="0"/>
              <w:spacing w:line="240" w:lineRule="auto"/>
              <w:ind w:firstLine="420"/>
              <w:rPr>
                <w:sz w:val="21"/>
                <w:szCs w:val="21"/>
              </w:rPr>
            </w:pPr>
            <w:r>
              <w:rPr>
                <w:sz w:val="21"/>
                <w:szCs w:val="21"/>
              </w:rPr>
              <w:t>不燃性压缩气体。储存于阴凉、通风仓间内。仓温不宜超过30℃。远离火种、热源。防止阳光直射。应与易燃气体、金属粉末分开存放。验收时要注意品名，注意验瓶日期，先进仓的先发用。搬运时轻装轻卸，防止钢瓶及附件破损。</w:t>
            </w:r>
          </w:p>
          <w:p w14:paraId="09B52861">
            <w:pPr>
              <w:autoSpaceDE w:val="0"/>
              <w:autoSpaceDN w:val="0"/>
              <w:spacing w:line="240" w:lineRule="auto"/>
              <w:ind w:firstLine="420"/>
              <w:rPr>
                <w:sz w:val="21"/>
                <w:szCs w:val="21"/>
              </w:rPr>
            </w:pPr>
            <w:r>
              <w:rPr>
                <w:sz w:val="21"/>
                <w:szCs w:val="21"/>
              </w:rPr>
              <w:t>废弃：允许气体安全地扩散到大气中。</w:t>
            </w:r>
          </w:p>
          <w:p w14:paraId="05DAD1C1">
            <w:pPr>
              <w:autoSpaceDE w:val="0"/>
              <w:autoSpaceDN w:val="0"/>
              <w:spacing w:line="240" w:lineRule="auto"/>
              <w:ind w:firstLine="420"/>
              <w:rPr>
                <w:sz w:val="21"/>
                <w:szCs w:val="21"/>
              </w:rPr>
            </w:pPr>
            <w:r>
              <w:rPr>
                <w:sz w:val="21"/>
                <w:szCs w:val="21"/>
              </w:rPr>
              <w:t>包装方法：铜质气瓶。</w:t>
            </w:r>
          </w:p>
          <w:p w14:paraId="36AD9BA7">
            <w:pPr>
              <w:autoSpaceDE w:val="0"/>
              <w:autoSpaceDN w:val="0"/>
              <w:spacing w:line="240" w:lineRule="auto"/>
              <w:ind w:firstLine="420"/>
              <w:rPr>
                <w:sz w:val="21"/>
                <w:szCs w:val="21"/>
              </w:rPr>
            </w:pPr>
            <w:r>
              <w:rPr>
                <w:sz w:val="21"/>
                <w:szCs w:val="21"/>
              </w:rPr>
              <w:t>ERGID：UNl072（压缩气体）：uNl073（低温液体）</w:t>
            </w:r>
          </w:p>
          <w:p w14:paraId="3D391489">
            <w:pPr>
              <w:autoSpaceDE w:val="0"/>
              <w:autoSpaceDN w:val="0"/>
              <w:spacing w:line="240" w:lineRule="auto"/>
              <w:ind w:firstLine="420"/>
              <w:rPr>
                <w:sz w:val="21"/>
                <w:szCs w:val="21"/>
              </w:rPr>
            </w:pPr>
            <w:r>
              <w:rPr>
                <w:sz w:val="21"/>
                <w:szCs w:val="21"/>
              </w:rPr>
              <w:t>ERG指南：l22（低温液体；压缩气体）</w:t>
            </w:r>
          </w:p>
          <w:p w14:paraId="51D58E74">
            <w:pPr>
              <w:autoSpaceDE w:val="0"/>
              <w:autoSpaceDN w:val="0"/>
              <w:spacing w:line="240" w:lineRule="auto"/>
              <w:ind w:firstLine="420"/>
              <w:rPr>
                <w:sz w:val="21"/>
                <w:szCs w:val="21"/>
              </w:rPr>
            </w:pPr>
            <w:r>
              <w:rPr>
                <w:sz w:val="21"/>
                <w:szCs w:val="21"/>
              </w:rPr>
              <w:t>ERG指南分类：气体—氧化性的（包括冷冻液化液体）</w:t>
            </w:r>
          </w:p>
        </w:tc>
      </w:tr>
      <w:tr w14:paraId="0B542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restart"/>
            <w:vAlign w:val="center"/>
          </w:tcPr>
          <w:p w14:paraId="523DF024">
            <w:pPr>
              <w:widowControl/>
              <w:spacing w:line="240" w:lineRule="auto"/>
              <w:ind w:firstLine="0" w:firstLineChars="0"/>
              <w:jc w:val="center"/>
              <w:textAlignment w:val="baseline"/>
              <w:rPr>
                <w:sz w:val="21"/>
                <w:szCs w:val="21"/>
              </w:rPr>
            </w:pPr>
            <w:r>
              <w:rPr>
                <w:sz w:val="21"/>
                <w:szCs w:val="21"/>
              </w:rPr>
              <w:t>毒</w:t>
            </w:r>
          </w:p>
          <w:p w14:paraId="2D3288FE">
            <w:pPr>
              <w:widowControl/>
              <w:spacing w:line="240" w:lineRule="auto"/>
              <w:ind w:firstLine="0" w:firstLineChars="0"/>
              <w:jc w:val="center"/>
              <w:textAlignment w:val="baseline"/>
              <w:rPr>
                <w:sz w:val="21"/>
                <w:szCs w:val="21"/>
              </w:rPr>
            </w:pPr>
            <w:r>
              <w:rPr>
                <w:sz w:val="21"/>
                <w:szCs w:val="21"/>
              </w:rPr>
              <w:t>性</w:t>
            </w:r>
          </w:p>
          <w:p w14:paraId="06BE520B">
            <w:pPr>
              <w:widowControl/>
              <w:spacing w:line="240" w:lineRule="auto"/>
              <w:ind w:firstLine="0" w:firstLineChars="0"/>
              <w:jc w:val="center"/>
              <w:textAlignment w:val="baseline"/>
              <w:rPr>
                <w:sz w:val="21"/>
                <w:szCs w:val="21"/>
              </w:rPr>
            </w:pPr>
            <w:r>
              <w:rPr>
                <w:sz w:val="21"/>
                <w:szCs w:val="21"/>
              </w:rPr>
              <w:t>危</w:t>
            </w:r>
          </w:p>
          <w:p w14:paraId="4E5E1456">
            <w:pPr>
              <w:widowControl/>
              <w:spacing w:line="240" w:lineRule="auto"/>
              <w:ind w:firstLine="0" w:firstLineChars="0"/>
              <w:jc w:val="center"/>
              <w:textAlignment w:val="baseline"/>
              <w:rPr>
                <w:sz w:val="21"/>
                <w:szCs w:val="21"/>
              </w:rPr>
            </w:pPr>
            <w:r>
              <w:rPr>
                <w:sz w:val="21"/>
                <w:szCs w:val="21"/>
              </w:rPr>
              <w:t>害</w:t>
            </w:r>
          </w:p>
        </w:tc>
        <w:tc>
          <w:tcPr>
            <w:tcW w:w="1197" w:type="pct"/>
            <w:vAlign w:val="center"/>
          </w:tcPr>
          <w:p w14:paraId="0A3F04C2">
            <w:pPr>
              <w:widowControl/>
              <w:spacing w:line="240" w:lineRule="auto"/>
              <w:ind w:firstLine="0" w:firstLineChars="0"/>
              <w:jc w:val="center"/>
              <w:textAlignment w:val="baseline"/>
              <w:rPr>
                <w:sz w:val="21"/>
                <w:szCs w:val="21"/>
              </w:rPr>
            </w:pPr>
            <w:r>
              <w:rPr>
                <w:sz w:val="21"/>
                <w:szCs w:val="21"/>
              </w:rPr>
              <w:t>接触限值</w:t>
            </w:r>
          </w:p>
        </w:tc>
        <w:tc>
          <w:tcPr>
            <w:tcW w:w="3391" w:type="pct"/>
            <w:vAlign w:val="center"/>
          </w:tcPr>
          <w:p w14:paraId="2EA62DF7">
            <w:pPr>
              <w:autoSpaceDE w:val="0"/>
              <w:autoSpaceDN w:val="0"/>
              <w:spacing w:line="240" w:lineRule="auto"/>
              <w:ind w:firstLine="420"/>
              <w:rPr>
                <w:sz w:val="21"/>
                <w:szCs w:val="21"/>
              </w:rPr>
            </w:pPr>
            <w:r>
              <w:rPr>
                <w:sz w:val="21"/>
                <w:szCs w:val="21"/>
              </w:rPr>
              <w:t>中国MAC：未制定标准</w:t>
            </w:r>
          </w:p>
          <w:p w14:paraId="383E2C01">
            <w:pPr>
              <w:autoSpaceDE w:val="0"/>
              <w:autoSpaceDN w:val="0"/>
              <w:spacing w:line="240" w:lineRule="auto"/>
              <w:ind w:firstLine="420"/>
              <w:rPr>
                <w:sz w:val="21"/>
                <w:szCs w:val="21"/>
              </w:rPr>
            </w:pPr>
            <w:r>
              <w:rPr>
                <w:sz w:val="21"/>
                <w:szCs w:val="21"/>
              </w:rPr>
              <w:t>苏联MAC：未制定标准</w:t>
            </w:r>
          </w:p>
          <w:p w14:paraId="442B02F2">
            <w:pPr>
              <w:autoSpaceDE w:val="0"/>
              <w:autoSpaceDN w:val="0"/>
              <w:spacing w:line="240" w:lineRule="auto"/>
              <w:ind w:firstLine="420"/>
              <w:rPr>
                <w:sz w:val="21"/>
                <w:szCs w:val="21"/>
              </w:rPr>
            </w:pPr>
            <w:r>
              <w:rPr>
                <w:sz w:val="21"/>
                <w:szCs w:val="21"/>
              </w:rPr>
              <w:t>美国TWA：未制定标准</w:t>
            </w:r>
          </w:p>
          <w:p w14:paraId="411CDCEC">
            <w:pPr>
              <w:autoSpaceDE w:val="0"/>
              <w:autoSpaceDN w:val="0"/>
              <w:spacing w:line="240" w:lineRule="auto"/>
              <w:ind w:firstLine="420"/>
              <w:rPr>
                <w:sz w:val="21"/>
                <w:szCs w:val="21"/>
              </w:rPr>
            </w:pPr>
            <w:r>
              <w:rPr>
                <w:sz w:val="21"/>
                <w:szCs w:val="21"/>
              </w:rPr>
              <w:t>美国STEL：未制定标准</w:t>
            </w:r>
          </w:p>
        </w:tc>
      </w:tr>
      <w:tr w14:paraId="7D3F7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37BCFADE">
            <w:pPr>
              <w:autoSpaceDE w:val="0"/>
              <w:autoSpaceDN w:val="0"/>
              <w:spacing w:line="240" w:lineRule="auto"/>
              <w:ind w:firstLine="420"/>
              <w:jc w:val="center"/>
              <w:rPr>
                <w:sz w:val="21"/>
                <w:szCs w:val="21"/>
              </w:rPr>
            </w:pPr>
          </w:p>
        </w:tc>
        <w:tc>
          <w:tcPr>
            <w:tcW w:w="1197" w:type="pct"/>
            <w:vAlign w:val="center"/>
          </w:tcPr>
          <w:p w14:paraId="67F0D85C">
            <w:pPr>
              <w:widowControl/>
              <w:spacing w:line="240" w:lineRule="auto"/>
              <w:ind w:firstLine="0" w:firstLineChars="0"/>
              <w:jc w:val="center"/>
              <w:textAlignment w:val="baseline"/>
              <w:rPr>
                <w:sz w:val="21"/>
                <w:szCs w:val="21"/>
              </w:rPr>
            </w:pPr>
            <w:r>
              <w:rPr>
                <w:sz w:val="21"/>
                <w:szCs w:val="21"/>
              </w:rPr>
              <w:t>侵入途径</w:t>
            </w:r>
          </w:p>
        </w:tc>
        <w:tc>
          <w:tcPr>
            <w:tcW w:w="3391" w:type="pct"/>
            <w:vAlign w:val="center"/>
          </w:tcPr>
          <w:p w14:paraId="1DA926BA">
            <w:pPr>
              <w:widowControl/>
              <w:spacing w:line="240" w:lineRule="auto"/>
              <w:ind w:firstLine="0" w:firstLineChars="0"/>
              <w:jc w:val="center"/>
              <w:textAlignment w:val="baseline"/>
              <w:rPr>
                <w:sz w:val="21"/>
                <w:szCs w:val="21"/>
              </w:rPr>
            </w:pPr>
            <w:r>
              <w:rPr>
                <w:sz w:val="21"/>
                <w:szCs w:val="21"/>
              </w:rPr>
              <w:t>吸入</w:t>
            </w:r>
          </w:p>
        </w:tc>
      </w:tr>
      <w:tr w14:paraId="2F243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06CDB4C1">
            <w:pPr>
              <w:autoSpaceDE w:val="0"/>
              <w:autoSpaceDN w:val="0"/>
              <w:spacing w:line="240" w:lineRule="auto"/>
              <w:ind w:firstLine="420"/>
              <w:jc w:val="center"/>
              <w:rPr>
                <w:sz w:val="21"/>
                <w:szCs w:val="21"/>
              </w:rPr>
            </w:pPr>
          </w:p>
        </w:tc>
        <w:tc>
          <w:tcPr>
            <w:tcW w:w="1197" w:type="pct"/>
            <w:vAlign w:val="center"/>
          </w:tcPr>
          <w:p w14:paraId="1C9C0B16">
            <w:pPr>
              <w:widowControl/>
              <w:spacing w:line="240" w:lineRule="auto"/>
              <w:ind w:firstLine="0" w:firstLineChars="0"/>
              <w:jc w:val="center"/>
              <w:textAlignment w:val="baseline"/>
              <w:rPr>
                <w:sz w:val="21"/>
                <w:szCs w:val="21"/>
              </w:rPr>
            </w:pPr>
            <w:r>
              <w:rPr>
                <w:sz w:val="21"/>
                <w:szCs w:val="21"/>
              </w:rPr>
              <w:t>毒性</w:t>
            </w:r>
          </w:p>
        </w:tc>
        <w:tc>
          <w:tcPr>
            <w:tcW w:w="3391" w:type="pct"/>
            <w:vAlign w:val="center"/>
          </w:tcPr>
          <w:p w14:paraId="2961FC99">
            <w:pPr>
              <w:widowControl/>
              <w:spacing w:line="240" w:lineRule="auto"/>
              <w:ind w:firstLine="0" w:firstLineChars="0"/>
              <w:jc w:val="center"/>
              <w:textAlignment w:val="baseline"/>
              <w:rPr>
                <w:sz w:val="21"/>
                <w:szCs w:val="21"/>
              </w:rPr>
            </w:pPr>
            <w:r>
              <w:rPr>
                <w:sz w:val="21"/>
                <w:szCs w:val="21"/>
              </w:rPr>
              <w:t>对环境有害</w:t>
            </w:r>
          </w:p>
        </w:tc>
      </w:tr>
      <w:tr w14:paraId="7F882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1B4B99D4">
            <w:pPr>
              <w:autoSpaceDE w:val="0"/>
              <w:autoSpaceDN w:val="0"/>
              <w:spacing w:line="240" w:lineRule="auto"/>
              <w:ind w:firstLine="420"/>
              <w:jc w:val="center"/>
              <w:rPr>
                <w:sz w:val="21"/>
                <w:szCs w:val="21"/>
              </w:rPr>
            </w:pPr>
          </w:p>
        </w:tc>
        <w:tc>
          <w:tcPr>
            <w:tcW w:w="1197" w:type="pct"/>
            <w:vAlign w:val="center"/>
          </w:tcPr>
          <w:p w14:paraId="3E591EE0">
            <w:pPr>
              <w:widowControl/>
              <w:spacing w:line="240" w:lineRule="auto"/>
              <w:ind w:firstLine="0" w:firstLineChars="0"/>
              <w:jc w:val="center"/>
              <w:textAlignment w:val="baseline"/>
              <w:rPr>
                <w:sz w:val="21"/>
                <w:szCs w:val="21"/>
              </w:rPr>
            </w:pPr>
            <w:r>
              <w:rPr>
                <w:sz w:val="21"/>
                <w:szCs w:val="21"/>
              </w:rPr>
              <w:t>健康危害</w:t>
            </w:r>
          </w:p>
        </w:tc>
        <w:tc>
          <w:tcPr>
            <w:tcW w:w="3391" w:type="pct"/>
            <w:vAlign w:val="center"/>
          </w:tcPr>
          <w:p w14:paraId="7C024E70">
            <w:pPr>
              <w:widowControl/>
              <w:spacing w:line="240" w:lineRule="auto"/>
              <w:ind w:firstLine="0" w:firstLineChars="0"/>
              <w:jc w:val="center"/>
              <w:textAlignment w:val="baseline"/>
              <w:rPr>
                <w:sz w:val="21"/>
                <w:szCs w:val="21"/>
              </w:rPr>
            </w:pPr>
            <w:r>
              <w:rPr>
                <w:sz w:val="21"/>
                <w:szCs w:val="21"/>
              </w:rPr>
              <w:t>常压下，当氧的浓度超过40％时，有可能发生氧中毒，吸入40％～60％的氧时，出现胸骨后不适感、轻咳，进而胸闷、胸骨后烧灼感和呼吸困难，咳嗽加剧；严重时可发生肺水肿、窒息。吸入的氧浓度在80％以上时，出现面部肌肉抽动、面色苍白、眩晕、心动过速、虚脱，继而全身强直性抽搐、昏迷、呼吸衰竭而死亡。健康危害（蓝色）：3</w:t>
            </w:r>
          </w:p>
        </w:tc>
      </w:tr>
      <w:tr w14:paraId="6F8A0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restart"/>
            <w:vAlign w:val="center"/>
          </w:tcPr>
          <w:p w14:paraId="24779E2E">
            <w:pPr>
              <w:widowControl/>
              <w:spacing w:line="240" w:lineRule="auto"/>
              <w:ind w:firstLine="0" w:firstLineChars="0"/>
              <w:jc w:val="center"/>
              <w:textAlignment w:val="baseline"/>
              <w:rPr>
                <w:sz w:val="21"/>
                <w:szCs w:val="21"/>
              </w:rPr>
            </w:pPr>
            <w:r>
              <w:rPr>
                <w:sz w:val="21"/>
                <w:szCs w:val="21"/>
              </w:rPr>
              <w:t>急</w:t>
            </w:r>
          </w:p>
          <w:p w14:paraId="1BFC121F">
            <w:pPr>
              <w:widowControl/>
              <w:spacing w:line="240" w:lineRule="auto"/>
              <w:ind w:firstLine="0" w:firstLineChars="0"/>
              <w:jc w:val="center"/>
              <w:textAlignment w:val="baseline"/>
              <w:rPr>
                <w:sz w:val="21"/>
                <w:szCs w:val="21"/>
              </w:rPr>
            </w:pPr>
            <w:r>
              <w:rPr>
                <w:sz w:val="21"/>
                <w:szCs w:val="21"/>
              </w:rPr>
              <w:t>救</w:t>
            </w:r>
          </w:p>
        </w:tc>
        <w:tc>
          <w:tcPr>
            <w:tcW w:w="1197" w:type="pct"/>
            <w:vAlign w:val="center"/>
          </w:tcPr>
          <w:p w14:paraId="304FE6B6">
            <w:pPr>
              <w:widowControl/>
              <w:spacing w:line="240" w:lineRule="auto"/>
              <w:ind w:firstLine="0" w:firstLineChars="0"/>
              <w:jc w:val="center"/>
              <w:textAlignment w:val="baseline"/>
              <w:rPr>
                <w:sz w:val="21"/>
                <w:szCs w:val="21"/>
              </w:rPr>
            </w:pPr>
            <w:r>
              <w:rPr>
                <w:sz w:val="21"/>
                <w:szCs w:val="21"/>
              </w:rPr>
              <w:t>皮肤接触</w:t>
            </w:r>
          </w:p>
        </w:tc>
        <w:tc>
          <w:tcPr>
            <w:tcW w:w="3391" w:type="pct"/>
            <w:vAlign w:val="center"/>
          </w:tcPr>
          <w:p w14:paraId="0452977B">
            <w:pPr>
              <w:widowControl/>
              <w:spacing w:line="240" w:lineRule="auto"/>
              <w:ind w:firstLine="0" w:firstLineChars="0"/>
              <w:jc w:val="center"/>
              <w:textAlignment w:val="baseline"/>
              <w:rPr>
                <w:sz w:val="21"/>
                <w:szCs w:val="21"/>
              </w:rPr>
            </w:pPr>
            <w:r>
              <w:rPr>
                <w:sz w:val="21"/>
                <w:szCs w:val="21"/>
              </w:rPr>
              <w:t>脱去并隔离被污染的衣服和鞋。冻结在皮肤上的衣服，要在解冻后才能脱去。接触液化气体，接触部位用温水浸泡复温。注意患者保暖并且保持安静。确保医务人员了解该物质相关的个体防护知识，注意自身防护。</w:t>
            </w:r>
          </w:p>
        </w:tc>
      </w:tr>
      <w:tr w14:paraId="1D9CE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1D73EC0A">
            <w:pPr>
              <w:autoSpaceDE w:val="0"/>
              <w:autoSpaceDN w:val="0"/>
              <w:spacing w:line="240" w:lineRule="auto"/>
              <w:ind w:firstLine="420"/>
              <w:jc w:val="center"/>
              <w:rPr>
                <w:sz w:val="21"/>
                <w:szCs w:val="21"/>
              </w:rPr>
            </w:pPr>
          </w:p>
        </w:tc>
        <w:tc>
          <w:tcPr>
            <w:tcW w:w="1197" w:type="pct"/>
            <w:vAlign w:val="center"/>
          </w:tcPr>
          <w:p w14:paraId="03330CA2">
            <w:pPr>
              <w:widowControl/>
              <w:spacing w:line="240" w:lineRule="auto"/>
              <w:ind w:firstLine="0" w:firstLineChars="0"/>
              <w:jc w:val="center"/>
              <w:textAlignment w:val="baseline"/>
              <w:rPr>
                <w:sz w:val="21"/>
                <w:szCs w:val="21"/>
              </w:rPr>
            </w:pPr>
            <w:r>
              <w:rPr>
                <w:sz w:val="21"/>
                <w:szCs w:val="21"/>
              </w:rPr>
              <w:t>眼睛接触</w:t>
            </w:r>
          </w:p>
        </w:tc>
        <w:tc>
          <w:tcPr>
            <w:tcW w:w="3391" w:type="pct"/>
            <w:vAlign w:val="center"/>
          </w:tcPr>
          <w:p w14:paraId="587863E3">
            <w:pPr>
              <w:autoSpaceDE w:val="0"/>
              <w:autoSpaceDN w:val="0"/>
              <w:spacing w:line="240" w:lineRule="auto"/>
              <w:ind w:firstLine="420"/>
              <w:rPr>
                <w:sz w:val="21"/>
                <w:szCs w:val="21"/>
              </w:rPr>
            </w:pPr>
            <w:r>
              <w:rPr>
                <w:sz w:val="21"/>
                <w:szCs w:val="21"/>
              </w:rPr>
              <w:t>不会通过该途径接触。</w:t>
            </w:r>
          </w:p>
        </w:tc>
      </w:tr>
      <w:tr w14:paraId="4A130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28814E0B">
            <w:pPr>
              <w:autoSpaceDE w:val="0"/>
              <w:autoSpaceDN w:val="0"/>
              <w:spacing w:line="240" w:lineRule="auto"/>
              <w:ind w:firstLine="420"/>
              <w:jc w:val="center"/>
              <w:rPr>
                <w:sz w:val="21"/>
                <w:szCs w:val="21"/>
              </w:rPr>
            </w:pPr>
          </w:p>
        </w:tc>
        <w:tc>
          <w:tcPr>
            <w:tcW w:w="1197" w:type="pct"/>
            <w:vAlign w:val="center"/>
          </w:tcPr>
          <w:p w14:paraId="039BB83E">
            <w:pPr>
              <w:widowControl/>
              <w:spacing w:line="240" w:lineRule="auto"/>
              <w:ind w:firstLine="0" w:firstLineChars="0"/>
              <w:jc w:val="center"/>
              <w:textAlignment w:val="baseline"/>
              <w:rPr>
                <w:sz w:val="21"/>
                <w:szCs w:val="21"/>
              </w:rPr>
            </w:pPr>
            <w:r>
              <w:rPr>
                <w:sz w:val="21"/>
                <w:szCs w:val="21"/>
              </w:rPr>
              <w:t>吸入</w:t>
            </w:r>
          </w:p>
        </w:tc>
        <w:tc>
          <w:tcPr>
            <w:tcW w:w="3391" w:type="pct"/>
            <w:vAlign w:val="center"/>
          </w:tcPr>
          <w:p w14:paraId="07F7D780">
            <w:pPr>
              <w:autoSpaceDE w:val="0"/>
              <w:autoSpaceDN w:val="0"/>
              <w:spacing w:line="240" w:lineRule="auto"/>
              <w:ind w:firstLine="420"/>
              <w:rPr>
                <w:sz w:val="21"/>
                <w:szCs w:val="21"/>
              </w:rPr>
            </w:pPr>
            <w:r>
              <w:rPr>
                <w:sz w:val="21"/>
                <w:szCs w:val="21"/>
              </w:rPr>
              <w:t>迅速脱离现场至空气新鲜处。保持呼吸道通畅。呼吸停止时，立即进行人工呼吸。就医。如果呼吸困难，给予吸氧。</w:t>
            </w:r>
          </w:p>
        </w:tc>
      </w:tr>
      <w:tr w14:paraId="5AF24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57E9D8B0">
            <w:pPr>
              <w:autoSpaceDE w:val="0"/>
              <w:autoSpaceDN w:val="0"/>
              <w:spacing w:line="240" w:lineRule="auto"/>
              <w:ind w:firstLine="420"/>
              <w:jc w:val="center"/>
              <w:rPr>
                <w:sz w:val="21"/>
                <w:szCs w:val="21"/>
              </w:rPr>
            </w:pPr>
          </w:p>
        </w:tc>
        <w:tc>
          <w:tcPr>
            <w:tcW w:w="1197" w:type="pct"/>
            <w:vAlign w:val="center"/>
          </w:tcPr>
          <w:p w14:paraId="412AADA8">
            <w:pPr>
              <w:widowControl/>
              <w:spacing w:line="240" w:lineRule="auto"/>
              <w:ind w:firstLine="0" w:firstLineChars="0"/>
              <w:jc w:val="center"/>
              <w:textAlignment w:val="baseline"/>
              <w:rPr>
                <w:sz w:val="21"/>
                <w:szCs w:val="21"/>
              </w:rPr>
            </w:pPr>
            <w:r>
              <w:rPr>
                <w:sz w:val="21"/>
                <w:szCs w:val="21"/>
              </w:rPr>
              <w:t>食入</w:t>
            </w:r>
          </w:p>
        </w:tc>
        <w:tc>
          <w:tcPr>
            <w:tcW w:w="3391" w:type="pct"/>
            <w:vAlign w:val="center"/>
          </w:tcPr>
          <w:p w14:paraId="1D54D815">
            <w:pPr>
              <w:autoSpaceDE w:val="0"/>
              <w:autoSpaceDN w:val="0"/>
              <w:spacing w:line="240" w:lineRule="auto"/>
              <w:ind w:firstLine="420"/>
              <w:rPr>
                <w:sz w:val="21"/>
                <w:szCs w:val="21"/>
              </w:rPr>
            </w:pPr>
            <w:r>
              <w:rPr>
                <w:sz w:val="21"/>
                <w:szCs w:val="21"/>
              </w:rPr>
              <w:t>不会通过该途径接触。</w:t>
            </w:r>
          </w:p>
        </w:tc>
      </w:tr>
      <w:tr w14:paraId="6D195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restart"/>
            <w:vAlign w:val="center"/>
          </w:tcPr>
          <w:p w14:paraId="1C85F156">
            <w:pPr>
              <w:widowControl/>
              <w:spacing w:line="240" w:lineRule="auto"/>
              <w:ind w:firstLine="0" w:firstLineChars="0"/>
              <w:jc w:val="center"/>
              <w:textAlignment w:val="baseline"/>
              <w:rPr>
                <w:sz w:val="21"/>
                <w:szCs w:val="21"/>
              </w:rPr>
            </w:pPr>
            <w:r>
              <w:rPr>
                <w:sz w:val="21"/>
                <w:szCs w:val="21"/>
              </w:rPr>
              <w:t>防</w:t>
            </w:r>
          </w:p>
          <w:p w14:paraId="59883DDE">
            <w:pPr>
              <w:widowControl/>
              <w:spacing w:line="240" w:lineRule="auto"/>
              <w:ind w:firstLine="0" w:firstLineChars="0"/>
              <w:jc w:val="center"/>
              <w:textAlignment w:val="baseline"/>
              <w:rPr>
                <w:sz w:val="21"/>
                <w:szCs w:val="21"/>
              </w:rPr>
            </w:pPr>
            <w:r>
              <w:rPr>
                <w:sz w:val="21"/>
                <w:szCs w:val="21"/>
              </w:rPr>
              <w:t>护</w:t>
            </w:r>
          </w:p>
          <w:p w14:paraId="5ABA4E61">
            <w:pPr>
              <w:widowControl/>
              <w:spacing w:line="240" w:lineRule="auto"/>
              <w:ind w:firstLine="0" w:firstLineChars="0"/>
              <w:jc w:val="center"/>
              <w:textAlignment w:val="baseline"/>
              <w:rPr>
                <w:sz w:val="21"/>
                <w:szCs w:val="21"/>
              </w:rPr>
            </w:pPr>
            <w:r>
              <w:rPr>
                <w:sz w:val="21"/>
                <w:szCs w:val="21"/>
              </w:rPr>
              <w:t>措</w:t>
            </w:r>
          </w:p>
          <w:p w14:paraId="385DCC2F">
            <w:pPr>
              <w:widowControl/>
              <w:spacing w:line="240" w:lineRule="auto"/>
              <w:ind w:firstLine="0" w:firstLineChars="0"/>
              <w:jc w:val="center"/>
              <w:textAlignment w:val="baseline"/>
              <w:rPr>
                <w:sz w:val="21"/>
                <w:szCs w:val="21"/>
              </w:rPr>
            </w:pPr>
            <w:r>
              <w:rPr>
                <w:sz w:val="21"/>
                <w:szCs w:val="21"/>
              </w:rPr>
              <w:t>施</w:t>
            </w:r>
          </w:p>
        </w:tc>
        <w:tc>
          <w:tcPr>
            <w:tcW w:w="1197" w:type="pct"/>
            <w:vAlign w:val="center"/>
          </w:tcPr>
          <w:p w14:paraId="016F04F7">
            <w:pPr>
              <w:widowControl/>
              <w:spacing w:line="240" w:lineRule="auto"/>
              <w:ind w:firstLine="0" w:firstLineChars="0"/>
              <w:jc w:val="center"/>
              <w:textAlignment w:val="baseline"/>
              <w:rPr>
                <w:sz w:val="21"/>
                <w:szCs w:val="21"/>
              </w:rPr>
            </w:pPr>
            <w:r>
              <w:rPr>
                <w:sz w:val="21"/>
                <w:szCs w:val="21"/>
              </w:rPr>
              <w:t>工程控制</w:t>
            </w:r>
          </w:p>
        </w:tc>
        <w:tc>
          <w:tcPr>
            <w:tcW w:w="3391" w:type="pct"/>
            <w:vAlign w:val="center"/>
          </w:tcPr>
          <w:p w14:paraId="1B1E1BB3">
            <w:pPr>
              <w:autoSpaceDE w:val="0"/>
              <w:autoSpaceDN w:val="0"/>
              <w:spacing w:line="240" w:lineRule="auto"/>
              <w:ind w:firstLine="420"/>
              <w:rPr>
                <w:sz w:val="21"/>
                <w:szCs w:val="21"/>
              </w:rPr>
            </w:pPr>
            <w:r>
              <w:rPr>
                <w:sz w:val="21"/>
                <w:szCs w:val="21"/>
              </w:rPr>
              <w:t>密闭操作。提供良好的自然通风条件。</w:t>
            </w:r>
          </w:p>
        </w:tc>
      </w:tr>
      <w:tr w14:paraId="59C01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010606A0">
            <w:pPr>
              <w:autoSpaceDE w:val="0"/>
              <w:autoSpaceDN w:val="0"/>
              <w:spacing w:line="240" w:lineRule="auto"/>
              <w:ind w:firstLine="420"/>
              <w:jc w:val="center"/>
              <w:rPr>
                <w:sz w:val="21"/>
                <w:szCs w:val="21"/>
              </w:rPr>
            </w:pPr>
          </w:p>
        </w:tc>
        <w:tc>
          <w:tcPr>
            <w:tcW w:w="1197" w:type="pct"/>
            <w:vAlign w:val="center"/>
          </w:tcPr>
          <w:p w14:paraId="5F38DDD9">
            <w:pPr>
              <w:widowControl/>
              <w:spacing w:line="240" w:lineRule="auto"/>
              <w:ind w:firstLine="0" w:firstLineChars="0"/>
              <w:jc w:val="center"/>
              <w:textAlignment w:val="baseline"/>
              <w:rPr>
                <w:sz w:val="21"/>
                <w:szCs w:val="21"/>
              </w:rPr>
            </w:pPr>
            <w:r>
              <w:rPr>
                <w:sz w:val="21"/>
                <w:szCs w:val="21"/>
              </w:rPr>
              <w:t>呼吸系统防护</w:t>
            </w:r>
          </w:p>
        </w:tc>
        <w:tc>
          <w:tcPr>
            <w:tcW w:w="3391" w:type="pct"/>
            <w:vAlign w:val="center"/>
          </w:tcPr>
          <w:p w14:paraId="23A3B0BE">
            <w:pPr>
              <w:autoSpaceDE w:val="0"/>
              <w:autoSpaceDN w:val="0"/>
              <w:spacing w:line="240" w:lineRule="auto"/>
              <w:ind w:firstLine="420"/>
              <w:rPr>
                <w:sz w:val="21"/>
                <w:szCs w:val="21"/>
              </w:rPr>
            </w:pPr>
            <w:r>
              <w:rPr>
                <w:sz w:val="21"/>
                <w:szCs w:val="21"/>
              </w:rPr>
              <w:t>一般不需特殊防护。</w:t>
            </w:r>
          </w:p>
        </w:tc>
      </w:tr>
      <w:tr w14:paraId="5C5ED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3A7107E8">
            <w:pPr>
              <w:autoSpaceDE w:val="0"/>
              <w:autoSpaceDN w:val="0"/>
              <w:spacing w:line="240" w:lineRule="auto"/>
              <w:ind w:firstLine="420"/>
              <w:jc w:val="center"/>
              <w:rPr>
                <w:sz w:val="21"/>
                <w:szCs w:val="21"/>
              </w:rPr>
            </w:pPr>
          </w:p>
        </w:tc>
        <w:tc>
          <w:tcPr>
            <w:tcW w:w="1197" w:type="pct"/>
            <w:vAlign w:val="center"/>
          </w:tcPr>
          <w:p w14:paraId="1D4913C5">
            <w:pPr>
              <w:widowControl/>
              <w:spacing w:line="240" w:lineRule="auto"/>
              <w:ind w:firstLine="0" w:firstLineChars="0"/>
              <w:jc w:val="center"/>
              <w:textAlignment w:val="baseline"/>
              <w:rPr>
                <w:sz w:val="21"/>
                <w:szCs w:val="21"/>
              </w:rPr>
            </w:pPr>
            <w:r>
              <w:rPr>
                <w:sz w:val="21"/>
                <w:szCs w:val="21"/>
              </w:rPr>
              <w:t>眼睛防护</w:t>
            </w:r>
          </w:p>
        </w:tc>
        <w:tc>
          <w:tcPr>
            <w:tcW w:w="3391" w:type="pct"/>
            <w:vAlign w:val="center"/>
          </w:tcPr>
          <w:p w14:paraId="178820CB">
            <w:pPr>
              <w:autoSpaceDE w:val="0"/>
              <w:autoSpaceDN w:val="0"/>
              <w:spacing w:line="240" w:lineRule="auto"/>
              <w:ind w:firstLine="420"/>
              <w:rPr>
                <w:sz w:val="21"/>
                <w:szCs w:val="21"/>
              </w:rPr>
            </w:pPr>
            <w:r>
              <w:rPr>
                <w:sz w:val="21"/>
                <w:szCs w:val="21"/>
              </w:rPr>
              <w:t>一般不需特殊防护。</w:t>
            </w:r>
          </w:p>
        </w:tc>
      </w:tr>
      <w:tr w14:paraId="04625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3D52F76B">
            <w:pPr>
              <w:autoSpaceDE w:val="0"/>
              <w:autoSpaceDN w:val="0"/>
              <w:spacing w:line="240" w:lineRule="auto"/>
              <w:ind w:firstLine="420"/>
              <w:jc w:val="center"/>
              <w:rPr>
                <w:sz w:val="21"/>
                <w:szCs w:val="21"/>
              </w:rPr>
            </w:pPr>
          </w:p>
        </w:tc>
        <w:tc>
          <w:tcPr>
            <w:tcW w:w="1197" w:type="pct"/>
            <w:vAlign w:val="center"/>
          </w:tcPr>
          <w:p w14:paraId="32EA95D8">
            <w:pPr>
              <w:widowControl/>
              <w:spacing w:line="240" w:lineRule="auto"/>
              <w:ind w:firstLine="0" w:firstLineChars="0"/>
              <w:jc w:val="center"/>
              <w:textAlignment w:val="baseline"/>
              <w:rPr>
                <w:sz w:val="21"/>
                <w:szCs w:val="21"/>
              </w:rPr>
            </w:pPr>
            <w:r>
              <w:rPr>
                <w:sz w:val="21"/>
                <w:szCs w:val="21"/>
              </w:rPr>
              <w:t>防护服</w:t>
            </w:r>
          </w:p>
        </w:tc>
        <w:tc>
          <w:tcPr>
            <w:tcW w:w="3391" w:type="pct"/>
            <w:vAlign w:val="center"/>
          </w:tcPr>
          <w:p w14:paraId="6C834E5E">
            <w:pPr>
              <w:autoSpaceDE w:val="0"/>
              <w:autoSpaceDN w:val="0"/>
              <w:spacing w:line="240" w:lineRule="auto"/>
              <w:ind w:firstLine="420"/>
              <w:rPr>
                <w:sz w:val="21"/>
                <w:szCs w:val="21"/>
              </w:rPr>
            </w:pPr>
            <w:r>
              <w:rPr>
                <w:sz w:val="21"/>
                <w:szCs w:val="21"/>
              </w:rPr>
              <w:t>穿一般作业工作服。</w:t>
            </w:r>
          </w:p>
        </w:tc>
      </w:tr>
      <w:tr w14:paraId="40EB7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4AAD9ADD">
            <w:pPr>
              <w:autoSpaceDE w:val="0"/>
              <w:autoSpaceDN w:val="0"/>
              <w:spacing w:line="240" w:lineRule="auto"/>
              <w:ind w:firstLine="420"/>
              <w:jc w:val="center"/>
              <w:rPr>
                <w:sz w:val="21"/>
                <w:szCs w:val="21"/>
              </w:rPr>
            </w:pPr>
          </w:p>
        </w:tc>
        <w:tc>
          <w:tcPr>
            <w:tcW w:w="1197" w:type="pct"/>
            <w:vAlign w:val="center"/>
          </w:tcPr>
          <w:p w14:paraId="011AF48B">
            <w:pPr>
              <w:widowControl/>
              <w:spacing w:line="240" w:lineRule="auto"/>
              <w:ind w:firstLine="0" w:firstLineChars="0"/>
              <w:jc w:val="center"/>
              <w:textAlignment w:val="baseline"/>
              <w:rPr>
                <w:sz w:val="21"/>
                <w:szCs w:val="21"/>
              </w:rPr>
            </w:pPr>
            <w:r>
              <w:rPr>
                <w:sz w:val="21"/>
                <w:szCs w:val="21"/>
              </w:rPr>
              <w:t>手防护</w:t>
            </w:r>
          </w:p>
        </w:tc>
        <w:tc>
          <w:tcPr>
            <w:tcW w:w="3391" w:type="pct"/>
            <w:vAlign w:val="center"/>
          </w:tcPr>
          <w:p w14:paraId="02242D53">
            <w:pPr>
              <w:autoSpaceDE w:val="0"/>
              <w:autoSpaceDN w:val="0"/>
              <w:spacing w:line="240" w:lineRule="auto"/>
              <w:ind w:firstLine="420"/>
              <w:rPr>
                <w:sz w:val="21"/>
                <w:szCs w:val="21"/>
              </w:rPr>
            </w:pPr>
            <w:r>
              <w:rPr>
                <w:sz w:val="21"/>
                <w:szCs w:val="21"/>
              </w:rPr>
              <w:t>必要时戴防护手套</w:t>
            </w:r>
          </w:p>
        </w:tc>
      </w:tr>
      <w:tr w14:paraId="4F868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11" w:type="pct"/>
            <w:vMerge w:val="continue"/>
            <w:vAlign w:val="center"/>
          </w:tcPr>
          <w:p w14:paraId="256C65E9">
            <w:pPr>
              <w:autoSpaceDE w:val="0"/>
              <w:autoSpaceDN w:val="0"/>
              <w:spacing w:line="240" w:lineRule="auto"/>
              <w:ind w:firstLine="420"/>
              <w:jc w:val="center"/>
              <w:rPr>
                <w:sz w:val="21"/>
                <w:szCs w:val="21"/>
              </w:rPr>
            </w:pPr>
          </w:p>
        </w:tc>
        <w:tc>
          <w:tcPr>
            <w:tcW w:w="1197" w:type="pct"/>
            <w:vAlign w:val="center"/>
          </w:tcPr>
          <w:p w14:paraId="4A8E684C">
            <w:pPr>
              <w:widowControl/>
              <w:spacing w:line="240" w:lineRule="auto"/>
              <w:ind w:firstLine="0" w:firstLineChars="0"/>
              <w:jc w:val="center"/>
              <w:textAlignment w:val="baseline"/>
              <w:rPr>
                <w:sz w:val="21"/>
                <w:szCs w:val="21"/>
              </w:rPr>
            </w:pPr>
            <w:r>
              <w:rPr>
                <w:sz w:val="21"/>
                <w:szCs w:val="21"/>
              </w:rPr>
              <w:t>其他</w:t>
            </w:r>
          </w:p>
        </w:tc>
        <w:tc>
          <w:tcPr>
            <w:tcW w:w="3391" w:type="pct"/>
            <w:vAlign w:val="center"/>
          </w:tcPr>
          <w:p w14:paraId="5443FE7B">
            <w:pPr>
              <w:autoSpaceDE w:val="0"/>
              <w:autoSpaceDN w:val="0"/>
              <w:spacing w:line="240" w:lineRule="auto"/>
              <w:ind w:firstLine="420"/>
              <w:rPr>
                <w:sz w:val="21"/>
                <w:szCs w:val="21"/>
              </w:rPr>
            </w:pPr>
            <w:r>
              <w:rPr>
                <w:sz w:val="21"/>
                <w:szCs w:val="21"/>
              </w:rPr>
              <w:t>避免高浓度吸入</w:t>
            </w:r>
          </w:p>
        </w:tc>
      </w:tr>
      <w:tr w14:paraId="6E5C0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609" w:type="pct"/>
            <w:gridSpan w:val="2"/>
            <w:vAlign w:val="center"/>
          </w:tcPr>
          <w:p w14:paraId="777B4355">
            <w:pPr>
              <w:widowControl/>
              <w:spacing w:line="240" w:lineRule="auto"/>
              <w:ind w:firstLine="0" w:firstLineChars="0"/>
              <w:jc w:val="center"/>
              <w:textAlignment w:val="baseline"/>
              <w:rPr>
                <w:sz w:val="21"/>
                <w:szCs w:val="21"/>
              </w:rPr>
            </w:pPr>
            <w:r>
              <w:rPr>
                <w:sz w:val="21"/>
                <w:szCs w:val="21"/>
              </w:rPr>
              <w:t>泄漏处置</w:t>
            </w:r>
          </w:p>
        </w:tc>
        <w:tc>
          <w:tcPr>
            <w:tcW w:w="3391" w:type="pct"/>
            <w:vAlign w:val="center"/>
          </w:tcPr>
          <w:p w14:paraId="4ED30BFD">
            <w:pPr>
              <w:autoSpaceDE w:val="0"/>
              <w:autoSpaceDN w:val="0"/>
              <w:spacing w:line="240" w:lineRule="auto"/>
              <w:ind w:firstLine="420"/>
              <w:rPr>
                <w:sz w:val="21"/>
                <w:szCs w:val="21"/>
              </w:rPr>
            </w:pPr>
            <w:r>
              <w:rPr>
                <w:sz w:val="21"/>
                <w:szCs w:val="21"/>
              </w:rPr>
              <w:t>建议应急处理人员戴自给式呼吸器，穿相应的工作服。</w:t>
            </w:r>
          </w:p>
          <w:p w14:paraId="117FC959">
            <w:pPr>
              <w:autoSpaceDE w:val="0"/>
              <w:autoSpaceDN w:val="0"/>
              <w:spacing w:line="240" w:lineRule="auto"/>
              <w:ind w:firstLine="420"/>
              <w:rPr>
                <w:sz w:val="21"/>
                <w:szCs w:val="21"/>
              </w:rPr>
            </w:pPr>
            <w:r>
              <w:rPr>
                <w:sz w:val="21"/>
                <w:szCs w:val="21"/>
              </w:rPr>
              <w:t>切断火源。避免与可燃物或易燃物接触。切断气源，然后抽排（室内）或强力通风（室外）。漏气容器不能再用，且要经过技术处理以清除可能剩下的气体。</w:t>
            </w:r>
          </w:p>
        </w:tc>
      </w:tr>
    </w:tbl>
    <w:p w14:paraId="5B609C00">
      <w:pPr>
        <w:pStyle w:val="11"/>
        <w:spacing w:after="120" w:afterLines="50" w:line="500" w:lineRule="exact"/>
        <w:rPr>
          <w:rFonts w:eastAsia="宋体"/>
          <w:bCs w:val="0"/>
          <w:color w:val="auto"/>
        </w:rPr>
      </w:pPr>
      <w:r>
        <w:rPr>
          <w:rFonts w:eastAsia="宋体"/>
          <w:bCs w:val="0"/>
          <w:color w:val="auto"/>
        </w:rPr>
        <w:t>3.</w:t>
      </w:r>
      <w:r>
        <w:rPr>
          <w:rFonts w:hint="eastAsia" w:eastAsia="宋体"/>
          <w:bCs w:val="0"/>
          <w:color w:val="auto"/>
        </w:rPr>
        <w:t>1</w:t>
      </w:r>
      <w:r>
        <w:rPr>
          <w:rFonts w:eastAsia="宋体"/>
          <w:bCs w:val="0"/>
          <w:color w:val="auto"/>
        </w:rPr>
        <w:t>.5.</w:t>
      </w:r>
      <w:r>
        <w:rPr>
          <w:rFonts w:hint="eastAsia" w:eastAsia="宋体"/>
          <w:bCs w:val="0"/>
          <w:color w:val="auto"/>
        </w:rPr>
        <w:t>3</w:t>
      </w:r>
      <w:r>
        <w:rPr>
          <w:rFonts w:eastAsia="宋体"/>
          <w:bCs w:val="0"/>
          <w:color w:val="auto"/>
        </w:rPr>
        <w:t xml:space="preserve"> 乙炔理化特性</w:t>
      </w:r>
    </w:p>
    <w:p w14:paraId="244D9B45">
      <w:pPr>
        <w:numPr>
          <w:ilvl w:val="0"/>
          <w:numId w:val="13"/>
        </w:numPr>
        <w:spacing w:line="500" w:lineRule="exact"/>
        <w:ind w:left="1281" w:firstLine="480" w:firstLineChars="0"/>
        <w:jc w:val="center"/>
        <w:rPr>
          <w:sz w:val="24"/>
        </w:rPr>
      </w:pPr>
      <w:r>
        <w:rPr>
          <w:sz w:val="24"/>
        </w:rPr>
        <w:t>乙炔理化特性表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1"/>
        <w:gridCol w:w="7529"/>
      </w:tblGrid>
      <w:tr w14:paraId="2FB76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504A75CA">
            <w:pPr>
              <w:widowControl/>
              <w:spacing w:line="240" w:lineRule="auto"/>
              <w:ind w:firstLine="0" w:firstLineChars="0"/>
              <w:jc w:val="center"/>
              <w:textAlignment w:val="baseline"/>
              <w:rPr>
                <w:sz w:val="21"/>
                <w:szCs w:val="21"/>
              </w:rPr>
            </w:pPr>
            <w:r>
              <w:rPr>
                <w:sz w:val="21"/>
                <w:szCs w:val="21"/>
              </w:rPr>
              <w:t>中文名称：</w:t>
            </w:r>
          </w:p>
        </w:tc>
        <w:tc>
          <w:tcPr>
            <w:tcW w:w="4005" w:type="pct"/>
            <w:vAlign w:val="center"/>
          </w:tcPr>
          <w:p w14:paraId="5395AA69">
            <w:pPr>
              <w:widowControl/>
              <w:spacing w:line="240" w:lineRule="auto"/>
              <w:ind w:firstLine="0" w:firstLineChars="0"/>
              <w:textAlignment w:val="baseline"/>
              <w:rPr>
                <w:sz w:val="21"/>
                <w:szCs w:val="21"/>
              </w:rPr>
            </w:pPr>
            <w:r>
              <w:rPr>
                <w:sz w:val="21"/>
                <w:szCs w:val="21"/>
              </w:rPr>
              <w:t>乙炔；电石气</w:t>
            </w:r>
          </w:p>
        </w:tc>
      </w:tr>
      <w:tr w14:paraId="12057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2A88AFC2">
            <w:pPr>
              <w:widowControl/>
              <w:spacing w:line="240" w:lineRule="auto"/>
              <w:ind w:firstLine="0" w:firstLineChars="0"/>
              <w:jc w:val="center"/>
              <w:textAlignment w:val="baseline"/>
              <w:rPr>
                <w:sz w:val="21"/>
                <w:szCs w:val="21"/>
              </w:rPr>
            </w:pPr>
            <w:r>
              <w:rPr>
                <w:sz w:val="21"/>
                <w:szCs w:val="21"/>
              </w:rPr>
              <w:t>英文名称：</w:t>
            </w:r>
          </w:p>
        </w:tc>
        <w:tc>
          <w:tcPr>
            <w:tcW w:w="4005" w:type="pct"/>
            <w:vAlign w:val="center"/>
          </w:tcPr>
          <w:p w14:paraId="58CB804A">
            <w:pPr>
              <w:widowControl/>
              <w:spacing w:line="240" w:lineRule="auto"/>
              <w:ind w:firstLine="0" w:firstLineChars="0"/>
              <w:textAlignment w:val="baseline"/>
              <w:rPr>
                <w:sz w:val="21"/>
                <w:szCs w:val="21"/>
              </w:rPr>
            </w:pPr>
            <w:r>
              <w:rPr>
                <w:sz w:val="21"/>
                <w:szCs w:val="21"/>
              </w:rPr>
              <w:t>Acetylene</w:t>
            </w:r>
          </w:p>
        </w:tc>
      </w:tr>
      <w:tr w14:paraId="7F7BC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769CB10C">
            <w:pPr>
              <w:widowControl/>
              <w:spacing w:line="240" w:lineRule="auto"/>
              <w:ind w:firstLine="0" w:firstLineChars="0"/>
              <w:jc w:val="center"/>
              <w:textAlignment w:val="baseline"/>
              <w:rPr>
                <w:sz w:val="21"/>
                <w:szCs w:val="21"/>
              </w:rPr>
            </w:pPr>
            <w:r>
              <w:rPr>
                <w:sz w:val="21"/>
                <w:szCs w:val="21"/>
              </w:rPr>
              <w:t>分子式：</w:t>
            </w:r>
          </w:p>
        </w:tc>
        <w:tc>
          <w:tcPr>
            <w:tcW w:w="4005" w:type="pct"/>
            <w:vAlign w:val="center"/>
          </w:tcPr>
          <w:p w14:paraId="744112D1">
            <w:pPr>
              <w:widowControl/>
              <w:spacing w:line="240" w:lineRule="auto"/>
              <w:ind w:firstLine="0" w:firstLineChars="0"/>
              <w:textAlignment w:val="baseline"/>
              <w:rPr>
                <w:sz w:val="21"/>
                <w:szCs w:val="21"/>
              </w:rPr>
            </w:pPr>
            <w:r>
              <w:rPr>
                <w:sz w:val="21"/>
                <w:szCs w:val="21"/>
              </w:rPr>
              <w:t>C2H2</w:t>
            </w:r>
          </w:p>
        </w:tc>
      </w:tr>
      <w:tr w14:paraId="51CD0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4A8294B9">
            <w:pPr>
              <w:widowControl/>
              <w:spacing w:line="240" w:lineRule="auto"/>
              <w:ind w:firstLine="0" w:firstLineChars="0"/>
              <w:jc w:val="center"/>
              <w:textAlignment w:val="baseline"/>
              <w:rPr>
                <w:sz w:val="21"/>
                <w:szCs w:val="21"/>
              </w:rPr>
            </w:pPr>
            <w:r>
              <w:rPr>
                <w:sz w:val="21"/>
                <w:szCs w:val="21"/>
              </w:rPr>
              <w:t>相对分子质量：</w:t>
            </w:r>
          </w:p>
        </w:tc>
        <w:tc>
          <w:tcPr>
            <w:tcW w:w="4005" w:type="pct"/>
            <w:vAlign w:val="center"/>
          </w:tcPr>
          <w:p w14:paraId="0E905301">
            <w:pPr>
              <w:widowControl/>
              <w:spacing w:line="240" w:lineRule="auto"/>
              <w:ind w:firstLine="0" w:firstLineChars="0"/>
              <w:textAlignment w:val="baseline"/>
              <w:rPr>
                <w:sz w:val="21"/>
                <w:szCs w:val="21"/>
              </w:rPr>
            </w:pPr>
            <w:r>
              <w:rPr>
                <w:sz w:val="21"/>
                <w:szCs w:val="21"/>
              </w:rPr>
              <w:t>26.04</w:t>
            </w:r>
          </w:p>
        </w:tc>
      </w:tr>
      <w:tr w14:paraId="38C3C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40866B33">
            <w:pPr>
              <w:widowControl/>
              <w:spacing w:line="240" w:lineRule="auto"/>
              <w:ind w:firstLine="0" w:firstLineChars="0"/>
              <w:jc w:val="center"/>
              <w:textAlignment w:val="baseline"/>
              <w:rPr>
                <w:sz w:val="21"/>
                <w:szCs w:val="21"/>
              </w:rPr>
            </w:pPr>
            <w:r>
              <w:rPr>
                <w:sz w:val="21"/>
                <w:szCs w:val="21"/>
              </w:rPr>
              <w:t>CAS号：</w:t>
            </w:r>
          </w:p>
        </w:tc>
        <w:tc>
          <w:tcPr>
            <w:tcW w:w="4005" w:type="pct"/>
            <w:vAlign w:val="center"/>
          </w:tcPr>
          <w:p w14:paraId="7FCB63E2">
            <w:pPr>
              <w:widowControl/>
              <w:spacing w:line="240" w:lineRule="auto"/>
              <w:ind w:firstLine="0" w:firstLineChars="0"/>
              <w:textAlignment w:val="baseline"/>
              <w:rPr>
                <w:sz w:val="21"/>
                <w:szCs w:val="21"/>
              </w:rPr>
            </w:pPr>
            <w:r>
              <w:rPr>
                <w:sz w:val="21"/>
                <w:szCs w:val="21"/>
              </w:rPr>
              <w:t>74-86-2</w:t>
            </w:r>
          </w:p>
        </w:tc>
      </w:tr>
      <w:tr w14:paraId="219BF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497F3E3E">
            <w:pPr>
              <w:widowControl/>
              <w:spacing w:line="240" w:lineRule="auto"/>
              <w:ind w:firstLine="0" w:firstLineChars="0"/>
              <w:jc w:val="center"/>
              <w:textAlignment w:val="baseline"/>
              <w:rPr>
                <w:sz w:val="21"/>
                <w:szCs w:val="21"/>
              </w:rPr>
            </w:pPr>
            <w:r>
              <w:rPr>
                <w:sz w:val="21"/>
                <w:szCs w:val="21"/>
              </w:rPr>
              <w:t>危规号：</w:t>
            </w:r>
          </w:p>
        </w:tc>
        <w:tc>
          <w:tcPr>
            <w:tcW w:w="4005" w:type="pct"/>
            <w:vAlign w:val="center"/>
          </w:tcPr>
          <w:p w14:paraId="31839FF3">
            <w:pPr>
              <w:widowControl/>
              <w:spacing w:line="240" w:lineRule="auto"/>
              <w:ind w:firstLine="0" w:firstLineChars="0"/>
              <w:textAlignment w:val="baseline"/>
              <w:rPr>
                <w:sz w:val="21"/>
                <w:szCs w:val="21"/>
              </w:rPr>
            </w:pPr>
            <w:r>
              <w:rPr>
                <w:sz w:val="21"/>
                <w:szCs w:val="21"/>
              </w:rPr>
              <w:t>21024</w:t>
            </w:r>
          </w:p>
        </w:tc>
      </w:tr>
      <w:tr w14:paraId="346D4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77237A17">
            <w:pPr>
              <w:widowControl/>
              <w:spacing w:line="240" w:lineRule="auto"/>
              <w:ind w:firstLine="0" w:firstLineChars="0"/>
              <w:jc w:val="center"/>
              <w:textAlignment w:val="baseline"/>
              <w:rPr>
                <w:sz w:val="21"/>
                <w:szCs w:val="21"/>
              </w:rPr>
            </w:pPr>
            <w:r>
              <w:rPr>
                <w:sz w:val="21"/>
                <w:szCs w:val="21"/>
              </w:rPr>
              <w:t>危险性类别：</w:t>
            </w:r>
          </w:p>
        </w:tc>
        <w:tc>
          <w:tcPr>
            <w:tcW w:w="4005" w:type="pct"/>
            <w:vAlign w:val="center"/>
          </w:tcPr>
          <w:p w14:paraId="270FAB3C">
            <w:pPr>
              <w:widowControl/>
              <w:spacing w:line="240" w:lineRule="auto"/>
              <w:ind w:firstLine="0" w:firstLineChars="0"/>
              <w:textAlignment w:val="baseline"/>
              <w:rPr>
                <w:sz w:val="21"/>
                <w:szCs w:val="21"/>
              </w:rPr>
            </w:pPr>
            <w:r>
              <w:rPr>
                <w:sz w:val="21"/>
                <w:szCs w:val="21"/>
              </w:rPr>
              <w:t>易燃气体，类别1</w:t>
            </w:r>
          </w:p>
          <w:p w14:paraId="1F28DF69">
            <w:pPr>
              <w:widowControl/>
              <w:spacing w:line="240" w:lineRule="auto"/>
              <w:ind w:firstLine="0" w:firstLineChars="0"/>
              <w:textAlignment w:val="baseline"/>
              <w:rPr>
                <w:sz w:val="21"/>
                <w:szCs w:val="21"/>
              </w:rPr>
            </w:pPr>
            <w:r>
              <w:rPr>
                <w:sz w:val="21"/>
                <w:szCs w:val="21"/>
              </w:rPr>
              <w:t>化学不稳定性气体，类别A</w:t>
            </w:r>
          </w:p>
          <w:p w14:paraId="7E0F84F9">
            <w:pPr>
              <w:widowControl/>
              <w:spacing w:line="240" w:lineRule="auto"/>
              <w:ind w:firstLine="0" w:firstLineChars="0"/>
              <w:textAlignment w:val="baseline"/>
              <w:rPr>
                <w:sz w:val="21"/>
                <w:szCs w:val="21"/>
              </w:rPr>
            </w:pPr>
            <w:r>
              <w:rPr>
                <w:sz w:val="21"/>
                <w:szCs w:val="21"/>
              </w:rPr>
              <w:t>加压气体</w:t>
            </w:r>
          </w:p>
        </w:tc>
      </w:tr>
      <w:tr w14:paraId="13A36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60994600">
            <w:pPr>
              <w:widowControl/>
              <w:spacing w:line="240" w:lineRule="auto"/>
              <w:ind w:firstLine="0" w:firstLineChars="0"/>
              <w:jc w:val="center"/>
              <w:textAlignment w:val="baseline"/>
              <w:rPr>
                <w:sz w:val="21"/>
                <w:szCs w:val="21"/>
              </w:rPr>
            </w:pPr>
            <w:r>
              <w:rPr>
                <w:sz w:val="21"/>
                <w:szCs w:val="21"/>
              </w:rPr>
              <w:t>UN编号：</w:t>
            </w:r>
          </w:p>
        </w:tc>
        <w:tc>
          <w:tcPr>
            <w:tcW w:w="4005" w:type="pct"/>
            <w:vAlign w:val="center"/>
          </w:tcPr>
          <w:p w14:paraId="731F5240">
            <w:pPr>
              <w:widowControl/>
              <w:spacing w:line="240" w:lineRule="auto"/>
              <w:ind w:firstLine="0" w:firstLineChars="0"/>
              <w:textAlignment w:val="baseline"/>
              <w:rPr>
                <w:sz w:val="21"/>
                <w:szCs w:val="21"/>
              </w:rPr>
            </w:pPr>
            <w:r>
              <w:rPr>
                <w:sz w:val="21"/>
                <w:szCs w:val="21"/>
              </w:rPr>
              <w:t>1001</w:t>
            </w:r>
          </w:p>
        </w:tc>
      </w:tr>
      <w:tr w14:paraId="48C0D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7E122E8E">
            <w:pPr>
              <w:widowControl/>
              <w:spacing w:line="240" w:lineRule="auto"/>
              <w:ind w:firstLine="0" w:firstLineChars="0"/>
              <w:jc w:val="center"/>
              <w:textAlignment w:val="baseline"/>
              <w:rPr>
                <w:sz w:val="21"/>
                <w:szCs w:val="21"/>
              </w:rPr>
            </w:pPr>
            <w:r>
              <w:rPr>
                <w:sz w:val="21"/>
                <w:szCs w:val="21"/>
              </w:rPr>
              <w:t>主要成分：</w:t>
            </w:r>
          </w:p>
        </w:tc>
        <w:tc>
          <w:tcPr>
            <w:tcW w:w="4005" w:type="pct"/>
            <w:vAlign w:val="center"/>
          </w:tcPr>
          <w:p w14:paraId="1A9106DB">
            <w:pPr>
              <w:widowControl/>
              <w:spacing w:line="240" w:lineRule="auto"/>
              <w:ind w:firstLine="0" w:firstLineChars="0"/>
              <w:textAlignment w:val="baseline"/>
              <w:rPr>
                <w:sz w:val="21"/>
                <w:szCs w:val="21"/>
              </w:rPr>
            </w:pPr>
            <w:r>
              <w:rPr>
                <w:sz w:val="21"/>
                <w:szCs w:val="21"/>
              </w:rPr>
              <w:t>含量：工业级≥97.5％。</w:t>
            </w:r>
          </w:p>
        </w:tc>
      </w:tr>
      <w:tr w14:paraId="57159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2807FF3F">
            <w:pPr>
              <w:widowControl/>
              <w:spacing w:line="240" w:lineRule="auto"/>
              <w:ind w:firstLine="0" w:firstLineChars="0"/>
              <w:jc w:val="center"/>
              <w:textAlignment w:val="baseline"/>
              <w:rPr>
                <w:sz w:val="21"/>
                <w:szCs w:val="21"/>
              </w:rPr>
            </w:pPr>
            <w:r>
              <w:rPr>
                <w:sz w:val="21"/>
                <w:szCs w:val="21"/>
              </w:rPr>
              <w:t>外观与性状：</w:t>
            </w:r>
          </w:p>
        </w:tc>
        <w:tc>
          <w:tcPr>
            <w:tcW w:w="4005" w:type="pct"/>
            <w:vAlign w:val="center"/>
          </w:tcPr>
          <w:p w14:paraId="55D7E914">
            <w:pPr>
              <w:widowControl/>
              <w:spacing w:line="240" w:lineRule="auto"/>
              <w:ind w:firstLine="0" w:firstLineChars="0"/>
              <w:textAlignment w:val="baseline"/>
              <w:rPr>
                <w:sz w:val="21"/>
                <w:szCs w:val="21"/>
              </w:rPr>
            </w:pPr>
            <w:r>
              <w:rPr>
                <w:sz w:val="21"/>
                <w:szCs w:val="21"/>
              </w:rPr>
              <w:t>无色无臭气体，工业品有使人不愉快的大蒜气味。</w:t>
            </w:r>
          </w:p>
        </w:tc>
      </w:tr>
      <w:tr w14:paraId="7F8F1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7198E0B0">
            <w:pPr>
              <w:widowControl/>
              <w:spacing w:line="240" w:lineRule="auto"/>
              <w:ind w:firstLine="0" w:firstLineChars="0"/>
              <w:jc w:val="center"/>
              <w:textAlignment w:val="baseline"/>
              <w:rPr>
                <w:sz w:val="21"/>
                <w:szCs w:val="21"/>
              </w:rPr>
            </w:pPr>
            <w:r>
              <w:rPr>
                <w:sz w:val="21"/>
                <w:szCs w:val="21"/>
              </w:rPr>
              <w:t>主要用途：</w:t>
            </w:r>
          </w:p>
        </w:tc>
        <w:tc>
          <w:tcPr>
            <w:tcW w:w="4005" w:type="pct"/>
            <w:vAlign w:val="center"/>
          </w:tcPr>
          <w:p w14:paraId="10F0C3AA">
            <w:pPr>
              <w:widowControl/>
              <w:spacing w:line="240" w:lineRule="auto"/>
              <w:ind w:firstLine="0" w:firstLineChars="0"/>
              <w:textAlignment w:val="baseline"/>
              <w:rPr>
                <w:sz w:val="21"/>
                <w:szCs w:val="21"/>
              </w:rPr>
            </w:pPr>
            <w:r>
              <w:rPr>
                <w:sz w:val="21"/>
                <w:szCs w:val="21"/>
              </w:rPr>
              <w:t>是有机合成的重要原料之一。亦是合成橡胶、合成纤维和塑料的单体，也用于氧炔焊割。</w:t>
            </w:r>
          </w:p>
        </w:tc>
      </w:tr>
      <w:tr w14:paraId="4638A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2"/>
            <w:vAlign w:val="center"/>
          </w:tcPr>
          <w:p w14:paraId="2E852DBE">
            <w:pPr>
              <w:widowControl/>
              <w:spacing w:line="240" w:lineRule="auto"/>
              <w:ind w:firstLine="0" w:firstLineChars="0"/>
              <w:jc w:val="center"/>
              <w:textAlignment w:val="baseline"/>
              <w:rPr>
                <w:sz w:val="21"/>
                <w:szCs w:val="21"/>
              </w:rPr>
            </w:pPr>
            <w:r>
              <w:rPr>
                <w:sz w:val="21"/>
                <w:szCs w:val="21"/>
              </w:rPr>
              <w:t>健康危害</w:t>
            </w:r>
          </w:p>
        </w:tc>
      </w:tr>
      <w:tr w14:paraId="225B7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06D59295">
            <w:pPr>
              <w:widowControl/>
              <w:spacing w:line="240" w:lineRule="auto"/>
              <w:ind w:firstLine="0" w:firstLineChars="0"/>
              <w:jc w:val="center"/>
              <w:textAlignment w:val="baseline"/>
              <w:rPr>
                <w:sz w:val="21"/>
                <w:szCs w:val="21"/>
              </w:rPr>
            </w:pPr>
            <w:r>
              <w:rPr>
                <w:sz w:val="21"/>
                <w:szCs w:val="21"/>
              </w:rPr>
              <w:t>侵入途径：</w:t>
            </w:r>
          </w:p>
        </w:tc>
        <w:tc>
          <w:tcPr>
            <w:tcW w:w="4005" w:type="pct"/>
            <w:vAlign w:val="center"/>
          </w:tcPr>
          <w:p w14:paraId="4A651174">
            <w:pPr>
              <w:widowControl/>
              <w:spacing w:line="240" w:lineRule="auto"/>
              <w:ind w:firstLine="0" w:firstLineChars="0"/>
              <w:textAlignment w:val="baseline"/>
              <w:rPr>
                <w:sz w:val="21"/>
                <w:szCs w:val="21"/>
              </w:rPr>
            </w:pPr>
            <w:r>
              <w:rPr>
                <w:sz w:val="21"/>
                <w:szCs w:val="21"/>
              </w:rPr>
              <w:t>吸入。</w:t>
            </w:r>
          </w:p>
        </w:tc>
      </w:tr>
      <w:tr w14:paraId="028B5C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2A46FACB">
            <w:pPr>
              <w:widowControl/>
              <w:spacing w:line="240" w:lineRule="auto"/>
              <w:ind w:firstLine="0" w:firstLineChars="0"/>
              <w:jc w:val="center"/>
              <w:textAlignment w:val="baseline"/>
              <w:rPr>
                <w:sz w:val="21"/>
                <w:szCs w:val="21"/>
              </w:rPr>
            </w:pPr>
            <w:r>
              <w:rPr>
                <w:sz w:val="21"/>
                <w:szCs w:val="21"/>
              </w:rPr>
              <w:t>健康危害：</w:t>
            </w:r>
          </w:p>
        </w:tc>
        <w:tc>
          <w:tcPr>
            <w:tcW w:w="4005" w:type="pct"/>
            <w:vAlign w:val="center"/>
          </w:tcPr>
          <w:p w14:paraId="00100B3A">
            <w:pPr>
              <w:widowControl/>
              <w:spacing w:line="240" w:lineRule="auto"/>
              <w:ind w:firstLine="0" w:firstLineChars="0"/>
              <w:textAlignment w:val="baseline"/>
              <w:rPr>
                <w:sz w:val="21"/>
                <w:szCs w:val="21"/>
              </w:rPr>
            </w:pPr>
            <w:r>
              <w:rPr>
                <w:sz w:val="21"/>
                <w:szCs w:val="21"/>
              </w:rPr>
              <w:t>具有弱麻醉作用。高浓度吸入可引起单纯窒息。急性中毒：暴露于20％浓度时，出现明显缺氧症状；吸入高浓度，初期兴奋、多语、哭笑不安，后出现眩晕、头痛、恶心、呕吐、共济失调、嗜睡；严重者昏迷、紫绀、瞳孔对光反应消失、脉弱而不齐。当混有磷化氢、硫化氢时，毒性增大，应予以注意。</w:t>
            </w:r>
          </w:p>
        </w:tc>
      </w:tr>
      <w:tr w14:paraId="3115F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37688FB1">
            <w:pPr>
              <w:widowControl/>
              <w:spacing w:line="240" w:lineRule="auto"/>
              <w:ind w:firstLine="0" w:firstLineChars="0"/>
              <w:jc w:val="center"/>
              <w:textAlignment w:val="baseline"/>
              <w:rPr>
                <w:sz w:val="21"/>
                <w:szCs w:val="21"/>
              </w:rPr>
            </w:pPr>
            <w:r>
              <w:rPr>
                <w:sz w:val="21"/>
                <w:szCs w:val="21"/>
              </w:rPr>
              <w:t>吸入：</w:t>
            </w:r>
          </w:p>
        </w:tc>
        <w:tc>
          <w:tcPr>
            <w:tcW w:w="4005" w:type="pct"/>
            <w:vAlign w:val="center"/>
          </w:tcPr>
          <w:p w14:paraId="415D3DBB">
            <w:pPr>
              <w:widowControl/>
              <w:spacing w:line="240" w:lineRule="auto"/>
              <w:ind w:firstLine="0" w:firstLineChars="0"/>
              <w:textAlignment w:val="baseline"/>
              <w:rPr>
                <w:sz w:val="21"/>
                <w:szCs w:val="21"/>
              </w:rPr>
            </w:pPr>
            <w:r>
              <w:rPr>
                <w:sz w:val="21"/>
                <w:szCs w:val="21"/>
              </w:rPr>
              <w:t>迅速脱离现场至空气新鲜处。保持呼吸道通畅。如呼吸困难，给输氧。如呼吸停止，立即进行人工呼吸。就医。</w:t>
            </w:r>
          </w:p>
        </w:tc>
      </w:tr>
      <w:tr w14:paraId="129FD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2"/>
            <w:vAlign w:val="center"/>
          </w:tcPr>
          <w:p w14:paraId="333EFDEA">
            <w:pPr>
              <w:widowControl/>
              <w:spacing w:line="240" w:lineRule="auto"/>
              <w:ind w:firstLine="0" w:firstLineChars="0"/>
              <w:jc w:val="center"/>
              <w:textAlignment w:val="baseline"/>
              <w:rPr>
                <w:sz w:val="21"/>
                <w:szCs w:val="21"/>
              </w:rPr>
            </w:pPr>
            <w:r>
              <w:rPr>
                <w:sz w:val="21"/>
                <w:szCs w:val="21"/>
              </w:rPr>
              <w:t>理化特性</w:t>
            </w:r>
          </w:p>
        </w:tc>
      </w:tr>
      <w:tr w14:paraId="0EAE5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199D315A">
            <w:pPr>
              <w:widowControl/>
              <w:spacing w:line="240" w:lineRule="auto"/>
              <w:ind w:firstLine="0" w:firstLineChars="0"/>
              <w:jc w:val="center"/>
              <w:textAlignment w:val="baseline"/>
              <w:rPr>
                <w:sz w:val="21"/>
                <w:szCs w:val="21"/>
              </w:rPr>
            </w:pPr>
            <w:r>
              <w:rPr>
                <w:sz w:val="21"/>
                <w:szCs w:val="21"/>
              </w:rPr>
              <w:t>燃烧性：</w:t>
            </w:r>
          </w:p>
        </w:tc>
        <w:tc>
          <w:tcPr>
            <w:tcW w:w="4005" w:type="pct"/>
            <w:vAlign w:val="center"/>
          </w:tcPr>
          <w:p w14:paraId="3E7AF8FA">
            <w:pPr>
              <w:widowControl/>
              <w:spacing w:line="240" w:lineRule="auto"/>
              <w:ind w:firstLine="0" w:firstLineChars="0"/>
              <w:textAlignment w:val="baseline"/>
              <w:rPr>
                <w:sz w:val="21"/>
                <w:szCs w:val="21"/>
              </w:rPr>
            </w:pPr>
            <w:r>
              <w:rPr>
                <w:sz w:val="21"/>
                <w:szCs w:val="21"/>
              </w:rPr>
              <w:t>本品易燃，具窒息性。</w:t>
            </w:r>
          </w:p>
        </w:tc>
      </w:tr>
      <w:tr w14:paraId="06EA9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51BBA68B">
            <w:pPr>
              <w:widowControl/>
              <w:spacing w:line="240" w:lineRule="auto"/>
              <w:ind w:firstLine="0" w:firstLineChars="0"/>
              <w:jc w:val="center"/>
              <w:textAlignment w:val="baseline"/>
              <w:rPr>
                <w:sz w:val="21"/>
                <w:szCs w:val="21"/>
              </w:rPr>
            </w:pPr>
            <w:r>
              <w:rPr>
                <w:sz w:val="21"/>
                <w:szCs w:val="21"/>
              </w:rPr>
              <w:t>闪点：</w:t>
            </w:r>
          </w:p>
        </w:tc>
        <w:tc>
          <w:tcPr>
            <w:tcW w:w="4005" w:type="pct"/>
            <w:vAlign w:val="center"/>
          </w:tcPr>
          <w:p w14:paraId="26F1021B">
            <w:pPr>
              <w:widowControl/>
              <w:spacing w:line="240" w:lineRule="auto"/>
              <w:ind w:firstLine="0" w:firstLineChars="0"/>
              <w:textAlignment w:val="baseline"/>
              <w:rPr>
                <w:sz w:val="21"/>
                <w:szCs w:val="21"/>
              </w:rPr>
            </w:pPr>
            <w:r>
              <w:rPr>
                <w:sz w:val="21"/>
                <w:szCs w:val="21"/>
              </w:rPr>
              <w:t>（℃）无意义</w:t>
            </w:r>
          </w:p>
        </w:tc>
      </w:tr>
      <w:tr w14:paraId="24B9B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70AE03FA">
            <w:pPr>
              <w:widowControl/>
              <w:spacing w:line="240" w:lineRule="auto"/>
              <w:ind w:firstLine="0" w:firstLineChars="0"/>
              <w:jc w:val="center"/>
              <w:textAlignment w:val="baseline"/>
              <w:rPr>
                <w:sz w:val="21"/>
                <w:szCs w:val="21"/>
              </w:rPr>
            </w:pPr>
            <w:r>
              <w:rPr>
                <w:sz w:val="21"/>
                <w:szCs w:val="21"/>
              </w:rPr>
              <w:t>爆炸下限：</w:t>
            </w:r>
          </w:p>
        </w:tc>
        <w:tc>
          <w:tcPr>
            <w:tcW w:w="4005" w:type="pct"/>
            <w:vAlign w:val="center"/>
          </w:tcPr>
          <w:p w14:paraId="5EDB78E4">
            <w:pPr>
              <w:widowControl/>
              <w:spacing w:line="240" w:lineRule="auto"/>
              <w:ind w:firstLine="0" w:firstLineChars="0"/>
              <w:textAlignment w:val="baseline"/>
              <w:rPr>
                <w:sz w:val="21"/>
                <w:szCs w:val="21"/>
              </w:rPr>
            </w:pPr>
            <w:r>
              <w:rPr>
                <w:sz w:val="21"/>
                <w:szCs w:val="21"/>
              </w:rPr>
              <w:t>（％） 2.1</w:t>
            </w:r>
          </w:p>
        </w:tc>
      </w:tr>
      <w:tr w14:paraId="7196B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02FDB84B">
            <w:pPr>
              <w:widowControl/>
              <w:spacing w:line="240" w:lineRule="auto"/>
              <w:ind w:firstLine="0" w:firstLineChars="0"/>
              <w:jc w:val="center"/>
              <w:textAlignment w:val="baseline"/>
              <w:rPr>
                <w:sz w:val="21"/>
                <w:szCs w:val="21"/>
              </w:rPr>
            </w:pPr>
            <w:r>
              <w:rPr>
                <w:sz w:val="21"/>
                <w:szCs w:val="21"/>
              </w:rPr>
              <w:t>引燃温度：</w:t>
            </w:r>
          </w:p>
        </w:tc>
        <w:tc>
          <w:tcPr>
            <w:tcW w:w="4005" w:type="pct"/>
            <w:vAlign w:val="center"/>
          </w:tcPr>
          <w:p w14:paraId="5A93C26D">
            <w:pPr>
              <w:widowControl/>
              <w:spacing w:line="240" w:lineRule="auto"/>
              <w:ind w:firstLine="0" w:firstLineChars="0"/>
              <w:textAlignment w:val="baseline"/>
              <w:rPr>
                <w:sz w:val="21"/>
                <w:szCs w:val="21"/>
              </w:rPr>
            </w:pPr>
            <w:r>
              <w:rPr>
                <w:sz w:val="21"/>
                <w:szCs w:val="21"/>
              </w:rPr>
              <w:t>（℃） 305</w:t>
            </w:r>
          </w:p>
        </w:tc>
      </w:tr>
      <w:tr w14:paraId="6607E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3EFA1351">
            <w:pPr>
              <w:widowControl/>
              <w:spacing w:line="240" w:lineRule="auto"/>
              <w:ind w:firstLine="0" w:firstLineChars="0"/>
              <w:jc w:val="center"/>
              <w:textAlignment w:val="baseline"/>
              <w:rPr>
                <w:sz w:val="21"/>
                <w:szCs w:val="21"/>
              </w:rPr>
            </w:pPr>
            <w:r>
              <w:rPr>
                <w:sz w:val="21"/>
                <w:szCs w:val="21"/>
              </w:rPr>
              <w:t>爆炸上限：</w:t>
            </w:r>
          </w:p>
        </w:tc>
        <w:tc>
          <w:tcPr>
            <w:tcW w:w="4005" w:type="pct"/>
            <w:vAlign w:val="center"/>
          </w:tcPr>
          <w:p w14:paraId="1AC3D67B">
            <w:pPr>
              <w:widowControl/>
              <w:spacing w:line="240" w:lineRule="auto"/>
              <w:ind w:firstLine="0" w:firstLineChars="0"/>
              <w:textAlignment w:val="baseline"/>
              <w:rPr>
                <w:sz w:val="21"/>
                <w:szCs w:val="21"/>
              </w:rPr>
            </w:pPr>
            <w:r>
              <w:rPr>
                <w:sz w:val="21"/>
                <w:szCs w:val="21"/>
              </w:rPr>
              <w:t>（％） 80.0</w:t>
            </w:r>
          </w:p>
        </w:tc>
      </w:tr>
      <w:tr w14:paraId="11FE3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5948DE62">
            <w:pPr>
              <w:widowControl/>
              <w:spacing w:line="240" w:lineRule="auto"/>
              <w:ind w:firstLine="0" w:firstLineChars="0"/>
              <w:jc w:val="center"/>
              <w:textAlignment w:val="baseline"/>
              <w:rPr>
                <w:sz w:val="21"/>
                <w:szCs w:val="21"/>
              </w:rPr>
            </w:pPr>
            <w:r>
              <w:rPr>
                <w:sz w:val="21"/>
                <w:szCs w:val="21"/>
              </w:rPr>
              <w:t>危险特性：</w:t>
            </w:r>
          </w:p>
        </w:tc>
        <w:tc>
          <w:tcPr>
            <w:tcW w:w="4005" w:type="pct"/>
            <w:vAlign w:val="center"/>
          </w:tcPr>
          <w:p w14:paraId="5B882B9E">
            <w:pPr>
              <w:widowControl/>
              <w:spacing w:line="240" w:lineRule="auto"/>
              <w:ind w:firstLine="0" w:firstLineChars="0"/>
              <w:textAlignment w:val="baseline"/>
              <w:rPr>
                <w:sz w:val="21"/>
                <w:szCs w:val="21"/>
              </w:rPr>
            </w:pPr>
            <w:r>
              <w:rPr>
                <w:sz w:val="21"/>
                <w:szCs w:val="21"/>
              </w:rPr>
              <w:t>极易燃烧爆炸。与空气混合能形成爆炸性混合物，遇明火、高热能引起燃烧爆炸。与氧化剂接触猛烈反应。与氟、氯等接触会发生剧烈的化学反应。能与铜、银、汞等的化合物生成爆炸性物质。</w:t>
            </w:r>
          </w:p>
        </w:tc>
      </w:tr>
      <w:tr w14:paraId="122E9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6110212C">
            <w:pPr>
              <w:widowControl/>
              <w:spacing w:line="240" w:lineRule="auto"/>
              <w:ind w:firstLine="0" w:firstLineChars="0"/>
              <w:jc w:val="center"/>
              <w:textAlignment w:val="baseline"/>
              <w:rPr>
                <w:sz w:val="21"/>
                <w:szCs w:val="21"/>
              </w:rPr>
            </w:pPr>
            <w:r>
              <w:rPr>
                <w:sz w:val="21"/>
                <w:szCs w:val="21"/>
              </w:rPr>
              <w:t>有害燃烧产物：</w:t>
            </w:r>
          </w:p>
        </w:tc>
        <w:tc>
          <w:tcPr>
            <w:tcW w:w="4005" w:type="pct"/>
            <w:vAlign w:val="center"/>
          </w:tcPr>
          <w:p w14:paraId="42D57677">
            <w:pPr>
              <w:widowControl/>
              <w:spacing w:line="240" w:lineRule="auto"/>
              <w:ind w:firstLine="0" w:firstLineChars="0"/>
              <w:textAlignment w:val="baseline"/>
              <w:rPr>
                <w:sz w:val="21"/>
                <w:szCs w:val="21"/>
              </w:rPr>
            </w:pPr>
            <w:r>
              <w:rPr>
                <w:sz w:val="21"/>
                <w:szCs w:val="21"/>
              </w:rPr>
              <w:t>一氧化碳、二氧化碳。</w:t>
            </w:r>
          </w:p>
        </w:tc>
      </w:tr>
      <w:tr w14:paraId="40207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20B58864">
            <w:pPr>
              <w:widowControl/>
              <w:spacing w:line="240" w:lineRule="auto"/>
              <w:ind w:firstLine="0" w:firstLineChars="0"/>
              <w:jc w:val="center"/>
              <w:textAlignment w:val="baseline"/>
              <w:rPr>
                <w:sz w:val="21"/>
                <w:szCs w:val="21"/>
              </w:rPr>
            </w:pPr>
            <w:r>
              <w:rPr>
                <w:sz w:val="21"/>
                <w:szCs w:val="21"/>
              </w:rPr>
              <w:t>灭火方法：</w:t>
            </w:r>
          </w:p>
        </w:tc>
        <w:tc>
          <w:tcPr>
            <w:tcW w:w="4005" w:type="pct"/>
            <w:vAlign w:val="center"/>
          </w:tcPr>
          <w:p w14:paraId="6F3E3267">
            <w:pPr>
              <w:widowControl/>
              <w:spacing w:line="240" w:lineRule="auto"/>
              <w:ind w:firstLine="0" w:firstLineChars="0"/>
              <w:textAlignment w:val="baseline"/>
              <w:rPr>
                <w:sz w:val="21"/>
                <w:szCs w:val="21"/>
              </w:rPr>
            </w:pPr>
            <w:r>
              <w:rPr>
                <w:sz w:val="21"/>
                <w:szCs w:val="21"/>
              </w:rPr>
              <w:t>切断气源。若不能切断气源，则不允许熄灭泄漏处的火焰。喷水冷却容器，可能的话将容器从火场移至空旷处。灭火剂：雾状水、泡沫、二氧化碳、干粉。</w:t>
            </w:r>
          </w:p>
        </w:tc>
      </w:tr>
      <w:tr w14:paraId="3DAAB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397F2AE1">
            <w:pPr>
              <w:widowControl/>
              <w:spacing w:line="240" w:lineRule="auto"/>
              <w:ind w:firstLine="0" w:firstLineChars="0"/>
              <w:jc w:val="center"/>
              <w:textAlignment w:val="baseline"/>
              <w:rPr>
                <w:sz w:val="21"/>
                <w:szCs w:val="21"/>
              </w:rPr>
            </w:pPr>
            <w:r>
              <w:rPr>
                <w:sz w:val="21"/>
                <w:szCs w:val="21"/>
              </w:rPr>
              <w:t>泄漏应急处理：</w:t>
            </w:r>
          </w:p>
        </w:tc>
        <w:tc>
          <w:tcPr>
            <w:tcW w:w="4005" w:type="pct"/>
            <w:vAlign w:val="center"/>
          </w:tcPr>
          <w:p w14:paraId="5E9CBA7A">
            <w:pPr>
              <w:widowControl/>
              <w:spacing w:line="240" w:lineRule="auto"/>
              <w:ind w:firstLine="0" w:firstLineChars="0"/>
              <w:textAlignment w:val="baseline"/>
              <w:rPr>
                <w:sz w:val="21"/>
                <w:szCs w:val="21"/>
              </w:rPr>
            </w:pPr>
            <w:r>
              <w:rPr>
                <w:sz w:val="21"/>
                <w:szCs w:val="21"/>
              </w:rP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漏气容器要妥善处理，修复、检验后再用。</w:t>
            </w:r>
          </w:p>
        </w:tc>
      </w:tr>
      <w:tr w14:paraId="6783C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58725EB4">
            <w:pPr>
              <w:widowControl/>
              <w:spacing w:line="240" w:lineRule="auto"/>
              <w:ind w:firstLine="0" w:firstLineChars="0"/>
              <w:jc w:val="center"/>
              <w:textAlignment w:val="baseline"/>
              <w:rPr>
                <w:sz w:val="21"/>
                <w:szCs w:val="21"/>
              </w:rPr>
            </w:pPr>
            <w:r>
              <w:rPr>
                <w:sz w:val="21"/>
                <w:szCs w:val="21"/>
              </w:rPr>
              <w:t>操作注意事项：</w:t>
            </w:r>
          </w:p>
        </w:tc>
        <w:tc>
          <w:tcPr>
            <w:tcW w:w="4005" w:type="pct"/>
            <w:vAlign w:val="center"/>
          </w:tcPr>
          <w:p w14:paraId="36A80991">
            <w:pPr>
              <w:widowControl/>
              <w:spacing w:line="240" w:lineRule="auto"/>
              <w:ind w:firstLine="0" w:firstLineChars="0"/>
              <w:textAlignment w:val="baseline"/>
              <w:rPr>
                <w:sz w:val="21"/>
                <w:szCs w:val="21"/>
              </w:rPr>
            </w:pPr>
            <w:r>
              <w:rPr>
                <w:sz w:val="21"/>
                <w:szCs w:val="21"/>
              </w:rPr>
              <w:t>密闭操作，全面通风。操作人员必须经过专门培训，严格遵守操作规程。建议操作人员穿防静电工作服。远离火种、热源，工作场所严禁吸烟。使用防爆型的通风系统和设备。防止气体泄漏到工作场所空气中。避免与氧化剂、酸类、卤素接触。在传送过程中，钢瓶和容器必须接地和跨接，防止产生静电。搬运时轻装轻卸，防止钢瓶及附件破损。配备相应品种和数量的消防器材及泄漏应急处理设备。</w:t>
            </w:r>
          </w:p>
        </w:tc>
      </w:tr>
      <w:tr w14:paraId="4694E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44B2F75D">
            <w:pPr>
              <w:widowControl/>
              <w:spacing w:line="240" w:lineRule="auto"/>
              <w:ind w:firstLine="0" w:firstLineChars="0"/>
              <w:jc w:val="center"/>
              <w:textAlignment w:val="baseline"/>
              <w:rPr>
                <w:sz w:val="21"/>
                <w:szCs w:val="21"/>
              </w:rPr>
            </w:pPr>
            <w:r>
              <w:rPr>
                <w:sz w:val="21"/>
                <w:szCs w:val="21"/>
              </w:rPr>
              <w:t>贮运注意事项：</w:t>
            </w:r>
          </w:p>
        </w:tc>
        <w:tc>
          <w:tcPr>
            <w:tcW w:w="4005" w:type="pct"/>
            <w:vAlign w:val="center"/>
          </w:tcPr>
          <w:p w14:paraId="20C87DF5">
            <w:pPr>
              <w:widowControl/>
              <w:spacing w:line="240" w:lineRule="auto"/>
              <w:ind w:firstLine="0" w:firstLineChars="0"/>
              <w:textAlignment w:val="baseline"/>
              <w:rPr>
                <w:sz w:val="21"/>
                <w:szCs w:val="21"/>
              </w:rPr>
            </w:pPr>
            <w:r>
              <w:rPr>
                <w:sz w:val="21"/>
                <w:szCs w:val="21"/>
              </w:rPr>
              <w:t>乙炔的包装法通常是溶解在溶剂及多孔物中, 装入钢瓶内。储存于阴凉、通风的库房。远离火种、热源。库温不宜超过30℃。应与氧化剂、酸类、卤素分开存放，切忌混储。采用防爆型照明、通风设施。禁止使用易产生火花的机械设备和工具。储区应备有泄漏应急处理设备。采用刚瓶运输时必须戴好钢瓶上的安全帽。钢瓶一般平放，并应将瓶口朝同一方向，不可交叉；高度不得超过车辆的防护栏板，并用三角木垫卡牢，防止滚动。运输时运输车辆应配备相应品种和数量的消防器材。装运该物品的车辆排气管必须配备阻火装置，禁止使用易产生火花的机械设备和工具装卸。严禁与氧化剂、酸类、卤素等混装混运。夏季应早晚运输，防止日光曝晒。中途停留时应远离火种、热源。公路运输时要按规定路线行驶，勿在居民区和人口稠密区停留。铁路运输时要禁止溜放。</w:t>
            </w:r>
          </w:p>
        </w:tc>
      </w:tr>
      <w:tr w14:paraId="0AC26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5A13FE3B">
            <w:pPr>
              <w:widowControl/>
              <w:spacing w:line="240" w:lineRule="auto"/>
              <w:ind w:firstLine="0" w:firstLineChars="0"/>
              <w:jc w:val="center"/>
              <w:textAlignment w:val="baseline"/>
              <w:rPr>
                <w:sz w:val="21"/>
                <w:szCs w:val="21"/>
              </w:rPr>
            </w:pPr>
            <w:r>
              <w:rPr>
                <w:sz w:val="21"/>
                <w:szCs w:val="21"/>
              </w:rPr>
              <w:t>防护措施：</w:t>
            </w:r>
          </w:p>
        </w:tc>
        <w:tc>
          <w:tcPr>
            <w:tcW w:w="4005" w:type="pct"/>
            <w:vAlign w:val="center"/>
          </w:tcPr>
          <w:p w14:paraId="4C0CF0AE">
            <w:pPr>
              <w:widowControl/>
              <w:spacing w:line="240" w:lineRule="auto"/>
              <w:ind w:firstLine="0" w:firstLineChars="0"/>
              <w:textAlignment w:val="baseline"/>
              <w:rPr>
                <w:sz w:val="21"/>
                <w:szCs w:val="21"/>
              </w:rPr>
            </w:pPr>
            <w:r>
              <w:rPr>
                <w:sz w:val="21"/>
                <w:szCs w:val="21"/>
              </w:rPr>
              <w:t>职业接触限值</w:t>
            </w:r>
          </w:p>
          <w:p w14:paraId="277A157C">
            <w:pPr>
              <w:widowControl/>
              <w:spacing w:line="240" w:lineRule="auto"/>
              <w:ind w:firstLine="0" w:firstLineChars="0"/>
              <w:textAlignment w:val="baseline"/>
              <w:rPr>
                <w:sz w:val="21"/>
                <w:szCs w:val="21"/>
              </w:rPr>
            </w:pPr>
            <w:r>
              <w:rPr>
                <w:sz w:val="21"/>
                <w:szCs w:val="21"/>
              </w:rPr>
              <w:t>中国MAC(mg/m3)：未制定标准</w:t>
            </w:r>
          </w:p>
          <w:p w14:paraId="1196FA76">
            <w:pPr>
              <w:widowControl/>
              <w:spacing w:line="240" w:lineRule="auto"/>
              <w:ind w:firstLine="0" w:firstLineChars="0"/>
              <w:textAlignment w:val="baseline"/>
              <w:rPr>
                <w:sz w:val="21"/>
                <w:szCs w:val="21"/>
              </w:rPr>
            </w:pPr>
            <w:r>
              <w:rPr>
                <w:sz w:val="21"/>
                <w:szCs w:val="21"/>
              </w:rPr>
              <w:t>前苏联MAC(mg/m3)：未制定标准</w:t>
            </w:r>
          </w:p>
          <w:p w14:paraId="68132E1F">
            <w:pPr>
              <w:widowControl/>
              <w:spacing w:line="240" w:lineRule="auto"/>
              <w:ind w:firstLine="0" w:firstLineChars="0"/>
              <w:textAlignment w:val="baseline"/>
              <w:rPr>
                <w:sz w:val="21"/>
                <w:szCs w:val="21"/>
              </w:rPr>
            </w:pPr>
            <w:r>
              <w:rPr>
                <w:sz w:val="21"/>
                <w:szCs w:val="21"/>
              </w:rPr>
              <w:t>TLVTN：ACGIH 窒息性气体</w:t>
            </w:r>
          </w:p>
          <w:p w14:paraId="42DD5060">
            <w:pPr>
              <w:widowControl/>
              <w:spacing w:line="240" w:lineRule="auto"/>
              <w:ind w:firstLine="0" w:firstLineChars="0"/>
              <w:textAlignment w:val="baseline"/>
              <w:rPr>
                <w:sz w:val="21"/>
                <w:szCs w:val="21"/>
              </w:rPr>
            </w:pPr>
            <w:r>
              <w:rPr>
                <w:sz w:val="21"/>
                <w:szCs w:val="21"/>
              </w:rPr>
              <w:t>TLVWN：未制定标准</w:t>
            </w:r>
          </w:p>
          <w:p w14:paraId="3F61490B">
            <w:pPr>
              <w:widowControl/>
              <w:spacing w:line="240" w:lineRule="auto"/>
              <w:ind w:firstLine="0" w:firstLineChars="0"/>
              <w:textAlignment w:val="baseline"/>
              <w:rPr>
                <w:sz w:val="21"/>
                <w:szCs w:val="21"/>
              </w:rPr>
            </w:pPr>
            <w:r>
              <w:rPr>
                <w:sz w:val="21"/>
                <w:szCs w:val="21"/>
              </w:rPr>
              <w:t>工程控制：生产过程密闭，全面通风。</w:t>
            </w:r>
          </w:p>
          <w:p w14:paraId="123C007E">
            <w:pPr>
              <w:widowControl/>
              <w:spacing w:line="240" w:lineRule="auto"/>
              <w:ind w:firstLine="0" w:firstLineChars="0"/>
              <w:textAlignment w:val="baseline"/>
              <w:rPr>
                <w:sz w:val="21"/>
                <w:szCs w:val="21"/>
              </w:rPr>
            </w:pPr>
            <w:r>
              <w:rPr>
                <w:sz w:val="21"/>
                <w:szCs w:val="21"/>
              </w:rPr>
              <w:t>呼吸系统防护：一般不需要特殊防护，但建议特殊情况下，佩戴自吸过滤式防毒面具（半面罩）。</w:t>
            </w:r>
          </w:p>
          <w:p w14:paraId="22EB9EEB">
            <w:pPr>
              <w:widowControl/>
              <w:spacing w:line="240" w:lineRule="auto"/>
              <w:ind w:firstLine="0" w:firstLineChars="0"/>
              <w:textAlignment w:val="baseline"/>
              <w:rPr>
                <w:sz w:val="21"/>
                <w:szCs w:val="21"/>
              </w:rPr>
            </w:pPr>
            <w:r>
              <w:rPr>
                <w:sz w:val="21"/>
                <w:szCs w:val="21"/>
              </w:rPr>
              <w:t>眼睛防护：一般不需特殊防护。</w:t>
            </w:r>
          </w:p>
          <w:p w14:paraId="443C593D">
            <w:pPr>
              <w:widowControl/>
              <w:spacing w:line="240" w:lineRule="auto"/>
              <w:ind w:firstLine="0" w:firstLineChars="0"/>
              <w:textAlignment w:val="baseline"/>
              <w:rPr>
                <w:sz w:val="21"/>
                <w:szCs w:val="21"/>
              </w:rPr>
            </w:pPr>
            <w:r>
              <w:rPr>
                <w:sz w:val="21"/>
                <w:szCs w:val="21"/>
              </w:rPr>
              <w:t>身体防护：穿防静电工作服。</w:t>
            </w:r>
          </w:p>
          <w:p w14:paraId="5A385805">
            <w:pPr>
              <w:widowControl/>
              <w:spacing w:line="240" w:lineRule="auto"/>
              <w:ind w:firstLine="0" w:firstLineChars="0"/>
              <w:textAlignment w:val="baseline"/>
              <w:rPr>
                <w:sz w:val="21"/>
                <w:szCs w:val="21"/>
              </w:rPr>
            </w:pPr>
            <w:r>
              <w:rPr>
                <w:sz w:val="21"/>
                <w:szCs w:val="21"/>
              </w:rPr>
              <w:t>手防护：戴一般作业防护手套。</w:t>
            </w:r>
          </w:p>
          <w:p w14:paraId="3E959002">
            <w:pPr>
              <w:widowControl/>
              <w:spacing w:line="240" w:lineRule="auto"/>
              <w:ind w:firstLine="0" w:firstLineChars="0"/>
              <w:textAlignment w:val="baseline"/>
              <w:rPr>
                <w:sz w:val="21"/>
                <w:szCs w:val="21"/>
              </w:rPr>
            </w:pPr>
            <w:r>
              <w:rPr>
                <w:sz w:val="21"/>
                <w:szCs w:val="21"/>
              </w:rPr>
              <w:t>其他防护：工作现场严禁吸烟。避免长期反复接触。进入罐、限制性空间或其它高浓度区作业，须有人监护。 </w:t>
            </w:r>
          </w:p>
        </w:tc>
      </w:tr>
      <w:tr w14:paraId="3F2C3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6017D82F">
            <w:pPr>
              <w:widowControl/>
              <w:spacing w:line="240" w:lineRule="auto"/>
              <w:ind w:firstLine="0" w:firstLineChars="0"/>
              <w:jc w:val="center"/>
              <w:textAlignment w:val="baseline"/>
              <w:rPr>
                <w:sz w:val="21"/>
                <w:szCs w:val="21"/>
              </w:rPr>
            </w:pPr>
            <w:r>
              <w:rPr>
                <w:sz w:val="21"/>
                <w:szCs w:val="21"/>
              </w:rPr>
              <w:t>理化性质：</w:t>
            </w:r>
          </w:p>
        </w:tc>
        <w:tc>
          <w:tcPr>
            <w:tcW w:w="4005" w:type="pct"/>
            <w:vAlign w:val="center"/>
          </w:tcPr>
          <w:p w14:paraId="0DCD6F6D">
            <w:pPr>
              <w:widowControl/>
              <w:spacing w:line="240" w:lineRule="auto"/>
              <w:ind w:firstLine="0" w:firstLineChars="0"/>
              <w:textAlignment w:val="baseline"/>
              <w:rPr>
                <w:sz w:val="21"/>
                <w:szCs w:val="21"/>
              </w:rPr>
            </w:pPr>
            <w:r>
              <w:rPr>
                <w:sz w:val="21"/>
                <w:szCs w:val="21"/>
              </w:rPr>
              <w:t>熔点(℃)：-81.8(119kPa)</w:t>
            </w:r>
          </w:p>
          <w:p w14:paraId="1D384EBD">
            <w:pPr>
              <w:widowControl/>
              <w:spacing w:line="240" w:lineRule="auto"/>
              <w:ind w:firstLine="0" w:firstLineChars="0"/>
              <w:textAlignment w:val="baseline"/>
              <w:rPr>
                <w:sz w:val="21"/>
                <w:szCs w:val="21"/>
              </w:rPr>
            </w:pPr>
            <w:r>
              <w:rPr>
                <w:sz w:val="21"/>
                <w:szCs w:val="21"/>
              </w:rPr>
              <w:t>沸点(℃)：-83.8</w:t>
            </w:r>
          </w:p>
          <w:p w14:paraId="14316D99">
            <w:pPr>
              <w:widowControl/>
              <w:spacing w:line="240" w:lineRule="auto"/>
              <w:ind w:firstLine="0" w:firstLineChars="0"/>
              <w:textAlignment w:val="baseline"/>
              <w:rPr>
                <w:sz w:val="21"/>
                <w:szCs w:val="21"/>
              </w:rPr>
            </w:pPr>
            <w:r>
              <w:rPr>
                <w:sz w:val="21"/>
                <w:szCs w:val="21"/>
              </w:rPr>
              <w:t>相对密度(水=1)：0.62</w:t>
            </w:r>
          </w:p>
          <w:p w14:paraId="47463E41">
            <w:pPr>
              <w:widowControl/>
              <w:spacing w:line="240" w:lineRule="auto"/>
              <w:ind w:firstLine="0" w:firstLineChars="0"/>
              <w:textAlignment w:val="baseline"/>
              <w:rPr>
                <w:sz w:val="21"/>
                <w:szCs w:val="21"/>
              </w:rPr>
            </w:pPr>
            <w:r>
              <w:rPr>
                <w:sz w:val="21"/>
                <w:szCs w:val="21"/>
              </w:rPr>
              <w:t>相对蒸气密度(空气=1)：0.91</w:t>
            </w:r>
          </w:p>
          <w:p w14:paraId="6CCF1BE0">
            <w:pPr>
              <w:widowControl/>
              <w:spacing w:line="240" w:lineRule="auto"/>
              <w:ind w:firstLine="0" w:firstLineChars="0"/>
              <w:textAlignment w:val="baseline"/>
              <w:rPr>
                <w:sz w:val="21"/>
                <w:szCs w:val="21"/>
              </w:rPr>
            </w:pPr>
            <w:r>
              <w:rPr>
                <w:sz w:val="21"/>
                <w:szCs w:val="21"/>
              </w:rPr>
              <w:t>饱和蒸气压(kPa)：4053(16.8℃)</w:t>
            </w:r>
          </w:p>
          <w:p w14:paraId="606D5F87">
            <w:pPr>
              <w:widowControl/>
              <w:spacing w:line="240" w:lineRule="auto"/>
              <w:ind w:firstLine="0" w:firstLineChars="0"/>
              <w:textAlignment w:val="baseline"/>
              <w:rPr>
                <w:sz w:val="21"/>
                <w:szCs w:val="21"/>
              </w:rPr>
            </w:pPr>
            <w:r>
              <w:rPr>
                <w:sz w:val="21"/>
                <w:szCs w:val="21"/>
              </w:rPr>
              <w:t>燃烧热(kJ/mol)：1298.4</w:t>
            </w:r>
          </w:p>
          <w:p w14:paraId="5EF6A152">
            <w:pPr>
              <w:widowControl/>
              <w:spacing w:line="240" w:lineRule="auto"/>
              <w:ind w:firstLine="0" w:firstLineChars="0"/>
              <w:textAlignment w:val="baseline"/>
              <w:rPr>
                <w:sz w:val="21"/>
                <w:szCs w:val="21"/>
              </w:rPr>
            </w:pPr>
            <w:r>
              <w:rPr>
                <w:sz w:val="21"/>
                <w:szCs w:val="21"/>
              </w:rPr>
              <w:t>临界温度(℃)：35.2</w:t>
            </w:r>
          </w:p>
          <w:p w14:paraId="3697BA7B">
            <w:pPr>
              <w:widowControl/>
              <w:spacing w:line="240" w:lineRule="auto"/>
              <w:ind w:firstLine="0" w:firstLineChars="0"/>
              <w:textAlignment w:val="baseline"/>
              <w:rPr>
                <w:sz w:val="21"/>
                <w:szCs w:val="21"/>
              </w:rPr>
            </w:pPr>
            <w:r>
              <w:rPr>
                <w:sz w:val="21"/>
                <w:szCs w:val="21"/>
              </w:rPr>
              <w:t>临界压力(MPa)：6.14</w:t>
            </w:r>
          </w:p>
          <w:p w14:paraId="75D9C58A">
            <w:pPr>
              <w:widowControl/>
              <w:spacing w:line="240" w:lineRule="auto"/>
              <w:ind w:firstLine="0" w:firstLineChars="0"/>
              <w:textAlignment w:val="baseline"/>
              <w:rPr>
                <w:sz w:val="21"/>
                <w:szCs w:val="21"/>
              </w:rPr>
            </w:pPr>
            <w:r>
              <w:rPr>
                <w:sz w:val="21"/>
                <w:szCs w:val="21"/>
              </w:rPr>
              <w:t>辛醇/水分配系数的对数值：无资料</w:t>
            </w:r>
          </w:p>
          <w:p w14:paraId="3E7C3C90">
            <w:pPr>
              <w:widowControl/>
              <w:spacing w:line="240" w:lineRule="auto"/>
              <w:ind w:firstLine="0" w:firstLineChars="0"/>
              <w:textAlignment w:val="baseline"/>
              <w:rPr>
                <w:sz w:val="21"/>
                <w:szCs w:val="21"/>
              </w:rPr>
            </w:pPr>
            <w:r>
              <w:rPr>
                <w:sz w:val="21"/>
                <w:szCs w:val="21"/>
              </w:rPr>
              <w:t>溶解性：微溶于水、乙醇，溶于丙酮、氯仿、苯。</w:t>
            </w:r>
          </w:p>
        </w:tc>
      </w:tr>
      <w:tr w14:paraId="6DD3C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1F273730">
            <w:pPr>
              <w:widowControl/>
              <w:spacing w:line="240" w:lineRule="auto"/>
              <w:ind w:firstLine="0" w:firstLineChars="0"/>
              <w:jc w:val="center"/>
              <w:textAlignment w:val="baseline"/>
              <w:rPr>
                <w:sz w:val="21"/>
                <w:szCs w:val="21"/>
              </w:rPr>
            </w:pPr>
            <w:r>
              <w:rPr>
                <w:sz w:val="21"/>
                <w:szCs w:val="21"/>
              </w:rPr>
              <w:t>稳定性和反应活性：</w:t>
            </w:r>
          </w:p>
        </w:tc>
        <w:tc>
          <w:tcPr>
            <w:tcW w:w="4005" w:type="pct"/>
            <w:vAlign w:val="center"/>
          </w:tcPr>
          <w:p w14:paraId="3E7CE48F">
            <w:pPr>
              <w:widowControl/>
              <w:spacing w:line="240" w:lineRule="auto"/>
              <w:ind w:firstLine="0" w:firstLineChars="0"/>
              <w:textAlignment w:val="baseline"/>
              <w:rPr>
                <w:sz w:val="21"/>
                <w:szCs w:val="21"/>
              </w:rPr>
            </w:pPr>
            <w:r>
              <w:rPr>
                <w:sz w:val="21"/>
                <w:szCs w:val="21"/>
              </w:rPr>
              <w:t>禁忌物：强氧化剂、强酸、卤素。</w:t>
            </w:r>
          </w:p>
          <w:p w14:paraId="58591DA9">
            <w:pPr>
              <w:widowControl/>
              <w:spacing w:line="240" w:lineRule="auto"/>
              <w:ind w:firstLine="0" w:firstLineChars="0"/>
              <w:textAlignment w:val="baseline"/>
              <w:rPr>
                <w:sz w:val="21"/>
                <w:szCs w:val="21"/>
              </w:rPr>
            </w:pPr>
            <w:r>
              <w:rPr>
                <w:sz w:val="21"/>
                <w:szCs w:val="21"/>
              </w:rPr>
              <w:t>避免接触的条件：受热。</w:t>
            </w:r>
          </w:p>
        </w:tc>
      </w:tr>
      <w:tr w14:paraId="0F3D0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6FE5D7BD">
            <w:pPr>
              <w:widowControl/>
              <w:spacing w:line="240" w:lineRule="auto"/>
              <w:ind w:firstLine="0" w:firstLineChars="0"/>
              <w:jc w:val="center"/>
              <w:textAlignment w:val="baseline"/>
              <w:rPr>
                <w:sz w:val="21"/>
                <w:szCs w:val="21"/>
              </w:rPr>
            </w:pPr>
            <w:r>
              <w:rPr>
                <w:sz w:val="21"/>
                <w:szCs w:val="21"/>
              </w:rPr>
              <w:t>毒理学资料：</w:t>
            </w:r>
          </w:p>
        </w:tc>
        <w:tc>
          <w:tcPr>
            <w:tcW w:w="4005" w:type="pct"/>
            <w:vAlign w:val="center"/>
          </w:tcPr>
          <w:p w14:paraId="5F926BC3">
            <w:pPr>
              <w:widowControl/>
              <w:spacing w:line="240" w:lineRule="auto"/>
              <w:ind w:firstLine="0" w:firstLineChars="0"/>
              <w:jc w:val="left"/>
              <w:textAlignment w:val="baseline"/>
              <w:rPr>
                <w:sz w:val="21"/>
                <w:szCs w:val="21"/>
              </w:rPr>
            </w:pPr>
            <w:r>
              <w:rPr>
                <w:sz w:val="21"/>
                <w:szCs w:val="21"/>
              </w:rPr>
              <w:t>急性毒性</w:t>
            </w:r>
            <w:r>
              <w:rPr>
                <w:sz w:val="21"/>
                <w:szCs w:val="21"/>
              </w:rPr>
              <w:br w:type="textWrapping"/>
            </w:r>
            <w:r>
              <w:rPr>
                <w:sz w:val="21"/>
                <w:szCs w:val="21"/>
              </w:rPr>
              <w:t>LD50：无资料</w:t>
            </w:r>
            <w:r>
              <w:rPr>
                <w:sz w:val="21"/>
                <w:szCs w:val="21"/>
              </w:rPr>
              <w:br w:type="textWrapping"/>
            </w:r>
            <w:r>
              <w:rPr>
                <w:sz w:val="21"/>
                <w:szCs w:val="21"/>
              </w:rPr>
              <w:t>LC50：无资料</w:t>
            </w:r>
          </w:p>
        </w:tc>
      </w:tr>
      <w:tr w14:paraId="3CE8A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341B4354">
            <w:pPr>
              <w:widowControl/>
              <w:spacing w:line="240" w:lineRule="auto"/>
              <w:ind w:firstLine="0" w:firstLineChars="0"/>
              <w:jc w:val="center"/>
              <w:textAlignment w:val="baseline"/>
              <w:rPr>
                <w:sz w:val="21"/>
                <w:szCs w:val="21"/>
              </w:rPr>
            </w:pPr>
            <w:r>
              <w:rPr>
                <w:sz w:val="21"/>
                <w:szCs w:val="21"/>
              </w:rPr>
              <w:t>环境影响：</w:t>
            </w:r>
          </w:p>
        </w:tc>
        <w:tc>
          <w:tcPr>
            <w:tcW w:w="4005" w:type="pct"/>
            <w:vAlign w:val="center"/>
          </w:tcPr>
          <w:p w14:paraId="14F2AD22">
            <w:pPr>
              <w:widowControl/>
              <w:spacing w:line="240" w:lineRule="auto"/>
              <w:ind w:firstLine="0" w:firstLineChars="0"/>
              <w:textAlignment w:val="baseline"/>
              <w:rPr>
                <w:sz w:val="21"/>
                <w:szCs w:val="21"/>
              </w:rPr>
            </w:pPr>
            <w:r>
              <w:rPr>
                <w:sz w:val="21"/>
                <w:szCs w:val="21"/>
              </w:rPr>
              <w:t>该物质对环境可能有危害，对水体应给予特别注意。</w:t>
            </w:r>
          </w:p>
        </w:tc>
      </w:tr>
      <w:tr w14:paraId="79B83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45417C97">
            <w:pPr>
              <w:widowControl/>
              <w:spacing w:line="240" w:lineRule="auto"/>
              <w:ind w:firstLine="0" w:firstLineChars="0"/>
              <w:jc w:val="center"/>
              <w:textAlignment w:val="baseline"/>
              <w:rPr>
                <w:sz w:val="21"/>
                <w:szCs w:val="21"/>
              </w:rPr>
            </w:pPr>
            <w:r>
              <w:rPr>
                <w:sz w:val="21"/>
                <w:szCs w:val="21"/>
              </w:rPr>
              <w:t>废弃：</w:t>
            </w:r>
          </w:p>
        </w:tc>
        <w:tc>
          <w:tcPr>
            <w:tcW w:w="4005" w:type="pct"/>
            <w:vAlign w:val="center"/>
          </w:tcPr>
          <w:p w14:paraId="7C559168">
            <w:pPr>
              <w:widowControl/>
              <w:spacing w:line="240" w:lineRule="auto"/>
              <w:ind w:firstLine="0" w:firstLineChars="0"/>
              <w:textAlignment w:val="baseline"/>
              <w:rPr>
                <w:sz w:val="21"/>
                <w:szCs w:val="21"/>
              </w:rPr>
            </w:pPr>
            <w:r>
              <w:rPr>
                <w:sz w:val="21"/>
                <w:szCs w:val="21"/>
              </w:rPr>
              <w:t>处置前应参阅国家和地方有关法规。建议用焚烧法处置。</w:t>
            </w:r>
          </w:p>
        </w:tc>
      </w:tr>
      <w:tr w14:paraId="496D9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2"/>
            <w:vAlign w:val="center"/>
          </w:tcPr>
          <w:p w14:paraId="2B8FDF13">
            <w:pPr>
              <w:widowControl/>
              <w:spacing w:line="240" w:lineRule="auto"/>
              <w:ind w:firstLine="0" w:firstLineChars="0"/>
              <w:jc w:val="center"/>
              <w:textAlignment w:val="baseline"/>
              <w:rPr>
                <w:sz w:val="21"/>
                <w:szCs w:val="21"/>
              </w:rPr>
            </w:pPr>
            <w:r>
              <w:rPr>
                <w:sz w:val="21"/>
                <w:szCs w:val="21"/>
              </w:rPr>
              <w:t>其他信息</w:t>
            </w:r>
          </w:p>
        </w:tc>
      </w:tr>
      <w:tr w14:paraId="6A9C4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0CBA7B8D">
            <w:pPr>
              <w:widowControl/>
              <w:spacing w:line="240" w:lineRule="auto"/>
              <w:ind w:firstLine="0" w:firstLineChars="0"/>
              <w:jc w:val="center"/>
              <w:textAlignment w:val="baseline"/>
              <w:rPr>
                <w:sz w:val="21"/>
                <w:szCs w:val="21"/>
              </w:rPr>
            </w:pPr>
            <w:r>
              <w:rPr>
                <w:sz w:val="21"/>
                <w:szCs w:val="21"/>
              </w:rPr>
              <w:t>包装分类：</w:t>
            </w:r>
          </w:p>
        </w:tc>
        <w:tc>
          <w:tcPr>
            <w:tcW w:w="4005" w:type="pct"/>
            <w:vAlign w:val="center"/>
          </w:tcPr>
          <w:p w14:paraId="69227982">
            <w:pPr>
              <w:widowControl/>
              <w:spacing w:line="240" w:lineRule="auto"/>
              <w:ind w:firstLine="0" w:firstLineChars="0"/>
              <w:textAlignment w:val="baseline"/>
              <w:rPr>
                <w:sz w:val="21"/>
                <w:szCs w:val="21"/>
              </w:rPr>
            </w:pPr>
            <w:r>
              <w:rPr>
                <w:sz w:val="21"/>
                <w:szCs w:val="21"/>
              </w:rPr>
              <w:t>052</w:t>
            </w:r>
          </w:p>
        </w:tc>
      </w:tr>
      <w:tr w14:paraId="6AEC6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95" w:type="pct"/>
            <w:vAlign w:val="center"/>
          </w:tcPr>
          <w:p w14:paraId="094DDA4A">
            <w:pPr>
              <w:widowControl/>
              <w:spacing w:line="240" w:lineRule="auto"/>
              <w:ind w:firstLine="0" w:firstLineChars="0"/>
              <w:jc w:val="center"/>
              <w:textAlignment w:val="baseline"/>
              <w:rPr>
                <w:sz w:val="21"/>
                <w:szCs w:val="21"/>
              </w:rPr>
            </w:pPr>
            <w:r>
              <w:rPr>
                <w:sz w:val="21"/>
                <w:szCs w:val="21"/>
              </w:rPr>
              <w:t>包装方法：</w:t>
            </w:r>
          </w:p>
        </w:tc>
        <w:tc>
          <w:tcPr>
            <w:tcW w:w="4005" w:type="pct"/>
            <w:vAlign w:val="center"/>
          </w:tcPr>
          <w:p w14:paraId="0ABC0A86">
            <w:pPr>
              <w:widowControl/>
              <w:spacing w:line="240" w:lineRule="auto"/>
              <w:ind w:firstLine="0" w:firstLineChars="0"/>
              <w:textAlignment w:val="baseline"/>
              <w:rPr>
                <w:sz w:val="21"/>
                <w:szCs w:val="21"/>
              </w:rPr>
            </w:pPr>
            <w:r>
              <w:rPr>
                <w:sz w:val="21"/>
                <w:szCs w:val="21"/>
              </w:rPr>
              <w:t>钢质气瓶。</w:t>
            </w:r>
          </w:p>
        </w:tc>
      </w:tr>
    </w:tbl>
    <w:p w14:paraId="592A6AC9">
      <w:pPr>
        <w:pStyle w:val="5"/>
        <w:rPr>
          <w:color w:val="auto"/>
        </w:rPr>
      </w:pPr>
      <w:bookmarkStart w:id="371" w:name="_Toc215210566"/>
      <w:bookmarkStart w:id="372" w:name="_Toc160982184"/>
      <w:bookmarkStart w:id="373" w:name="_Toc160982071"/>
      <w:bookmarkStart w:id="374" w:name="_Toc160982535"/>
      <w:bookmarkStart w:id="375" w:name="_Toc160982416"/>
      <w:r>
        <w:rPr>
          <w:rFonts w:hint="eastAsia"/>
          <w:color w:val="auto"/>
        </w:rPr>
        <w:t>3.2</w:t>
      </w:r>
      <w:r>
        <w:rPr>
          <w:color w:val="auto"/>
        </w:rPr>
        <w:t>智能化生产线危险、有害因素分析</w:t>
      </w:r>
      <w:bookmarkEnd w:id="371"/>
    </w:p>
    <w:p w14:paraId="19E4EDFE">
      <w:pPr>
        <w:pStyle w:val="9"/>
        <w:rPr>
          <w:color w:val="auto"/>
        </w:rPr>
      </w:pPr>
      <w:bookmarkStart w:id="376" w:name="_Toc215210567"/>
      <w:r>
        <w:rPr>
          <w:rFonts w:hint="eastAsia"/>
          <w:color w:val="auto"/>
        </w:rPr>
        <w:t>3.2.1原料预处理系统危险、有害因素分析</w:t>
      </w:r>
      <w:bookmarkEnd w:id="376"/>
    </w:p>
    <w:p w14:paraId="7A78C2B4">
      <w:pPr>
        <w:ind w:firstLine="560"/>
        <w:rPr>
          <w:snapToGrid w:val="0"/>
          <w:szCs w:val="28"/>
        </w:rPr>
      </w:pPr>
      <w:r>
        <w:rPr>
          <w:snapToGrid w:val="0"/>
          <w:szCs w:val="28"/>
        </w:rPr>
        <w:t>粒径在线监测系统因算法漏判±0.1μm级金属杂质（如Cu屑），导致缺陷材料流入包装线</w:t>
      </w:r>
    </w:p>
    <w:p w14:paraId="7E8AED01">
      <w:pPr>
        <w:ind w:firstLine="560"/>
        <w:rPr>
          <w:snapToGrid w:val="0"/>
          <w:szCs w:val="28"/>
        </w:rPr>
      </w:pPr>
      <w:r>
        <w:rPr>
          <w:rFonts w:hint="eastAsia"/>
          <w:snapToGrid w:val="0"/>
          <w:szCs w:val="28"/>
        </w:rPr>
        <w:t>原料在运输、卸车、投料、转运过程中，有车辆行驶，因环境影响和人员操作不当，极易造成车辆伤害、起重伤害；人工打开吨包下料口过程中，人员暴露在危险区域，易发生机械伤害、物体打击等事故，人员防护不当吸入粉尘，对人体健康造成危害；</w:t>
      </w:r>
    </w:p>
    <w:p w14:paraId="32B3475C">
      <w:pPr>
        <w:ind w:firstLine="560"/>
        <w:rPr>
          <w:snapToGrid w:val="0"/>
          <w:szCs w:val="28"/>
        </w:rPr>
      </w:pPr>
      <w:r>
        <w:rPr>
          <w:rFonts w:hint="eastAsia"/>
          <w:snapToGrid w:val="0"/>
          <w:szCs w:val="28"/>
        </w:rPr>
        <w:t>原料在投料、破碎、输送、整形过程中，输送</w:t>
      </w:r>
      <w:r>
        <w:rPr>
          <w:snapToGrid w:val="0"/>
          <w:szCs w:val="28"/>
        </w:rPr>
        <w:t>机</w:t>
      </w:r>
      <w:r>
        <w:rPr>
          <w:rFonts w:hint="eastAsia"/>
          <w:snapToGrid w:val="0"/>
          <w:szCs w:val="28"/>
        </w:rPr>
        <w:t>、</w:t>
      </w:r>
      <w:r>
        <w:rPr>
          <w:snapToGrid w:val="0"/>
          <w:szCs w:val="28"/>
        </w:rPr>
        <w:t>破碎机</w:t>
      </w:r>
      <w:r>
        <w:rPr>
          <w:rFonts w:hint="eastAsia"/>
          <w:snapToGrid w:val="0"/>
          <w:szCs w:val="28"/>
        </w:rPr>
        <w:t>、风机、混料机</w:t>
      </w:r>
      <w:r>
        <w:rPr>
          <w:snapToGrid w:val="0"/>
          <w:szCs w:val="28"/>
        </w:rPr>
        <w:t>等机械的裸露运转部位未设防护设施或防护失效</w:t>
      </w:r>
      <w:r>
        <w:rPr>
          <w:rFonts w:hint="eastAsia"/>
          <w:snapToGrid w:val="0"/>
          <w:szCs w:val="28"/>
        </w:rPr>
        <w:t>，</w:t>
      </w:r>
      <w:r>
        <w:rPr>
          <w:snapToGrid w:val="0"/>
          <w:szCs w:val="28"/>
        </w:rPr>
        <w:t>操作平台未设置防护栏或防护栏损坏</w:t>
      </w:r>
      <w:r>
        <w:rPr>
          <w:rFonts w:hint="eastAsia"/>
          <w:snapToGrid w:val="0"/>
          <w:szCs w:val="28"/>
        </w:rPr>
        <w:t>，</w:t>
      </w:r>
      <w:r>
        <w:rPr>
          <w:snapToGrid w:val="0"/>
          <w:szCs w:val="28"/>
        </w:rPr>
        <w:t>停车时进行检修</w:t>
      </w:r>
      <w:r>
        <w:rPr>
          <w:rFonts w:hint="eastAsia"/>
          <w:snapToGrid w:val="0"/>
          <w:szCs w:val="28"/>
        </w:rPr>
        <w:t>、清扫未悬挂警示牌等均可能发生人体绞、卷、刺、挤伤等机械伤害。</w:t>
      </w:r>
    </w:p>
    <w:p w14:paraId="22C561FA">
      <w:pPr>
        <w:ind w:firstLine="560"/>
        <w:rPr>
          <w:snapToGrid w:val="0"/>
          <w:szCs w:val="28"/>
        </w:rPr>
      </w:pPr>
      <w:r>
        <w:rPr>
          <w:snapToGrid w:val="0"/>
          <w:szCs w:val="28"/>
        </w:rPr>
        <w:t>电气线路或电气设备在安装上存在缺陷</w:t>
      </w:r>
      <w:r>
        <w:rPr>
          <w:rFonts w:hint="eastAsia"/>
          <w:snapToGrid w:val="0"/>
          <w:szCs w:val="28"/>
        </w:rPr>
        <w:t>，</w:t>
      </w:r>
      <w:r>
        <w:rPr>
          <w:snapToGrid w:val="0"/>
          <w:szCs w:val="28"/>
        </w:rPr>
        <w:t>或在运行中缺乏必要的检修维护</w:t>
      </w:r>
      <w:r>
        <w:rPr>
          <w:rFonts w:hint="eastAsia"/>
          <w:snapToGrid w:val="0"/>
          <w:szCs w:val="28"/>
        </w:rPr>
        <w:t>；</w:t>
      </w:r>
      <w:r>
        <w:rPr>
          <w:snapToGrid w:val="0"/>
          <w:szCs w:val="28"/>
        </w:rPr>
        <w:t>没有必要的安全技术措施或安全技术措施失效</w:t>
      </w:r>
      <w:r>
        <w:rPr>
          <w:rFonts w:hint="eastAsia"/>
          <w:snapToGrid w:val="0"/>
          <w:szCs w:val="28"/>
        </w:rPr>
        <w:t>；电气设备运行管理不当，安全管理制度不完善；专业电工或机电设备操作人员的操作失误或违章作业等都会造成电气伤害。</w:t>
      </w:r>
      <w:bookmarkStart w:id="377" w:name="_Toc4141881"/>
    </w:p>
    <w:bookmarkEnd w:id="377"/>
    <w:p w14:paraId="094C673A">
      <w:pPr>
        <w:ind w:firstLine="560"/>
        <w:rPr>
          <w:snapToGrid w:val="0"/>
          <w:szCs w:val="28"/>
        </w:rPr>
      </w:pPr>
      <w:r>
        <w:rPr>
          <w:rFonts w:hint="eastAsia"/>
          <w:snapToGrid w:val="0"/>
          <w:szCs w:val="28"/>
        </w:rPr>
        <w:t>原料预处理</w:t>
      </w:r>
      <w:r>
        <w:rPr>
          <w:snapToGrid w:val="0"/>
          <w:szCs w:val="28"/>
        </w:rPr>
        <w:t>过程中无收尘设施或收尘设施未正常运转</w:t>
      </w:r>
      <w:r>
        <w:rPr>
          <w:rFonts w:hint="eastAsia"/>
          <w:snapToGrid w:val="0"/>
          <w:szCs w:val="28"/>
        </w:rPr>
        <w:t>，</w:t>
      </w:r>
      <w:r>
        <w:rPr>
          <w:snapToGrid w:val="0"/>
          <w:szCs w:val="28"/>
        </w:rPr>
        <w:t>作业人员无防护设施</w:t>
      </w:r>
      <w:r>
        <w:rPr>
          <w:rFonts w:hint="eastAsia"/>
          <w:snapToGrid w:val="0"/>
          <w:szCs w:val="28"/>
        </w:rPr>
        <w:t>，</w:t>
      </w:r>
      <w:r>
        <w:rPr>
          <w:snapToGrid w:val="0"/>
          <w:szCs w:val="28"/>
        </w:rPr>
        <w:t>均易引发粉尘危害</w:t>
      </w:r>
      <w:r>
        <w:rPr>
          <w:rFonts w:hint="eastAsia"/>
          <w:snapToGrid w:val="0"/>
          <w:szCs w:val="28"/>
        </w:rPr>
        <w:t>。</w:t>
      </w:r>
    </w:p>
    <w:p w14:paraId="5320C069">
      <w:pPr>
        <w:ind w:firstLine="560"/>
        <w:rPr>
          <w:snapToGrid w:val="0"/>
          <w:szCs w:val="28"/>
        </w:rPr>
      </w:pPr>
      <w:r>
        <w:rPr>
          <w:rFonts w:hint="eastAsia"/>
          <w:snapToGrid w:val="0"/>
          <w:szCs w:val="28"/>
        </w:rPr>
        <w:t>破碎、整形加工过程中，设备无减振设施或作业人员未佩戴劳动防护用品，会引发噪声危害。</w:t>
      </w:r>
    </w:p>
    <w:p w14:paraId="24EAAA63">
      <w:pPr>
        <w:pStyle w:val="9"/>
        <w:rPr>
          <w:color w:val="auto"/>
        </w:rPr>
      </w:pPr>
      <w:bookmarkStart w:id="378" w:name="_Toc215210568"/>
      <w:r>
        <w:rPr>
          <w:rFonts w:hint="eastAsia"/>
          <w:color w:val="auto"/>
        </w:rPr>
        <w:t>3.2.2石墨化升级危险、有害因素分析</w:t>
      </w:r>
      <w:bookmarkEnd w:id="378"/>
    </w:p>
    <w:p w14:paraId="59976152">
      <w:pPr>
        <w:ind w:firstLine="560"/>
        <w:rPr>
          <w:snapToGrid w:val="0"/>
          <w:szCs w:val="28"/>
        </w:rPr>
      </w:pPr>
      <w:r>
        <w:rPr>
          <w:rFonts w:hint="eastAsia"/>
          <w:snapToGrid w:val="0"/>
          <w:szCs w:val="28"/>
        </w:rPr>
        <w:t>石墨化是利用热活化将热力学不稳定的碳原子实现由乱层结构向石墨晶体结构的有序转化。石墨化需使用高温热处理对原子重排及结构转变提供能量。本项目采用的炉型为箱体石墨化炉(简称：箱体炉)，箱体石墨化炉生产依次包含装炉、石墨化、出炉等工序。石墨化后的物料经气力输送至混料机进行混料，混料完成后进入缓冲仓暂存。</w:t>
      </w:r>
    </w:p>
    <w:p w14:paraId="1F7D59F6">
      <w:pPr>
        <w:ind w:firstLine="560"/>
        <w:rPr>
          <w:snapToGrid w:val="0"/>
          <w:szCs w:val="28"/>
        </w:rPr>
      </w:pPr>
      <w:r>
        <w:rPr>
          <w:rFonts w:hint="eastAsia"/>
          <w:snapToGrid w:val="0"/>
          <w:szCs w:val="28"/>
        </w:rPr>
        <w:t>混料完成后的物料经气力输送至旋震筛进行筛分。筛上物进入缓冲仓暂存，返回磨粉车间破碎工序使用；筛下物进入除磁机进行除磁，励磁物进入缓冲仓暂存，经气力输送至包装机包装后外售；合格物料进入缓冲仓暂存，经气力输送至包装机包装后进入二次包覆工序。</w:t>
      </w:r>
    </w:p>
    <w:p w14:paraId="26F0FDAC">
      <w:pPr>
        <w:ind w:firstLine="560"/>
        <w:rPr>
          <w:snapToGrid w:val="0"/>
          <w:szCs w:val="28"/>
        </w:rPr>
      </w:pPr>
      <w:r>
        <w:rPr>
          <w:rFonts w:hint="eastAsia"/>
          <w:snapToGrid w:val="0"/>
          <w:szCs w:val="28"/>
        </w:rPr>
        <w:t>所以石墨化工艺过程中，人员易接触高温</w:t>
      </w:r>
      <w:r>
        <w:t>烟气</w:t>
      </w:r>
      <w:r>
        <w:rPr>
          <w:rFonts w:hint="eastAsia"/>
        </w:rPr>
        <w:t>、</w:t>
      </w:r>
      <w:r>
        <w:rPr>
          <w:rFonts w:hint="eastAsia"/>
          <w:snapToGrid w:val="0"/>
          <w:szCs w:val="28"/>
        </w:rPr>
        <w:t>设备和物料，易导致人员高温灼烫事故，石墨化过程中产生的尾气中含有CO、H</w:t>
      </w:r>
      <w:r>
        <w:rPr>
          <w:rFonts w:hint="eastAsia"/>
          <w:snapToGrid w:val="0"/>
          <w:szCs w:val="28"/>
          <w:vertAlign w:val="subscript"/>
        </w:rPr>
        <w:t>2</w:t>
      </w:r>
      <w:r>
        <w:rPr>
          <w:rFonts w:hint="eastAsia"/>
          <w:snapToGrid w:val="0"/>
          <w:szCs w:val="28"/>
        </w:rPr>
        <w:t>S、SO</w:t>
      </w:r>
      <w:r>
        <w:rPr>
          <w:rFonts w:hint="eastAsia"/>
          <w:snapToGrid w:val="0"/>
          <w:szCs w:val="28"/>
          <w:vertAlign w:val="subscript"/>
        </w:rPr>
        <w:t>2</w:t>
      </w:r>
      <w:r>
        <w:rPr>
          <w:rFonts w:hint="eastAsia"/>
          <w:snapToGrid w:val="0"/>
          <w:szCs w:val="28"/>
        </w:rPr>
        <w:t>等有毒气体，当现场尾气吸收系统出现异常或损坏，人员吸入有毒尾气易发生中毒和窒息事故；箱体炉设备较大，人员在作业过程中，</w:t>
      </w:r>
      <w:r>
        <w:rPr>
          <w:snapToGrid w:val="0"/>
          <w:szCs w:val="28"/>
        </w:rPr>
        <w:t>操作平台未设置防护栏或防护栏损坏</w:t>
      </w:r>
      <w:r>
        <w:rPr>
          <w:rFonts w:hint="eastAsia"/>
          <w:snapToGrid w:val="0"/>
          <w:szCs w:val="28"/>
        </w:rPr>
        <w:t>、人员大意疏忽，易发生高处坠落事故。</w:t>
      </w:r>
    </w:p>
    <w:p w14:paraId="06407805">
      <w:pPr>
        <w:ind w:firstLine="560"/>
        <w:rPr>
          <w:snapToGrid w:val="0"/>
          <w:szCs w:val="28"/>
        </w:rPr>
      </w:pPr>
      <w:r>
        <w:rPr>
          <w:rFonts w:hint="eastAsia"/>
          <w:snapToGrid w:val="0"/>
          <w:szCs w:val="28"/>
        </w:rPr>
        <w:t>作业人员在使用天车作业过程中，因操作技能、作业环境影响等，易发生起重伤害。</w:t>
      </w:r>
    </w:p>
    <w:p w14:paraId="724904B2">
      <w:pPr>
        <w:ind w:firstLine="560"/>
        <w:rPr>
          <w:snapToGrid w:val="0"/>
          <w:szCs w:val="28"/>
        </w:rPr>
      </w:pPr>
      <w:r>
        <w:rPr>
          <w:rFonts w:hint="eastAsia"/>
          <w:snapToGrid w:val="0"/>
          <w:szCs w:val="28"/>
        </w:rPr>
        <w:t>在物料吊运、反应过程中，如</w:t>
      </w:r>
      <w:r>
        <w:rPr>
          <w:snapToGrid w:val="0"/>
          <w:szCs w:val="28"/>
        </w:rPr>
        <w:t>无收尘设施或收尘设施未正常运转</w:t>
      </w:r>
      <w:r>
        <w:rPr>
          <w:rFonts w:hint="eastAsia"/>
          <w:snapToGrid w:val="0"/>
          <w:szCs w:val="28"/>
        </w:rPr>
        <w:t>，</w:t>
      </w:r>
      <w:r>
        <w:rPr>
          <w:snapToGrid w:val="0"/>
          <w:szCs w:val="28"/>
        </w:rPr>
        <w:t>作业人员无防护设施</w:t>
      </w:r>
      <w:r>
        <w:rPr>
          <w:rFonts w:hint="eastAsia"/>
          <w:snapToGrid w:val="0"/>
          <w:szCs w:val="28"/>
        </w:rPr>
        <w:t>，</w:t>
      </w:r>
      <w:r>
        <w:rPr>
          <w:snapToGrid w:val="0"/>
          <w:szCs w:val="28"/>
        </w:rPr>
        <w:t>均易引发粉尘危害</w:t>
      </w:r>
      <w:r>
        <w:rPr>
          <w:rFonts w:hint="eastAsia"/>
          <w:snapToGrid w:val="0"/>
          <w:szCs w:val="28"/>
        </w:rPr>
        <w:t>。</w:t>
      </w:r>
    </w:p>
    <w:p w14:paraId="5E2DFA5D">
      <w:pPr>
        <w:ind w:firstLine="560"/>
        <w:rPr>
          <w:rFonts w:hint="eastAsia" w:ascii="宋体" w:hAnsi="宋体"/>
        </w:rPr>
      </w:pPr>
      <w:r>
        <w:rPr>
          <w:rFonts w:hint="eastAsia"/>
          <w:snapToGrid w:val="0"/>
          <w:szCs w:val="28"/>
        </w:rPr>
        <w:t>现场</w:t>
      </w:r>
      <w:r>
        <w:rPr>
          <w:snapToGrid w:val="0"/>
          <w:szCs w:val="28"/>
        </w:rPr>
        <w:t>电气线路或电气设备在安装上存在缺陷</w:t>
      </w:r>
      <w:r>
        <w:rPr>
          <w:rFonts w:hint="eastAsia"/>
          <w:snapToGrid w:val="0"/>
          <w:szCs w:val="28"/>
        </w:rPr>
        <w:t>，</w:t>
      </w:r>
      <w:r>
        <w:rPr>
          <w:snapToGrid w:val="0"/>
          <w:szCs w:val="28"/>
        </w:rPr>
        <w:t>或在运行中缺乏必要的检修维护</w:t>
      </w:r>
      <w:r>
        <w:rPr>
          <w:rFonts w:hint="eastAsia"/>
          <w:snapToGrid w:val="0"/>
          <w:szCs w:val="28"/>
        </w:rPr>
        <w:t>；</w:t>
      </w:r>
      <w:r>
        <w:rPr>
          <w:snapToGrid w:val="0"/>
          <w:szCs w:val="28"/>
        </w:rPr>
        <w:t>没有必要的安全技术措施或安全技术措施失效</w:t>
      </w:r>
      <w:r>
        <w:rPr>
          <w:rFonts w:hint="eastAsia"/>
          <w:snapToGrid w:val="0"/>
          <w:szCs w:val="28"/>
        </w:rPr>
        <w:t>；电气设备运行管理不当，安全管理制度不完善；专业电工或机电设备操作人员的操作失误或违章作业等都会造成电气伤害。</w:t>
      </w:r>
    </w:p>
    <w:p w14:paraId="2A8259A8">
      <w:pPr>
        <w:pStyle w:val="9"/>
        <w:rPr>
          <w:color w:val="auto"/>
        </w:rPr>
      </w:pPr>
      <w:bookmarkStart w:id="379" w:name="_Toc215210569"/>
      <w:r>
        <w:rPr>
          <w:rFonts w:hint="eastAsia"/>
          <w:color w:val="auto"/>
        </w:rPr>
        <w:t>3.2.3</w:t>
      </w:r>
      <w:r>
        <w:rPr>
          <w:color w:val="auto"/>
          <w:lang w:val="en-US"/>
        </w:rPr>
        <w:t>全自动包覆-碳化线</w:t>
      </w:r>
      <w:r>
        <w:rPr>
          <w:rFonts w:hint="eastAsia"/>
          <w:color w:val="auto"/>
        </w:rPr>
        <w:t>危险、有害因素分析</w:t>
      </w:r>
      <w:bookmarkEnd w:id="379"/>
    </w:p>
    <w:p w14:paraId="65B64FE1">
      <w:pPr>
        <w:ind w:firstLine="560"/>
        <w:rPr>
          <w:snapToGrid w:val="0"/>
          <w:szCs w:val="28"/>
        </w:rPr>
      </w:pPr>
      <w:r>
        <w:rPr>
          <w:rFonts w:hint="eastAsia"/>
          <w:snapToGrid w:val="0"/>
          <w:szCs w:val="28"/>
        </w:rPr>
        <w:t>改性造粒工艺主要设备设施有混料机、高低温卧式釜、解聚机，主要工艺涉及到物理混料、高温改性、低温冷却、研磨解聚打散等，运行中主要涉及的危险有害因素主要有机械伤害、高温灼烫、物体打击等。</w:t>
      </w:r>
    </w:p>
    <w:p w14:paraId="1E236061">
      <w:pPr>
        <w:ind w:firstLine="560"/>
        <w:rPr>
          <w:snapToGrid w:val="0"/>
          <w:szCs w:val="28"/>
        </w:rPr>
      </w:pPr>
      <w:r>
        <w:rPr>
          <w:rFonts w:hint="eastAsia"/>
          <w:snapToGrid w:val="0"/>
          <w:szCs w:val="28"/>
        </w:rPr>
        <w:t>设备运行过程中，设备会产生较高的噪声，如无减振设施或作业人员未佩戴劳动防护用品，会引发噪声危害。</w:t>
      </w:r>
    </w:p>
    <w:p w14:paraId="4E352375">
      <w:pPr>
        <w:ind w:firstLine="560"/>
        <w:rPr>
          <w:snapToGrid w:val="0"/>
          <w:szCs w:val="28"/>
        </w:rPr>
      </w:pPr>
      <w:r>
        <w:rPr>
          <w:rFonts w:hint="eastAsia"/>
          <w:snapToGrid w:val="0"/>
          <w:szCs w:val="28"/>
        </w:rPr>
        <w:t>在混料和解聚打散过程中，如</w:t>
      </w:r>
      <w:r>
        <w:rPr>
          <w:snapToGrid w:val="0"/>
          <w:szCs w:val="28"/>
        </w:rPr>
        <w:t>无收尘设施或收尘设施未正常运转</w:t>
      </w:r>
      <w:r>
        <w:rPr>
          <w:rFonts w:hint="eastAsia"/>
          <w:snapToGrid w:val="0"/>
          <w:szCs w:val="28"/>
        </w:rPr>
        <w:t>，</w:t>
      </w:r>
      <w:r>
        <w:rPr>
          <w:snapToGrid w:val="0"/>
          <w:szCs w:val="28"/>
        </w:rPr>
        <w:t>作业人员无防护设施</w:t>
      </w:r>
      <w:r>
        <w:rPr>
          <w:rFonts w:hint="eastAsia"/>
          <w:snapToGrid w:val="0"/>
          <w:szCs w:val="28"/>
        </w:rPr>
        <w:t>，</w:t>
      </w:r>
      <w:r>
        <w:rPr>
          <w:snapToGrid w:val="0"/>
          <w:szCs w:val="28"/>
        </w:rPr>
        <w:t>均易引发粉尘危害</w:t>
      </w:r>
      <w:r>
        <w:rPr>
          <w:rFonts w:hint="eastAsia"/>
          <w:snapToGrid w:val="0"/>
          <w:szCs w:val="28"/>
        </w:rPr>
        <w:t>。</w:t>
      </w:r>
    </w:p>
    <w:p w14:paraId="679E1E83">
      <w:pPr>
        <w:ind w:firstLine="560"/>
        <w:rPr>
          <w:rFonts w:hint="eastAsia" w:ascii="宋体" w:hAnsi="宋体"/>
        </w:rPr>
      </w:pPr>
      <w:r>
        <w:rPr>
          <w:rFonts w:hint="eastAsia"/>
          <w:snapToGrid w:val="0"/>
          <w:szCs w:val="28"/>
        </w:rPr>
        <w:t>现场</w:t>
      </w:r>
      <w:r>
        <w:rPr>
          <w:snapToGrid w:val="0"/>
          <w:szCs w:val="28"/>
        </w:rPr>
        <w:t>电气线路或电气设备在安装上存在缺陷</w:t>
      </w:r>
      <w:r>
        <w:rPr>
          <w:rFonts w:hint="eastAsia"/>
          <w:snapToGrid w:val="0"/>
          <w:szCs w:val="28"/>
        </w:rPr>
        <w:t>，</w:t>
      </w:r>
      <w:r>
        <w:rPr>
          <w:snapToGrid w:val="0"/>
          <w:szCs w:val="28"/>
        </w:rPr>
        <w:t>或在运行中缺乏必要的检修维护</w:t>
      </w:r>
      <w:r>
        <w:rPr>
          <w:rFonts w:hint="eastAsia"/>
          <w:snapToGrid w:val="0"/>
          <w:szCs w:val="28"/>
        </w:rPr>
        <w:t>；</w:t>
      </w:r>
      <w:r>
        <w:rPr>
          <w:snapToGrid w:val="0"/>
          <w:szCs w:val="28"/>
        </w:rPr>
        <w:t>没有必要的安全技术措施或安全技术措施失效</w:t>
      </w:r>
      <w:r>
        <w:rPr>
          <w:rFonts w:hint="eastAsia"/>
          <w:snapToGrid w:val="0"/>
          <w:szCs w:val="28"/>
        </w:rPr>
        <w:t>；电气设备运行管理不当，安全管理制度不完善；专业电工或机电设备操作人员的操作失误或违章作业等都会造成电气伤害。</w:t>
      </w:r>
    </w:p>
    <w:p w14:paraId="38056DB8">
      <w:pPr>
        <w:pStyle w:val="9"/>
        <w:rPr>
          <w:color w:val="auto"/>
        </w:rPr>
      </w:pPr>
      <w:bookmarkStart w:id="380" w:name="_Toc215210570"/>
      <w:r>
        <w:rPr>
          <w:rFonts w:hint="eastAsia"/>
          <w:color w:val="auto"/>
        </w:rPr>
        <w:t>3.2.4成品加工线危险、有害因素分析</w:t>
      </w:r>
      <w:bookmarkEnd w:id="380"/>
    </w:p>
    <w:p w14:paraId="434EF56C">
      <w:pPr>
        <w:ind w:firstLine="560"/>
        <w:rPr>
          <w:snapToGrid w:val="0"/>
          <w:szCs w:val="28"/>
        </w:rPr>
      </w:pPr>
      <w:r>
        <w:rPr>
          <w:rFonts w:hint="eastAsia"/>
          <w:snapToGrid w:val="0"/>
          <w:szCs w:val="28"/>
        </w:rPr>
        <w:t>碳化后的物料在拆包后通过气力输送至卧轴粉碎机进行破碎，破碎完成后进入缓冲仓暂存，经气力输送至旋震筛进行筛分，筛下物进入除磁机进行除磁，励磁物进入缓冲仓暂存，经气力输送至包装机包装后进入库房和外售。</w:t>
      </w:r>
    </w:p>
    <w:p w14:paraId="472A184F">
      <w:pPr>
        <w:ind w:firstLine="560"/>
        <w:rPr>
          <w:snapToGrid w:val="0"/>
          <w:szCs w:val="28"/>
        </w:rPr>
      </w:pPr>
      <w:r>
        <w:rPr>
          <w:rFonts w:hint="eastAsia"/>
          <w:snapToGrid w:val="0"/>
          <w:szCs w:val="28"/>
        </w:rPr>
        <w:t>涉及的主要设备有卧轴粉碎机、旋震筛、除磁机等，人员在粉碎工序操作不当或粉碎机防护不全，易发生机械伤害事故，同时会产生大量粉尘，如收尘系统出现缺陷、人员防护不当，会对人体造成粉尘危害。</w:t>
      </w:r>
    </w:p>
    <w:p w14:paraId="34F37401">
      <w:pPr>
        <w:ind w:firstLine="560"/>
        <w:rPr>
          <w:snapToGrid w:val="0"/>
          <w:szCs w:val="28"/>
        </w:rPr>
      </w:pPr>
      <w:r>
        <w:rPr>
          <w:rFonts w:hint="eastAsia"/>
          <w:snapToGrid w:val="0"/>
          <w:szCs w:val="28"/>
        </w:rPr>
        <w:t>设备在运行过程中，还会产生噪声，如降噪设施降噪效果不良、人员未佩戴护耳器（耳塞）等个人防护用品，会对人员造成噪声危害。</w:t>
      </w:r>
    </w:p>
    <w:p w14:paraId="7AB61404">
      <w:pPr>
        <w:ind w:firstLine="560"/>
        <w:rPr>
          <w:snapToGrid w:val="0"/>
          <w:szCs w:val="28"/>
        </w:rPr>
      </w:pPr>
      <w:r>
        <w:rPr>
          <w:rFonts w:hint="eastAsia"/>
          <w:snapToGrid w:val="0"/>
          <w:szCs w:val="28"/>
        </w:rPr>
        <w:t>现场</w:t>
      </w:r>
      <w:r>
        <w:rPr>
          <w:snapToGrid w:val="0"/>
          <w:szCs w:val="28"/>
        </w:rPr>
        <w:t>电气线路或电气设备在安装上存在缺陷</w:t>
      </w:r>
      <w:r>
        <w:rPr>
          <w:rFonts w:hint="eastAsia"/>
          <w:snapToGrid w:val="0"/>
          <w:szCs w:val="28"/>
        </w:rPr>
        <w:t>，</w:t>
      </w:r>
      <w:r>
        <w:rPr>
          <w:snapToGrid w:val="0"/>
          <w:szCs w:val="28"/>
        </w:rPr>
        <w:t>或在运行中缺乏必要的检修维护</w:t>
      </w:r>
      <w:r>
        <w:rPr>
          <w:rFonts w:hint="eastAsia"/>
          <w:snapToGrid w:val="0"/>
          <w:szCs w:val="28"/>
        </w:rPr>
        <w:t>；</w:t>
      </w:r>
      <w:r>
        <w:rPr>
          <w:snapToGrid w:val="0"/>
          <w:szCs w:val="28"/>
        </w:rPr>
        <w:t>没有必要的安全技术措施或安全技术措施失效</w:t>
      </w:r>
      <w:r>
        <w:rPr>
          <w:rFonts w:hint="eastAsia"/>
          <w:snapToGrid w:val="0"/>
          <w:szCs w:val="28"/>
        </w:rPr>
        <w:t>；电气设备运行管理不当，安全管理制度不完善；专业电工或机电设备操作人员的操作失误或违章作业等都会造成电气伤害。</w:t>
      </w:r>
    </w:p>
    <w:p w14:paraId="362ACC7F">
      <w:pPr>
        <w:ind w:firstLine="560"/>
        <w:rPr>
          <w:snapToGrid w:val="0"/>
          <w:szCs w:val="28"/>
        </w:rPr>
      </w:pPr>
      <w:r>
        <w:rPr>
          <w:rFonts w:hint="eastAsia"/>
          <w:snapToGrid w:val="0"/>
          <w:szCs w:val="28"/>
        </w:rPr>
        <w:t>人员在高处作业过程中，如未采取有效的防护措施，极易发生高处坠落事故。</w:t>
      </w:r>
    </w:p>
    <w:p w14:paraId="3CFEE6B1">
      <w:pPr>
        <w:ind w:firstLine="560"/>
        <w:rPr>
          <w:rFonts w:hint="eastAsia" w:ascii="宋体" w:hAnsi="宋体"/>
        </w:rPr>
      </w:pPr>
      <w:r>
        <w:rPr>
          <w:rFonts w:hint="eastAsia"/>
          <w:snapToGrid w:val="0"/>
          <w:szCs w:val="28"/>
        </w:rPr>
        <w:t>储存过程中，存在起重机械、叉车转运和成品运输，车辆和人员会发生交叉，如车辆行驶不当、环境影响以及行人未详细观察和避让，易发生车辆伤害和起重伤害事故。</w:t>
      </w:r>
    </w:p>
    <w:p w14:paraId="2C2F2998">
      <w:pPr>
        <w:pStyle w:val="5"/>
        <w:rPr>
          <w:color w:val="auto"/>
        </w:rPr>
      </w:pPr>
      <w:bookmarkStart w:id="381" w:name="_Toc215210571"/>
      <w:r>
        <w:rPr>
          <w:rFonts w:hint="eastAsia"/>
          <w:color w:val="auto"/>
        </w:rPr>
        <w:t>3.3</w:t>
      </w:r>
      <w:r>
        <w:rPr>
          <w:color w:val="auto"/>
        </w:rPr>
        <w:t>数字化管理平台危险、有害因素分析</w:t>
      </w:r>
      <w:bookmarkEnd w:id="381"/>
    </w:p>
    <w:p w14:paraId="71A8F83F">
      <w:pPr>
        <w:ind w:firstLine="560"/>
        <w:rPr>
          <w:szCs w:val="28"/>
        </w:rPr>
      </w:pPr>
      <w:r>
        <w:t>IIoT系统</w:t>
      </w:r>
      <w:r>
        <w:rPr>
          <w:rFonts w:hint="eastAsia"/>
        </w:rPr>
        <w:t>、</w:t>
      </w:r>
      <w:r>
        <w:t>数字孪生平台</w:t>
      </w:r>
      <w:r>
        <w:rPr>
          <w:rFonts w:hint="eastAsia"/>
        </w:rPr>
        <w:t>、</w:t>
      </w:r>
      <w:r>
        <w:t>EMS能源管理</w:t>
      </w:r>
      <w:r>
        <w:rPr>
          <w:rFonts w:hint="eastAsia"/>
        </w:rPr>
        <w:t>等</w:t>
      </w:r>
      <w:r>
        <w:rPr>
          <w:rFonts w:hint="eastAsia"/>
          <w:szCs w:val="28"/>
        </w:rPr>
        <w:t>自动化控制系统能自动调节、检测机器设备、仪表，按规定的程序或指令自动进行作业，不但实现了人与危险源的隔离，而且能够对预知的危险采取预防控制措施，对项目的安全运行起着至关重要的作用，自动化控制系统主要存在的危险是失灵、损坏等导致操作人员误判断、扩大事故影响。引发事故的原因主要有：</w:t>
      </w:r>
    </w:p>
    <w:p w14:paraId="7A487AC6">
      <w:pPr>
        <w:ind w:firstLine="560"/>
      </w:pPr>
      <w:r>
        <w:rPr>
          <w:rFonts w:hint="eastAsia"/>
        </w:rPr>
        <w:t>1.控制系统失灵（例如死机、黑屏、信息显示不变化、操作键盘、鼠标操作不起作用等）。主要是控制器损坏或</w:t>
      </w:r>
      <w:r>
        <w:t>I/O</w:t>
      </w:r>
      <w:r>
        <w:rPr>
          <w:rFonts w:hint="eastAsia"/>
        </w:rPr>
        <w:t>组件损坏，且未采取冗余配置，无可靠的备用紧急操作手段。或操作员站及某些硬</w:t>
      </w:r>
      <w:r>
        <w:t>/</w:t>
      </w:r>
      <w:r>
        <w:rPr>
          <w:rFonts w:hint="eastAsia"/>
        </w:rPr>
        <w:t>软件操作按钮配置不能满足机组不同工况运行操作需要，特别是不能满足设备紧急故障处理的需要。会导致系统失控，造成设备损坏或人身伤亡事故。</w:t>
      </w:r>
    </w:p>
    <w:p w14:paraId="499B01BA">
      <w:pPr>
        <w:ind w:firstLine="560"/>
      </w:pPr>
      <w:r>
        <w:rPr>
          <w:rFonts w:hint="eastAsia"/>
        </w:rPr>
        <w:t>2.如果软件失误、主控制器负荷过高、配置失误造成的危害是：系统反应时间过长，计算机画面反应迟钝，影响机组调节和保护动作。</w:t>
      </w:r>
    </w:p>
    <w:p w14:paraId="5A9E29E4">
      <w:pPr>
        <w:ind w:firstLine="560"/>
      </w:pPr>
      <w:r>
        <w:rPr>
          <w:rFonts w:hint="eastAsia"/>
        </w:rPr>
        <w:t>3.一次检测元部件故障（例如压力、温度、流量、液位等表无指示或指示失误；指最大值；指最小值；示值不变化等），导致对机组运行工况误判断、造成人为误操作，或机组保护拒动</w:t>
      </w:r>
      <w:r>
        <w:t>/</w:t>
      </w:r>
      <w:r>
        <w:rPr>
          <w:rFonts w:hint="eastAsia"/>
        </w:rPr>
        <w:t>误动，或自动调节失控，危及机组安全运行。</w:t>
      </w:r>
    </w:p>
    <w:p w14:paraId="00B9EA32">
      <w:pPr>
        <w:ind w:firstLine="560"/>
      </w:pPr>
      <w:r>
        <w:rPr>
          <w:rFonts w:hint="eastAsia"/>
        </w:rPr>
        <w:t>4.自动控制系统设备故障；控制系统电缆夹层、电缆竖井等部位的电缆较为密集，阻火措施不完善，一旦电缆发生故障和燃烧，将会引发严重的火灾事故，使系统严重损坏、失控，造成的损失将无法弥补。</w:t>
      </w:r>
    </w:p>
    <w:p w14:paraId="775A35E2">
      <w:pPr>
        <w:ind w:firstLine="560"/>
      </w:pPr>
      <w:r>
        <w:rPr>
          <w:rFonts w:hint="eastAsia"/>
        </w:rPr>
        <w:t>5.设备自动保护、联锁控制拒动或误动，直接危及设备安全运行，有造成人员伤亡或设备重大损坏的可能性。</w:t>
      </w:r>
    </w:p>
    <w:p w14:paraId="5AD2285F">
      <w:pPr>
        <w:ind w:firstLine="560"/>
      </w:pPr>
      <w:r>
        <w:rPr>
          <w:rFonts w:hint="eastAsia"/>
        </w:rPr>
        <w:t>6.控制系统电源失电故障，将导致控制系统瘫痪，造成设备失控，造成人员伤亡或设备损坏。</w:t>
      </w:r>
    </w:p>
    <w:p w14:paraId="2B8392F1">
      <w:pPr>
        <w:ind w:firstLine="560"/>
        <w:rPr>
          <w:rFonts w:hint="eastAsia" w:ascii="宋体" w:hAnsi="宋体"/>
        </w:rPr>
      </w:pPr>
      <w:r>
        <w:rPr>
          <w:rFonts w:hint="eastAsia" w:ascii="宋体" w:hAnsi="宋体"/>
        </w:rPr>
        <w:t>7.自控系统控制柜位于生产作业区，如机柜间未采取有效抗爆、防火措施，如装置发生事故可能导致机柜间受到影响，继而引发DCS系统、安全仪表系统紧急停车、安全联锁等安全措施失效导致事故失控。</w:t>
      </w:r>
    </w:p>
    <w:p w14:paraId="228E74C5">
      <w:pPr>
        <w:pStyle w:val="5"/>
        <w:rPr>
          <w:color w:val="auto"/>
        </w:rPr>
      </w:pPr>
      <w:bookmarkStart w:id="382" w:name="_Toc215210572"/>
      <w:r>
        <w:rPr>
          <w:rFonts w:hint="eastAsia"/>
          <w:color w:val="auto"/>
        </w:rPr>
        <w:t>3.4</w:t>
      </w:r>
      <w:r>
        <w:rPr>
          <w:color w:val="auto"/>
        </w:rPr>
        <w:t>绿色制造设施危险、有害因素分析</w:t>
      </w:r>
      <w:bookmarkEnd w:id="382"/>
    </w:p>
    <w:p w14:paraId="526F0596">
      <w:pPr>
        <w:ind w:firstLine="560"/>
        <w:rPr>
          <w:snapToGrid w:val="0"/>
          <w:szCs w:val="28"/>
        </w:rPr>
      </w:pPr>
      <w:r>
        <w:rPr>
          <w:rFonts w:hint="eastAsia"/>
          <w:snapToGrid w:val="0"/>
          <w:szCs w:val="28"/>
        </w:rPr>
        <w:t>碳化、改性、二次包覆工序产生的尾气，经尾气风机进行收集揽收输送至尾气站进行处理，通过天然气作为辅助燃料进行燃烧后，尾气达标排放。工艺过程中存在如下危险有害因素：</w:t>
      </w:r>
    </w:p>
    <w:p w14:paraId="08362230">
      <w:pPr>
        <w:tabs>
          <w:tab w:val="left" w:pos="0"/>
        </w:tabs>
        <w:spacing w:line="500" w:lineRule="exact"/>
        <w:ind w:firstLine="562"/>
        <w:rPr>
          <w:b/>
          <w:bCs/>
          <w:szCs w:val="28"/>
          <w:lang w:bidi="ar"/>
        </w:rPr>
      </w:pPr>
      <w:r>
        <w:rPr>
          <w:rFonts w:hint="eastAsia"/>
          <w:b/>
          <w:bCs/>
          <w:szCs w:val="28"/>
          <w:lang w:bidi="ar"/>
        </w:rPr>
        <w:t>1.化学爆炸</w:t>
      </w:r>
    </w:p>
    <w:p w14:paraId="1FCA44FC">
      <w:pPr>
        <w:tabs>
          <w:tab w:val="left" w:pos="0"/>
        </w:tabs>
        <w:spacing w:line="500" w:lineRule="exact"/>
        <w:ind w:firstLine="560"/>
        <w:rPr>
          <w:szCs w:val="28"/>
          <w:lang w:bidi="ar"/>
        </w:rPr>
      </w:pPr>
      <w:r>
        <w:rPr>
          <w:rFonts w:hint="eastAsia"/>
          <w:szCs w:val="28"/>
          <w:lang w:bidi="ar"/>
        </w:rPr>
        <w:t>化学性爆炸，是指可燃气体、可燃尘与空气混合形成达到爆炸极限的混合物，接触火源时，引起的化学性爆炸事故。</w:t>
      </w:r>
    </w:p>
    <w:p w14:paraId="2DC53E35">
      <w:pPr>
        <w:tabs>
          <w:tab w:val="left" w:pos="0"/>
        </w:tabs>
        <w:spacing w:line="500" w:lineRule="exact"/>
        <w:ind w:firstLine="560"/>
        <w:rPr>
          <w:szCs w:val="28"/>
          <w:lang w:bidi="ar"/>
        </w:rPr>
      </w:pPr>
      <w:r>
        <w:rPr>
          <w:rFonts w:hint="eastAsia"/>
          <w:szCs w:val="28"/>
          <w:lang w:bidi="ar"/>
        </w:rPr>
        <w:t>尾气处理过程中，因管道和设备损坏、操作失误或密封不严，会导致尾气或天然气泄漏，泄漏的可燃气与周围的空气混合达到爆炸极限，遇火会发生爆炸。</w:t>
      </w:r>
    </w:p>
    <w:p w14:paraId="02F035C0">
      <w:pPr>
        <w:tabs>
          <w:tab w:val="left" w:pos="0"/>
        </w:tabs>
        <w:spacing w:line="500" w:lineRule="exact"/>
        <w:ind w:firstLine="560"/>
        <w:rPr>
          <w:szCs w:val="28"/>
          <w:lang w:bidi="ar"/>
        </w:rPr>
      </w:pPr>
      <w:r>
        <w:rPr>
          <w:rFonts w:hint="eastAsia"/>
          <w:szCs w:val="28"/>
          <w:lang w:bidi="ar"/>
        </w:rPr>
        <w:t>燃烧炉运行过程中，因设备、管路系统密封不严、人员操作失误、尾气系统连锁不完善等，导致天然气泄漏与空气形成爆炸性混合气体，遇到点火源将发生火灾爆炸事故。</w:t>
      </w:r>
    </w:p>
    <w:p w14:paraId="544AA698">
      <w:pPr>
        <w:tabs>
          <w:tab w:val="left" w:pos="0"/>
        </w:tabs>
        <w:spacing w:line="500" w:lineRule="exact"/>
        <w:ind w:firstLine="562"/>
        <w:rPr>
          <w:b/>
          <w:bCs/>
          <w:szCs w:val="28"/>
          <w:lang w:bidi="ar"/>
        </w:rPr>
      </w:pPr>
      <w:r>
        <w:rPr>
          <w:b/>
          <w:bCs/>
          <w:szCs w:val="28"/>
          <w:lang w:bidi="ar"/>
        </w:rPr>
        <w:t>2.中毒</w:t>
      </w:r>
      <w:r>
        <w:rPr>
          <w:rFonts w:hint="eastAsia"/>
          <w:b/>
          <w:bCs/>
          <w:szCs w:val="28"/>
          <w:lang w:bidi="ar"/>
        </w:rPr>
        <w:t>、窒息</w:t>
      </w:r>
    </w:p>
    <w:p w14:paraId="4EE5F6A1">
      <w:pPr>
        <w:tabs>
          <w:tab w:val="left" w:pos="0"/>
        </w:tabs>
        <w:spacing w:line="500" w:lineRule="exact"/>
        <w:ind w:firstLine="560"/>
        <w:rPr>
          <w:szCs w:val="28"/>
          <w:lang w:bidi="ar"/>
        </w:rPr>
      </w:pPr>
      <w:r>
        <w:rPr>
          <w:rFonts w:hint="eastAsia"/>
          <w:szCs w:val="28"/>
          <w:lang w:bidi="ar"/>
        </w:rPr>
        <w:t>本项目生产过程中可能造成中毒和窒息的物质主要有尾气，尾气中主要含有CO、H</w:t>
      </w:r>
      <w:r>
        <w:rPr>
          <w:rFonts w:hint="eastAsia"/>
          <w:szCs w:val="28"/>
          <w:vertAlign w:val="subscript"/>
          <w:lang w:bidi="ar"/>
        </w:rPr>
        <w:t>2</w:t>
      </w:r>
      <w:r>
        <w:rPr>
          <w:rFonts w:hint="eastAsia"/>
          <w:szCs w:val="28"/>
          <w:lang w:bidi="ar"/>
        </w:rPr>
        <w:t>S、SO</w:t>
      </w:r>
      <w:r>
        <w:rPr>
          <w:rFonts w:hint="eastAsia"/>
          <w:szCs w:val="28"/>
          <w:vertAlign w:val="subscript"/>
          <w:lang w:bidi="ar"/>
        </w:rPr>
        <w:t>2</w:t>
      </w:r>
      <w:r>
        <w:rPr>
          <w:rFonts w:hint="eastAsia"/>
          <w:szCs w:val="28"/>
          <w:lang w:bidi="ar"/>
        </w:rPr>
        <w:t>等，具体中毒、窒息情况表现如下：</w:t>
      </w:r>
    </w:p>
    <w:p w14:paraId="67334E0F">
      <w:pPr>
        <w:tabs>
          <w:tab w:val="left" w:pos="0"/>
        </w:tabs>
        <w:spacing w:line="500" w:lineRule="exact"/>
        <w:ind w:firstLine="560"/>
        <w:rPr>
          <w:szCs w:val="28"/>
          <w:lang w:bidi="ar"/>
        </w:rPr>
      </w:pPr>
      <w:r>
        <w:rPr>
          <w:rFonts w:hint="eastAsia"/>
          <w:szCs w:val="28"/>
          <w:lang w:bidi="ar"/>
        </w:rPr>
        <w:t>尾气中主要包含一氧化碳，是无色、无臭、有毒的气体，H2S在低浓度有臭鸡蛋气味，有毒。中毒症状表现为头昏、眩晕、耳鸣、恶心呕吐，严重者意识不清、深度昏迷。</w:t>
      </w:r>
    </w:p>
    <w:p w14:paraId="364691E8">
      <w:pPr>
        <w:tabs>
          <w:tab w:val="left" w:pos="0"/>
        </w:tabs>
        <w:spacing w:line="500" w:lineRule="exact"/>
        <w:ind w:firstLine="560"/>
        <w:rPr>
          <w:szCs w:val="28"/>
          <w:lang w:bidi="ar"/>
        </w:rPr>
      </w:pPr>
      <w:r>
        <w:rPr>
          <w:rFonts w:hint="eastAsia"/>
          <w:szCs w:val="28"/>
          <w:lang w:bidi="ar"/>
        </w:rPr>
        <w:t>如出现</w:t>
      </w:r>
      <w:r>
        <w:rPr>
          <w:szCs w:val="28"/>
          <w:lang w:bidi="ar"/>
        </w:rPr>
        <w:t>尾气泄漏，若现场通风条件不良，没有设置CO浓度监测报警装置将导致人员中毒窒息。</w:t>
      </w:r>
    </w:p>
    <w:p w14:paraId="4C583FCE">
      <w:pPr>
        <w:spacing w:line="500" w:lineRule="exact"/>
        <w:ind w:firstLine="562"/>
        <w:rPr>
          <w:b/>
          <w:bCs/>
          <w:szCs w:val="28"/>
          <w:lang w:bidi="ar"/>
        </w:rPr>
      </w:pPr>
      <w:bookmarkStart w:id="383" w:name="_Toc258930008"/>
      <w:r>
        <w:rPr>
          <w:rFonts w:hint="eastAsia"/>
          <w:b/>
          <w:bCs/>
          <w:szCs w:val="28"/>
          <w:lang w:bidi="ar"/>
        </w:rPr>
        <w:t>3</w:t>
      </w:r>
      <w:r>
        <w:rPr>
          <w:b/>
          <w:bCs/>
          <w:szCs w:val="28"/>
          <w:lang w:bidi="ar"/>
        </w:rPr>
        <w:t>.机械伤害</w:t>
      </w:r>
      <w:bookmarkEnd w:id="383"/>
      <w:r>
        <w:rPr>
          <w:b/>
          <w:bCs/>
          <w:szCs w:val="28"/>
          <w:lang w:bidi="ar"/>
        </w:rPr>
        <w:t>危险性分析</w:t>
      </w:r>
    </w:p>
    <w:p w14:paraId="7094A976">
      <w:pPr>
        <w:spacing w:line="500" w:lineRule="exact"/>
        <w:ind w:firstLine="560"/>
        <w:rPr>
          <w:szCs w:val="28"/>
          <w:lang w:bidi="ar"/>
        </w:rPr>
      </w:pPr>
      <w:r>
        <w:rPr>
          <w:szCs w:val="28"/>
          <w:lang w:bidi="ar"/>
        </w:rPr>
        <w:t>传（转）动机械设备，如各种风机、各种泵等转动机械的外露部分（齿轮、传动轴、皮带等）和往复运动部分，如果没有可靠的安全防护装置，或者设备有缺陷、操作人员违章作业等，易发生作业人员被切、绞、轧、挤、压、撞击等事故。</w:t>
      </w:r>
    </w:p>
    <w:p w14:paraId="1235F5BA">
      <w:pPr>
        <w:spacing w:line="500" w:lineRule="exact"/>
        <w:ind w:firstLine="560"/>
        <w:rPr>
          <w:szCs w:val="28"/>
          <w:lang w:bidi="ar"/>
        </w:rPr>
      </w:pPr>
      <w:r>
        <w:rPr>
          <w:szCs w:val="28"/>
          <w:lang w:bidi="ar"/>
        </w:rPr>
        <w:t>导致发生机械伤害事故的主要因素有：</w:t>
      </w:r>
    </w:p>
    <w:p w14:paraId="3B209CBD">
      <w:pPr>
        <w:spacing w:line="500" w:lineRule="exact"/>
        <w:ind w:firstLine="560"/>
        <w:rPr>
          <w:szCs w:val="28"/>
          <w:lang w:bidi="ar"/>
        </w:rPr>
      </w:pPr>
      <w:r>
        <w:rPr>
          <w:szCs w:val="28"/>
          <w:lang w:bidi="ar"/>
        </w:rPr>
        <w:t>1）违章作业或操作不当。</w:t>
      </w:r>
    </w:p>
    <w:p w14:paraId="6D29D307">
      <w:pPr>
        <w:spacing w:line="500" w:lineRule="exact"/>
        <w:ind w:firstLine="560"/>
        <w:rPr>
          <w:szCs w:val="28"/>
          <w:lang w:bidi="ar"/>
        </w:rPr>
      </w:pPr>
      <w:r>
        <w:rPr>
          <w:szCs w:val="28"/>
          <w:lang w:bidi="ar"/>
        </w:rPr>
        <w:t>2）机械设备或切割工具安全防护装置缺乏或损坏</w:t>
      </w:r>
      <w:r>
        <w:rPr>
          <w:rFonts w:hint="eastAsia"/>
          <w:szCs w:val="28"/>
          <w:lang w:bidi="ar"/>
        </w:rPr>
        <w:t>或</w:t>
      </w:r>
      <w:r>
        <w:rPr>
          <w:szCs w:val="28"/>
          <w:lang w:bidi="ar"/>
        </w:rPr>
        <w:t>被拆除等。</w:t>
      </w:r>
    </w:p>
    <w:p w14:paraId="7891A19C">
      <w:pPr>
        <w:spacing w:line="500" w:lineRule="exact"/>
        <w:ind w:firstLine="560"/>
        <w:rPr>
          <w:szCs w:val="28"/>
          <w:lang w:bidi="ar"/>
        </w:rPr>
      </w:pPr>
      <w:r>
        <w:rPr>
          <w:szCs w:val="28"/>
          <w:lang w:bidi="ar"/>
        </w:rPr>
        <w:t>3）操作人员疏忽大意，身体误入机械危险部位。</w:t>
      </w:r>
    </w:p>
    <w:p w14:paraId="05F1D76F">
      <w:pPr>
        <w:spacing w:line="500" w:lineRule="exact"/>
        <w:ind w:firstLine="560"/>
        <w:rPr>
          <w:szCs w:val="28"/>
          <w:lang w:bidi="ar"/>
        </w:rPr>
      </w:pPr>
      <w:r>
        <w:rPr>
          <w:szCs w:val="28"/>
          <w:lang w:bidi="ar"/>
        </w:rPr>
        <w:t>4）不停机检修设备。</w:t>
      </w:r>
    </w:p>
    <w:p w14:paraId="29E2773F">
      <w:pPr>
        <w:spacing w:line="500" w:lineRule="exact"/>
        <w:ind w:firstLine="560"/>
        <w:rPr>
          <w:szCs w:val="28"/>
          <w:lang w:bidi="ar"/>
        </w:rPr>
      </w:pPr>
      <w:r>
        <w:rPr>
          <w:szCs w:val="28"/>
          <w:lang w:bidi="ar"/>
        </w:rPr>
        <w:t>5）在不安全的机械上停留、休息。</w:t>
      </w:r>
    </w:p>
    <w:p w14:paraId="70056F05">
      <w:pPr>
        <w:spacing w:line="500" w:lineRule="exact"/>
        <w:ind w:firstLine="560"/>
        <w:rPr>
          <w:szCs w:val="28"/>
          <w:lang w:bidi="ar"/>
        </w:rPr>
      </w:pPr>
      <w:r>
        <w:rPr>
          <w:szCs w:val="28"/>
          <w:lang w:bidi="ar"/>
        </w:rPr>
        <w:t>6）不按规定穿戴劳动保护用品。</w:t>
      </w:r>
    </w:p>
    <w:p w14:paraId="1B81096E">
      <w:pPr>
        <w:spacing w:line="500" w:lineRule="exact"/>
        <w:ind w:firstLine="560"/>
        <w:rPr>
          <w:szCs w:val="28"/>
          <w:lang w:bidi="ar"/>
        </w:rPr>
      </w:pPr>
      <w:r>
        <w:rPr>
          <w:szCs w:val="28"/>
          <w:lang w:bidi="ar"/>
        </w:rPr>
        <w:t>7）在停车检修和正常作业时，机器突然被别人误启动。</w:t>
      </w:r>
    </w:p>
    <w:p w14:paraId="4053891E">
      <w:pPr>
        <w:spacing w:line="500" w:lineRule="exact"/>
        <w:ind w:firstLine="562"/>
        <w:rPr>
          <w:b/>
          <w:bCs/>
          <w:szCs w:val="28"/>
          <w:lang w:bidi="ar"/>
        </w:rPr>
      </w:pPr>
      <w:bookmarkStart w:id="384" w:name="_Toc258930009"/>
      <w:r>
        <w:rPr>
          <w:rFonts w:hint="eastAsia"/>
          <w:b/>
          <w:bCs/>
          <w:szCs w:val="28"/>
          <w:lang w:bidi="ar"/>
        </w:rPr>
        <w:t>4</w:t>
      </w:r>
      <w:r>
        <w:rPr>
          <w:b/>
          <w:bCs/>
          <w:szCs w:val="28"/>
          <w:lang w:bidi="ar"/>
        </w:rPr>
        <w:t>.触电</w:t>
      </w:r>
      <w:bookmarkEnd w:id="384"/>
      <w:r>
        <w:rPr>
          <w:b/>
          <w:bCs/>
          <w:szCs w:val="28"/>
          <w:lang w:bidi="ar"/>
        </w:rPr>
        <w:t>危险性分析</w:t>
      </w:r>
    </w:p>
    <w:p w14:paraId="5FC01AAA">
      <w:pPr>
        <w:spacing w:line="500" w:lineRule="exact"/>
        <w:ind w:firstLine="560"/>
        <w:rPr>
          <w:szCs w:val="28"/>
          <w:lang w:bidi="ar"/>
        </w:rPr>
      </w:pPr>
      <w:r>
        <w:rPr>
          <w:szCs w:val="28"/>
          <w:lang w:bidi="ar"/>
        </w:rPr>
        <w:t>控制室和作业现场发生触电伤害的机率较高，这是由于其作业性质决定的。引起触电事故的主要原因，除了设计缺陷、设计不周等技术因素外，大部分是由于违章作业、违章操作引起的。</w:t>
      </w:r>
    </w:p>
    <w:p w14:paraId="67CBD2A2">
      <w:pPr>
        <w:spacing w:line="500" w:lineRule="exact"/>
        <w:ind w:firstLine="560"/>
        <w:rPr>
          <w:szCs w:val="28"/>
          <w:lang w:bidi="ar"/>
        </w:rPr>
      </w:pPr>
      <w:r>
        <w:rPr>
          <w:szCs w:val="28"/>
          <w:lang w:bidi="ar"/>
        </w:rPr>
        <w:t>造成事故的主要因素有：</w:t>
      </w:r>
    </w:p>
    <w:p w14:paraId="115C79C1">
      <w:pPr>
        <w:spacing w:line="500" w:lineRule="exact"/>
        <w:ind w:firstLine="560"/>
        <w:rPr>
          <w:szCs w:val="28"/>
          <w:lang w:bidi="ar"/>
        </w:rPr>
      </w:pPr>
      <w:r>
        <w:rPr>
          <w:szCs w:val="28"/>
          <w:lang w:bidi="ar"/>
        </w:rPr>
        <w:t>1）装设地线失效。</w:t>
      </w:r>
    </w:p>
    <w:p w14:paraId="23B79FFB">
      <w:pPr>
        <w:spacing w:line="500" w:lineRule="exact"/>
        <w:ind w:firstLine="560"/>
        <w:rPr>
          <w:szCs w:val="28"/>
          <w:lang w:bidi="ar"/>
        </w:rPr>
      </w:pPr>
      <w:r>
        <w:rPr>
          <w:szCs w:val="28"/>
          <w:lang w:bidi="ar"/>
        </w:rPr>
        <w:t>2）线路检修时不装设或未按规定装设接地线。</w:t>
      </w:r>
    </w:p>
    <w:p w14:paraId="568122DE">
      <w:pPr>
        <w:spacing w:line="500" w:lineRule="exact"/>
        <w:ind w:firstLine="560"/>
        <w:rPr>
          <w:szCs w:val="28"/>
          <w:lang w:bidi="ar"/>
        </w:rPr>
      </w:pPr>
      <w:r>
        <w:rPr>
          <w:szCs w:val="28"/>
          <w:lang w:bidi="ar"/>
        </w:rPr>
        <w:t>3）线路或电气设备检修完毕未办理工作票终结手续，就对停电设备恢复送电。</w:t>
      </w:r>
    </w:p>
    <w:p w14:paraId="332391D0">
      <w:pPr>
        <w:spacing w:line="500" w:lineRule="exact"/>
        <w:ind w:firstLine="560"/>
        <w:rPr>
          <w:szCs w:val="28"/>
          <w:lang w:bidi="ar"/>
        </w:rPr>
      </w:pPr>
      <w:r>
        <w:rPr>
          <w:szCs w:val="28"/>
          <w:lang w:bidi="ar"/>
        </w:rPr>
        <w:t>4）在带电设备附近进行作业，不符合安全距离或无监护措施。</w:t>
      </w:r>
    </w:p>
    <w:p w14:paraId="769DB95E">
      <w:pPr>
        <w:spacing w:line="500" w:lineRule="exact"/>
        <w:ind w:firstLine="560"/>
        <w:rPr>
          <w:szCs w:val="28"/>
          <w:lang w:bidi="ar"/>
        </w:rPr>
      </w:pPr>
      <w:r>
        <w:rPr>
          <w:szCs w:val="28"/>
          <w:lang w:bidi="ar"/>
        </w:rPr>
        <w:t>5）工作人员在带电设备附近使用钢卷尺、皮尺等进行测量或携带金属超高物体在带电设备下行走。</w:t>
      </w:r>
    </w:p>
    <w:p w14:paraId="1BDD3F11">
      <w:pPr>
        <w:spacing w:line="500" w:lineRule="exact"/>
        <w:ind w:firstLine="560"/>
        <w:rPr>
          <w:szCs w:val="28"/>
          <w:lang w:bidi="ar"/>
        </w:rPr>
      </w:pPr>
      <w:r>
        <w:rPr>
          <w:szCs w:val="28"/>
          <w:lang w:bidi="ar"/>
        </w:rPr>
        <w:t>6）引线摆动碰地、触及带电体。</w:t>
      </w:r>
    </w:p>
    <w:p w14:paraId="11C922A8">
      <w:pPr>
        <w:spacing w:line="500" w:lineRule="exact"/>
        <w:ind w:firstLine="560"/>
        <w:rPr>
          <w:szCs w:val="28"/>
          <w:lang w:bidi="ar"/>
        </w:rPr>
      </w:pPr>
      <w:r>
        <w:rPr>
          <w:szCs w:val="28"/>
          <w:lang w:bidi="ar"/>
        </w:rPr>
        <w:t>7）工作人员擅自扩大工作范围。</w:t>
      </w:r>
    </w:p>
    <w:p w14:paraId="6C433256">
      <w:pPr>
        <w:spacing w:line="500" w:lineRule="exact"/>
        <w:ind w:firstLine="560"/>
        <w:rPr>
          <w:szCs w:val="28"/>
          <w:lang w:bidi="ar"/>
        </w:rPr>
      </w:pPr>
      <w:r>
        <w:rPr>
          <w:szCs w:val="28"/>
          <w:lang w:bidi="ar"/>
        </w:rPr>
        <w:t>8）使用电动工具的金属外壳不接地，不戴绝缘手套。</w:t>
      </w:r>
    </w:p>
    <w:p w14:paraId="68EF0CFE">
      <w:pPr>
        <w:spacing w:line="500" w:lineRule="exact"/>
        <w:ind w:firstLine="560"/>
        <w:rPr>
          <w:szCs w:val="28"/>
          <w:lang w:bidi="ar"/>
        </w:rPr>
      </w:pPr>
      <w:r>
        <w:rPr>
          <w:szCs w:val="28"/>
          <w:lang w:bidi="ar"/>
        </w:rPr>
        <w:t>9）在电缆沟、隧道或金属容器内工作不使用安全电压照明灯。</w:t>
      </w:r>
    </w:p>
    <w:p w14:paraId="35D260F0">
      <w:pPr>
        <w:spacing w:line="500" w:lineRule="exact"/>
        <w:ind w:firstLine="560"/>
        <w:rPr>
          <w:szCs w:val="28"/>
          <w:lang w:bidi="ar"/>
        </w:rPr>
      </w:pPr>
      <w:r>
        <w:rPr>
          <w:szCs w:val="28"/>
          <w:lang w:bidi="ar"/>
        </w:rPr>
        <w:t>10）在潮湿地区、金属容器内工作不穿绝缘鞋，无绝缘垫，无监护人。</w:t>
      </w:r>
    </w:p>
    <w:p w14:paraId="62DDA9E8">
      <w:pPr>
        <w:spacing w:line="500" w:lineRule="exact"/>
        <w:ind w:firstLine="562"/>
        <w:rPr>
          <w:b/>
          <w:bCs/>
          <w:szCs w:val="28"/>
          <w:lang w:bidi="ar"/>
        </w:rPr>
      </w:pPr>
      <w:bookmarkStart w:id="385" w:name="_Toc258930010"/>
      <w:r>
        <w:rPr>
          <w:rFonts w:hint="eastAsia"/>
          <w:b/>
          <w:bCs/>
          <w:szCs w:val="28"/>
          <w:lang w:bidi="ar"/>
        </w:rPr>
        <w:t>5</w:t>
      </w:r>
      <w:r>
        <w:rPr>
          <w:b/>
          <w:bCs/>
          <w:szCs w:val="28"/>
          <w:lang w:bidi="ar"/>
        </w:rPr>
        <w:t>.高处坠落</w:t>
      </w:r>
      <w:bookmarkEnd w:id="385"/>
      <w:r>
        <w:rPr>
          <w:b/>
          <w:bCs/>
          <w:szCs w:val="28"/>
          <w:lang w:bidi="ar"/>
        </w:rPr>
        <w:t>危险性分析</w:t>
      </w:r>
    </w:p>
    <w:p w14:paraId="6CCC1780">
      <w:pPr>
        <w:spacing w:line="500" w:lineRule="exact"/>
        <w:ind w:firstLine="560"/>
        <w:rPr>
          <w:szCs w:val="28"/>
          <w:lang w:bidi="ar"/>
        </w:rPr>
      </w:pPr>
      <w:r>
        <w:rPr>
          <w:szCs w:val="28"/>
          <w:lang w:bidi="ar"/>
        </w:rPr>
        <w:t>本项目各生产场所梯子、设备平台及高处通道等部位以及楼梯防护栏、罐、塔、器顶防护栏杆等设施质量差、焊接不牢固或操作人员未采取有效的安全防护措施或未使用可靠的安全保护装置，较易发生高处坠落事故。引发其事故的主要原因分析如下：</w:t>
      </w:r>
    </w:p>
    <w:p w14:paraId="6CAE6AC1">
      <w:pPr>
        <w:spacing w:line="500" w:lineRule="exact"/>
        <w:ind w:firstLine="560"/>
        <w:rPr>
          <w:szCs w:val="28"/>
          <w:lang w:bidi="ar"/>
        </w:rPr>
      </w:pPr>
      <w:r>
        <w:rPr>
          <w:szCs w:val="28"/>
          <w:lang w:bidi="ar"/>
        </w:rPr>
        <w:t>1）无安全防护栏，平台防护栏、扶手等设施缺失或设施损坏。</w:t>
      </w:r>
    </w:p>
    <w:p w14:paraId="7A42659F">
      <w:pPr>
        <w:spacing w:line="500" w:lineRule="exact"/>
        <w:ind w:firstLine="560"/>
        <w:rPr>
          <w:szCs w:val="28"/>
          <w:lang w:bidi="ar"/>
        </w:rPr>
      </w:pPr>
      <w:r>
        <w:rPr>
          <w:szCs w:val="28"/>
          <w:lang w:bidi="ar"/>
        </w:rPr>
        <w:t>2）高处作业时没有按要求佩戴安全带（绳）、安全帽或采取其他有效的安全保护措施。</w:t>
      </w:r>
    </w:p>
    <w:p w14:paraId="60417A2C">
      <w:pPr>
        <w:spacing w:line="500" w:lineRule="exact"/>
        <w:ind w:firstLine="560"/>
        <w:rPr>
          <w:szCs w:val="28"/>
          <w:lang w:bidi="ar"/>
        </w:rPr>
      </w:pPr>
      <w:r>
        <w:rPr>
          <w:szCs w:val="28"/>
          <w:lang w:bidi="ar"/>
        </w:rPr>
        <w:t>3）高处作业时不按规定使用安全保护装置或安全防护装置有缺陷。</w:t>
      </w:r>
    </w:p>
    <w:p w14:paraId="4AF8DC1A">
      <w:pPr>
        <w:spacing w:line="500" w:lineRule="exact"/>
        <w:ind w:firstLine="560"/>
        <w:rPr>
          <w:szCs w:val="28"/>
          <w:lang w:bidi="ar"/>
        </w:rPr>
      </w:pPr>
      <w:r>
        <w:rPr>
          <w:szCs w:val="28"/>
          <w:lang w:bidi="ar"/>
        </w:rPr>
        <w:t>4）违章作业。</w:t>
      </w:r>
    </w:p>
    <w:p w14:paraId="48209D6C">
      <w:pPr>
        <w:spacing w:line="500" w:lineRule="exact"/>
        <w:ind w:firstLine="560"/>
        <w:rPr>
          <w:szCs w:val="28"/>
          <w:lang w:bidi="ar"/>
        </w:rPr>
      </w:pPr>
      <w:r>
        <w:rPr>
          <w:szCs w:val="28"/>
          <w:lang w:bidi="ar"/>
        </w:rPr>
        <w:t>5）疏忽大意，疲劳过度。</w:t>
      </w:r>
    </w:p>
    <w:p w14:paraId="2644191E">
      <w:pPr>
        <w:spacing w:line="500" w:lineRule="exact"/>
        <w:ind w:firstLine="560"/>
        <w:rPr>
          <w:szCs w:val="28"/>
          <w:lang w:bidi="ar"/>
        </w:rPr>
      </w:pPr>
      <w:r>
        <w:rPr>
          <w:szCs w:val="28"/>
          <w:lang w:bidi="ar"/>
        </w:rPr>
        <w:t>6）在雷暴雨、浓雾、六级以上大风等恶劣天气进行室外高处作业。</w:t>
      </w:r>
    </w:p>
    <w:p w14:paraId="1D84686C">
      <w:pPr>
        <w:spacing w:line="500" w:lineRule="exact"/>
        <w:ind w:firstLine="562"/>
        <w:rPr>
          <w:b/>
          <w:bCs/>
          <w:szCs w:val="28"/>
          <w:lang w:bidi="ar"/>
        </w:rPr>
      </w:pPr>
      <w:bookmarkStart w:id="386" w:name="_Toc258930011"/>
      <w:r>
        <w:rPr>
          <w:rFonts w:hint="eastAsia"/>
          <w:b/>
          <w:bCs/>
          <w:szCs w:val="28"/>
          <w:lang w:bidi="ar"/>
        </w:rPr>
        <w:t>6</w:t>
      </w:r>
      <w:r>
        <w:rPr>
          <w:b/>
          <w:bCs/>
          <w:szCs w:val="28"/>
          <w:lang w:bidi="ar"/>
        </w:rPr>
        <w:t>.物体打击危险性分析</w:t>
      </w:r>
    </w:p>
    <w:p w14:paraId="7BA6A683">
      <w:pPr>
        <w:spacing w:line="500" w:lineRule="exact"/>
        <w:ind w:firstLine="560"/>
        <w:rPr>
          <w:szCs w:val="28"/>
          <w:lang w:bidi="ar"/>
        </w:rPr>
      </w:pPr>
      <w:r>
        <w:rPr>
          <w:szCs w:val="28"/>
          <w:lang w:bidi="ar"/>
        </w:rPr>
        <w:t>物体打击是指物体在重力或其他外力的作用下产生运动，打击人体造成人身伤亡事故。对拟建项目导致物体打击的原因分析如下：</w:t>
      </w:r>
    </w:p>
    <w:p w14:paraId="434EE108">
      <w:pPr>
        <w:spacing w:line="500" w:lineRule="exact"/>
        <w:ind w:firstLine="560"/>
        <w:rPr>
          <w:szCs w:val="28"/>
          <w:lang w:bidi="ar"/>
        </w:rPr>
      </w:pPr>
      <w:r>
        <w:rPr>
          <w:szCs w:val="28"/>
          <w:lang w:bidi="ar"/>
        </w:rPr>
        <w:t>1）高空平台、通道上堆物或者高空装置零件破损，造成物料或装置部件坠落，对下层作业人员造成物体打击。</w:t>
      </w:r>
    </w:p>
    <w:p w14:paraId="441BCA0C">
      <w:pPr>
        <w:spacing w:line="500" w:lineRule="exact"/>
        <w:ind w:firstLine="560"/>
        <w:rPr>
          <w:szCs w:val="28"/>
          <w:lang w:bidi="ar"/>
        </w:rPr>
      </w:pPr>
      <w:r>
        <w:rPr>
          <w:szCs w:val="28"/>
          <w:lang w:bidi="ar"/>
        </w:rPr>
        <w:t>2）高空抛物，未划定警戒线，无人监护。</w:t>
      </w:r>
    </w:p>
    <w:p w14:paraId="7922F58A">
      <w:pPr>
        <w:spacing w:line="500" w:lineRule="exact"/>
        <w:ind w:firstLine="560"/>
        <w:rPr>
          <w:szCs w:val="28"/>
          <w:lang w:bidi="ar"/>
        </w:rPr>
      </w:pPr>
      <w:r>
        <w:rPr>
          <w:szCs w:val="28"/>
          <w:lang w:bidi="ar"/>
        </w:rPr>
        <w:t>3）建（构）筑物倒塌、支架搭设和拆除时违章作业。</w:t>
      </w:r>
    </w:p>
    <w:p w14:paraId="4D329E67">
      <w:pPr>
        <w:spacing w:line="500" w:lineRule="exact"/>
        <w:ind w:firstLine="560"/>
        <w:rPr>
          <w:szCs w:val="28"/>
          <w:lang w:bidi="ar"/>
        </w:rPr>
      </w:pPr>
      <w:r>
        <w:rPr>
          <w:szCs w:val="28"/>
          <w:lang w:bidi="ar"/>
        </w:rPr>
        <w:t>4）物件设备摆放不稳，倾覆。</w:t>
      </w:r>
    </w:p>
    <w:p w14:paraId="29F3A538">
      <w:pPr>
        <w:spacing w:line="500" w:lineRule="exact"/>
        <w:ind w:firstLine="560"/>
        <w:rPr>
          <w:szCs w:val="28"/>
          <w:lang w:bidi="ar"/>
        </w:rPr>
      </w:pPr>
      <w:r>
        <w:rPr>
          <w:szCs w:val="28"/>
          <w:lang w:bidi="ar"/>
        </w:rPr>
        <w:t>5）易滚动物件堆放不符合要求或堆放无防滚动措施等。</w:t>
      </w:r>
    </w:p>
    <w:p w14:paraId="031619FB">
      <w:pPr>
        <w:spacing w:line="500" w:lineRule="exact"/>
        <w:ind w:firstLine="560"/>
        <w:rPr>
          <w:szCs w:val="28"/>
          <w:lang w:bidi="ar"/>
        </w:rPr>
      </w:pPr>
      <w:r>
        <w:rPr>
          <w:szCs w:val="28"/>
          <w:lang w:bidi="ar"/>
        </w:rPr>
        <w:t>6）其他可能导致事故的原因。</w:t>
      </w:r>
    </w:p>
    <w:bookmarkEnd w:id="386"/>
    <w:p w14:paraId="01EF7459">
      <w:pPr>
        <w:spacing w:line="500" w:lineRule="exact"/>
        <w:ind w:firstLine="562"/>
        <w:rPr>
          <w:b/>
          <w:bCs/>
          <w:szCs w:val="28"/>
          <w:lang w:bidi="ar"/>
        </w:rPr>
      </w:pPr>
      <w:bookmarkStart w:id="387" w:name="_Toc258930012"/>
      <w:r>
        <w:rPr>
          <w:rFonts w:hint="eastAsia"/>
          <w:b/>
          <w:bCs/>
          <w:szCs w:val="28"/>
          <w:lang w:bidi="ar"/>
        </w:rPr>
        <w:t>7</w:t>
      </w:r>
      <w:r>
        <w:rPr>
          <w:b/>
          <w:bCs/>
          <w:szCs w:val="28"/>
          <w:lang w:bidi="ar"/>
        </w:rPr>
        <w:t>.噪声</w:t>
      </w:r>
      <w:bookmarkEnd w:id="387"/>
      <w:r>
        <w:rPr>
          <w:b/>
          <w:bCs/>
          <w:szCs w:val="28"/>
          <w:lang w:bidi="ar"/>
        </w:rPr>
        <w:t>危险性分析</w:t>
      </w:r>
    </w:p>
    <w:p w14:paraId="5A4F3CB8">
      <w:pPr>
        <w:spacing w:line="500" w:lineRule="exact"/>
        <w:ind w:firstLine="560"/>
        <w:rPr>
          <w:szCs w:val="28"/>
          <w:lang w:bidi="ar"/>
        </w:rPr>
      </w:pPr>
      <w:r>
        <w:rPr>
          <w:szCs w:val="28"/>
          <w:lang w:bidi="ar"/>
        </w:rPr>
        <w:t>生产过程中动设备产生的振动、机械设备转动如风机、泵等设备产生的噪声较高。噪声会对现场操作人员带来健康危害，长时期在高强度噪声环境中作业会对人的听觉系统造成损伤，如损伤耳膜、听力下降，严重时引起耳聋。甚至导致不可逆性噪声耳聋。此外，噪声对人的心血管系统、消化系统等均有一定的负面影响。</w:t>
      </w:r>
    </w:p>
    <w:p w14:paraId="2CD94D23">
      <w:pPr>
        <w:spacing w:line="500" w:lineRule="exact"/>
        <w:ind w:firstLine="562"/>
        <w:rPr>
          <w:b/>
          <w:bCs/>
          <w:szCs w:val="28"/>
          <w:lang w:bidi="ar"/>
        </w:rPr>
      </w:pPr>
      <w:bookmarkStart w:id="388" w:name="_Toc258930013"/>
      <w:r>
        <w:rPr>
          <w:rFonts w:hint="eastAsia"/>
          <w:b/>
          <w:bCs/>
          <w:szCs w:val="28"/>
          <w:lang w:bidi="ar"/>
        </w:rPr>
        <w:t>8</w:t>
      </w:r>
      <w:r>
        <w:rPr>
          <w:b/>
          <w:bCs/>
          <w:szCs w:val="28"/>
          <w:lang w:bidi="ar"/>
        </w:rPr>
        <w:t>.雷电、静电</w:t>
      </w:r>
      <w:bookmarkEnd w:id="388"/>
      <w:r>
        <w:rPr>
          <w:b/>
          <w:bCs/>
          <w:szCs w:val="28"/>
          <w:lang w:bidi="ar"/>
        </w:rPr>
        <w:t>危险性分析</w:t>
      </w:r>
    </w:p>
    <w:p w14:paraId="2770F1F0">
      <w:pPr>
        <w:spacing w:line="500" w:lineRule="exact"/>
        <w:ind w:firstLine="560"/>
        <w:rPr>
          <w:szCs w:val="28"/>
          <w:lang w:bidi="ar"/>
        </w:rPr>
      </w:pPr>
      <w:r>
        <w:rPr>
          <w:szCs w:val="28"/>
          <w:lang w:bidi="ar"/>
        </w:rPr>
        <w:t>1）静电危害</w:t>
      </w:r>
    </w:p>
    <w:p w14:paraId="32FE3CD6">
      <w:pPr>
        <w:spacing w:line="500" w:lineRule="exact"/>
        <w:ind w:firstLine="560"/>
        <w:rPr>
          <w:szCs w:val="28"/>
          <w:lang w:bidi="ar"/>
        </w:rPr>
      </w:pPr>
      <w:r>
        <w:rPr>
          <w:szCs w:val="28"/>
          <w:lang w:bidi="ar"/>
        </w:rPr>
        <w:t>生产过程中，在有弱电、强电操作的环境，如控制室处，静电放电、雷电放电均可造成仪表损坏成为引起燃烧的点火源，导致火灾或造成因控制失灵产生的其他事故。</w:t>
      </w:r>
      <w:r>
        <w:rPr>
          <w:rFonts w:hint="eastAsia"/>
          <w:szCs w:val="28"/>
          <w:lang w:bidi="ar"/>
        </w:rPr>
        <w:t>尾气、天然气</w:t>
      </w:r>
      <w:r>
        <w:rPr>
          <w:szCs w:val="28"/>
          <w:lang w:bidi="ar"/>
        </w:rPr>
        <w:t>在输送过程中，与管道、设备摩擦会产生静电，当产生的静电荷越积越多，形成很高的电位，与其它不带电的物体接触时，就会形成很高的电位差，并发生放电现象。当电压达到300V以上，所产生的静电火花，即可引燃周围的可燃气体。</w:t>
      </w:r>
    </w:p>
    <w:p w14:paraId="5E709D81">
      <w:pPr>
        <w:spacing w:line="500" w:lineRule="exact"/>
        <w:ind w:firstLine="560"/>
        <w:rPr>
          <w:szCs w:val="28"/>
          <w:lang w:bidi="ar"/>
        </w:rPr>
      </w:pPr>
      <w:r>
        <w:rPr>
          <w:szCs w:val="28"/>
          <w:lang w:bidi="ar"/>
        </w:rPr>
        <w:t>2）雷电的危害</w:t>
      </w:r>
    </w:p>
    <w:p w14:paraId="21574DCF">
      <w:pPr>
        <w:spacing w:line="500" w:lineRule="exact"/>
        <w:ind w:firstLine="560"/>
        <w:rPr>
          <w:szCs w:val="28"/>
          <w:lang w:bidi="ar"/>
        </w:rPr>
      </w:pPr>
      <w:r>
        <w:rPr>
          <w:szCs w:val="28"/>
          <w:lang w:bidi="ar"/>
        </w:rPr>
        <w:t>雷电的危害主要有以下四方面：</w:t>
      </w:r>
    </w:p>
    <w:p w14:paraId="2D50BFEA">
      <w:pPr>
        <w:spacing w:line="500" w:lineRule="exact"/>
        <w:ind w:firstLine="560"/>
        <w:rPr>
          <w:szCs w:val="28"/>
          <w:lang w:bidi="ar"/>
        </w:rPr>
      </w:pPr>
      <w:r>
        <w:rPr>
          <w:szCs w:val="28"/>
          <w:lang w:bidi="ar"/>
        </w:rPr>
        <w:t>（1）爆炸与火灾，如直击雷放电、二次放电、球形雷侵入，雷电流转化的高温等，可能引起的爆炸与火灾。</w:t>
      </w:r>
    </w:p>
    <w:p w14:paraId="0DDF32F3">
      <w:pPr>
        <w:spacing w:line="500" w:lineRule="exact"/>
        <w:ind w:firstLine="560"/>
        <w:rPr>
          <w:szCs w:val="28"/>
          <w:lang w:bidi="ar"/>
        </w:rPr>
      </w:pPr>
      <w:r>
        <w:rPr>
          <w:szCs w:val="28"/>
          <w:lang w:bidi="ar"/>
        </w:rPr>
        <w:t>（2）电击，如直击雷、二次放电、球雷打击、跨步电压以及绝缘体被击穿，均可使人遭到电击。</w:t>
      </w:r>
    </w:p>
    <w:p w14:paraId="46B25DEF">
      <w:pPr>
        <w:spacing w:line="500" w:lineRule="exact"/>
        <w:ind w:firstLine="560"/>
        <w:rPr>
          <w:szCs w:val="28"/>
          <w:lang w:bidi="ar"/>
        </w:rPr>
      </w:pPr>
      <w:r>
        <w:rPr>
          <w:szCs w:val="28"/>
          <w:lang w:bidi="ar"/>
        </w:rPr>
        <w:t>（3）毁坏设备和设施，如冲击电压，可击穿电气设备的绝缘，力效应可造成设备线圈散架，设施毁坏。</w:t>
      </w:r>
    </w:p>
    <w:p w14:paraId="43CA6281">
      <w:pPr>
        <w:spacing w:line="500" w:lineRule="exact"/>
        <w:ind w:firstLine="560"/>
        <w:rPr>
          <w:szCs w:val="28"/>
          <w:lang w:bidi="ar"/>
        </w:rPr>
      </w:pPr>
      <w:r>
        <w:rPr>
          <w:szCs w:val="28"/>
          <w:lang w:bidi="ar"/>
        </w:rPr>
        <w:t>（4）事故停电，电力设备、电力线路以及电气仪表，遭雷击损坏，均可导致停电。</w:t>
      </w:r>
    </w:p>
    <w:p w14:paraId="4631D00C">
      <w:pPr>
        <w:spacing w:line="500" w:lineRule="exact"/>
        <w:ind w:firstLine="562"/>
        <w:rPr>
          <w:b/>
          <w:bCs/>
          <w:szCs w:val="28"/>
          <w:lang w:bidi="ar"/>
        </w:rPr>
      </w:pPr>
      <w:bookmarkStart w:id="389" w:name="_Toc472082639"/>
      <w:bookmarkStart w:id="390" w:name="_Toc4203"/>
      <w:bookmarkStart w:id="391" w:name="_Toc258930014"/>
      <w:r>
        <w:rPr>
          <w:rFonts w:hint="eastAsia"/>
          <w:b/>
          <w:bCs/>
          <w:szCs w:val="28"/>
          <w:lang w:bidi="ar"/>
        </w:rPr>
        <w:t>9</w:t>
      </w:r>
      <w:r>
        <w:rPr>
          <w:b/>
          <w:bCs/>
          <w:szCs w:val="28"/>
          <w:lang w:bidi="ar"/>
        </w:rPr>
        <w:t>.淹溺</w:t>
      </w:r>
      <w:bookmarkEnd w:id="389"/>
      <w:bookmarkEnd w:id="390"/>
      <w:r>
        <w:rPr>
          <w:b/>
          <w:bCs/>
          <w:szCs w:val="28"/>
          <w:lang w:bidi="ar"/>
        </w:rPr>
        <w:t>危险性分析</w:t>
      </w:r>
    </w:p>
    <w:p w14:paraId="00072665">
      <w:pPr>
        <w:spacing w:line="500" w:lineRule="exact"/>
        <w:ind w:firstLine="560"/>
        <w:rPr>
          <w:szCs w:val="28"/>
          <w:lang w:bidi="ar"/>
        </w:rPr>
      </w:pPr>
      <w:r>
        <w:rPr>
          <w:szCs w:val="28"/>
          <w:lang w:bidi="ar"/>
        </w:rPr>
        <w:t>淹溺主要是由于人跌入水中，水进入人体呼吸气管后，由于窒息缺氧而产生昏迷，救治不及时会造成人员死亡。该</w:t>
      </w:r>
      <w:r>
        <w:rPr>
          <w:rFonts w:hint="eastAsia"/>
          <w:szCs w:val="28"/>
          <w:lang w:bidi="ar"/>
        </w:rPr>
        <w:t>装置设置有循环水场，</w:t>
      </w:r>
      <w:r>
        <w:rPr>
          <w:szCs w:val="28"/>
          <w:lang w:bidi="ar"/>
        </w:rPr>
        <w:t>生产过程中作业人员疏忽大意，不小心跌入地坑、水池、槽内时有可能会发生淹溺危险。</w:t>
      </w:r>
    </w:p>
    <w:p w14:paraId="2D588F7D">
      <w:pPr>
        <w:spacing w:line="500" w:lineRule="exact"/>
        <w:ind w:firstLine="562"/>
        <w:rPr>
          <w:b/>
          <w:bCs/>
          <w:szCs w:val="28"/>
          <w:lang w:bidi="ar"/>
        </w:rPr>
      </w:pPr>
      <w:r>
        <w:rPr>
          <w:rFonts w:hint="eastAsia"/>
          <w:b/>
          <w:bCs/>
          <w:szCs w:val="28"/>
          <w:lang w:bidi="ar"/>
        </w:rPr>
        <w:t>10.</w:t>
      </w:r>
      <w:r>
        <w:rPr>
          <w:b/>
          <w:bCs/>
          <w:szCs w:val="28"/>
          <w:lang w:bidi="ar"/>
        </w:rPr>
        <w:t>高温烫伤</w:t>
      </w:r>
    </w:p>
    <w:p w14:paraId="39857AFD">
      <w:pPr>
        <w:spacing w:line="500" w:lineRule="exact"/>
        <w:ind w:firstLine="560"/>
        <w:rPr>
          <w:szCs w:val="28"/>
          <w:lang w:bidi="ar"/>
        </w:rPr>
      </w:pPr>
      <w:r>
        <w:rPr>
          <w:szCs w:val="28"/>
          <w:lang w:bidi="ar"/>
        </w:rPr>
        <w:t>生产过程中，</w:t>
      </w:r>
      <w:r>
        <w:rPr>
          <w:rFonts w:hint="eastAsia"/>
          <w:szCs w:val="28"/>
          <w:lang w:bidi="ar"/>
        </w:rPr>
        <w:t>焚烧炉</w:t>
      </w:r>
      <w:r>
        <w:rPr>
          <w:szCs w:val="28"/>
          <w:lang w:bidi="ar"/>
        </w:rPr>
        <w:t>、</w:t>
      </w:r>
      <w:r>
        <w:rPr>
          <w:rFonts w:hint="eastAsia"/>
          <w:szCs w:val="28"/>
          <w:lang w:bidi="ar"/>
        </w:rPr>
        <w:t>尾气</w:t>
      </w:r>
      <w:r>
        <w:rPr>
          <w:szCs w:val="28"/>
          <w:lang w:bidi="ar"/>
        </w:rPr>
        <w:t>管道等温度较高，若操作不当、</w:t>
      </w:r>
      <w:r>
        <w:rPr>
          <w:rFonts w:hint="eastAsia"/>
          <w:szCs w:val="28"/>
          <w:lang w:bidi="ar"/>
        </w:rPr>
        <w:t>防护</w:t>
      </w:r>
      <w:r>
        <w:rPr>
          <w:szCs w:val="28"/>
          <w:lang w:bidi="ar"/>
        </w:rPr>
        <w:t>措施存在缺陷会发生高温烫伤。</w:t>
      </w:r>
    </w:p>
    <w:p w14:paraId="50CC1573">
      <w:pPr>
        <w:spacing w:line="500" w:lineRule="exact"/>
        <w:ind w:firstLine="562"/>
        <w:rPr>
          <w:b/>
          <w:bCs/>
          <w:szCs w:val="28"/>
          <w:lang w:bidi="ar"/>
        </w:rPr>
      </w:pPr>
      <w:r>
        <w:rPr>
          <w:b/>
          <w:bCs/>
          <w:szCs w:val="28"/>
          <w:lang w:bidi="ar"/>
        </w:rPr>
        <w:t>1</w:t>
      </w:r>
      <w:r>
        <w:rPr>
          <w:rFonts w:hint="eastAsia"/>
          <w:b/>
          <w:bCs/>
          <w:szCs w:val="28"/>
          <w:lang w:bidi="ar"/>
        </w:rPr>
        <w:t>1</w:t>
      </w:r>
      <w:r>
        <w:rPr>
          <w:b/>
          <w:bCs/>
          <w:szCs w:val="28"/>
          <w:lang w:bidi="ar"/>
        </w:rPr>
        <w:t>.其他</w:t>
      </w:r>
      <w:bookmarkEnd w:id="391"/>
      <w:r>
        <w:rPr>
          <w:b/>
          <w:bCs/>
          <w:szCs w:val="28"/>
          <w:lang w:bidi="ar"/>
        </w:rPr>
        <w:t>危险性分析</w:t>
      </w:r>
    </w:p>
    <w:p w14:paraId="405FB8F0">
      <w:pPr>
        <w:spacing w:line="500" w:lineRule="exact"/>
        <w:ind w:firstLine="560"/>
        <w:rPr>
          <w:szCs w:val="28"/>
          <w:lang w:bidi="ar"/>
        </w:rPr>
      </w:pPr>
      <w:r>
        <w:rPr>
          <w:szCs w:val="28"/>
          <w:lang w:bidi="ar"/>
        </w:rPr>
        <w:t>1）由于建筑、生产设备、设施、储罐等建（构）筑物、设备设施载荷较重，长期运行后出现地基下沉，导致建（构）筑物或设备及与其相连的部件发生变形，影响安全生产。</w:t>
      </w:r>
    </w:p>
    <w:p w14:paraId="3346B910">
      <w:pPr>
        <w:spacing w:line="500" w:lineRule="exact"/>
        <w:ind w:firstLine="560"/>
        <w:rPr>
          <w:szCs w:val="28"/>
          <w:lang w:bidi="ar"/>
        </w:rPr>
      </w:pPr>
      <w:r>
        <w:rPr>
          <w:szCs w:val="28"/>
          <w:lang w:bidi="ar"/>
        </w:rPr>
        <w:t>2）建（构）筑物、生产装置抗震设防不足，如缺乏防范措施，会由于自然灾害的来临，对设备、设施的破坏而引发二次事故。</w:t>
      </w:r>
    </w:p>
    <w:p w14:paraId="5490CF56">
      <w:pPr>
        <w:ind w:firstLine="560"/>
        <w:rPr>
          <w:szCs w:val="28"/>
          <w:lang w:bidi="ar"/>
        </w:rPr>
      </w:pPr>
      <w:r>
        <w:rPr>
          <w:rFonts w:hint="eastAsia"/>
          <w:szCs w:val="28"/>
          <w:lang w:bidi="ar"/>
        </w:rPr>
        <w:t>3</w:t>
      </w:r>
      <w:r>
        <w:rPr>
          <w:szCs w:val="28"/>
          <w:lang w:bidi="ar"/>
        </w:rPr>
        <w:t>）生产区不整洁、地面湿滑，或部分作业区光照亮度、照度不足，会使操作人员视觉分辨力下降等引起伤人、错误操作等意外事故。</w:t>
      </w:r>
    </w:p>
    <w:p w14:paraId="18BABAE5">
      <w:pPr>
        <w:pStyle w:val="5"/>
        <w:rPr>
          <w:color w:val="auto"/>
        </w:rPr>
      </w:pPr>
      <w:bookmarkStart w:id="392" w:name="_Toc215210573"/>
      <w:r>
        <w:rPr>
          <w:rFonts w:hint="eastAsia"/>
          <w:color w:val="auto"/>
        </w:rPr>
        <w:t>3.5</w:t>
      </w:r>
      <w:r>
        <w:rPr>
          <w:color w:val="auto"/>
        </w:rPr>
        <w:t>研发检测中心危险、有害因素分析</w:t>
      </w:r>
      <w:bookmarkEnd w:id="392"/>
    </w:p>
    <w:p w14:paraId="7C31D6AD">
      <w:pPr>
        <w:spacing w:line="500" w:lineRule="atLeast"/>
        <w:ind w:firstLine="560"/>
        <w:rPr>
          <w:rFonts w:hint="eastAsia" w:hAnsi="宋体"/>
          <w:szCs w:val="28"/>
        </w:rPr>
      </w:pPr>
      <w:r>
        <w:rPr>
          <w:rFonts w:hint="eastAsia" w:hAnsi="宋体"/>
          <w:szCs w:val="28"/>
        </w:rPr>
        <w:t>研发检测内使用的主要试剂有乙醇、盐酸、硫酸、硝酸、高氯酸、过氧化氢、喹啉、丙酮等，在使用的时候，存在的危险有害因素如下：</w:t>
      </w:r>
    </w:p>
    <w:p w14:paraId="1F059878">
      <w:pPr>
        <w:pStyle w:val="9"/>
        <w:rPr>
          <w:color w:val="auto"/>
        </w:rPr>
      </w:pPr>
      <w:bookmarkStart w:id="393" w:name="_Toc215210574"/>
      <w:r>
        <w:rPr>
          <w:rFonts w:hint="eastAsia"/>
          <w:color w:val="auto"/>
        </w:rPr>
        <w:t>3.8.7.1腐蚀灼伤</w:t>
      </w:r>
      <w:bookmarkEnd w:id="393"/>
    </w:p>
    <w:p w14:paraId="34B7038B">
      <w:pPr>
        <w:spacing w:line="500" w:lineRule="atLeast"/>
        <w:ind w:firstLine="560"/>
        <w:rPr>
          <w:rFonts w:hint="eastAsia" w:hAnsi="宋体"/>
          <w:szCs w:val="28"/>
        </w:rPr>
      </w:pPr>
      <w:r>
        <w:rPr>
          <w:rFonts w:hint="eastAsia" w:hAnsi="宋体"/>
          <w:szCs w:val="28"/>
        </w:rPr>
        <w:t>研发检测使用的危险化学品多具有腐蚀性，如果在工作的人们直接接触到这些有腐蚀的因素就会对人的身体造成灼伤，其挥发的酸性蒸汽还会导致化验室内设备腐蚀。</w:t>
      </w:r>
    </w:p>
    <w:p w14:paraId="6C0FBE11">
      <w:pPr>
        <w:pStyle w:val="9"/>
        <w:rPr>
          <w:color w:val="auto"/>
        </w:rPr>
      </w:pPr>
      <w:bookmarkStart w:id="394" w:name="_Toc215210575"/>
      <w:r>
        <w:rPr>
          <w:rFonts w:hint="eastAsia"/>
          <w:color w:val="auto"/>
        </w:rPr>
        <w:t>3.8.7.2火灾爆炸</w:t>
      </w:r>
      <w:bookmarkEnd w:id="394"/>
    </w:p>
    <w:p w14:paraId="32FB7276">
      <w:pPr>
        <w:spacing w:line="500" w:lineRule="atLeast"/>
        <w:ind w:firstLine="560"/>
        <w:rPr>
          <w:rFonts w:hint="eastAsia" w:hAnsi="宋体"/>
          <w:szCs w:val="28"/>
        </w:rPr>
      </w:pPr>
      <w:r>
        <w:rPr>
          <w:rFonts w:hint="eastAsia" w:hAnsi="宋体"/>
          <w:szCs w:val="28"/>
        </w:rPr>
        <w:t>研发检测内还有大量的电气设备及电缆线，如发生短路、过载等情况，还可能发生火灾事故。</w:t>
      </w:r>
    </w:p>
    <w:p w14:paraId="7362DC13">
      <w:pPr>
        <w:spacing w:line="500" w:lineRule="atLeast"/>
        <w:ind w:firstLine="560"/>
        <w:rPr>
          <w:rFonts w:hint="eastAsia" w:hAnsi="宋体"/>
          <w:szCs w:val="28"/>
        </w:rPr>
      </w:pPr>
      <w:r>
        <w:rPr>
          <w:rFonts w:hint="eastAsia" w:hAnsi="宋体"/>
          <w:szCs w:val="28"/>
        </w:rPr>
        <w:t>研发检内使用的易燃、易爆物质，如果遇到火源，就会出现爆炸或者是火灾的事故。使用乙醇燃烧作为加热时，如操作不当，也会发生火灾事故。</w:t>
      </w:r>
    </w:p>
    <w:p w14:paraId="32A1C27C">
      <w:pPr>
        <w:spacing w:line="500" w:lineRule="atLeast"/>
        <w:ind w:firstLine="560"/>
        <w:rPr>
          <w:rFonts w:hint="eastAsia" w:hAnsi="宋体"/>
          <w:szCs w:val="28"/>
        </w:rPr>
      </w:pPr>
      <w:r>
        <w:rPr>
          <w:rFonts w:hint="eastAsia" w:hAnsi="宋体"/>
          <w:szCs w:val="28"/>
        </w:rPr>
        <w:t>储存易燃物质的仓库，如未采用防爆电气设备或操作使用不规范，防爆措施未实施，易导致爆炸事故发生。</w:t>
      </w:r>
    </w:p>
    <w:p w14:paraId="02AED303">
      <w:pPr>
        <w:pStyle w:val="9"/>
        <w:rPr>
          <w:color w:val="auto"/>
        </w:rPr>
      </w:pPr>
      <w:bookmarkStart w:id="395" w:name="_Toc215210576"/>
      <w:r>
        <w:rPr>
          <w:rFonts w:hint="eastAsia"/>
          <w:color w:val="auto"/>
        </w:rPr>
        <w:t>3.8.7.2中毒和窒息</w:t>
      </w:r>
      <w:bookmarkEnd w:id="395"/>
    </w:p>
    <w:p w14:paraId="07E1C3E7">
      <w:pPr>
        <w:spacing w:line="500" w:lineRule="atLeast"/>
        <w:ind w:firstLine="560"/>
        <w:rPr>
          <w:rFonts w:hint="eastAsia" w:hAnsi="宋体"/>
          <w:szCs w:val="28"/>
        </w:rPr>
      </w:pPr>
      <w:r>
        <w:rPr>
          <w:rFonts w:hint="eastAsia" w:hAnsi="宋体"/>
          <w:szCs w:val="28"/>
        </w:rPr>
        <w:t>研发检测使用部分惰性气体，如管理不当或相应管道出现破损等，易导致气体泄漏，如发现不及时或大量泄漏，易导致人员中毒和窒息。</w:t>
      </w:r>
    </w:p>
    <w:p w14:paraId="7B253608">
      <w:pPr>
        <w:spacing w:line="500" w:lineRule="atLeast"/>
        <w:ind w:firstLine="560"/>
      </w:pPr>
      <w:r>
        <w:rPr>
          <w:rFonts w:hint="eastAsia" w:hAnsi="宋体"/>
          <w:szCs w:val="28"/>
        </w:rPr>
        <w:t>在开展化学分析过程中，如作业人员防护不当，吸入有毒试剂蒸汽或误食，也可能导致人员中毒和窒息。</w:t>
      </w:r>
    </w:p>
    <w:p w14:paraId="5D96BBD1">
      <w:pPr>
        <w:pStyle w:val="9"/>
        <w:rPr>
          <w:color w:val="auto"/>
        </w:rPr>
      </w:pPr>
      <w:bookmarkStart w:id="396" w:name="_Toc215210577"/>
      <w:r>
        <w:rPr>
          <w:rFonts w:hint="eastAsia"/>
          <w:color w:val="auto"/>
        </w:rPr>
        <w:t>3.8.7.3触电</w:t>
      </w:r>
      <w:bookmarkEnd w:id="396"/>
    </w:p>
    <w:p w14:paraId="7AB039A2">
      <w:pPr>
        <w:spacing w:line="500" w:lineRule="atLeast"/>
        <w:ind w:firstLine="560"/>
        <w:rPr>
          <w:rFonts w:hint="eastAsia" w:hAnsi="宋体"/>
          <w:szCs w:val="28"/>
        </w:rPr>
      </w:pPr>
      <w:r>
        <w:rPr>
          <w:rFonts w:hint="eastAsia" w:hAnsi="宋体"/>
          <w:szCs w:val="28"/>
        </w:rPr>
        <w:t>研发检测有大量电气设备。这些电气设备，在使用的时候，如果出现绝缘效果不良，那么工作人员在操作的时候就极容易被触电。电气设备一旦进水或者是绝缘保护层出现破坏这些都会发生触电事故。</w:t>
      </w:r>
    </w:p>
    <w:p w14:paraId="559FED97">
      <w:pPr>
        <w:pStyle w:val="9"/>
        <w:rPr>
          <w:color w:val="auto"/>
        </w:rPr>
      </w:pPr>
      <w:bookmarkStart w:id="397" w:name="_Toc215210578"/>
      <w:r>
        <w:rPr>
          <w:rFonts w:hint="eastAsia"/>
          <w:color w:val="auto"/>
        </w:rPr>
        <w:t>3.8.7.4机械伤害</w:t>
      </w:r>
      <w:bookmarkEnd w:id="397"/>
    </w:p>
    <w:p w14:paraId="736AAFDD">
      <w:pPr>
        <w:spacing w:line="500" w:lineRule="atLeast"/>
        <w:ind w:firstLine="560"/>
        <w:rPr>
          <w:rFonts w:hint="eastAsia" w:hAnsi="宋体"/>
          <w:szCs w:val="28"/>
        </w:rPr>
      </w:pPr>
      <w:r>
        <w:rPr>
          <w:rFonts w:hint="eastAsia" w:hAnsi="宋体"/>
          <w:szCs w:val="28"/>
        </w:rPr>
        <w:t>研发检测内还会使用部分机械设备对样品进行处理，在设备运行过程中，如相关防护装置失效或缺失，人员操作过程中易发生机械伤害事故。</w:t>
      </w:r>
    </w:p>
    <w:p w14:paraId="5EE9B4B5">
      <w:pPr>
        <w:pStyle w:val="9"/>
        <w:rPr>
          <w:color w:val="auto"/>
        </w:rPr>
      </w:pPr>
      <w:bookmarkStart w:id="398" w:name="_Toc215210579"/>
      <w:r>
        <w:rPr>
          <w:rFonts w:hint="eastAsia"/>
          <w:color w:val="auto"/>
        </w:rPr>
        <w:t>3.8.7.5高温灼烫</w:t>
      </w:r>
      <w:bookmarkEnd w:id="398"/>
    </w:p>
    <w:p w14:paraId="7267B5FC">
      <w:pPr>
        <w:ind w:firstLine="560"/>
        <w:rPr>
          <w:lang w:val="zh-CN"/>
        </w:rPr>
      </w:pPr>
      <w:r>
        <w:rPr>
          <w:rFonts w:hint="eastAsia" w:hAnsi="宋体"/>
          <w:szCs w:val="28"/>
        </w:rPr>
        <w:t>研发检测还会对样品或试剂进行加热过程，期间如操作不当，人员接触高温物品，易发生高温灼烫事故。</w:t>
      </w:r>
      <w:bookmarkEnd w:id="372"/>
      <w:bookmarkEnd w:id="373"/>
      <w:bookmarkEnd w:id="374"/>
      <w:bookmarkEnd w:id="375"/>
      <w:bookmarkStart w:id="399" w:name="_Toc345406994"/>
    </w:p>
    <w:p w14:paraId="295BC40D">
      <w:pPr>
        <w:pStyle w:val="5"/>
        <w:rPr>
          <w:color w:val="auto"/>
        </w:rPr>
      </w:pPr>
      <w:bookmarkStart w:id="400" w:name="_Toc7198"/>
      <w:bookmarkStart w:id="401" w:name="_Toc215210580"/>
      <w:bookmarkStart w:id="402" w:name="_Toc31801"/>
      <w:r>
        <w:rPr>
          <w:rFonts w:hint="eastAsia"/>
          <w:color w:val="auto"/>
        </w:rPr>
        <w:t>3.3建设工程危险有害因素分析</w:t>
      </w:r>
      <w:bookmarkEnd w:id="400"/>
      <w:bookmarkEnd w:id="401"/>
      <w:bookmarkEnd w:id="402"/>
    </w:p>
    <w:p w14:paraId="407CDF85">
      <w:pPr>
        <w:numPr>
          <w:ilvl w:val="0"/>
          <w:numId w:val="14"/>
        </w:numPr>
        <w:ind w:firstLine="560"/>
        <w:jc w:val="left"/>
      </w:pPr>
      <w:bookmarkStart w:id="403" w:name="_Toc468093110"/>
      <w:r>
        <w:rPr>
          <w:rFonts w:hint="eastAsia"/>
        </w:rPr>
        <w:t>建设工程中涉及到高空作业，临时用电、吊装作业等危险作业，作业过程中未做好安全防护并经审批合格后即作业，容易发生人身伤害事故。</w:t>
      </w:r>
    </w:p>
    <w:p w14:paraId="1197BF05">
      <w:pPr>
        <w:numPr>
          <w:ilvl w:val="0"/>
          <w:numId w:val="14"/>
        </w:numPr>
        <w:ind w:firstLine="560"/>
        <w:jc w:val="left"/>
      </w:pPr>
      <w:r>
        <w:rPr>
          <w:rFonts w:hint="eastAsia"/>
        </w:rPr>
        <w:t>建设工程设备搬运过程中，未严格穿戴劳保用品并按照操作规程作业，容易出现伤害事故。</w:t>
      </w:r>
    </w:p>
    <w:p w14:paraId="0587E428">
      <w:pPr>
        <w:numPr>
          <w:ilvl w:val="0"/>
          <w:numId w:val="14"/>
        </w:numPr>
        <w:ind w:firstLine="560"/>
        <w:jc w:val="left"/>
      </w:pPr>
      <w:r>
        <w:rPr>
          <w:rFonts w:hint="eastAsia"/>
        </w:rPr>
        <w:t>建设工程厂房必须符合防火要求。防火分区严格按要求进行设计和布置。严禁用易燃的聚氨酯发泡胶堵塞孔洞。电源线路敷设严格按设计规范执行。以避免出现事故及事故扩大化。</w:t>
      </w:r>
    </w:p>
    <w:p w14:paraId="494894FE">
      <w:pPr>
        <w:numPr>
          <w:ilvl w:val="0"/>
          <w:numId w:val="14"/>
        </w:numPr>
        <w:ind w:firstLine="560"/>
        <w:jc w:val="left"/>
      </w:pPr>
      <w:r>
        <w:rPr>
          <w:rFonts w:hint="eastAsia"/>
        </w:rPr>
        <w:t>建设期间，设备及物品存放地点未设置警戒隔离带，容易出现非作业人员进入造成伤害。</w:t>
      </w:r>
      <w:bookmarkEnd w:id="403"/>
    </w:p>
    <w:p w14:paraId="0088B28A">
      <w:pPr>
        <w:numPr>
          <w:ilvl w:val="0"/>
          <w:numId w:val="14"/>
        </w:numPr>
        <w:ind w:firstLine="560"/>
        <w:jc w:val="left"/>
      </w:pPr>
      <w:r>
        <w:rPr>
          <w:rFonts w:hint="eastAsia"/>
        </w:rPr>
        <w:t>建设期间，物品堵塞安全通道及安全出口，容易出现事故时人员逃生通道不畅造成事故扩大化。</w:t>
      </w:r>
    </w:p>
    <w:p w14:paraId="1735F894">
      <w:pPr>
        <w:numPr>
          <w:ilvl w:val="0"/>
          <w:numId w:val="14"/>
        </w:numPr>
        <w:ind w:firstLine="560"/>
        <w:jc w:val="left"/>
      </w:pPr>
      <w:r>
        <w:rPr>
          <w:rFonts w:hint="eastAsia"/>
        </w:rPr>
        <w:t>平台临边处等未设置警戒区域，容易出现人员跌落造成人身伤害事故。</w:t>
      </w:r>
    </w:p>
    <w:p w14:paraId="0C8E1232">
      <w:pPr>
        <w:numPr>
          <w:ilvl w:val="0"/>
          <w:numId w:val="14"/>
        </w:numPr>
        <w:ind w:firstLine="560"/>
        <w:jc w:val="left"/>
      </w:pPr>
      <w:r>
        <w:rPr>
          <w:rFonts w:hint="eastAsia"/>
        </w:rPr>
        <w:t>起重吊装如未使用符合要求的吊装机械、操作人员未经培训合格即上岗、现场未设置警戒区域，则容易造成起重伤害事故。</w:t>
      </w:r>
    </w:p>
    <w:p w14:paraId="415CD1A2">
      <w:pPr>
        <w:numPr>
          <w:ilvl w:val="0"/>
          <w:numId w:val="14"/>
        </w:numPr>
        <w:ind w:firstLine="560"/>
        <w:jc w:val="left"/>
      </w:pPr>
      <w:r>
        <w:rPr>
          <w:rFonts w:hint="eastAsia"/>
        </w:rPr>
        <w:t>特种作业人员如电工、焊接作业人员等未持证上岗，则可能造成触电等人身伤害事故。焊接违规使用气瓶，可能发生压力容器爆炸，焊接作业场所有易燃易爆物品、可燃物品未清场地，焊接作业时可能会发生火灾。</w:t>
      </w:r>
    </w:p>
    <w:p w14:paraId="12C84DC2">
      <w:pPr>
        <w:ind w:firstLine="560"/>
        <w:rPr>
          <w:szCs w:val="28"/>
        </w:rPr>
      </w:pPr>
      <w:r>
        <w:rPr>
          <w:rFonts w:hint="eastAsia"/>
        </w:rPr>
        <w:t>施工期间存在交叉作业，未制定交叉作业安全措施及方案，未指定统一指挥协调人员等，均可能造成事故的发生。</w:t>
      </w:r>
    </w:p>
    <w:bookmarkEnd w:id="399"/>
    <w:p w14:paraId="40535FB6">
      <w:pPr>
        <w:pStyle w:val="5"/>
        <w:rPr>
          <w:color w:val="auto"/>
        </w:rPr>
      </w:pPr>
      <w:bookmarkStart w:id="404" w:name="_Toc215210581"/>
      <w:bookmarkStart w:id="405" w:name="_Toc8619"/>
      <w:r>
        <w:rPr>
          <w:rFonts w:hint="eastAsia"/>
          <w:color w:val="auto"/>
        </w:rPr>
        <w:t>3.4安全管理危险有害因素分析</w:t>
      </w:r>
      <w:bookmarkEnd w:id="404"/>
      <w:bookmarkEnd w:id="405"/>
    </w:p>
    <w:p w14:paraId="598B9CE3">
      <w:pPr>
        <w:ind w:firstLine="560"/>
        <w:rPr>
          <w:szCs w:val="28"/>
        </w:rPr>
      </w:pPr>
      <w:r>
        <w:rPr>
          <w:rFonts w:hint="eastAsia"/>
          <w:szCs w:val="28"/>
        </w:rPr>
        <w:t>安全管理的危险、有害因素主要围绕安全生产管理中建立各级安全生产责任制、安全生产管理的规章制度和各类设备、工艺系统、各岗位（工种)、各工序安全作业规程以及安全生产责任制、规章制度的贯彻和落实情况加以辨识和分析。</w:t>
      </w:r>
    </w:p>
    <w:p w14:paraId="5C0E8D26">
      <w:pPr>
        <w:numPr>
          <w:ilvl w:val="0"/>
          <w:numId w:val="15"/>
        </w:numPr>
        <w:ind w:firstLine="560"/>
        <w:jc w:val="left"/>
        <w:rPr>
          <w:szCs w:val="28"/>
        </w:rPr>
      </w:pPr>
      <w:r>
        <w:rPr>
          <w:rFonts w:hint="eastAsia"/>
          <w:szCs w:val="28"/>
        </w:rPr>
        <w:t>安全机构设置：组织机构、人员组成不当或不适应新建系统，造成安全管理工作中存在衔接不当、管理空白、专业不全等，从而造成安全管理上的漏洞。</w:t>
      </w:r>
    </w:p>
    <w:p w14:paraId="3549DF18">
      <w:pPr>
        <w:numPr>
          <w:ilvl w:val="0"/>
          <w:numId w:val="15"/>
        </w:numPr>
        <w:ind w:firstLine="560"/>
        <w:jc w:val="left"/>
        <w:rPr>
          <w:szCs w:val="28"/>
        </w:rPr>
      </w:pPr>
      <w:r>
        <w:rPr>
          <w:rFonts w:hint="eastAsia"/>
          <w:szCs w:val="28"/>
        </w:rPr>
        <w:t>未根据新建系统特点补充、完善安全生产责任制、安全生产管理制度，容易造成生产过程中责任不落实，任务不明确，工作中无章可循，造成生产次序混乱，诱发各类安全生产事故。</w:t>
      </w:r>
    </w:p>
    <w:p w14:paraId="6E0071F5">
      <w:pPr>
        <w:numPr>
          <w:ilvl w:val="0"/>
          <w:numId w:val="15"/>
        </w:numPr>
        <w:ind w:firstLine="560"/>
        <w:jc w:val="left"/>
        <w:rPr>
          <w:szCs w:val="28"/>
        </w:rPr>
      </w:pPr>
      <w:r>
        <w:rPr>
          <w:rFonts w:hint="eastAsia"/>
          <w:szCs w:val="28"/>
        </w:rPr>
        <w:t>未建立安全生产记录档案，不利于及时、全面系统的掌握企业安全生产情况，及时反应安全生产动态。不利于分析安全生产中的危险因素和作出安全管理决策。</w:t>
      </w:r>
    </w:p>
    <w:p w14:paraId="2220C6D5">
      <w:pPr>
        <w:numPr>
          <w:ilvl w:val="0"/>
          <w:numId w:val="15"/>
        </w:numPr>
        <w:ind w:firstLine="560"/>
        <w:jc w:val="left"/>
        <w:rPr>
          <w:szCs w:val="28"/>
        </w:rPr>
      </w:pPr>
      <w:r>
        <w:rPr>
          <w:rFonts w:hint="eastAsia"/>
          <w:szCs w:val="28"/>
        </w:rPr>
        <w:t>未根据新建系统特点补充、完善应急救援预案和应急救援组织，对突发事故无预见性，事故发生后无法及时组织救援，导致事故扩大，造成重大损失。</w:t>
      </w:r>
    </w:p>
    <w:p w14:paraId="5E78928C">
      <w:pPr>
        <w:numPr>
          <w:ilvl w:val="0"/>
          <w:numId w:val="15"/>
        </w:numPr>
        <w:ind w:firstLine="560"/>
        <w:jc w:val="left"/>
        <w:rPr>
          <w:szCs w:val="28"/>
        </w:rPr>
      </w:pPr>
      <w:r>
        <w:rPr>
          <w:rFonts w:hint="eastAsia"/>
          <w:szCs w:val="28"/>
        </w:rPr>
        <w:t>安全资金投入不足、安全教育培训不够、个人防护不到位等而导致安全事故的发生。</w:t>
      </w:r>
    </w:p>
    <w:p w14:paraId="761F072A">
      <w:pPr>
        <w:numPr>
          <w:ilvl w:val="0"/>
          <w:numId w:val="15"/>
        </w:numPr>
        <w:ind w:firstLine="560"/>
        <w:jc w:val="left"/>
        <w:rPr>
          <w:szCs w:val="28"/>
        </w:rPr>
      </w:pPr>
      <w:r>
        <w:rPr>
          <w:rFonts w:hint="eastAsia"/>
          <w:szCs w:val="28"/>
        </w:rPr>
        <w:t>未建立风险分级管控和隐患排查双重预防机制，未根据新建系统的特点制定相应管控措施并定期进行验证检查，可能会导致事故的发生。</w:t>
      </w:r>
    </w:p>
    <w:p w14:paraId="2E0C5BB7">
      <w:pPr>
        <w:ind w:left="560" w:firstLine="0" w:firstLineChars="0"/>
        <w:jc w:val="left"/>
        <w:rPr>
          <w:szCs w:val="28"/>
        </w:rPr>
      </w:pPr>
    </w:p>
    <w:p w14:paraId="769D5CB9">
      <w:pPr>
        <w:ind w:firstLineChars="0"/>
        <w:jc w:val="left"/>
        <w:rPr>
          <w:szCs w:val="28"/>
        </w:rPr>
        <w:sectPr>
          <w:pgSz w:w="11906" w:h="16838"/>
          <w:pgMar w:top="1418" w:right="1134" w:bottom="1247" w:left="1588" w:header="851" w:footer="964" w:gutter="0"/>
          <w:pgNumType w:fmt="decimal"/>
          <w:cols w:space="720" w:num="1"/>
          <w:docGrid w:linePitch="312" w:charSpace="0"/>
        </w:sectPr>
      </w:pPr>
    </w:p>
    <w:p w14:paraId="521C228A">
      <w:pPr>
        <w:pStyle w:val="3"/>
        <w:spacing w:before="0" w:after="240" w:afterLines="100"/>
        <w:ind w:firstLine="883"/>
        <w:rPr>
          <w:color w:val="auto"/>
          <w:kern w:val="0"/>
        </w:rPr>
      </w:pPr>
      <w:bookmarkStart w:id="406" w:name="_Toc449389112"/>
      <w:bookmarkStart w:id="407" w:name="_Toc447696631"/>
      <w:bookmarkStart w:id="408" w:name="_Toc451550000"/>
      <w:bookmarkStart w:id="409" w:name="_Toc160982550"/>
      <w:bookmarkStart w:id="410" w:name="_Toc449442682"/>
      <w:bookmarkStart w:id="411" w:name="_Toc451549802"/>
      <w:bookmarkStart w:id="412" w:name="_Toc160982199"/>
      <w:bookmarkStart w:id="413" w:name="_Toc463820870"/>
      <w:bookmarkStart w:id="414" w:name="_Toc448780996"/>
      <w:bookmarkStart w:id="415" w:name="_Toc9852739"/>
      <w:bookmarkStart w:id="416" w:name="_Toc160982431"/>
      <w:bookmarkStart w:id="417" w:name="_Toc160982086"/>
      <w:bookmarkStart w:id="418" w:name="_Toc448780614"/>
      <w:bookmarkStart w:id="419" w:name="_Toc449443479"/>
      <w:bookmarkStart w:id="420" w:name="_Toc215210582"/>
      <w:r>
        <w:rPr>
          <w:color w:val="auto"/>
          <w:kern w:val="0"/>
        </w:rPr>
        <w:t>第4章</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r>
        <w:rPr>
          <w:rFonts w:hint="eastAsia"/>
          <w:color w:val="auto"/>
          <w:kern w:val="0"/>
        </w:rPr>
        <w:t xml:space="preserve"> 重大危险源辨识及危险、有害程度分析</w:t>
      </w:r>
      <w:bookmarkEnd w:id="420"/>
    </w:p>
    <w:p w14:paraId="491386C4">
      <w:pPr>
        <w:pStyle w:val="5"/>
        <w:rPr>
          <w:color w:val="auto"/>
        </w:rPr>
      </w:pPr>
      <w:bookmarkStart w:id="421" w:name="_Toc154494514"/>
      <w:bookmarkStart w:id="422" w:name="_Toc16381"/>
      <w:bookmarkStart w:id="423" w:name="_Toc8792"/>
      <w:bookmarkStart w:id="424" w:name="_Toc6702"/>
      <w:bookmarkStart w:id="425" w:name="_Toc24337"/>
      <w:bookmarkStart w:id="426" w:name="_Toc215210583"/>
      <w:r>
        <w:rPr>
          <w:rFonts w:hint="eastAsia"/>
          <w:color w:val="auto"/>
        </w:rPr>
        <w:t>4.1</w:t>
      </w:r>
      <w:r>
        <w:rPr>
          <w:color w:val="auto"/>
        </w:rPr>
        <w:t>危险化学品重大危险源辨识</w:t>
      </w:r>
      <w:bookmarkEnd w:id="421"/>
      <w:bookmarkEnd w:id="422"/>
      <w:bookmarkEnd w:id="423"/>
      <w:bookmarkEnd w:id="424"/>
      <w:bookmarkEnd w:id="425"/>
      <w:bookmarkEnd w:id="426"/>
    </w:p>
    <w:p w14:paraId="0D25E6D2">
      <w:pPr>
        <w:pStyle w:val="9"/>
        <w:rPr>
          <w:color w:val="auto"/>
        </w:rPr>
      </w:pPr>
      <w:bookmarkStart w:id="427" w:name="_Toc65029556"/>
      <w:bookmarkStart w:id="428" w:name="_Toc30103"/>
      <w:bookmarkStart w:id="429" w:name="_Toc154494515"/>
      <w:bookmarkStart w:id="430" w:name="_Toc120607120"/>
      <w:bookmarkStart w:id="431" w:name="_Toc28670"/>
      <w:bookmarkStart w:id="432" w:name="_Toc397088167"/>
      <w:bookmarkStart w:id="433" w:name="_Toc65291066"/>
      <w:bookmarkStart w:id="434" w:name="_Toc25045"/>
      <w:bookmarkStart w:id="435" w:name="_Toc215210584"/>
      <w:r>
        <w:rPr>
          <w:rFonts w:hint="eastAsia"/>
          <w:color w:val="auto"/>
        </w:rPr>
        <w:t>4.1</w:t>
      </w:r>
      <w:r>
        <w:rPr>
          <w:color w:val="auto"/>
        </w:rPr>
        <w:t>.1方法介绍</w:t>
      </w:r>
      <w:bookmarkEnd w:id="427"/>
      <w:bookmarkEnd w:id="428"/>
      <w:bookmarkEnd w:id="429"/>
      <w:bookmarkEnd w:id="430"/>
      <w:bookmarkEnd w:id="431"/>
      <w:bookmarkEnd w:id="432"/>
      <w:bookmarkEnd w:id="433"/>
      <w:bookmarkEnd w:id="434"/>
      <w:bookmarkEnd w:id="435"/>
    </w:p>
    <w:p w14:paraId="0214C30F">
      <w:pPr>
        <w:ind w:firstLine="560"/>
        <w:rPr>
          <w:szCs w:val="28"/>
        </w:rPr>
      </w:pPr>
      <w:r>
        <w:rPr>
          <w:szCs w:val="28"/>
        </w:rPr>
        <w:t>危险化学品重大危险源是指长期地或临时地生产、储存、使用和经营危险化学品，且危险化学品的数量等于或超过临界量的单元。</w:t>
      </w:r>
    </w:p>
    <w:p w14:paraId="718BD5D6">
      <w:pPr>
        <w:ind w:firstLine="560"/>
        <w:rPr>
          <w:szCs w:val="28"/>
        </w:rPr>
      </w:pPr>
      <w:r>
        <w:rPr>
          <w:szCs w:val="28"/>
        </w:rPr>
        <w:t>危险化学品重大危险源可分为生产单元危险化学品重大危险源和储存单元危险化学品重大危险源，生产单元是指危险化学品生产、加工及使用等的装置及设施，当装置及设施之间有切断阀时，以切断阀作为分隔界限划分为独立单元；储存单元是指用于储存危险化学品的储罐或仓库组成的相对独立的区域，储罐区以及罐区防火堤为界限划分为独立的单元，仓库以独立库房（独立建筑物）为界限划分为独立的单元。</w:t>
      </w:r>
    </w:p>
    <w:p w14:paraId="1C976636">
      <w:pPr>
        <w:ind w:firstLine="560"/>
        <w:rPr>
          <w:szCs w:val="28"/>
        </w:rPr>
      </w:pPr>
      <w:r>
        <w:rPr>
          <w:szCs w:val="28"/>
        </w:rPr>
        <w:t>危险化学品重大危险源的辨识依据是危险化学品的危险特性及数量，危险化学品储罐以及其它容器、设备或仓储区的危险化学品的实际存在量按设计最大量确定。</w:t>
      </w:r>
    </w:p>
    <w:p w14:paraId="7738EC92">
      <w:pPr>
        <w:ind w:firstLine="560"/>
        <w:rPr>
          <w:szCs w:val="28"/>
        </w:rPr>
      </w:pPr>
      <w:r>
        <w:rPr>
          <w:szCs w:val="28"/>
        </w:rPr>
        <w:t>生产单元、储存单元内存在危险化学品的数量等于或超过表1、表2（见《危险化学品重大危险源辨识》（GB18218-2018中表1、表2）规定的临界量，即被定为重大危险源。单元内存在的危险化学品的数量根据危险化学品种类的多少区分为以下两种情况：</w:t>
      </w:r>
    </w:p>
    <w:p w14:paraId="5DD89DC4">
      <w:pPr>
        <w:ind w:firstLine="560"/>
        <w:rPr>
          <w:szCs w:val="28"/>
        </w:rPr>
      </w:pPr>
      <w:r>
        <w:rPr>
          <w:szCs w:val="28"/>
        </w:rPr>
        <w:t>1.生产单元、储存单元内存在的危险化学品为单一品种时，则该危险化学品的数量即为单元内危险化学品的总量，若等于或超过相应的临界量，则定为重大危险源。</w:t>
      </w:r>
    </w:p>
    <w:p w14:paraId="5A294470">
      <w:pPr>
        <w:ind w:firstLine="560"/>
        <w:rPr>
          <w:szCs w:val="28"/>
        </w:rPr>
      </w:pPr>
      <w:r>
        <w:rPr>
          <w:szCs w:val="28"/>
        </w:rPr>
        <w:t>2.生产单元、储存单元内存在的危险化学品为多品种时，则按下式计算，若满足下面公式，则定为重大危险源：</w:t>
      </w:r>
    </w:p>
    <w:p w14:paraId="7C336D87">
      <w:pPr>
        <w:ind w:firstLine="560"/>
        <w:jc w:val="center"/>
        <w:rPr>
          <w:szCs w:val="28"/>
        </w:rPr>
      </w:pPr>
      <w:r>
        <w:rPr>
          <w:szCs w:val="28"/>
        </w:rPr>
        <w:t>S=</w:t>
      </w:r>
      <w:r>
        <w:rPr>
          <w:position w:val="-30"/>
          <w:szCs w:val="28"/>
        </w:rPr>
        <w:object>
          <v:shape id="_x0000_i1025" o:spt="75" type="#_x0000_t75" style="height:36pt;width:45pt;" o:ole="t" filled="f" o:preferrelative="t" stroked="f" coordsize="21600,21600">
            <v:path/>
            <v:fill on="f" focussize="0,0"/>
            <v:stroke on="f" joinstyle="miter"/>
            <v:imagedata r:id="rId61" o:title=""/>
            <o:lock v:ext="edit" aspectratio="t"/>
            <w10:wrap type="none"/>
            <w10:anchorlock/>
          </v:shape>
          <o:OLEObject Type="Embed" ProgID="Equation.3" ShapeID="_x0000_i1025" DrawAspect="Content" ObjectID="_1468075725" r:id="rId60">
            <o:LockedField>false</o:LockedField>
          </o:OLEObject>
        </w:object>
      </w:r>
      <w:r>
        <w:rPr>
          <w:szCs w:val="28"/>
        </w:rPr>
        <w:t>……</w:t>
      </w:r>
      <w:r>
        <w:rPr>
          <w:rFonts w:hint="eastAsia"/>
          <w:szCs w:val="28"/>
        </w:rPr>
        <w:t>+</w:t>
      </w:r>
      <w:r>
        <w:rPr>
          <w:position w:val="-28"/>
          <w:szCs w:val="28"/>
        </w:rPr>
        <w:object>
          <v:shape id="_x0000_i1026" o:spt="75" type="#_x0000_t75" style="height:34.15pt;width:20.65pt;" o:ole="t" filled="f" o:preferrelative="t" stroked="f" coordsize="21600,21600">
            <v:path/>
            <v:fill on="f" focussize="0,0"/>
            <v:stroke on="f" joinstyle="miter"/>
            <v:imagedata r:id="rId63" o:title=""/>
            <o:lock v:ext="edit" aspectratio="t"/>
            <w10:wrap type="none"/>
            <w10:anchorlock/>
          </v:shape>
          <o:OLEObject Type="Embed" ProgID="Equation.3" ShapeID="_x0000_i1026" DrawAspect="Content" ObjectID="_1468075726" r:id="rId62">
            <o:LockedField>false</o:LockedField>
          </o:OLEObject>
        </w:object>
      </w:r>
      <w:r>
        <w:rPr>
          <w:szCs w:val="28"/>
        </w:rPr>
        <w:t>≥1</w:t>
      </w:r>
    </w:p>
    <w:p w14:paraId="5BFDC303">
      <w:pPr>
        <w:ind w:firstLine="560"/>
        <w:rPr>
          <w:szCs w:val="28"/>
        </w:rPr>
      </w:pPr>
      <w:r>
        <w:rPr>
          <w:szCs w:val="28"/>
        </w:rPr>
        <w:t>式中：S—辨识指标；</w:t>
      </w:r>
    </w:p>
    <w:p w14:paraId="312F2461">
      <w:pPr>
        <w:ind w:firstLine="1400" w:firstLineChars="500"/>
        <w:rPr>
          <w:szCs w:val="28"/>
        </w:rPr>
      </w:pPr>
      <w:r>
        <w:rPr>
          <w:szCs w:val="28"/>
        </w:rPr>
        <w:t>q</w:t>
      </w:r>
      <w:r>
        <w:rPr>
          <w:szCs w:val="28"/>
          <w:vertAlign w:val="subscript"/>
        </w:rPr>
        <w:t>1</w:t>
      </w:r>
      <w:r>
        <w:rPr>
          <w:szCs w:val="28"/>
        </w:rPr>
        <w:t>，q</w:t>
      </w:r>
      <w:r>
        <w:rPr>
          <w:szCs w:val="28"/>
          <w:vertAlign w:val="subscript"/>
        </w:rPr>
        <w:t>2</w:t>
      </w:r>
      <w:r>
        <w:rPr>
          <w:szCs w:val="28"/>
        </w:rPr>
        <w:t>……q</w:t>
      </w:r>
      <w:r>
        <w:rPr>
          <w:szCs w:val="28"/>
          <w:vertAlign w:val="subscript"/>
        </w:rPr>
        <w:t>n</w:t>
      </w:r>
      <w:r>
        <w:rPr>
          <w:szCs w:val="28"/>
        </w:rPr>
        <w:t>—每种危险化学品实际存在量，t。</w:t>
      </w:r>
    </w:p>
    <w:p w14:paraId="7893725B">
      <w:pPr>
        <w:ind w:firstLine="1400" w:firstLineChars="500"/>
        <w:rPr>
          <w:szCs w:val="28"/>
        </w:rPr>
      </w:pPr>
      <w:r>
        <w:rPr>
          <w:szCs w:val="28"/>
        </w:rPr>
        <w:t>Q</w:t>
      </w:r>
      <w:r>
        <w:rPr>
          <w:szCs w:val="28"/>
          <w:vertAlign w:val="subscript"/>
        </w:rPr>
        <w:t>1</w:t>
      </w:r>
      <w:r>
        <w:rPr>
          <w:szCs w:val="28"/>
        </w:rPr>
        <w:t>，Q</w:t>
      </w:r>
      <w:r>
        <w:rPr>
          <w:szCs w:val="28"/>
          <w:vertAlign w:val="subscript"/>
        </w:rPr>
        <w:t>2</w:t>
      </w:r>
      <w:r>
        <w:rPr>
          <w:szCs w:val="28"/>
        </w:rPr>
        <w:t>……Q</w:t>
      </w:r>
      <w:r>
        <w:rPr>
          <w:szCs w:val="28"/>
          <w:vertAlign w:val="subscript"/>
        </w:rPr>
        <w:t>n</w:t>
      </w:r>
      <w:r>
        <w:rPr>
          <w:szCs w:val="28"/>
        </w:rPr>
        <w:t>—与每种危险化学品相对应的临界量，t。</w:t>
      </w:r>
    </w:p>
    <w:p w14:paraId="4B96F416">
      <w:pPr>
        <w:pStyle w:val="9"/>
        <w:rPr>
          <w:color w:val="auto"/>
        </w:rPr>
      </w:pPr>
      <w:bookmarkStart w:id="436" w:name="_Toc120607121"/>
      <w:bookmarkStart w:id="437" w:name="_Toc397088168"/>
      <w:bookmarkStart w:id="438" w:name="_Toc65291067"/>
      <w:bookmarkStart w:id="439" w:name="_Toc65029557"/>
      <w:bookmarkStart w:id="440" w:name="_Toc19656"/>
      <w:bookmarkStart w:id="441" w:name="_Toc9885"/>
      <w:bookmarkStart w:id="442" w:name="_Toc215210585"/>
      <w:bookmarkStart w:id="443" w:name="_Toc154494516"/>
      <w:bookmarkStart w:id="444" w:name="_Toc5596"/>
      <w:r>
        <w:rPr>
          <w:rFonts w:hint="eastAsia"/>
          <w:color w:val="auto"/>
        </w:rPr>
        <w:t>4.4</w:t>
      </w:r>
      <w:r>
        <w:rPr>
          <w:color w:val="auto"/>
        </w:rPr>
        <w:t>.2辨识</w:t>
      </w:r>
      <w:bookmarkEnd w:id="436"/>
      <w:bookmarkEnd w:id="437"/>
      <w:bookmarkEnd w:id="438"/>
      <w:bookmarkEnd w:id="439"/>
      <w:r>
        <w:rPr>
          <w:color w:val="auto"/>
        </w:rPr>
        <w:t>过程</w:t>
      </w:r>
      <w:bookmarkEnd w:id="440"/>
      <w:bookmarkEnd w:id="441"/>
      <w:bookmarkEnd w:id="442"/>
      <w:bookmarkEnd w:id="443"/>
      <w:bookmarkEnd w:id="444"/>
    </w:p>
    <w:p w14:paraId="791EC089">
      <w:pPr>
        <w:ind w:firstLine="560"/>
        <w:rPr>
          <w:szCs w:val="28"/>
        </w:rPr>
      </w:pPr>
      <w:r>
        <w:t>根据《危险化学品重大危险源辨识》（GB18218-2018）辨识可知，本项目</w:t>
      </w:r>
      <w:r>
        <w:rPr>
          <w:szCs w:val="28"/>
        </w:rPr>
        <w:t>涉及的</w:t>
      </w:r>
      <w:r>
        <w:rPr>
          <w:rFonts w:hint="eastAsia"/>
          <w:szCs w:val="28"/>
        </w:rPr>
        <w:t>危险化学品的使用</w:t>
      </w:r>
      <w:r>
        <w:rPr>
          <w:szCs w:val="28"/>
        </w:rPr>
        <w:t>。</w:t>
      </w:r>
    </w:p>
    <w:p w14:paraId="2BCD5217">
      <w:pPr>
        <w:ind w:firstLine="560"/>
        <w:rPr>
          <w:szCs w:val="28"/>
        </w:rPr>
      </w:pPr>
      <w:r>
        <w:rPr>
          <w:rFonts w:hint="eastAsia"/>
          <w:szCs w:val="28"/>
        </w:rPr>
        <w:t>CO存在尾气中，为中间产物</w:t>
      </w:r>
      <w:r>
        <w:rPr>
          <w:rFonts w:hint="eastAsia"/>
        </w:rPr>
        <w:t>，</w:t>
      </w:r>
      <w:r>
        <w:rPr>
          <w:rFonts w:hint="eastAsia"/>
          <w:szCs w:val="28"/>
        </w:rPr>
        <w:t>因含量较少，本次辨识忽略不计。</w:t>
      </w:r>
    </w:p>
    <w:p w14:paraId="7ED2FBD1">
      <w:pPr>
        <w:pStyle w:val="9"/>
        <w:rPr>
          <w:color w:val="auto"/>
        </w:rPr>
      </w:pPr>
      <w:bookmarkStart w:id="445" w:name="_Toc460274720"/>
      <w:bookmarkStart w:id="446" w:name="_Toc215210586"/>
      <w:bookmarkStart w:id="447" w:name="_Toc17816"/>
      <w:bookmarkStart w:id="448" w:name="_Toc154494517"/>
      <w:bookmarkStart w:id="449" w:name="_Toc13948"/>
      <w:bookmarkStart w:id="450" w:name="_Toc12933"/>
      <w:r>
        <w:rPr>
          <w:rFonts w:hint="eastAsia"/>
          <w:color w:val="auto"/>
        </w:rPr>
        <w:t>4.4</w:t>
      </w:r>
      <w:r>
        <w:rPr>
          <w:color w:val="auto"/>
        </w:rPr>
        <w:t>.3辨识结果</w:t>
      </w:r>
      <w:bookmarkEnd w:id="445"/>
      <w:bookmarkEnd w:id="446"/>
      <w:bookmarkEnd w:id="447"/>
      <w:bookmarkEnd w:id="448"/>
      <w:bookmarkEnd w:id="449"/>
      <w:bookmarkEnd w:id="450"/>
    </w:p>
    <w:p w14:paraId="6A528EC7">
      <w:pPr>
        <w:ind w:firstLine="560"/>
        <w:rPr>
          <w:szCs w:val="28"/>
        </w:rPr>
      </w:pPr>
      <w:r>
        <w:rPr>
          <w:szCs w:val="28"/>
        </w:rPr>
        <w:t>本项目不构成危险化学品重大危险源。</w:t>
      </w:r>
    </w:p>
    <w:p w14:paraId="62D6002E">
      <w:pPr>
        <w:pStyle w:val="5"/>
        <w:rPr>
          <w:color w:val="auto"/>
        </w:rPr>
      </w:pPr>
      <w:bookmarkStart w:id="451" w:name="_Toc215210587"/>
      <w:r>
        <w:rPr>
          <w:rFonts w:hint="eastAsia"/>
          <w:color w:val="auto"/>
        </w:rPr>
        <w:t>4.2本章小节</w:t>
      </w:r>
      <w:bookmarkEnd w:id="451"/>
    </w:p>
    <w:p w14:paraId="0AD5C2B3">
      <w:pPr>
        <w:ind w:firstLine="560"/>
        <w:rPr>
          <w:szCs w:val="28"/>
        </w:rPr>
      </w:pPr>
      <w:r>
        <w:rPr>
          <w:rFonts w:hint="eastAsia"/>
          <w:szCs w:val="28"/>
        </w:rPr>
        <w:t>本项目未构成重大危险源。通过本章对生产项目固有危险程度和风险程度的分析，项目在采取有效的监控技术防范措施、落实各项安全管理措施和实施有效的事故应急措施后，本项目的生产安全事故风险能大幅度降低，在可接受范围。</w:t>
      </w:r>
    </w:p>
    <w:p w14:paraId="4EF24EA6">
      <w:pPr>
        <w:ind w:firstLine="560"/>
        <w:rPr>
          <w:rFonts w:cs="Times New Roman"/>
        </w:rPr>
      </w:pPr>
    </w:p>
    <w:p w14:paraId="40C01996">
      <w:pPr>
        <w:spacing w:line="500" w:lineRule="exact"/>
        <w:ind w:firstLine="560"/>
        <w:rPr>
          <w:rFonts w:cs="Times New Roman"/>
          <w:szCs w:val="28"/>
        </w:rPr>
        <w:sectPr>
          <w:pgSz w:w="11906" w:h="16838"/>
          <w:pgMar w:top="1418" w:right="1134" w:bottom="1247" w:left="1588" w:header="851" w:footer="964" w:gutter="0"/>
          <w:pgNumType w:fmt="decimal"/>
          <w:cols w:space="720" w:num="1"/>
          <w:docGrid w:linePitch="312" w:charSpace="0"/>
        </w:sectPr>
      </w:pPr>
    </w:p>
    <w:p w14:paraId="24A25CD2">
      <w:pPr>
        <w:pStyle w:val="3"/>
        <w:ind w:firstLine="883"/>
        <w:rPr>
          <w:color w:val="auto"/>
        </w:rPr>
      </w:pPr>
      <w:bookmarkStart w:id="452" w:name="_Toc451549808"/>
      <w:bookmarkStart w:id="453" w:name="_Toc448780620"/>
      <w:bookmarkStart w:id="454" w:name="_Toc463820876"/>
      <w:bookmarkStart w:id="455" w:name="_Toc449389118"/>
      <w:bookmarkStart w:id="456" w:name="_Toc449443485"/>
      <w:bookmarkStart w:id="457" w:name="_Toc160982211"/>
      <w:bookmarkStart w:id="458" w:name="_Toc160982562"/>
      <w:bookmarkStart w:id="459" w:name="_Toc451550006"/>
      <w:bookmarkStart w:id="460" w:name="_Toc160982098"/>
      <w:bookmarkStart w:id="461" w:name="_Toc449442688"/>
      <w:bookmarkStart w:id="462" w:name="_Toc9852746"/>
      <w:bookmarkStart w:id="463" w:name="_Toc448781002"/>
      <w:bookmarkStart w:id="464" w:name="_Toc160982443"/>
      <w:bookmarkStart w:id="465" w:name="_Toc215210588"/>
      <w:r>
        <w:rPr>
          <w:color w:val="auto"/>
        </w:rPr>
        <w:t>第5章</w:t>
      </w:r>
      <w:bookmarkEnd w:id="452"/>
      <w:bookmarkEnd w:id="453"/>
      <w:bookmarkEnd w:id="454"/>
      <w:bookmarkEnd w:id="455"/>
      <w:bookmarkEnd w:id="456"/>
      <w:bookmarkEnd w:id="457"/>
      <w:bookmarkEnd w:id="458"/>
      <w:bookmarkEnd w:id="459"/>
      <w:bookmarkEnd w:id="460"/>
      <w:bookmarkEnd w:id="461"/>
      <w:bookmarkEnd w:id="462"/>
      <w:bookmarkEnd w:id="463"/>
      <w:bookmarkEnd w:id="464"/>
      <w:r>
        <w:rPr>
          <w:rFonts w:hint="eastAsia"/>
          <w:color w:val="auto"/>
        </w:rPr>
        <w:t xml:space="preserve"> 安全生产条件和设施分析</w:t>
      </w:r>
      <w:bookmarkEnd w:id="465"/>
    </w:p>
    <w:p w14:paraId="0D5CD7BE">
      <w:pPr>
        <w:pStyle w:val="5"/>
        <w:rPr>
          <w:color w:val="auto"/>
        </w:rPr>
      </w:pPr>
      <w:bookmarkStart w:id="466" w:name="_Toc403389299"/>
      <w:bookmarkStart w:id="467" w:name="_Toc11757"/>
      <w:bookmarkStart w:id="468" w:name="_Toc215210589"/>
      <w:bookmarkStart w:id="469" w:name="_Toc28343"/>
      <w:bookmarkStart w:id="470" w:name="_Toc323036466"/>
      <w:r>
        <w:rPr>
          <w:rFonts w:hint="eastAsia"/>
          <w:color w:val="auto"/>
        </w:rPr>
        <w:t>5.1 总体安全条件</w:t>
      </w:r>
      <w:bookmarkEnd w:id="466"/>
      <w:r>
        <w:rPr>
          <w:rFonts w:hint="eastAsia"/>
          <w:color w:val="auto"/>
        </w:rPr>
        <w:t>分析</w:t>
      </w:r>
      <w:bookmarkEnd w:id="467"/>
      <w:bookmarkEnd w:id="468"/>
      <w:bookmarkEnd w:id="469"/>
    </w:p>
    <w:bookmarkEnd w:id="470"/>
    <w:p w14:paraId="24666820">
      <w:pPr>
        <w:pStyle w:val="9"/>
        <w:rPr>
          <w:snapToGrid w:val="0"/>
          <w:color w:val="auto"/>
        </w:rPr>
      </w:pPr>
      <w:bookmarkStart w:id="471" w:name="_Toc16872"/>
      <w:bookmarkStart w:id="472" w:name="_Toc5826"/>
      <w:bookmarkStart w:id="473" w:name="_Toc215210590"/>
      <w:r>
        <w:rPr>
          <w:rFonts w:hint="eastAsia"/>
          <w:snapToGrid w:val="0"/>
          <w:color w:val="auto"/>
        </w:rPr>
        <w:t>5.1.1总平面布置安全检查表</w:t>
      </w:r>
      <w:bookmarkEnd w:id="471"/>
      <w:bookmarkEnd w:id="472"/>
      <w:bookmarkEnd w:id="473"/>
    </w:p>
    <w:p w14:paraId="07B5611B">
      <w:pPr>
        <w:ind w:firstLine="560"/>
        <w:rPr>
          <w:rFonts w:hint="eastAsia" w:ascii="宋体" w:hAnsi="宋体"/>
          <w:szCs w:val="28"/>
        </w:rPr>
      </w:pPr>
      <w:r>
        <w:rPr>
          <w:rFonts w:hint="eastAsia" w:ascii="宋体" w:hAnsi="宋体"/>
          <w:szCs w:val="28"/>
        </w:rPr>
        <w:t>依据《工业企业总平面设计规范》（GB50187-2012）、《建筑设计防火规范》（GB50016-2014,2018版）以及</w:t>
      </w:r>
      <w:r>
        <w:rPr>
          <w:rFonts w:hint="eastAsia" w:ascii="宋体" w:hAnsi="宋体"/>
        </w:rPr>
        <w:t>《工业企业厂内铁路、道路运输安全规程》（GB4387-2008）</w:t>
      </w:r>
      <w:r>
        <w:rPr>
          <w:rFonts w:hint="eastAsia" w:ascii="宋体" w:hAnsi="宋体"/>
          <w:szCs w:val="28"/>
        </w:rPr>
        <w:t>等标准规范的相关要求，采用安全检查表法对项目总平面布置符合性进行分析评价</w:t>
      </w:r>
      <w:r>
        <w:rPr>
          <w:rFonts w:hint="eastAsia" w:ascii="宋体" w:hAnsi="宋体"/>
        </w:rPr>
        <w:t>，见下表</w:t>
      </w:r>
      <w:r>
        <w:rPr>
          <w:rFonts w:hint="eastAsia" w:ascii="宋体" w:hAnsi="宋体"/>
          <w:szCs w:val="28"/>
        </w:rPr>
        <w:t>。</w:t>
      </w:r>
    </w:p>
    <w:p w14:paraId="545AF53D">
      <w:pPr>
        <w:ind w:firstLine="0" w:firstLineChars="0"/>
        <w:jc w:val="center"/>
        <w:rPr>
          <w:rFonts w:hint="eastAsia" w:ascii="宋体" w:hAnsi="宋体"/>
          <w:szCs w:val="28"/>
        </w:rPr>
      </w:pPr>
      <w:r>
        <w:rPr>
          <w:rFonts w:hint="eastAsia" w:ascii="宋体" w:hAnsi="宋体"/>
          <w:szCs w:val="28"/>
        </w:rPr>
        <w:t>表5-1总平面布置检查表</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6"/>
        <w:gridCol w:w="3812"/>
        <w:gridCol w:w="2088"/>
        <w:gridCol w:w="1710"/>
        <w:gridCol w:w="680"/>
      </w:tblGrid>
      <w:tr w14:paraId="1EFFE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36" w:type="dxa"/>
            <w:vAlign w:val="center"/>
          </w:tcPr>
          <w:p w14:paraId="407F1A59">
            <w:pPr>
              <w:overflowPunct w:val="0"/>
              <w:topLinePunct/>
              <w:autoSpaceDE w:val="0"/>
              <w:autoSpaceDN w:val="0"/>
              <w:spacing w:before="48" w:beforeLines="20" w:after="48" w:afterLines="20" w:line="240" w:lineRule="auto"/>
              <w:ind w:firstLine="0" w:firstLineChars="0"/>
              <w:jc w:val="center"/>
              <w:textAlignment w:val="center"/>
              <w:rPr>
                <w:rFonts w:cs="Times New Roman"/>
                <w:b/>
                <w:bCs/>
                <w:sz w:val="21"/>
                <w:szCs w:val="21"/>
              </w:rPr>
            </w:pPr>
            <w:r>
              <w:rPr>
                <w:rFonts w:hint="eastAsia" w:cs="Times New Roman"/>
                <w:b/>
                <w:bCs/>
                <w:sz w:val="21"/>
                <w:szCs w:val="21"/>
              </w:rPr>
              <w:t>序号</w:t>
            </w:r>
          </w:p>
        </w:tc>
        <w:tc>
          <w:tcPr>
            <w:tcW w:w="3812" w:type="dxa"/>
            <w:vAlign w:val="center"/>
          </w:tcPr>
          <w:p w14:paraId="6722A577">
            <w:pPr>
              <w:overflowPunct w:val="0"/>
              <w:topLinePunct/>
              <w:autoSpaceDE w:val="0"/>
              <w:autoSpaceDN w:val="0"/>
              <w:spacing w:before="48" w:beforeLines="20" w:after="48" w:afterLines="20" w:line="240" w:lineRule="auto"/>
              <w:ind w:firstLine="0" w:firstLineChars="0"/>
              <w:jc w:val="center"/>
              <w:textAlignment w:val="center"/>
              <w:rPr>
                <w:rFonts w:cs="Times New Roman"/>
                <w:b/>
                <w:bCs/>
                <w:sz w:val="21"/>
                <w:szCs w:val="21"/>
              </w:rPr>
            </w:pPr>
            <w:r>
              <w:rPr>
                <w:rFonts w:hint="eastAsia" w:cs="Times New Roman"/>
                <w:b/>
                <w:bCs/>
                <w:sz w:val="21"/>
                <w:szCs w:val="21"/>
              </w:rPr>
              <w:t>检查内容</w:t>
            </w:r>
          </w:p>
        </w:tc>
        <w:tc>
          <w:tcPr>
            <w:tcW w:w="2088" w:type="dxa"/>
            <w:vAlign w:val="center"/>
          </w:tcPr>
          <w:p w14:paraId="3732BDF7">
            <w:pPr>
              <w:overflowPunct w:val="0"/>
              <w:topLinePunct/>
              <w:autoSpaceDE w:val="0"/>
              <w:autoSpaceDN w:val="0"/>
              <w:spacing w:before="48" w:beforeLines="20" w:after="48" w:afterLines="20" w:line="240" w:lineRule="auto"/>
              <w:ind w:firstLine="0" w:firstLineChars="0"/>
              <w:jc w:val="center"/>
              <w:textAlignment w:val="center"/>
              <w:rPr>
                <w:rFonts w:cs="Times New Roman"/>
                <w:b/>
                <w:bCs/>
                <w:sz w:val="21"/>
                <w:szCs w:val="21"/>
              </w:rPr>
            </w:pPr>
            <w:r>
              <w:rPr>
                <w:rFonts w:hint="eastAsia" w:cs="Times New Roman"/>
                <w:b/>
                <w:bCs/>
                <w:sz w:val="21"/>
                <w:szCs w:val="21"/>
              </w:rPr>
              <w:t>依据标准</w:t>
            </w:r>
          </w:p>
        </w:tc>
        <w:tc>
          <w:tcPr>
            <w:tcW w:w="1710" w:type="dxa"/>
            <w:vAlign w:val="center"/>
          </w:tcPr>
          <w:p w14:paraId="30AE909C">
            <w:pPr>
              <w:overflowPunct w:val="0"/>
              <w:topLinePunct/>
              <w:autoSpaceDE w:val="0"/>
              <w:autoSpaceDN w:val="0"/>
              <w:spacing w:before="48" w:beforeLines="20" w:after="48" w:afterLines="20" w:line="240" w:lineRule="auto"/>
              <w:ind w:firstLine="0" w:firstLineChars="0"/>
              <w:jc w:val="center"/>
              <w:textAlignment w:val="center"/>
              <w:rPr>
                <w:rFonts w:cs="Times New Roman"/>
                <w:b/>
                <w:bCs/>
                <w:sz w:val="21"/>
                <w:szCs w:val="21"/>
              </w:rPr>
            </w:pPr>
            <w:r>
              <w:rPr>
                <w:rFonts w:hint="eastAsia" w:cs="Times New Roman"/>
                <w:b/>
                <w:bCs/>
                <w:sz w:val="21"/>
                <w:szCs w:val="21"/>
              </w:rPr>
              <w:t>检查情况</w:t>
            </w:r>
          </w:p>
        </w:tc>
        <w:tc>
          <w:tcPr>
            <w:tcW w:w="680" w:type="dxa"/>
            <w:vAlign w:val="center"/>
          </w:tcPr>
          <w:p w14:paraId="33EE8F62">
            <w:pPr>
              <w:overflowPunct w:val="0"/>
              <w:topLinePunct/>
              <w:autoSpaceDE w:val="0"/>
              <w:autoSpaceDN w:val="0"/>
              <w:spacing w:before="48" w:beforeLines="20" w:after="48" w:afterLines="20" w:line="240" w:lineRule="auto"/>
              <w:ind w:firstLine="0" w:firstLineChars="0"/>
              <w:jc w:val="center"/>
              <w:textAlignment w:val="center"/>
              <w:rPr>
                <w:rFonts w:cs="Times New Roman"/>
                <w:b/>
                <w:bCs/>
                <w:sz w:val="21"/>
                <w:szCs w:val="21"/>
              </w:rPr>
            </w:pPr>
            <w:r>
              <w:rPr>
                <w:rFonts w:hint="eastAsia" w:cs="Times New Roman"/>
                <w:b/>
                <w:bCs/>
                <w:sz w:val="21"/>
                <w:szCs w:val="21"/>
              </w:rPr>
              <w:t>检查</w:t>
            </w:r>
          </w:p>
          <w:p w14:paraId="61FF6CDB">
            <w:pPr>
              <w:overflowPunct w:val="0"/>
              <w:topLinePunct/>
              <w:autoSpaceDE w:val="0"/>
              <w:autoSpaceDN w:val="0"/>
              <w:spacing w:before="48" w:beforeLines="20" w:after="48" w:afterLines="20" w:line="240" w:lineRule="auto"/>
              <w:ind w:firstLine="0" w:firstLineChars="0"/>
              <w:jc w:val="center"/>
              <w:textAlignment w:val="center"/>
              <w:rPr>
                <w:rFonts w:cs="Times New Roman"/>
                <w:b/>
                <w:bCs/>
                <w:sz w:val="21"/>
                <w:szCs w:val="21"/>
              </w:rPr>
            </w:pPr>
            <w:r>
              <w:rPr>
                <w:rFonts w:hint="eastAsia" w:cs="Times New Roman"/>
                <w:b/>
                <w:bCs/>
                <w:sz w:val="21"/>
                <w:szCs w:val="21"/>
              </w:rPr>
              <w:t>结论</w:t>
            </w:r>
          </w:p>
        </w:tc>
      </w:tr>
      <w:tr w14:paraId="100FC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5A65A55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w:t>
            </w:r>
          </w:p>
        </w:tc>
        <w:tc>
          <w:tcPr>
            <w:tcW w:w="3812" w:type="dxa"/>
            <w:vAlign w:val="center"/>
          </w:tcPr>
          <w:p w14:paraId="0884C7A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总体规划，应贯彻节约集约用地的原则，并应严格执行国家规定的土地使用审批程序，应利用荒地、劣地及非耕地，不应占用基本农田。分期建设时，总体规划应正确处理近期和远期的关系，近期应集中布置，远期应预留发展，应分期征地，并应合理有效利用土地。</w:t>
            </w:r>
          </w:p>
        </w:tc>
        <w:tc>
          <w:tcPr>
            <w:tcW w:w="2088" w:type="dxa"/>
            <w:vAlign w:val="center"/>
          </w:tcPr>
          <w:p w14:paraId="68EB6133">
            <w:pPr>
              <w:pStyle w:val="45"/>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《工业企业总平面设计规范》GB50187-2012/ 4.1.4</w:t>
            </w:r>
          </w:p>
        </w:tc>
        <w:tc>
          <w:tcPr>
            <w:tcW w:w="1710" w:type="dxa"/>
            <w:vAlign w:val="center"/>
          </w:tcPr>
          <w:p w14:paraId="28FCC91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本项目不改变现有总平面布置，在现有设备设施基础上进行信息化改造，符合上述要求。</w:t>
            </w:r>
          </w:p>
        </w:tc>
        <w:tc>
          <w:tcPr>
            <w:tcW w:w="680" w:type="dxa"/>
            <w:vAlign w:val="center"/>
          </w:tcPr>
          <w:p w14:paraId="04BADF2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51709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4785A98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w:t>
            </w:r>
          </w:p>
        </w:tc>
        <w:tc>
          <w:tcPr>
            <w:tcW w:w="3812" w:type="dxa"/>
            <w:vAlign w:val="center"/>
          </w:tcPr>
          <w:p w14:paraId="6DC60CF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总平面布置应节约集约用地，提高土地利用率。布置时并应符合下列要求：1.在符合生产流程、操作要求和使用功能的前提下，建筑物、构筑物等设施，应采用联合、集中、多层布置；2.应按企业规模和功能分区，合理地确定通道宽度； 3.厂区功能分区及建筑物、构筑物的外形宜规整；4.功能分区内各项设施的布置，应紧凑、合理。</w:t>
            </w:r>
          </w:p>
        </w:tc>
        <w:tc>
          <w:tcPr>
            <w:tcW w:w="2088" w:type="dxa"/>
            <w:vAlign w:val="center"/>
          </w:tcPr>
          <w:p w14:paraId="61EC46E8">
            <w:pPr>
              <w:pStyle w:val="45"/>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《工业企业总平面设计规范》GB50187-2012/ 5.1.2</w:t>
            </w:r>
          </w:p>
        </w:tc>
        <w:tc>
          <w:tcPr>
            <w:tcW w:w="1710" w:type="dxa"/>
            <w:vAlign w:val="center"/>
          </w:tcPr>
          <w:p w14:paraId="406910C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本项目不改变现有总平面布置，在现有设备设施基础上进行信息化改造，现有厂区功能分区及建筑物、构筑物的外形规整，总平面布置紧凑、合理。</w:t>
            </w:r>
          </w:p>
        </w:tc>
        <w:tc>
          <w:tcPr>
            <w:tcW w:w="680" w:type="dxa"/>
            <w:vAlign w:val="center"/>
          </w:tcPr>
          <w:p w14:paraId="19B50AE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709C3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67BB1CC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3</w:t>
            </w:r>
          </w:p>
        </w:tc>
        <w:tc>
          <w:tcPr>
            <w:tcW w:w="3812" w:type="dxa"/>
            <w:vAlign w:val="center"/>
          </w:tcPr>
          <w:p w14:paraId="104BD5E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总平面布置，应充分利用地形、地势、工程地质及水文地质条件，布置建筑物、构筑物和有关设施，应减少土（石）方工程量和基础工程费用，并应符合下列要求：1.当厂区地形坡度较大时，建筑物、构筑物的长轴宜顺等高线布置；2.应结合地形及竖向设计，为物料采用自流管道及高站台、低货位等设施创造条件。</w:t>
            </w:r>
          </w:p>
        </w:tc>
        <w:tc>
          <w:tcPr>
            <w:tcW w:w="2088" w:type="dxa"/>
            <w:vAlign w:val="center"/>
          </w:tcPr>
          <w:p w14:paraId="485925E7">
            <w:pPr>
              <w:pStyle w:val="45"/>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《工业企业总平面设计规范》GB50187-2012/ 5.1.5</w:t>
            </w:r>
          </w:p>
        </w:tc>
        <w:tc>
          <w:tcPr>
            <w:tcW w:w="1710" w:type="dxa"/>
            <w:vAlign w:val="center"/>
          </w:tcPr>
          <w:p w14:paraId="1F0FF0D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本项目不改变现有总平面布置，在现有设备设施基础上进行信息化改造，符合上述要求。</w:t>
            </w:r>
          </w:p>
        </w:tc>
        <w:tc>
          <w:tcPr>
            <w:tcW w:w="680" w:type="dxa"/>
            <w:vAlign w:val="center"/>
          </w:tcPr>
          <w:p w14:paraId="41979E2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1412C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336C2D4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4</w:t>
            </w:r>
          </w:p>
        </w:tc>
        <w:tc>
          <w:tcPr>
            <w:tcW w:w="3812" w:type="dxa"/>
            <w:vAlign w:val="center"/>
          </w:tcPr>
          <w:p w14:paraId="58123EE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总平面布置，应结合当地气象条件，使建筑物具有良好的朝向、采光和自然通风条件。高温、热加工、有特殊要求和人员较多的建筑物，应避免西晒。</w:t>
            </w:r>
          </w:p>
        </w:tc>
        <w:tc>
          <w:tcPr>
            <w:tcW w:w="2088" w:type="dxa"/>
            <w:vAlign w:val="center"/>
          </w:tcPr>
          <w:p w14:paraId="4F052280">
            <w:pPr>
              <w:pStyle w:val="45"/>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《工业企业总平面设计规范》GB50187-2012/ 5.1.6</w:t>
            </w:r>
          </w:p>
        </w:tc>
        <w:tc>
          <w:tcPr>
            <w:tcW w:w="1710" w:type="dxa"/>
            <w:vAlign w:val="center"/>
          </w:tcPr>
          <w:p w14:paraId="130973E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结合当地气象条件设计，考虑了建筑物的朝向、采光和通风条件。</w:t>
            </w:r>
          </w:p>
        </w:tc>
        <w:tc>
          <w:tcPr>
            <w:tcW w:w="680" w:type="dxa"/>
            <w:vAlign w:val="center"/>
          </w:tcPr>
          <w:p w14:paraId="6CAF170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187A5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2FA66ED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5</w:t>
            </w:r>
          </w:p>
        </w:tc>
        <w:tc>
          <w:tcPr>
            <w:tcW w:w="3812" w:type="dxa"/>
            <w:vAlign w:val="center"/>
          </w:tcPr>
          <w:p w14:paraId="1EF654F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总平面布置应采取防止高温、有害气体、烟、雾、粉尘、强烈振动和高噪声对周围环境和人身安全的危害的安全保障措施，并应符合现行国家有关工业</w:t>
            </w:r>
            <w:r>
              <w:rPr>
                <w:rFonts w:hint="eastAsia" w:cs="Times New Roman"/>
                <w:sz w:val="21"/>
                <w:szCs w:val="21"/>
              </w:rPr>
              <mc:AlternateContent>
                <mc:Choice Requires="wps">
                  <w:drawing>
                    <wp:anchor distT="0" distB="0" distL="114300" distR="114300" simplePos="0" relativeHeight="251662336" behindDoc="1" locked="0" layoutInCell="1" allowOverlap="1">
                      <wp:simplePos x="0" y="0"/>
                      <wp:positionH relativeFrom="page">
                        <wp:posOffset>1104900</wp:posOffset>
                      </wp:positionH>
                      <wp:positionV relativeFrom="page">
                        <wp:posOffset>6934200</wp:posOffset>
                      </wp:positionV>
                      <wp:extent cx="5892800" cy="2654300"/>
                      <wp:effectExtent l="0" t="4445" r="0" b="0"/>
                      <wp:wrapNone/>
                      <wp:docPr id="857860990" name="矩形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892800" cy="2654300"/>
                              </a:xfrm>
                              <a:prstGeom prst="rect">
                                <a:avLst/>
                              </a:prstGeom>
                              <a:noFill/>
                              <a:ln>
                                <a:noFill/>
                              </a:ln>
                            </wps:spPr>
                            <wps:bodyPr rot="0" vert="horz" wrap="square" lIns="91440" tIns="45720" rIns="91440" bIns="45720" anchor="t" anchorCtr="0">
                              <a:noAutofit/>
                            </wps:bodyPr>
                          </wps:wsp>
                        </a:graphicData>
                      </a:graphic>
                    </wp:anchor>
                  </w:drawing>
                </mc:Choice>
                <mc:Fallback>
                  <w:pict>
                    <v:rect id="矩形 30" o:spid="_x0000_s1026" o:spt="1" style="position:absolute;left:0pt;margin-left:87pt;margin-top:546pt;height:209pt;width:464pt;mso-position-horizontal-relative:page;mso-position-vertical-relative:page;z-index:-251654144;mso-width-relative:page;mso-height-relative:page;" filled="f" stroked="f" coordsize="21600,21600" o:gfxdata="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0z/qutkAAAAOAQAADwAAAAAAAAAB&#10;ACAAAAAiAAAAZHJzL2Rvd25yZXYueG1sUEsBAhQAFAAAAAgAh07iQKsRXvkPAgAADgQAAA4AAAAA&#10;AAAAAQAgAAAAKAEAAGRycy9lMm9Eb2MueG1sUEsFBgAAAAAGAAYAWQEAAKkFAAAAAA==&#10;">
                      <v:fill on="f" focussize="0,0"/>
                      <v:stroke on="f"/>
                      <v:imagedata o:title=""/>
                      <o:lock v:ext="edit" aspectratio="t"/>
                    </v:rect>
                  </w:pict>
                </mc:Fallback>
              </mc:AlternateContent>
            </w:r>
            <w:r>
              <w:rPr>
                <w:rFonts w:hint="eastAsia" w:cs="Times New Roman"/>
                <w:sz w:val="21"/>
                <w:szCs w:val="21"/>
              </w:rPr>
              <w:t>企业卫生设计标准的规定。</w:t>
            </w:r>
          </w:p>
        </w:tc>
        <w:tc>
          <w:tcPr>
            <w:tcW w:w="2088" w:type="dxa"/>
            <w:vAlign w:val="center"/>
          </w:tcPr>
          <w:p w14:paraId="6B25758B">
            <w:pPr>
              <w:pStyle w:val="45"/>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《工业企业总平面设计规范》GB50187-2012/ 5.1.7</w:t>
            </w:r>
          </w:p>
        </w:tc>
        <w:tc>
          <w:tcPr>
            <w:tcW w:w="1710" w:type="dxa"/>
            <w:vAlign w:val="center"/>
          </w:tcPr>
          <w:p w14:paraId="171B471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本项目不改变现有总平面布置，在现有设备设施基础上进行信息化改造，现有厂房总平面布置采取防止高温、有害气体、烟、雾、粉尘、强烈振动和高噪声对周围环境和人身安全的危害的安全保障措施。</w:t>
            </w:r>
          </w:p>
        </w:tc>
        <w:tc>
          <w:tcPr>
            <w:tcW w:w="680" w:type="dxa"/>
            <w:vAlign w:val="center"/>
          </w:tcPr>
          <w:p w14:paraId="0C82FEE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7002A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2811A88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6</w:t>
            </w:r>
          </w:p>
        </w:tc>
        <w:tc>
          <w:tcPr>
            <w:tcW w:w="3812" w:type="dxa"/>
            <w:vAlign w:val="center"/>
          </w:tcPr>
          <w:p w14:paraId="487C3DE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工业企业的建筑物、构筑物之间及其与铁路、道路之间的防火间距，以及消防通道的设置，应执行现行国家《建筑设计防火规范》GB50016 等有关的规定。</w:t>
            </w:r>
          </w:p>
        </w:tc>
        <w:tc>
          <w:tcPr>
            <w:tcW w:w="2088" w:type="dxa"/>
            <w:vAlign w:val="center"/>
          </w:tcPr>
          <w:p w14:paraId="615EC8F6">
            <w:pPr>
              <w:pStyle w:val="45"/>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《工业企业总平面设计规范》GB50187-2012/ 5.1.10</w:t>
            </w:r>
          </w:p>
        </w:tc>
        <w:tc>
          <w:tcPr>
            <w:tcW w:w="1710" w:type="dxa"/>
            <w:vAlign w:val="center"/>
          </w:tcPr>
          <w:p w14:paraId="0C50789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本项目不改变现有总平面布置，在现有设备设施基础上进行信息化改造，现有建筑物、构筑物之间及其与道路的防火间距，消防通道设置，符合《建筑设计防火规范》GB50016等有关的规定。</w:t>
            </w:r>
          </w:p>
        </w:tc>
        <w:tc>
          <w:tcPr>
            <w:tcW w:w="680" w:type="dxa"/>
            <w:vAlign w:val="center"/>
          </w:tcPr>
          <w:p w14:paraId="062FBA1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4AFD8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30DDB46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7</w:t>
            </w:r>
          </w:p>
        </w:tc>
        <w:tc>
          <w:tcPr>
            <w:tcW w:w="3812" w:type="dxa"/>
            <w:vAlign w:val="center"/>
          </w:tcPr>
          <w:p w14:paraId="445D8E2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竖向设计应与总平面布置同时进行，并应与厂区外现有和规划的运输线路、排水系统、周围场地标高等相协调。竖向设计方案应根据生产、运输、防洪、排水、管线敷设及土（石）方工程等要求，结合地形和地质条件进行综合比较后确定。</w:t>
            </w:r>
          </w:p>
        </w:tc>
        <w:tc>
          <w:tcPr>
            <w:tcW w:w="2088" w:type="dxa"/>
            <w:vAlign w:val="center"/>
          </w:tcPr>
          <w:p w14:paraId="54227E39">
            <w:pPr>
              <w:pStyle w:val="45"/>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《工业企业总平面设计规范》GB50187-2012/ 7.1.1</w:t>
            </w:r>
          </w:p>
        </w:tc>
        <w:tc>
          <w:tcPr>
            <w:tcW w:w="1710" w:type="dxa"/>
            <w:vAlign w:val="center"/>
          </w:tcPr>
          <w:p w14:paraId="4A5142A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本项目不改变现有总平面布置，在现有设备设施基础上进行信息化改造，现有竖向设计与总平面布置同时进行，并与厂区外现有和规划的运输线路、排水系统、周围场地标高等相协调。</w:t>
            </w:r>
          </w:p>
        </w:tc>
        <w:tc>
          <w:tcPr>
            <w:tcW w:w="680" w:type="dxa"/>
            <w:vAlign w:val="center"/>
          </w:tcPr>
          <w:p w14:paraId="2A77A4E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11407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7A61519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8</w:t>
            </w:r>
          </w:p>
        </w:tc>
        <w:tc>
          <w:tcPr>
            <w:tcW w:w="3812" w:type="dxa"/>
            <w:vAlign w:val="center"/>
          </w:tcPr>
          <w:p w14:paraId="028543D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竖向设计应符合下列要求：应满足生产、运输要求；应有利于节约集约用地；改建、扩建工程应与现有场地竖向相协调。</w:t>
            </w:r>
          </w:p>
        </w:tc>
        <w:tc>
          <w:tcPr>
            <w:tcW w:w="2088" w:type="dxa"/>
            <w:vAlign w:val="center"/>
          </w:tcPr>
          <w:p w14:paraId="4D875090">
            <w:pPr>
              <w:pStyle w:val="45"/>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《工业企业总平面设计规范》GB50187-2012/ 7.1.2</w:t>
            </w:r>
          </w:p>
        </w:tc>
        <w:tc>
          <w:tcPr>
            <w:tcW w:w="1710" w:type="dxa"/>
            <w:vAlign w:val="center"/>
          </w:tcPr>
          <w:p w14:paraId="5B2A818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本项目不改变现有总平面布置，在现有设备设施基础上进行信息化改造，现有竖向布置满足生产、运输要求；节约集约用地；与周边场地竖向相协调。</w:t>
            </w:r>
          </w:p>
        </w:tc>
        <w:tc>
          <w:tcPr>
            <w:tcW w:w="680" w:type="dxa"/>
            <w:vAlign w:val="center"/>
          </w:tcPr>
          <w:p w14:paraId="08B7E10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02311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71903FE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9</w:t>
            </w:r>
          </w:p>
        </w:tc>
        <w:tc>
          <w:tcPr>
            <w:tcW w:w="3812" w:type="dxa"/>
            <w:vAlign w:val="center"/>
          </w:tcPr>
          <w:p w14:paraId="45F10764">
            <w:pPr>
              <w:tabs>
                <w:tab w:val="left" w:pos="640"/>
              </w:tabs>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业企业的总平面布置，在满足主体工程需要的前提下，宜将可能产生严重职业性有害因素的设施远离产生一般职业性有害因素的其他设施，应将车间按有无危害、危害的类型及其危害浓度（强度）分开；在产生职业性有害因素的车间与其他车间及生活区之间宜设一定的卫生防护绿化带。</w:t>
            </w:r>
          </w:p>
        </w:tc>
        <w:tc>
          <w:tcPr>
            <w:tcW w:w="2088" w:type="dxa"/>
            <w:vAlign w:val="center"/>
          </w:tcPr>
          <w:p w14:paraId="4AB56C42">
            <w:pPr>
              <w:pStyle w:val="493"/>
              <w:widowControl w:val="0"/>
              <w:overflowPunct w:val="0"/>
              <w:topLinePunct/>
              <w:autoSpaceDE w:val="0"/>
              <w:autoSpaceDN w:val="0"/>
              <w:adjustRightInd/>
              <w:spacing w:before="48" w:beforeLines="20" w:after="48" w:afterLines="20" w:line="240" w:lineRule="auto"/>
              <w:rPr>
                <w:szCs w:val="21"/>
              </w:rPr>
            </w:pPr>
            <w:r>
              <w:rPr>
                <w:rFonts w:hint="eastAsia"/>
                <w:szCs w:val="21"/>
              </w:rPr>
              <w:t>《工业企业设计卫生标准》（GBZ1-2010）/5.2.1.5</w:t>
            </w:r>
          </w:p>
        </w:tc>
        <w:tc>
          <w:tcPr>
            <w:tcW w:w="1710" w:type="dxa"/>
            <w:vAlign w:val="center"/>
          </w:tcPr>
          <w:p w14:paraId="2D06ED2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项目按照规范要求进行布置。</w:t>
            </w:r>
          </w:p>
        </w:tc>
        <w:tc>
          <w:tcPr>
            <w:tcW w:w="680" w:type="dxa"/>
            <w:vAlign w:val="center"/>
          </w:tcPr>
          <w:p w14:paraId="7DC4CE7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2A0FB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305D726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10</w:t>
            </w:r>
          </w:p>
        </w:tc>
        <w:tc>
          <w:tcPr>
            <w:tcW w:w="3812" w:type="dxa"/>
            <w:vAlign w:val="center"/>
          </w:tcPr>
          <w:p w14:paraId="0BFB2BF9">
            <w:pPr>
              <w:tabs>
                <w:tab w:val="left" w:pos="640"/>
              </w:tabs>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存在或可能产生职业病危害的生产车间、设备应按照 GBZ 158 设置职业病危害警示标识。</w:t>
            </w:r>
          </w:p>
        </w:tc>
        <w:tc>
          <w:tcPr>
            <w:tcW w:w="2088" w:type="dxa"/>
            <w:vAlign w:val="center"/>
          </w:tcPr>
          <w:p w14:paraId="3DD2A34F">
            <w:pPr>
              <w:pStyle w:val="493"/>
              <w:widowControl w:val="0"/>
              <w:overflowPunct w:val="0"/>
              <w:topLinePunct/>
              <w:autoSpaceDE w:val="0"/>
              <w:autoSpaceDN w:val="0"/>
              <w:adjustRightInd/>
              <w:spacing w:before="48" w:beforeLines="20" w:after="48" w:afterLines="20" w:line="240" w:lineRule="auto"/>
              <w:rPr>
                <w:szCs w:val="21"/>
              </w:rPr>
            </w:pPr>
            <w:r>
              <w:rPr>
                <w:rFonts w:hint="eastAsia"/>
                <w:szCs w:val="21"/>
              </w:rPr>
              <w:t>《工业企业设计卫生标准》（GBZ1-2010）/5.2.1.6</w:t>
            </w:r>
          </w:p>
        </w:tc>
        <w:tc>
          <w:tcPr>
            <w:tcW w:w="1710" w:type="dxa"/>
            <w:vAlign w:val="center"/>
          </w:tcPr>
          <w:p w14:paraId="54CFDBD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提出了相应要求。</w:t>
            </w:r>
          </w:p>
        </w:tc>
        <w:tc>
          <w:tcPr>
            <w:tcW w:w="680" w:type="dxa"/>
            <w:vAlign w:val="center"/>
          </w:tcPr>
          <w:p w14:paraId="4531FEF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2B015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375DB1A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w:t>
            </w:r>
          </w:p>
        </w:tc>
        <w:tc>
          <w:tcPr>
            <w:tcW w:w="3812" w:type="dxa"/>
            <w:vAlign w:val="center"/>
          </w:tcPr>
          <w:p w14:paraId="20759ECD">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企业内道路的布置，应符合下列要求：</w:t>
            </w:r>
          </w:p>
          <w:p w14:paraId="5B59E25B">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1、应满足生产、运输、安装、检修、消防安全和施工的要求；</w:t>
            </w:r>
          </w:p>
          <w:p w14:paraId="224DACA1">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2、道路的走向宜与区内主要建筑物、构筑物轴线平行或垂直，并应呈环行布置；</w:t>
            </w:r>
          </w:p>
          <w:p w14:paraId="18E461BA">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3、液化烃、可燃液体、可燃气体的罐区内，任何储罐中心至消防车道的距离应符合现行国家标准《石油化工企业设计防火规范》GB50160 的有关规定。</w:t>
            </w:r>
          </w:p>
          <w:p w14:paraId="0C85C9C1">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4、施工道路应与永久性道路相结合。</w:t>
            </w:r>
          </w:p>
        </w:tc>
        <w:tc>
          <w:tcPr>
            <w:tcW w:w="2088" w:type="dxa"/>
            <w:vAlign w:val="center"/>
          </w:tcPr>
          <w:p w14:paraId="0399B8E6">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《工业企业总平面设计规范》GB50187-2012第6.4.1条</w:t>
            </w:r>
          </w:p>
        </w:tc>
        <w:tc>
          <w:tcPr>
            <w:tcW w:w="1710" w:type="dxa"/>
            <w:vAlign w:val="center"/>
          </w:tcPr>
          <w:p w14:paraId="3B57037B">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厂内道路与厂外道路连接方便，能满足消防车辆通行及人员疏散的要求。</w:t>
            </w:r>
          </w:p>
        </w:tc>
        <w:tc>
          <w:tcPr>
            <w:tcW w:w="680" w:type="dxa"/>
            <w:vAlign w:val="center"/>
          </w:tcPr>
          <w:p w14:paraId="142D5AC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45941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6CA06BF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w:t>
            </w:r>
          </w:p>
        </w:tc>
        <w:tc>
          <w:tcPr>
            <w:tcW w:w="3812" w:type="dxa"/>
            <w:vAlign w:val="center"/>
          </w:tcPr>
          <w:p w14:paraId="615B0C71">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厂内道路路面宽度应根据车辆、行人通行和消防需要确定，并宜按现行国家标准《厂矿道路设计规范》GBJ 22 的有关规定执行。</w:t>
            </w:r>
          </w:p>
        </w:tc>
        <w:tc>
          <w:tcPr>
            <w:tcW w:w="2088" w:type="dxa"/>
            <w:vAlign w:val="center"/>
          </w:tcPr>
          <w:p w14:paraId="7CF934EC">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《工业企业总平面设计规范》GB50187-2012第6.4.5条</w:t>
            </w:r>
          </w:p>
        </w:tc>
        <w:tc>
          <w:tcPr>
            <w:tcW w:w="1710" w:type="dxa"/>
            <w:vAlign w:val="center"/>
          </w:tcPr>
          <w:p w14:paraId="7F7034D2">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厂区道路宽、转弯半径符合规范要求。</w:t>
            </w:r>
          </w:p>
        </w:tc>
        <w:tc>
          <w:tcPr>
            <w:tcW w:w="680" w:type="dxa"/>
            <w:vAlign w:val="center"/>
          </w:tcPr>
          <w:p w14:paraId="0EA75C7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1B4A6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5E8A11A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w:t>
            </w:r>
          </w:p>
        </w:tc>
        <w:tc>
          <w:tcPr>
            <w:tcW w:w="3812" w:type="dxa"/>
            <w:vAlign w:val="center"/>
          </w:tcPr>
          <w:p w14:paraId="71D4E3F3">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生产装置和建筑物的主要出入口，应根据需要设置与出入口或大门宽度相适应的引道或人行道，并应就近与厂内道路连接。大门宽度相适应的引道或人行道，并应就近与厂内道路连接。</w:t>
            </w:r>
          </w:p>
        </w:tc>
        <w:tc>
          <w:tcPr>
            <w:tcW w:w="2088" w:type="dxa"/>
            <w:vAlign w:val="center"/>
          </w:tcPr>
          <w:p w14:paraId="0F39D3C5">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《工业企业总平面设计规范》GB50187-2012第6.4.8条</w:t>
            </w:r>
          </w:p>
        </w:tc>
        <w:tc>
          <w:tcPr>
            <w:tcW w:w="1710" w:type="dxa"/>
            <w:vAlign w:val="center"/>
          </w:tcPr>
          <w:p w14:paraId="387DF506">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按要求设置相应的出入口，出入口宽度满足要求。</w:t>
            </w:r>
          </w:p>
        </w:tc>
        <w:tc>
          <w:tcPr>
            <w:tcW w:w="680" w:type="dxa"/>
            <w:vAlign w:val="center"/>
          </w:tcPr>
          <w:p w14:paraId="532DB37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5F494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1033EC9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w:t>
            </w:r>
          </w:p>
        </w:tc>
        <w:tc>
          <w:tcPr>
            <w:tcW w:w="3812" w:type="dxa"/>
            <w:vAlign w:val="center"/>
          </w:tcPr>
          <w:p w14:paraId="33083400">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消防车道的布置，应符合下列要求：</w:t>
            </w:r>
          </w:p>
          <w:p w14:paraId="5CBFA0FD">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1 道路宜呈环状布置；</w:t>
            </w:r>
          </w:p>
          <w:p w14:paraId="3E900491">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2 车道宽度不应小于4.0m；</w:t>
            </w:r>
          </w:p>
          <w:p w14:paraId="360C15C7">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3 应避免与铁路平交。必须平交时，应设备用车道，且两车道之间的距离，不应小于进入厂内最长列车的长度。</w:t>
            </w:r>
          </w:p>
        </w:tc>
        <w:tc>
          <w:tcPr>
            <w:tcW w:w="2088" w:type="dxa"/>
            <w:vAlign w:val="center"/>
          </w:tcPr>
          <w:p w14:paraId="08AC4ABD">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《工业企业总平面设计规范》GB50187-2012第6.4.11条</w:t>
            </w:r>
          </w:p>
        </w:tc>
        <w:tc>
          <w:tcPr>
            <w:tcW w:w="1710" w:type="dxa"/>
            <w:vAlign w:val="center"/>
          </w:tcPr>
          <w:p w14:paraId="54BBE729">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消防道路布置符合要求。</w:t>
            </w:r>
          </w:p>
        </w:tc>
        <w:tc>
          <w:tcPr>
            <w:tcW w:w="680" w:type="dxa"/>
            <w:vAlign w:val="center"/>
          </w:tcPr>
          <w:p w14:paraId="479FFA1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5DDC0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6" w:type="dxa"/>
            <w:vAlign w:val="center"/>
          </w:tcPr>
          <w:p w14:paraId="192D09A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w:t>
            </w:r>
          </w:p>
        </w:tc>
        <w:tc>
          <w:tcPr>
            <w:tcW w:w="3812" w:type="dxa"/>
            <w:vAlign w:val="center"/>
          </w:tcPr>
          <w:p w14:paraId="6FD7F879">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厂区内道路的互相交叉，宜采用平面交叉。平面交叉，应设置在直线路段，并宜正交。当需要斜交时，交叉角不宜小于45°，并应符合下列要求：</w:t>
            </w:r>
          </w:p>
          <w:p w14:paraId="4B642B9F">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1 露天矿山道路受地形等条件限制时，交叉角可适当减少；</w:t>
            </w:r>
          </w:p>
          <w:p w14:paraId="5CEA61BB">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2 道路交叉处对道路纵坡的要求，可按现行国家标准《厂矿道路设计规范》GBJ 22的有关规定执行。</w:t>
            </w:r>
          </w:p>
        </w:tc>
        <w:tc>
          <w:tcPr>
            <w:tcW w:w="2088" w:type="dxa"/>
            <w:vAlign w:val="center"/>
          </w:tcPr>
          <w:p w14:paraId="26B41D26">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《工业企业总平面设计规范》GB50187-2012第6.4.13条</w:t>
            </w:r>
          </w:p>
        </w:tc>
        <w:tc>
          <w:tcPr>
            <w:tcW w:w="1710" w:type="dxa"/>
            <w:vAlign w:val="center"/>
          </w:tcPr>
          <w:p w14:paraId="66CF08F4">
            <w:pPr>
              <w:pStyle w:val="705"/>
              <w:overflowPunct w:val="0"/>
              <w:topLinePunct/>
              <w:autoSpaceDE w:val="0"/>
              <w:autoSpaceDN w:val="0"/>
              <w:spacing w:before="48" w:beforeLines="20" w:after="48" w:afterLines="20"/>
              <w:jc w:val="center"/>
              <w:textAlignment w:val="center"/>
              <w:rPr>
                <w:rFonts w:ascii="Times New Roman"/>
                <w:kern w:val="0"/>
              </w:rPr>
            </w:pPr>
            <w:r>
              <w:rPr>
                <w:rFonts w:hint="eastAsia" w:ascii="Times New Roman"/>
                <w:kern w:val="0"/>
              </w:rPr>
              <w:t>厂区道路采用平面交叉，交叉角大于45°。</w:t>
            </w:r>
          </w:p>
        </w:tc>
        <w:tc>
          <w:tcPr>
            <w:tcW w:w="680" w:type="dxa"/>
            <w:vAlign w:val="center"/>
          </w:tcPr>
          <w:p w14:paraId="2F9763C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bl>
    <w:p w14:paraId="5DD7AB31">
      <w:pPr>
        <w:pStyle w:val="9"/>
        <w:rPr>
          <w:snapToGrid w:val="0"/>
          <w:color w:val="auto"/>
        </w:rPr>
      </w:pPr>
      <w:bookmarkStart w:id="474" w:name="_Toc13538"/>
      <w:bookmarkStart w:id="475" w:name="_Toc215210591"/>
      <w:bookmarkStart w:id="476" w:name="_Toc330414815"/>
      <w:bookmarkStart w:id="477" w:name="_Toc403389301"/>
      <w:bookmarkStart w:id="478" w:name="_Toc30362"/>
      <w:bookmarkStart w:id="479" w:name="_Toc295810670"/>
      <w:r>
        <w:rPr>
          <w:rFonts w:hint="eastAsia"/>
          <w:snapToGrid w:val="0"/>
          <w:color w:val="auto"/>
        </w:rPr>
        <w:t>5.1.2周边环境影响分析</w:t>
      </w:r>
      <w:bookmarkEnd w:id="474"/>
      <w:bookmarkEnd w:id="475"/>
      <w:bookmarkEnd w:id="476"/>
      <w:bookmarkEnd w:id="477"/>
      <w:bookmarkEnd w:id="478"/>
    </w:p>
    <w:p w14:paraId="35CF4ED8">
      <w:pPr>
        <w:pStyle w:val="529"/>
        <w:ind w:firstLine="560"/>
        <w:rPr>
          <w:rFonts w:hint="eastAsia" w:ascii="宋体" w:hAnsi="宋体" w:cs="宋体"/>
        </w:rPr>
      </w:pPr>
      <w:r>
        <w:rPr>
          <w:rFonts w:hint="eastAsia" w:ascii="宋体" w:hAnsi="宋体" w:cs="宋体"/>
        </w:rPr>
        <w:t>项目厂区设置围墙与周边环境隔开，当地居民活动对项目运行不会造成影响。项目与周边设施之间的防火间距符合规范要求，并加强防火防爆的安全管理，在采取安全措施后，周边环境影响是可以接受的。</w:t>
      </w:r>
    </w:p>
    <w:p w14:paraId="6D10785A">
      <w:pPr>
        <w:pStyle w:val="9"/>
        <w:rPr>
          <w:snapToGrid w:val="0"/>
          <w:color w:val="auto"/>
        </w:rPr>
      </w:pPr>
      <w:bookmarkStart w:id="480" w:name="_Toc16608"/>
      <w:bookmarkStart w:id="481" w:name="_Toc223710815"/>
      <w:bookmarkStart w:id="482" w:name="_Toc235531346"/>
      <w:bookmarkStart w:id="483" w:name="_Toc330414816"/>
      <w:bookmarkStart w:id="484" w:name="_Toc403389302"/>
      <w:bookmarkStart w:id="485" w:name="_Toc329606181"/>
      <w:bookmarkStart w:id="486" w:name="_Toc11421"/>
      <w:bookmarkStart w:id="487" w:name="_Toc215210592"/>
      <w:r>
        <w:rPr>
          <w:rFonts w:hint="eastAsia"/>
          <w:snapToGrid w:val="0"/>
          <w:color w:val="auto"/>
        </w:rPr>
        <w:t>5.1.3自然条件影响分析</w:t>
      </w:r>
      <w:bookmarkEnd w:id="480"/>
      <w:bookmarkEnd w:id="481"/>
      <w:bookmarkEnd w:id="482"/>
      <w:bookmarkEnd w:id="483"/>
      <w:bookmarkEnd w:id="484"/>
      <w:bookmarkEnd w:id="485"/>
      <w:bookmarkEnd w:id="486"/>
      <w:bookmarkEnd w:id="487"/>
    </w:p>
    <w:p w14:paraId="2BE60444">
      <w:pPr>
        <w:pStyle w:val="529"/>
        <w:ind w:firstLine="560"/>
        <w:rPr>
          <w:rFonts w:hint="eastAsia" w:ascii="宋体" w:hAnsi="宋体" w:cs="宋体"/>
        </w:rPr>
      </w:pPr>
      <w:r>
        <w:rPr>
          <w:rFonts w:hint="eastAsia" w:ascii="宋体" w:hAnsi="宋体" w:cs="宋体"/>
        </w:rPr>
        <w:t>1.项目所在地自然条件对项目运行的影响</w:t>
      </w:r>
    </w:p>
    <w:p w14:paraId="2033ACEC">
      <w:pPr>
        <w:pStyle w:val="529"/>
        <w:ind w:firstLine="560"/>
        <w:rPr>
          <w:rFonts w:hint="eastAsia" w:ascii="宋体" w:hAnsi="宋体" w:cs="宋体"/>
        </w:rPr>
      </w:pPr>
      <w:r>
        <w:rPr>
          <w:rFonts w:hint="eastAsia" w:ascii="宋体" w:hAnsi="宋体" w:cs="宋体"/>
        </w:rPr>
        <w:t>（1）风向、风速</w:t>
      </w:r>
    </w:p>
    <w:p w14:paraId="1F75CF9B">
      <w:pPr>
        <w:pStyle w:val="529"/>
        <w:ind w:firstLine="560"/>
        <w:rPr>
          <w:rFonts w:hint="eastAsia" w:ascii="宋体" w:hAnsi="宋体" w:cs="宋体"/>
        </w:rPr>
      </w:pPr>
      <w:r>
        <w:rPr>
          <w:rFonts w:hint="eastAsia" w:ascii="宋体" w:hAnsi="宋体" w:cs="宋体"/>
        </w:rPr>
        <w:t>本项目厂区不属于窝风地段，能保证本项目产生的粉尘、有毒有害物质能够及时扩散，能够使现场的作业环境得到提高和改善，因此风速、风向对项目的影响在可接受范围内。</w:t>
      </w:r>
    </w:p>
    <w:p w14:paraId="05AA30F9">
      <w:pPr>
        <w:pStyle w:val="529"/>
        <w:ind w:firstLine="560"/>
        <w:rPr>
          <w:rFonts w:hint="eastAsia" w:ascii="宋体" w:hAnsi="宋体" w:cs="宋体"/>
        </w:rPr>
      </w:pPr>
      <w:r>
        <w:rPr>
          <w:rFonts w:hint="eastAsia" w:ascii="宋体" w:hAnsi="宋体" w:cs="宋体"/>
        </w:rPr>
        <w:t>（2）气温</w:t>
      </w:r>
    </w:p>
    <w:p w14:paraId="6D2574C1">
      <w:pPr>
        <w:pStyle w:val="529"/>
        <w:ind w:firstLine="560"/>
        <w:rPr>
          <w:rFonts w:hint="eastAsia" w:ascii="宋体" w:hAnsi="宋体" w:cs="宋体"/>
        </w:rPr>
      </w:pPr>
      <w:r>
        <w:rPr>
          <w:rFonts w:hint="eastAsia" w:ascii="宋体" w:hAnsi="宋体" w:cs="宋体"/>
        </w:rPr>
        <w:t>本项目主要生产设施设置在厂房内，根据气象资料分析，本项目生产工艺控制不受气温变化的影响，夏季作业人员采取防中暑措施，气温对本项目的影响很小。</w:t>
      </w:r>
    </w:p>
    <w:p w14:paraId="50FD0813">
      <w:pPr>
        <w:pStyle w:val="529"/>
        <w:ind w:firstLine="560"/>
        <w:rPr>
          <w:rFonts w:hint="eastAsia" w:ascii="宋体" w:hAnsi="宋体" w:cs="宋体"/>
        </w:rPr>
      </w:pPr>
      <w:r>
        <w:rPr>
          <w:rFonts w:hint="eastAsia" w:ascii="宋体" w:hAnsi="宋体" w:cs="宋体"/>
        </w:rPr>
        <w:t>（3）雷击</w:t>
      </w:r>
    </w:p>
    <w:p w14:paraId="162B9367">
      <w:pPr>
        <w:pStyle w:val="529"/>
        <w:ind w:firstLine="560"/>
        <w:rPr>
          <w:rFonts w:hint="eastAsia" w:ascii="宋体" w:hAnsi="宋体" w:cs="宋体"/>
        </w:rPr>
      </w:pPr>
      <w:r>
        <w:rPr>
          <w:rFonts w:hint="eastAsia" w:ascii="宋体" w:hAnsi="宋体" w:cs="宋体"/>
        </w:rPr>
        <w:t>雷电可能引起燃烧甚至爆炸，造成大量的人员伤亡和相关设备损毁的严重事故，因此应按要求设置完善的防雷接地设施。</w:t>
      </w:r>
    </w:p>
    <w:p w14:paraId="20C2895F">
      <w:pPr>
        <w:pStyle w:val="529"/>
        <w:ind w:firstLine="560"/>
        <w:rPr>
          <w:rFonts w:hint="eastAsia" w:ascii="宋体" w:hAnsi="宋体" w:cs="宋体"/>
        </w:rPr>
      </w:pPr>
      <w:r>
        <w:rPr>
          <w:rFonts w:hint="eastAsia" w:ascii="宋体" w:hAnsi="宋体" w:cs="宋体"/>
        </w:rPr>
        <w:t>（4）降雨</w:t>
      </w:r>
    </w:p>
    <w:p w14:paraId="621CC8C4">
      <w:pPr>
        <w:pStyle w:val="529"/>
        <w:ind w:firstLine="560"/>
        <w:rPr>
          <w:rFonts w:hint="eastAsia" w:ascii="宋体" w:hAnsi="宋体" w:cs="宋体"/>
        </w:rPr>
      </w:pPr>
      <w:r>
        <w:rPr>
          <w:rFonts w:hint="eastAsia" w:ascii="宋体" w:hAnsi="宋体" w:cs="宋体"/>
        </w:rPr>
        <w:t>本项目不在低洼地带，现有厂设置完善的排水系统，能够保证雨水顺利排出，因此暴雨对项目区的影响不大。</w:t>
      </w:r>
    </w:p>
    <w:p w14:paraId="054EFD72">
      <w:pPr>
        <w:pStyle w:val="529"/>
        <w:ind w:firstLine="560"/>
        <w:rPr>
          <w:rFonts w:hint="eastAsia" w:ascii="宋体" w:hAnsi="宋体" w:cs="宋体"/>
        </w:rPr>
      </w:pPr>
      <w:r>
        <w:rPr>
          <w:rFonts w:hint="eastAsia" w:ascii="宋体" w:hAnsi="宋体" w:cs="宋体"/>
        </w:rPr>
        <w:t>2.地质条件对项目的影响</w:t>
      </w:r>
    </w:p>
    <w:p w14:paraId="7E4D3B21">
      <w:pPr>
        <w:ind w:firstLine="560"/>
        <w:rPr>
          <w:szCs w:val="28"/>
        </w:rPr>
      </w:pPr>
      <w:r>
        <w:rPr>
          <w:rFonts w:hint="eastAsia"/>
          <w:szCs w:val="28"/>
        </w:rPr>
        <w:t>本</w:t>
      </w:r>
      <w:r>
        <w:rPr>
          <w:szCs w:val="28"/>
        </w:rPr>
        <w:t>项目</w:t>
      </w:r>
      <w:r>
        <w:rPr>
          <w:snapToGrid w:val="0"/>
          <w:szCs w:val="28"/>
        </w:rPr>
        <w:t>可能会因地</w:t>
      </w:r>
      <w:r>
        <w:rPr>
          <w:szCs w:val="28"/>
        </w:rPr>
        <w:t>质条件方面的原因引发地基下沉、毁坏等危险。其主要产生原因分析如下：</w:t>
      </w:r>
    </w:p>
    <w:p w14:paraId="73E24EC1">
      <w:pPr>
        <w:ind w:firstLine="560"/>
        <w:rPr>
          <w:szCs w:val="28"/>
        </w:rPr>
      </w:pPr>
      <w:r>
        <w:rPr>
          <w:rFonts w:hint="eastAsia"/>
          <w:szCs w:val="28"/>
        </w:rPr>
        <w:t>（1）本</w:t>
      </w:r>
      <w:r>
        <w:rPr>
          <w:szCs w:val="28"/>
        </w:rPr>
        <w:t>项目地表水及地下水富集等可能会对建构筑物基础引发毁坏危险；</w:t>
      </w:r>
    </w:p>
    <w:p w14:paraId="4BF4465C">
      <w:pPr>
        <w:ind w:firstLine="560"/>
        <w:rPr>
          <w:szCs w:val="28"/>
        </w:rPr>
      </w:pPr>
      <w:r>
        <w:rPr>
          <w:rFonts w:hint="eastAsia"/>
          <w:szCs w:val="28"/>
        </w:rPr>
        <w:t>（2）本</w:t>
      </w:r>
      <w:r>
        <w:rPr>
          <w:szCs w:val="28"/>
        </w:rPr>
        <w:t>项目区域抗震设防烈度为</w:t>
      </w:r>
      <w:r>
        <w:rPr>
          <w:rFonts w:hint="eastAsia"/>
          <w:szCs w:val="28"/>
        </w:rPr>
        <w:t>8</w:t>
      </w:r>
      <w:r>
        <w:rPr>
          <w:szCs w:val="28"/>
        </w:rPr>
        <w:t>度，若建构筑物未按当地地震烈度设防；若发生地震可能破坏建筑物基础，造成建筑物坍塌、地基下沉等危险；</w:t>
      </w:r>
    </w:p>
    <w:p w14:paraId="753C2830">
      <w:pPr>
        <w:ind w:firstLine="560"/>
        <w:rPr>
          <w:szCs w:val="28"/>
          <w:lang w:val="zh-CN"/>
        </w:rPr>
      </w:pPr>
      <w:r>
        <w:rPr>
          <w:rFonts w:hint="eastAsia"/>
          <w:szCs w:val="28"/>
        </w:rPr>
        <w:t>（3）本</w:t>
      </w:r>
      <w:r>
        <w:rPr>
          <w:szCs w:val="28"/>
        </w:rPr>
        <w:t>项目</w:t>
      </w:r>
      <w:r>
        <w:rPr>
          <w:szCs w:val="28"/>
          <w:lang w:val="zh-CN"/>
        </w:rPr>
        <w:t>厂房基础负荷改变，基础承载不满足要求可能会造成基础下沉，设备损坏；</w:t>
      </w:r>
    </w:p>
    <w:p w14:paraId="1FDEA171">
      <w:pPr>
        <w:ind w:firstLine="560"/>
        <w:rPr>
          <w:szCs w:val="28"/>
          <w:lang w:val="zh-CN"/>
        </w:rPr>
      </w:pPr>
      <w:r>
        <w:rPr>
          <w:rFonts w:hint="eastAsia"/>
          <w:szCs w:val="28"/>
        </w:rPr>
        <w:t>（4）本</w:t>
      </w:r>
      <w:r>
        <w:rPr>
          <w:szCs w:val="28"/>
        </w:rPr>
        <w:t>项目</w:t>
      </w:r>
      <w:r>
        <w:rPr>
          <w:rFonts w:hint="eastAsia"/>
          <w:szCs w:val="28"/>
        </w:rPr>
        <w:t>厂房</w:t>
      </w:r>
      <w:r>
        <w:rPr>
          <w:szCs w:val="28"/>
        </w:rPr>
        <w:t>运行若承载力不够或结构老化，运行后可能出现地基下沉，导致建构筑物或设备及与其相连的部件发生变形，引发坍塌事故。</w:t>
      </w:r>
    </w:p>
    <w:p w14:paraId="425DA3A7">
      <w:pPr>
        <w:pStyle w:val="529"/>
        <w:ind w:firstLine="560"/>
        <w:rPr>
          <w:rFonts w:hint="eastAsia" w:ascii="宋体" w:hAnsi="宋体" w:cs="宋体"/>
        </w:rPr>
      </w:pPr>
      <w:r>
        <w:rPr>
          <w:rFonts w:hint="eastAsia" w:ascii="宋体" w:hAnsi="宋体" w:cs="宋体"/>
        </w:rPr>
        <w:t>本项目不改变现有总平面布置，在现有设备设施基础上进行信息化改造，未增加较大负荷设备设施，项目厂址场地的地质条件及地震对本项目的影响在可接受的范围内。</w:t>
      </w:r>
    </w:p>
    <w:bookmarkEnd w:id="479"/>
    <w:p w14:paraId="1D5C2213">
      <w:pPr>
        <w:pStyle w:val="9"/>
        <w:rPr>
          <w:snapToGrid w:val="0"/>
          <w:color w:val="auto"/>
        </w:rPr>
      </w:pPr>
      <w:bookmarkStart w:id="488" w:name="_Toc10411"/>
      <w:bookmarkStart w:id="489" w:name="_Toc403389307"/>
      <w:bookmarkStart w:id="490" w:name="_Toc6791"/>
      <w:bookmarkStart w:id="491" w:name="_Toc215210593"/>
      <w:bookmarkStart w:id="492" w:name="_Toc323036468"/>
      <w:r>
        <w:rPr>
          <w:rFonts w:hint="eastAsia"/>
          <w:snapToGrid w:val="0"/>
          <w:color w:val="auto"/>
        </w:rPr>
        <w:t>5.1.4评价小结</w:t>
      </w:r>
      <w:bookmarkEnd w:id="488"/>
      <w:bookmarkEnd w:id="489"/>
      <w:bookmarkEnd w:id="490"/>
      <w:bookmarkEnd w:id="491"/>
    </w:p>
    <w:p w14:paraId="7293F5A9">
      <w:pPr>
        <w:pStyle w:val="529"/>
        <w:ind w:firstLine="560"/>
        <w:rPr>
          <w:rFonts w:hint="eastAsia" w:ascii="宋体" w:hAnsi="宋体" w:cs="宋体"/>
          <w:lang w:val="en-US"/>
        </w:rPr>
      </w:pPr>
      <w:r>
        <w:rPr>
          <w:rFonts w:hint="eastAsia" w:ascii="宋体" w:hAnsi="宋体" w:cs="宋体"/>
        </w:rPr>
        <w:t>本项目不改变现有总平面布置，在现有设备设施基础上进行信息化改造，厂内道路布置合理，连接方便、短捷，满足生产、运输、安装、检修、消防安全的要求。厂址及总平面布置符合</w:t>
      </w:r>
      <w:r>
        <w:rPr>
          <w:rFonts w:hint="eastAsia" w:ascii="宋体" w:hAnsi="宋体" w:cs="宋体"/>
          <w:szCs w:val="21"/>
        </w:rPr>
        <w:t>《工业企业总平面设计规范》GB50187、《建筑设计防火规范》</w:t>
      </w:r>
      <w:r>
        <w:rPr>
          <w:rFonts w:hint="eastAsia" w:ascii="宋体" w:hAnsi="宋体" w:cs="宋体"/>
          <w:szCs w:val="21"/>
          <w:lang w:val="en-US"/>
        </w:rPr>
        <w:t>GB50016的规定。</w:t>
      </w:r>
    </w:p>
    <w:p w14:paraId="24856DE2">
      <w:pPr>
        <w:pStyle w:val="5"/>
        <w:rPr>
          <w:color w:val="auto"/>
        </w:rPr>
      </w:pPr>
      <w:bookmarkStart w:id="493" w:name="_Toc24168"/>
      <w:bookmarkStart w:id="494" w:name="_Toc403389308"/>
      <w:bookmarkStart w:id="495" w:name="_Toc12071"/>
      <w:bookmarkStart w:id="496" w:name="_Toc215210594"/>
      <w:r>
        <w:rPr>
          <w:rFonts w:hint="eastAsia"/>
          <w:color w:val="auto"/>
        </w:rPr>
        <w:t>5.2 工艺及设施</w:t>
      </w:r>
      <w:bookmarkEnd w:id="492"/>
      <w:bookmarkEnd w:id="493"/>
      <w:bookmarkEnd w:id="494"/>
      <w:r>
        <w:rPr>
          <w:rFonts w:hint="eastAsia"/>
          <w:color w:val="auto"/>
        </w:rPr>
        <w:t>分析</w:t>
      </w:r>
      <w:bookmarkEnd w:id="495"/>
      <w:bookmarkEnd w:id="496"/>
    </w:p>
    <w:p w14:paraId="2DD52C9A">
      <w:pPr>
        <w:pStyle w:val="9"/>
        <w:rPr>
          <w:snapToGrid w:val="0"/>
          <w:color w:val="auto"/>
        </w:rPr>
      </w:pPr>
      <w:bookmarkStart w:id="497" w:name="_Toc29447"/>
      <w:bookmarkStart w:id="498" w:name="_Toc32032"/>
      <w:bookmarkStart w:id="499" w:name="_Toc215210595"/>
      <w:r>
        <w:rPr>
          <w:rFonts w:hint="eastAsia"/>
          <w:snapToGrid w:val="0"/>
          <w:color w:val="auto"/>
        </w:rPr>
        <w:t>5.2.1工艺及装置安全检查表</w:t>
      </w:r>
      <w:bookmarkEnd w:id="497"/>
      <w:bookmarkEnd w:id="498"/>
      <w:bookmarkEnd w:id="499"/>
    </w:p>
    <w:p w14:paraId="661CDDF2">
      <w:pPr>
        <w:adjustRightInd/>
        <w:ind w:firstLine="560"/>
        <w:rPr>
          <w:rFonts w:hint="eastAsia" w:ascii="宋体" w:hAnsi="宋体"/>
          <w:szCs w:val="28"/>
        </w:rPr>
      </w:pPr>
      <w:r>
        <w:rPr>
          <w:rFonts w:hint="eastAsia" w:ascii="宋体" w:hAnsi="宋体"/>
          <w:szCs w:val="28"/>
        </w:rPr>
        <w:t>根据《中华人民共和国安全生产法》、《生产设备安全卫生设计总则》（GB5083-1999）、《生产过程安全卫生要求总则》（GB/T12801-2008）等相关规范的要求编制安全检查表对本项目生产工艺及装置进行分析评价，具体检查内容见下表。</w:t>
      </w:r>
    </w:p>
    <w:p w14:paraId="7C7B6A1F">
      <w:pPr>
        <w:adjustRightInd/>
        <w:ind w:left="420" w:firstLine="0" w:firstLineChars="0"/>
        <w:jc w:val="center"/>
        <w:rPr>
          <w:rFonts w:hint="eastAsia" w:ascii="宋体" w:hAnsi="宋体"/>
          <w:szCs w:val="28"/>
        </w:rPr>
      </w:pPr>
      <w:r>
        <w:rPr>
          <w:rFonts w:hint="eastAsia" w:ascii="宋体" w:hAnsi="宋体"/>
          <w:szCs w:val="28"/>
        </w:rPr>
        <w:t>表5-2工艺及装置安全检查表</w:t>
      </w:r>
    </w:p>
    <w:tbl>
      <w:tblPr>
        <w:tblStyle w:val="59"/>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75"/>
        <w:gridCol w:w="3365"/>
        <w:gridCol w:w="1633"/>
        <w:gridCol w:w="2317"/>
        <w:gridCol w:w="772"/>
      </w:tblGrid>
      <w:tr w14:paraId="4B7833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tblHeader/>
          <w:jc w:val="center"/>
        </w:trPr>
        <w:tc>
          <w:tcPr>
            <w:tcW w:w="775" w:type="dxa"/>
            <w:tcBorders>
              <w:top w:val="single" w:color="auto" w:sz="4" w:space="0"/>
              <w:left w:val="single" w:color="auto" w:sz="4" w:space="0"/>
              <w:bottom w:val="single" w:color="auto" w:sz="4" w:space="0"/>
              <w:right w:val="single" w:color="auto" w:sz="4" w:space="0"/>
            </w:tcBorders>
            <w:vAlign w:val="center"/>
          </w:tcPr>
          <w:p w14:paraId="25A325F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序号</w:t>
            </w:r>
          </w:p>
        </w:tc>
        <w:tc>
          <w:tcPr>
            <w:tcW w:w="3365" w:type="dxa"/>
            <w:tcBorders>
              <w:top w:val="single" w:color="auto" w:sz="4" w:space="0"/>
              <w:left w:val="single" w:color="auto" w:sz="4" w:space="0"/>
              <w:bottom w:val="single" w:color="auto" w:sz="4" w:space="0"/>
              <w:right w:val="single" w:color="auto" w:sz="4" w:space="0"/>
            </w:tcBorders>
            <w:vAlign w:val="center"/>
          </w:tcPr>
          <w:p w14:paraId="7EF4548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检查内容</w:t>
            </w:r>
          </w:p>
        </w:tc>
        <w:tc>
          <w:tcPr>
            <w:tcW w:w="1633" w:type="dxa"/>
            <w:tcBorders>
              <w:top w:val="single" w:color="auto" w:sz="4" w:space="0"/>
              <w:left w:val="single" w:color="auto" w:sz="4" w:space="0"/>
              <w:bottom w:val="single" w:color="auto" w:sz="4" w:space="0"/>
              <w:right w:val="single" w:color="auto" w:sz="4" w:space="0"/>
            </w:tcBorders>
            <w:vAlign w:val="center"/>
          </w:tcPr>
          <w:p w14:paraId="7E5CFE5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依据标准</w:t>
            </w:r>
          </w:p>
        </w:tc>
        <w:tc>
          <w:tcPr>
            <w:tcW w:w="2317" w:type="dxa"/>
            <w:tcBorders>
              <w:top w:val="single" w:color="auto" w:sz="4" w:space="0"/>
              <w:left w:val="single" w:color="auto" w:sz="4" w:space="0"/>
              <w:bottom w:val="single" w:color="auto" w:sz="4" w:space="0"/>
              <w:right w:val="single" w:color="auto" w:sz="4" w:space="0"/>
            </w:tcBorders>
            <w:vAlign w:val="center"/>
          </w:tcPr>
          <w:p w14:paraId="50971EE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实际情况</w:t>
            </w:r>
          </w:p>
        </w:tc>
        <w:tc>
          <w:tcPr>
            <w:tcW w:w="772" w:type="dxa"/>
            <w:tcBorders>
              <w:top w:val="single" w:color="auto" w:sz="4" w:space="0"/>
              <w:left w:val="single" w:color="auto" w:sz="4" w:space="0"/>
              <w:bottom w:val="single" w:color="auto" w:sz="4" w:space="0"/>
              <w:right w:val="single" w:color="auto" w:sz="4" w:space="0"/>
            </w:tcBorders>
            <w:vAlign w:val="center"/>
          </w:tcPr>
          <w:p w14:paraId="5089A47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结论</w:t>
            </w:r>
          </w:p>
        </w:tc>
      </w:tr>
      <w:tr w14:paraId="5F8D146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5D4BDCF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w:t>
            </w:r>
          </w:p>
        </w:tc>
        <w:tc>
          <w:tcPr>
            <w:tcW w:w="8087" w:type="dxa"/>
            <w:gridSpan w:val="4"/>
            <w:tcBorders>
              <w:top w:val="single" w:color="auto" w:sz="4" w:space="0"/>
              <w:left w:val="single" w:color="auto" w:sz="4" w:space="0"/>
              <w:bottom w:val="single" w:color="auto" w:sz="4" w:space="0"/>
              <w:right w:val="single" w:color="auto" w:sz="4" w:space="0"/>
            </w:tcBorders>
            <w:vAlign w:val="center"/>
          </w:tcPr>
          <w:p w14:paraId="42695FC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工艺及装置</w:t>
            </w:r>
          </w:p>
        </w:tc>
      </w:tr>
      <w:tr w14:paraId="2F821B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4254F14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w:t>
            </w:r>
          </w:p>
        </w:tc>
        <w:tc>
          <w:tcPr>
            <w:tcW w:w="3365" w:type="dxa"/>
            <w:tcBorders>
              <w:top w:val="single" w:color="auto" w:sz="4" w:space="0"/>
              <w:left w:val="single" w:color="auto" w:sz="4" w:space="0"/>
              <w:bottom w:val="single" w:color="auto" w:sz="4" w:space="0"/>
              <w:right w:val="single" w:color="auto" w:sz="4" w:space="0"/>
            </w:tcBorders>
            <w:vAlign w:val="center"/>
          </w:tcPr>
          <w:p w14:paraId="4FB961F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国家对严重危及生 产安全的工艺、设备实行淘汰制度。 生产经营单位不得使用国家明令淘汰、禁止使用的危及生产安全的工艺、设备。</w:t>
            </w:r>
          </w:p>
        </w:tc>
        <w:tc>
          <w:tcPr>
            <w:tcW w:w="1633" w:type="dxa"/>
            <w:tcBorders>
              <w:top w:val="single" w:color="auto" w:sz="4" w:space="0"/>
              <w:left w:val="single" w:color="auto" w:sz="4" w:space="0"/>
              <w:bottom w:val="single" w:color="auto" w:sz="4" w:space="0"/>
              <w:right w:val="single" w:color="auto" w:sz="4" w:space="0"/>
            </w:tcBorders>
            <w:vAlign w:val="center"/>
          </w:tcPr>
          <w:p w14:paraId="15F163B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《中华人民共和国安全生产法》第三十五条</w:t>
            </w:r>
          </w:p>
        </w:tc>
        <w:tc>
          <w:tcPr>
            <w:tcW w:w="2317" w:type="dxa"/>
            <w:tcBorders>
              <w:top w:val="single" w:color="auto" w:sz="4" w:space="0"/>
              <w:left w:val="single" w:color="auto" w:sz="4" w:space="0"/>
              <w:bottom w:val="single" w:color="auto" w:sz="4" w:space="0"/>
              <w:right w:val="single" w:color="auto" w:sz="4" w:space="0"/>
            </w:tcBorders>
            <w:vAlign w:val="center"/>
          </w:tcPr>
          <w:p w14:paraId="688BCC9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不属于淘汰的、危及生产安全的工艺、设备。</w:t>
            </w:r>
          </w:p>
        </w:tc>
        <w:tc>
          <w:tcPr>
            <w:tcW w:w="772" w:type="dxa"/>
            <w:tcBorders>
              <w:top w:val="single" w:color="auto" w:sz="4" w:space="0"/>
              <w:left w:val="single" w:color="auto" w:sz="4" w:space="0"/>
              <w:bottom w:val="single" w:color="auto" w:sz="4" w:space="0"/>
              <w:right w:val="single" w:color="auto" w:sz="4" w:space="0"/>
            </w:tcBorders>
            <w:vAlign w:val="center"/>
          </w:tcPr>
          <w:p w14:paraId="56344D3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5EAFD27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2D5A81E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1.2</w:t>
            </w:r>
          </w:p>
        </w:tc>
        <w:tc>
          <w:tcPr>
            <w:tcW w:w="3365" w:type="dxa"/>
            <w:tcBorders>
              <w:top w:val="single" w:color="auto" w:sz="4" w:space="0"/>
              <w:left w:val="single" w:color="auto" w:sz="4" w:space="0"/>
              <w:bottom w:val="single" w:color="auto" w:sz="4" w:space="0"/>
              <w:right w:val="single" w:color="auto" w:sz="4" w:space="0"/>
            </w:tcBorders>
            <w:vAlign w:val="center"/>
          </w:tcPr>
          <w:p w14:paraId="0435E62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生产设备及其零部件，必须有足够的强度、刚度、稳定性和可靠性。在按规定条件制造、运输、贮存、安装和使用时，不得对人员造成危险。</w:t>
            </w:r>
          </w:p>
        </w:tc>
        <w:tc>
          <w:tcPr>
            <w:tcW w:w="1633" w:type="dxa"/>
            <w:tcBorders>
              <w:top w:val="single" w:color="auto" w:sz="4" w:space="0"/>
              <w:left w:val="single" w:color="auto" w:sz="4" w:space="0"/>
              <w:bottom w:val="single" w:color="auto" w:sz="4" w:space="0"/>
              <w:right w:val="single" w:color="auto" w:sz="4" w:space="0"/>
            </w:tcBorders>
            <w:vAlign w:val="center"/>
          </w:tcPr>
          <w:p w14:paraId="22CBA70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GB5083-1999第4.1条</w:t>
            </w:r>
          </w:p>
        </w:tc>
        <w:tc>
          <w:tcPr>
            <w:tcW w:w="2317" w:type="dxa"/>
            <w:tcBorders>
              <w:top w:val="single" w:color="auto" w:sz="4" w:space="0"/>
              <w:left w:val="single" w:color="auto" w:sz="4" w:space="0"/>
              <w:bottom w:val="single" w:color="auto" w:sz="4" w:space="0"/>
              <w:right w:val="single" w:color="auto" w:sz="4" w:space="0"/>
            </w:tcBorders>
            <w:vAlign w:val="center"/>
          </w:tcPr>
          <w:p w14:paraId="79D3CC9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生产设备为成熟设备，有足够的强度、刚度、稳定性和可靠性，满足生产工艺要求。</w:t>
            </w:r>
          </w:p>
        </w:tc>
        <w:tc>
          <w:tcPr>
            <w:tcW w:w="772" w:type="dxa"/>
            <w:tcBorders>
              <w:top w:val="single" w:color="auto" w:sz="4" w:space="0"/>
              <w:left w:val="single" w:color="auto" w:sz="4" w:space="0"/>
              <w:bottom w:val="single" w:color="auto" w:sz="4" w:space="0"/>
              <w:right w:val="single" w:color="auto" w:sz="4" w:space="0"/>
            </w:tcBorders>
            <w:vAlign w:val="center"/>
          </w:tcPr>
          <w:p w14:paraId="4D5C081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2683075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1A2922B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1.3</w:t>
            </w:r>
          </w:p>
        </w:tc>
        <w:tc>
          <w:tcPr>
            <w:tcW w:w="3365" w:type="dxa"/>
            <w:tcBorders>
              <w:top w:val="single" w:color="auto" w:sz="4" w:space="0"/>
              <w:left w:val="single" w:color="auto" w:sz="4" w:space="0"/>
              <w:bottom w:val="single" w:color="auto" w:sz="4" w:space="0"/>
              <w:right w:val="single" w:color="auto" w:sz="4" w:space="0"/>
            </w:tcBorders>
            <w:vAlign w:val="center"/>
          </w:tcPr>
          <w:p w14:paraId="37250B3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正常生产和使用过程中，不应向工作场所和大气排放超过国家标准规定的有害物质，不应产生超过国家标准规定的噪声、振动、辐射和其他污染。对可能产生的有害因素，必须在设计上采取有效措施加以防护。</w:t>
            </w:r>
          </w:p>
        </w:tc>
        <w:tc>
          <w:tcPr>
            <w:tcW w:w="1633" w:type="dxa"/>
            <w:tcBorders>
              <w:top w:val="single" w:color="auto" w:sz="4" w:space="0"/>
              <w:left w:val="single" w:color="auto" w:sz="4" w:space="0"/>
              <w:bottom w:val="single" w:color="auto" w:sz="4" w:space="0"/>
              <w:right w:val="single" w:color="auto" w:sz="4" w:space="0"/>
            </w:tcBorders>
            <w:vAlign w:val="center"/>
          </w:tcPr>
          <w:p w14:paraId="232BFCD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GB5083-1999第4.2条</w:t>
            </w:r>
          </w:p>
        </w:tc>
        <w:tc>
          <w:tcPr>
            <w:tcW w:w="2317" w:type="dxa"/>
            <w:tcBorders>
              <w:top w:val="single" w:color="auto" w:sz="4" w:space="0"/>
              <w:left w:val="single" w:color="auto" w:sz="4" w:space="0"/>
              <w:bottom w:val="single" w:color="auto" w:sz="4" w:space="0"/>
              <w:right w:val="single" w:color="auto" w:sz="4" w:space="0"/>
            </w:tcBorders>
            <w:vAlign w:val="center"/>
          </w:tcPr>
          <w:p w14:paraId="698ED4D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生产中可能产生粉尘，通过采取密闭操作、通风措施即可满足要求。</w:t>
            </w:r>
          </w:p>
        </w:tc>
        <w:tc>
          <w:tcPr>
            <w:tcW w:w="772" w:type="dxa"/>
            <w:tcBorders>
              <w:top w:val="single" w:color="auto" w:sz="4" w:space="0"/>
              <w:left w:val="single" w:color="auto" w:sz="4" w:space="0"/>
              <w:bottom w:val="single" w:color="auto" w:sz="4" w:space="0"/>
              <w:right w:val="single" w:color="auto" w:sz="4" w:space="0"/>
            </w:tcBorders>
            <w:vAlign w:val="center"/>
          </w:tcPr>
          <w:p w14:paraId="2787F9B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49D528B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0BBD811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1.4</w:t>
            </w:r>
          </w:p>
        </w:tc>
        <w:tc>
          <w:tcPr>
            <w:tcW w:w="3365" w:type="dxa"/>
            <w:tcBorders>
              <w:top w:val="single" w:color="auto" w:sz="4" w:space="0"/>
              <w:left w:val="single" w:color="auto" w:sz="4" w:space="0"/>
              <w:bottom w:val="single" w:color="auto" w:sz="4" w:space="0"/>
              <w:right w:val="single" w:color="auto" w:sz="4" w:space="0"/>
            </w:tcBorders>
            <w:vAlign w:val="center"/>
          </w:tcPr>
          <w:p w14:paraId="000E9CE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生产设备的规定的整个使用期限内，均应满足安全卫生要求。对于可能影响安全操作、控制的零部件、装置等应规定符合产品标准要求的可靠性指标。</w:t>
            </w:r>
          </w:p>
        </w:tc>
        <w:tc>
          <w:tcPr>
            <w:tcW w:w="1633" w:type="dxa"/>
            <w:tcBorders>
              <w:top w:val="single" w:color="auto" w:sz="4" w:space="0"/>
              <w:left w:val="single" w:color="auto" w:sz="4" w:space="0"/>
              <w:bottom w:val="single" w:color="auto" w:sz="4" w:space="0"/>
              <w:right w:val="single" w:color="auto" w:sz="4" w:space="0"/>
            </w:tcBorders>
            <w:vAlign w:val="center"/>
          </w:tcPr>
          <w:p w14:paraId="4BA56D2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GB5083-1999第4.6条</w:t>
            </w:r>
          </w:p>
        </w:tc>
        <w:tc>
          <w:tcPr>
            <w:tcW w:w="2317" w:type="dxa"/>
            <w:tcBorders>
              <w:top w:val="single" w:color="auto" w:sz="4" w:space="0"/>
              <w:left w:val="single" w:color="auto" w:sz="4" w:space="0"/>
              <w:bottom w:val="single" w:color="auto" w:sz="4" w:space="0"/>
              <w:right w:val="single" w:color="auto" w:sz="4" w:space="0"/>
            </w:tcBorders>
            <w:vAlign w:val="center"/>
          </w:tcPr>
          <w:p w14:paraId="2459765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生产设备为成熟设备，设置有相应的安全卫生设施，能满足安全卫生要求。</w:t>
            </w:r>
          </w:p>
        </w:tc>
        <w:tc>
          <w:tcPr>
            <w:tcW w:w="772" w:type="dxa"/>
            <w:tcBorders>
              <w:top w:val="single" w:color="auto" w:sz="4" w:space="0"/>
              <w:left w:val="single" w:color="auto" w:sz="4" w:space="0"/>
              <w:bottom w:val="single" w:color="auto" w:sz="4" w:space="0"/>
              <w:right w:val="single" w:color="auto" w:sz="4" w:space="0"/>
            </w:tcBorders>
            <w:vAlign w:val="center"/>
          </w:tcPr>
          <w:p w14:paraId="171CE04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521267D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11879FF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1.5</w:t>
            </w:r>
          </w:p>
        </w:tc>
        <w:tc>
          <w:tcPr>
            <w:tcW w:w="3365" w:type="dxa"/>
            <w:tcBorders>
              <w:top w:val="single" w:color="auto" w:sz="4" w:space="0"/>
              <w:left w:val="single" w:color="auto" w:sz="4" w:space="0"/>
              <w:bottom w:val="single" w:color="auto" w:sz="4" w:space="0"/>
              <w:right w:val="single" w:color="auto" w:sz="4" w:space="0"/>
            </w:tcBorders>
            <w:vAlign w:val="center"/>
          </w:tcPr>
          <w:p w14:paraId="1B0FA18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在规定使用期阴内，生产设备应满足使用环境要求，特别是满足防腐蚀、耐磨损、抗疲劳、抗老化和抵御失效的要求。</w:t>
            </w:r>
          </w:p>
        </w:tc>
        <w:tc>
          <w:tcPr>
            <w:tcW w:w="1633" w:type="dxa"/>
            <w:tcBorders>
              <w:top w:val="single" w:color="auto" w:sz="4" w:space="0"/>
              <w:left w:val="single" w:color="auto" w:sz="4" w:space="0"/>
              <w:bottom w:val="single" w:color="auto" w:sz="4" w:space="0"/>
              <w:right w:val="single" w:color="auto" w:sz="4" w:space="0"/>
            </w:tcBorders>
            <w:vAlign w:val="center"/>
          </w:tcPr>
          <w:p w14:paraId="41B40AF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GB5083-1999第5.1条</w:t>
            </w:r>
          </w:p>
        </w:tc>
        <w:tc>
          <w:tcPr>
            <w:tcW w:w="2317" w:type="dxa"/>
            <w:tcBorders>
              <w:top w:val="single" w:color="auto" w:sz="4" w:space="0"/>
              <w:left w:val="single" w:color="auto" w:sz="4" w:space="0"/>
              <w:bottom w:val="single" w:color="auto" w:sz="4" w:space="0"/>
              <w:right w:val="single" w:color="auto" w:sz="4" w:space="0"/>
            </w:tcBorders>
            <w:vAlign w:val="center"/>
          </w:tcPr>
          <w:p w14:paraId="331465B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设备能满足使用环境要求。</w:t>
            </w:r>
          </w:p>
        </w:tc>
        <w:tc>
          <w:tcPr>
            <w:tcW w:w="772" w:type="dxa"/>
            <w:tcBorders>
              <w:top w:val="single" w:color="auto" w:sz="4" w:space="0"/>
              <w:left w:val="single" w:color="auto" w:sz="4" w:space="0"/>
              <w:bottom w:val="single" w:color="auto" w:sz="4" w:space="0"/>
              <w:right w:val="single" w:color="auto" w:sz="4" w:space="0"/>
            </w:tcBorders>
            <w:vAlign w:val="center"/>
          </w:tcPr>
          <w:p w14:paraId="308DFC3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34CC3B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27262EA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1.6</w:t>
            </w:r>
          </w:p>
        </w:tc>
        <w:tc>
          <w:tcPr>
            <w:tcW w:w="3365" w:type="dxa"/>
            <w:tcBorders>
              <w:top w:val="single" w:color="auto" w:sz="4" w:space="0"/>
              <w:left w:val="single" w:color="auto" w:sz="4" w:space="0"/>
              <w:bottom w:val="single" w:color="auto" w:sz="4" w:space="0"/>
              <w:right w:val="single" w:color="auto" w:sz="4" w:space="0"/>
            </w:tcBorders>
            <w:vAlign w:val="center"/>
          </w:tcPr>
          <w:p w14:paraId="7ED848B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用于制造生产设备的材料，在规定使用期限内必须能承受在规定使用条件下可能出现的各种物理的、化学的和生物的作用。</w:t>
            </w:r>
          </w:p>
        </w:tc>
        <w:tc>
          <w:tcPr>
            <w:tcW w:w="1633" w:type="dxa"/>
            <w:tcBorders>
              <w:top w:val="single" w:color="auto" w:sz="4" w:space="0"/>
              <w:left w:val="single" w:color="auto" w:sz="4" w:space="0"/>
              <w:bottom w:val="single" w:color="auto" w:sz="4" w:space="0"/>
              <w:right w:val="single" w:color="auto" w:sz="4" w:space="0"/>
            </w:tcBorders>
            <w:vAlign w:val="center"/>
          </w:tcPr>
          <w:p w14:paraId="4A6B112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GB5083-1999第5.2.1条</w:t>
            </w:r>
          </w:p>
        </w:tc>
        <w:tc>
          <w:tcPr>
            <w:tcW w:w="2317" w:type="dxa"/>
            <w:tcBorders>
              <w:top w:val="single" w:color="auto" w:sz="4" w:space="0"/>
              <w:left w:val="single" w:color="auto" w:sz="4" w:space="0"/>
              <w:bottom w:val="single" w:color="auto" w:sz="4" w:space="0"/>
              <w:right w:val="single" w:color="auto" w:sz="4" w:space="0"/>
            </w:tcBorders>
            <w:vAlign w:val="center"/>
          </w:tcPr>
          <w:p w14:paraId="087D587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生产设备在使用过程中主要是自然磨损，材料能满足要求。</w:t>
            </w:r>
          </w:p>
        </w:tc>
        <w:tc>
          <w:tcPr>
            <w:tcW w:w="772" w:type="dxa"/>
            <w:tcBorders>
              <w:top w:val="single" w:color="auto" w:sz="4" w:space="0"/>
              <w:left w:val="single" w:color="auto" w:sz="4" w:space="0"/>
              <w:bottom w:val="single" w:color="auto" w:sz="4" w:space="0"/>
              <w:right w:val="single" w:color="auto" w:sz="4" w:space="0"/>
            </w:tcBorders>
            <w:vAlign w:val="center"/>
          </w:tcPr>
          <w:p w14:paraId="4BB689A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535387C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1A1F7A7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1.7</w:t>
            </w:r>
          </w:p>
        </w:tc>
        <w:tc>
          <w:tcPr>
            <w:tcW w:w="3365" w:type="dxa"/>
            <w:tcBorders>
              <w:top w:val="single" w:color="auto" w:sz="4" w:space="0"/>
              <w:left w:val="single" w:color="auto" w:sz="4" w:space="0"/>
              <w:bottom w:val="single" w:color="auto" w:sz="4" w:space="0"/>
              <w:right w:val="single" w:color="auto" w:sz="4" w:space="0"/>
            </w:tcBorders>
            <w:vAlign w:val="center"/>
          </w:tcPr>
          <w:p w14:paraId="44AA3A9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在正常使用环境下，对人有危害的材料不宜用来制造生产设备。若必须使用时，则应采取可靠的安全卫生技术措施以保障人员的安全和健康。</w:t>
            </w:r>
          </w:p>
        </w:tc>
        <w:tc>
          <w:tcPr>
            <w:tcW w:w="1633" w:type="dxa"/>
            <w:tcBorders>
              <w:top w:val="single" w:color="auto" w:sz="4" w:space="0"/>
              <w:left w:val="single" w:color="auto" w:sz="4" w:space="0"/>
              <w:bottom w:val="single" w:color="auto" w:sz="4" w:space="0"/>
              <w:right w:val="single" w:color="auto" w:sz="4" w:space="0"/>
            </w:tcBorders>
            <w:vAlign w:val="center"/>
          </w:tcPr>
          <w:p w14:paraId="51977DE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GB5083-1999第5.2.2条</w:t>
            </w:r>
          </w:p>
        </w:tc>
        <w:tc>
          <w:tcPr>
            <w:tcW w:w="2317" w:type="dxa"/>
            <w:tcBorders>
              <w:top w:val="single" w:color="auto" w:sz="4" w:space="0"/>
              <w:left w:val="single" w:color="auto" w:sz="4" w:space="0"/>
              <w:bottom w:val="single" w:color="auto" w:sz="4" w:space="0"/>
              <w:right w:val="single" w:color="auto" w:sz="4" w:space="0"/>
            </w:tcBorders>
            <w:vAlign w:val="center"/>
          </w:tcPr>
          <w:p w14:paraId="3BC55A0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不使用对人体有害的材料制造。</w:t>
            </w:r>
          </w:p>
        </w:tc>
        <w:tc>
          <w:tcPr>
            <w:tcW w:w="772" w:type="dxa"/>
            <w:tcBorders>
              <w:top w:val="single" w:color="auto" w:sz="4" w:space="0"/>
              <w:left w:val="single" w:color="auto" w:sz="4" w:space="0"/>
              <w:bottom w:val="single" w:color="auto" w:sz="4" w:space="0"/>
              <w:right w:val="single" w:color="auto" w:sz="4" w:space="0"/>
            </w:tcBorders>
            <w:vAlign w:val="center"/>
          </w:tcPr>
          <w:p w14:paraId="1D1BECA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001CD5F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468CE2D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1.8</w:t>
            </w:r>
          </w:p>
        </w:tc>
        <w:tc>
          <w:tcPr>
            <w:tcW w:w="3365" w:type="dxa"/>
            <w:tcBorders>
              <w:top w:val="single" w:color="auto" w:sz="4" w:space="0"/>
              <w:left w:val="single" w:color="auto" w:sz="4" w:space="0"/>
              <w:bottom w:val="single" w:color="auto" w:sz="4" w:space="0"/>
              <w:right w:val="single" w:color="auto" w:sz="4" w:space="0"/>
            </w:tcBorders>
            <w:vAlign w:val="center"/>
          </w:tcPr>
          <w:p w14:paraId="25E639A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生产设备及其零部件的安全使用期限，应小于其材料在使用条件下的老化或疲劳期限。</w:t>
            </w:r>
          </w:p>
        </w:tc>
        <w:tc>
          <w:tcPr>
            <w:tcW w:w="1633" w:type="dxa"/>
            <w:tcBorders>
              <w:top w:val="single" w:color="auto" w:sz="4" w:space="0"/>
              <w:left w:val="single" w:color="auto" w:sz="4" w:space="0"/>
              <w:bottom w:val="single" w:color="auto" w:sz="4" w:space="0"/>
              <w:right w:val="single" w:color="auto" w:sz="4" w:space="0"/>
            </w:tcBorders>
            <w:vAlign w:val="center"/>
          </w:tcPr>
          <w:p w14:paraId="0C3D96D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GB5083-1999第5.2.3条</w:t>
            </w:r>
          </w:p>
        </w:tc>
        <w:tc>
          <w:tcPr>
            <w:tcW w:w="2317" w:type="dxa"/>
            <w:tcBorders>
              <w:top w:val="single" w:color="auto" w:sz="4" w:space="0"/>
              <w:left w:val="single" w:color="auto" w:sz="4" w:space="0"/>
              <w:bottom w:val="single" w:color="auto" w:sz="4" w:space="0"/>
              <w:right w:val="single" w:color="auto" w:sz="4" w:space="0"/>
            </w:tcBorders>
            <w:vAlign w:val="center"/>
          </w:tcPr>
          <w:p w14:paraId="31D0057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生产设备使用的材料的老化或疲劳极限远高于其使用期限。</w:t>
            </w:r>
          </w:p>
        </w:tc>
        <w:tc>
          <w:tcPr>
            <w:tcW w:w="772" w:type="dxa"/>
            <w:tcBorders>
              <w:top w:val="single" w:color="auto" w:sz="4" w:space="0"/>
              <w:left w:val="single" w:color="auto" w:sz="4" w:space="0"/>
              <w:bottom w:val="single" w:color="auto" w:sz="4" w:space="0"/>
              <w:right w:val="single" w:color="auto" w:sz="4" w:space="0"/>
            </w:tcBorders>
            <w:vAlign w:val="center"/>
          </w:tcPr>
          <w:p w14:paraId="146EF79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32B918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6D48249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1.9</w:t>
            </w:r>
          </w:p>
        </w:tc>
        <w:tc>
          <w:tcPr>
            <w:tcW w:w="3365" w:type="dxa"/>
            <w:tcBorders>
              <w:top w:val="single" w:color="auto" w:sz="4" w:space="0"/>
              <w:left w:val="single" w:color="auto" w:sz="4" w:space="0"/>
              <w:bottom w:val="single" w:color="auto" w:sz="4" w:space="0"/>
              <w:right w:val="single" w:color="auto" w:sz="4" w:space="0"/>
            </w:tcBorders>
            <w:vAlign w:val="center"/>
          </w:tcPr>
          <w:p w14:paraId="03B17F5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禁止使用能与工作介质发生反应而造成危害（爆炸或生成有害物质等）的材料。</w:t>
            </w:r>
          </w:p>
        </w:tc>
        <w:tc>
          <w:tcPr>
            <w:tcW w:w="1633" w:type="dxa"/>
            <w:tcBorders>
              <w:top w:val="single" w:color="auto" w:sz="4" w:space="0"/>
              <w:left w:val="single" w:color="auto" w:sz="4" w:space="0"/>
              <w:bottom w:val="single" w:color="auto" w:sz="4" w:space="0"/>
              <w:right w:val="single" w:color="auto" w:sz="4" w:space="0"/>
            </w:tcBorders>
            <w:vAlign w:val="center"/>
          </w:tcPr>
          <w:p w14:paraId="4B70036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GB5083-1999第5.2.5条</w:t>
            </w:r>
          </w:p>
        </w:tc>
        <w:tc>
          <w:tcPr>
            <w:tcW w:w="2317" w:type="dxa"/>
            <w:tcBorders>
              <w:top w:val="single" w:color="auto" w:sz="4" w:space="0"/>
              <w:left w:val="single" w:color="auto" w:sz="4" w:space="0"/>
              <w:bottom w:val="single" w:color="auto" w:sz="4" w:space="0"/>
              <w:right w:val="single" w:color="auto" w:sz="4" w:space="0"/>
            </w:tcBorders>
            <w:vAlign w:val="center"/>
          </w:tcPr>
          <w:p w14:paraId="233F607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设备不会与介质发生反应造成危害。</w:t>
            </w:r>
          </w:p>
        </w:tc>
        <w:tc>
          <w:tcPr>
            <w:tcW w:w="772" w:type="dxa"/>
            <w:tcBorders>
              <w:top w:val="single" w:color="auto" w:sz="4" w:space="0"/>
              <w:left w:val="single" w:color="auto" w:sz="4" w:space="0"/>
              <w:bottom w:val="single" w:color="auto" w:sz="4" w:space="0"/>
              <w:right w:val="single" w:color="auto" w:sz="4" w:space="0"/>
            </w:tcBorders>
            <w:vAlign w:val="center"/>
          </w:tcPr>
          <w:p w14:paraId="5165354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0E97ABC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01E89D8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1.10</w:t>
            </w:r>
          </w:p>
        </w:tc>
        <w:tc>
          <w:tcPr>
            <w:tcW w:w="3365" w:type="dxa"/>
            <w:tcBorders>
              <w:top w:val="single" w:color="auto" w:sz="4" w:space="0"/>
              <w:left w:val="single" w:color="auto" w:sz="4" w:space="0"/>
              <w:bottom w:val="single" w:color="auto" w:sz="4" w:space="0"/>
              <w:right w:val="single" w:color="auto" w:sz="4" w:space="0"/>
            </w:tcBorders>
            <w:vAlign w:val="center"/>
          </w:tcPr>
          <w:p w14:paraId="53EEF8B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处理可燃气体、易燃和可燃液体的设备，其基础和本体应使用非燃烧材料制造。</w:t>
            </w:r>
          </w:p>
        </w:tc>
        <w:tc>
          <w:tcPr>
            <w:tcW w:w="1633" w:type="dxa"/>
            <w:tcBorders>
              <w:top w:val="single" w:color="auto" w:sz="4" w:space="0"/>
              <w:left w:val="single" w:color="auto" w:sz="4" w:space="0"/>
              <w:bottom w:val="single" w:color="auto" w:sz="4" w:space="0"/>
              <w:right w:val="single" w:color="auto" w:sz="4" w:space="0"/>
            </w:tcBorders>
            <w:vAlign w:val="center"/>
          </w:tcPr>
          <w:p w14:paraId="11C752D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GB5083-1999第5.2.6条</w:t>
            </w:r>
          </w:p>
        </w:tc>
        <w:tc>
          <w:tcPr>
            <w:tcW w:w="2317" w:type="dxa"/>
            <w:tcBorders>
              <w:top w:val="single" w:color="auto" w:sz="4" w:space="0"/>
              <w:left w:val="single" w:color="auto" w:sz="4" w:space="0"/>
              <w:bottom w:val="single" w:color="auto" w:sz="4" w:space="0"/>
              <w:right w:val="single" w:color="auto" w:sz="4" w:space="0"/>
            </w:tcBorders>
            <w:vAlign w:val="center"/>
          </w:tcPr>
          <w:p w14:paraId="26C1662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本项目建构筑物按二级耐火等级设计。</w:t>
            </w:r>
          </w:p>
        </w:tc>
        <w:tc>
          <w:tcPr>
            <w:tcW w:w="772" w:type="dxa"/>
            <w:tcBorders>
              <w:top w:val="single" w:color="auto" w:sz="4" w:space="0"/>
              <w:left w:val="single" w:color="auto" w:sz="4" w:space="0"/>
              <w:bottom w:val="single" w:color="auto" w:sz="4" w:space="0"/>
              <w:right w:val="single" w:color="auto" w:sz="4" w:space="0"/>
            </w:tcBorders>
            <w:vAlign w:val="center"/>
          </w:tcPr>
          <w:p w14:paraId="6478EFE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0D8B3D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6BA5189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1.11</w:t>
            </w:r>
          </w:p>
        </w:tc>
        <w:tc>
          <w:tcPr>
            <w:tcW w:w="3365" w:type="dxa"/>
            <w:tcBorders>
              <w:top w:val="single" w:color="auto" w:sz="4" w:space="0"/>
              <w:left w:val="single" w:color="auto" w:sz="4" w:space="0"/>
              <w:bottom w:val="single" w:color="auto" w:sz="4" w:space="0"/>
              <w:right w:val="single" w:color="auto" w:sz="4" w:space="0"/>
            </w:tcBorders>
            <w:vAlign w:val="center"/>
          </w:tcPr>
          <w:p w14:paraId="37ACBD3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生产设备不应在振动、风载或其他可预见的外载荷作用下倾覆或产生允许范围外的运动。</w:t>
            </w:r>
          </w:p>
        </w:tc>
        <w:tc>
          <w:tcPr>
            <w:tcW w:w="1633" w:type="dxa"/>
            <w:tcBorders>
              <w:top w:val="single" w:color="auto" w:sz="4" w:space="0"/>
              <w:left w:val="single" w:color="auto" w:sz="4" w:space="0"/>
              <w:bottom w:val="single" w:color="auto" w:sz="4" w:space="0"/>
              <w:right w:val="single" w:color="auto" w:sz="4" w:space="0"/>
            </w:tcBorders>
            <w:vAlign w:val="center"/>
          </w:tcPr>
          <w:p w14:paraId="78E3733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GB5083-1999第5.3.1条</w:t>
            </w:r>
          </w:p>
        </w:tc>
        <w:tc>
          <w:tcPr>
            <w:tcW w:w="2317" w:type="dxa"/>
            <w:tcBorders>
              <w:top w:val="single" w:color="auto" w:sz="4" w:space="0"/>
              <w:left w:val="single" w:color="auto" w:sz="4" w:space="0"/>
              <w:bottom w:val="single" w:color="auto" w:sz="4" w:space="0"/>
              <w:right w:val="single" w:color="auto" w:sz="4" w:space="0"/>
            </w:tcBorders>
            <w:vAlign w:val="center"/>
          </w:tcPr>
          <w:p w14:paraId="48C70FF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生产设备不在振动、风载或其他可预见的外载荷作用下倾覆或产生允许范围外的运动。</w:t>
            </w:r>
          </w:p>
        </w:tc>
        <w:tc>
          <w:tcPr>
            <w:tcW w:w="772" w:type="dxa"/>
            <w:tcBorders>
              <w:top w:val="single" w:color="auto" w:sz="4" w:space="0"/>
              <w:left w:val="single" w:color="auto" w:sz="4" w:space="0"/>
              <w:bottom w:val="single" w:color="auto" w:sz="4" w:space="0"/>
              <w:right w:val="single" w:color="auto" w:sz="4" w:space="0"/>
            </w:tcBorders>
            <w:vAlign w:val="center"/>
          </w:tcPr>
          <w:p w14:paraId="17BB752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7F3C7D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31BE79A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1.12</w:t>
            </w:r>
          </w:p>
        </w:tc>
        <w:tc>
          <w:tcPr>
            <w:tcW w:w="3365" w:type="dxa"/>
            <w:tcBorders>
              <w:top w:val="single" w:color="auto" w:sz="4" w:space="0"/>
              <w:left w:val="single" w:color="auto" w:sz="4" w:space="0"/>
              <w:bottom w:val="single" w:color="auto" w:sz="4" w:space="0"/>
              <w:right w:val="single" w:color="auto" w:sz="4" w:space="0"/>
            </w:tcBorders>
            <w:vAlign w:val="center"/>
          </w:tcPr>
          <w:p w14:paraId="734D8CC0">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对有抗震要求的生产设备，应在设计上采取特殊抗震安全卫生措施，并在说明书中明确指出该设备所能达到的抗地震烈度能力及有关要求。</w:t>
            </w:r>
          </w:p>
        </w:tc>
        <w:tc>
          <w:tcPr>
            <w:tcW w:w="1633" w:type="dxa"/>
            <w:tcBorders>
              <w:top w:val="single" w:color="auto" w:sz="4" w:space="0"/>
              <w:left w:val="single" w:color="auto" w:sz="4" w:space="0"/>
              <w:bottom w:val="single" w:color="auto" w:sz="4" w:space="0"/>
              <w:right w:val="single" w:color="auto" w:sz="4" w:space="0"/>
            </w:tcBorders>
            <w:vAlign w:val="center"/>
          </w:tcPr>
          <w:p w14:paraId="011D8B7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GB5083-1999第5.3.5条</w:t>
            </w:r>
          </w:p>
        </w:tc>
        <w:tc>
          <w:tcPr>
            <w:tcW w:w="2317" w:type="dxa"/>
            <w:tcBorders>
              <w:top w:val="single" w:color="auto" w:sz="4" w:space="0"/>
              <w:left w:val="single" w:color="auto" w:sz="4" w:space="0"/>
              <w:bottom w:val="single" w:color="auto" w:sz="4" w:space="0"/>
              <w:right w:val="single" w:color="auto" w:sz="4" w:space="0"/>
            </w:tcBorders>
            <w:vAlign w:val="center"/>
          </w:tcPr>
          <w:p w14:paraId="657C862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生产设备对抗震无特殊要求。</w:t>
            </w:r>
          </w:p>
        </w:tc>
        <w:tc>
          <w:tcPr>
            <w:tcW w:w="772" w:type="dxa"/>
            <w:tcBorders>
              <w:top w:val="single" w:color="auto" w:sz="4" w:space="0"/>
              <w:left w:val="single" w:color="auto" w:sz="4" w:space="0"/>
              <w:bottom w:val="single" w:color="auto" w:sz="4" w:space="0"/>
              <w:right w:val="single" w:color="auto" w:sz="4" w:space="0"/>
            </w:tcBorders>
            <w:vAlign w:val="center"/>
          </w:tcPr>
          <w:p w14:paraId="7534A21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4BD8C4C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4EB66CC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1.13</w:t>
            </w:r>
          </w:p>
        </w:tc>
        <w:tc>
          <w:tcPr>
            <w:tcW w:w="3365" w:type="dxa"/>
            <w:tcBorders>
              <w:top w:val="single" w:color="auto" w:sz="4" w:space="0"/>
              <w:left w:val="single" w:color="auto" w:sz="4" w:space="0"/>
              <w:bottom w:val="single" w:color="auto" w:sz="4" w:space="0"/>
              <w:right w:val="single" w:color="auto" w:sz="4" w:space="0"/>
            </w:tcBorders>
            <w:vAlign w:val="center"/>
          </w:tcPr>
          <w:p w14:paraId="47778C6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在不影响使用功能的情况下，生产设备可被人员接触到的部分及其零部件应设计成不带易伤人的锐角、利棱、凹凸不平的表面和较突出的部位。</w:t>
            </w:r>
          </w:p>
        </w:tc>
        <w:tc>
          <w:tcPr>
            <w:tcW w:w="1633" w:type="dxa"/>
            <w:tcBorders>
              <w:top w:val="single" w:color="auto" w:sz="4" w:space="0"/>
              <w:left w:val="single" w:color="auto" w:sz="4" w:space="0"/>
              <w:bottom w:val="single" w:color="auto" w:sz="4" w:space="0"/>
              <w:right w:val="single" w:color="auto" w:sz="4" w:space="0"/>
            </w:tcBorders>
            <w:vAlign w:val="center"/>
          </w:tcPr>
          <w:p w14:paraId="5052D05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GB5083-1999第5.4条</w:t>
            </w:r>
          </w:p>
        </w:tc>
        <w:tc>
          <w:tcPr>
            <w:tcW w:w="2317" w:type="dxa"/>
            <w:tcBorders>
              <w:top w:val="single" w:color="auto" w:sz="4" w:space="0"/>
              <w:left w:val="single" w:color="auto" w:sz="4" w:space="0"/>
              <w:bottom w:val="single" w:color="auto" w:sz="4" w:space="0"/>
              <w:right w:val="single" w:color="auto" w:sz="4" w:space="0"/>
            </w:tcBorders>
            <w:vAlign w:val="center"/>
          </w:tcPr>
          <w:p w14:paraId="140E9F6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设备没有设置可能造成人员伤害的突出的部位。</w:t>
            </w:r>
          </w:p>
        </w:tc>
        <w:tc>
          <w:tcPr>
            <w:tcW w:w="772" w:type="dxa"/>
            <w:tcBorders>
              <w:top w:val="single" w:color="auto" w:sz="4" w:space="0"/>
              <w:left w:val="single" w:color="auto" w:sz="4" w:space="0"/>
              <w:bottom w:val="single" w:color="auto" w:sz="4" w:space="0"/>
              <w:right w:val="single" w:color="auto" w:sz="4" w:space="0"/>
            </w:tcBorders>
            <w:vAlign w:val="center"/>
          </w:tcPr>
          <w:p w14:paraId="1005DC1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32D8374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5602EEF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1.14</w:t>
            </w:r>
          </w:p>
        </w:tc>
        <w:tc>
          <w:tcPr>
            <w:tcW w:w="3365" w:type="dxa"/>
            <w:tcBorders>
              <w:top w:val="single" w:color="auto" w:sz="4" w:space="0"/>
              <w:left w:val="single" w:color="auto" w:sz="4" w:space="0"/>
              <w:bottom w:val="single" w:color="auto" w:sz="4" w:space="0"/>
              <w:right w:val="single" w:color="auto" w:sz="4" w:space="0"/>
            </w:tcBorders>
            <w:vAlign w:val="center"/>
          </w:tcPr>
          <w:p w14:paraId="4997968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上易发生故障或危险性较大的区域，应配置声、光或声、光组合的报警装置。事故信号，宜能显示故障的位置和种类。危险信号，应具有足够强度并与其他信号有明显区别，其强度应明显高于生产设备使用现场其他声、光信号的强度。</w:t>
            </w:r>
          </w:p>
        </w:tc>
        <w:tc>
          <w:tcPr>
            <w:tcW w:w="1633" w:type="dxa"/>
            <w:tcBorders>
              <w:top w:val="single" w:color="auto" w:sz="4" w:space="0"/>
              <w:left w:val="single" w:color="auto" w:sz="4" w:space="0"/>
              <w:bottom w:val="single" w:color="auto" w:sz="4" w:space="0"/>
              <w:right w:val="single" w:color="auto" w:sz="4" w:space="0"/>
            </w:tcBorders>
            <w:vAlign w:val="center"/>
          </w:tcPr>
          <w:p w14:paraId="5775EC5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GB5083-1999第5.5.2条</w:t>
            </w:r>
          </w:p>
        </w:tc>
        <w:tc>
          <w:tcPr>
            <w:tcW w:w="2317" w:type="dxa"/>
            <w:tcBorders>
              <w:top w:val="single" w:color="auto" w:sz="4" w:space="0"/>
              <w:left w:val="single" w:color="auto" w:sz="4" w:space="0"/>
              <w:bottom w:val="single" w:color="auto" w:sz="4" w:space="0"/>
              <w:right w:val="single" w:color="auto" w:sz="4" w:space="0"/>
            </w:tcBorders>
            <w:vAlign w:val="center"/>
          </w:tcPr>
          <w:p w14:paraId="61F7B94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项目信息化提升改造，提高装置自动化。满足要求</w:t>
            </w:r>
          </w:p>
        </w:tc>
        <w:tc>
          <w:tcPr>
            <w:tcW w:w="772" w:type="dxa"/>
            <w:tcBorders>
              <w:top w:val="single" w:color="auto" w:sz="4" w:space="0"/>
              <w:left w:val="single" w:color="auto" w:sz="4" w:space="0"/>
              <w:bottom w:val="single" w:color="auto" w:sz="4" w:space="0"/>
              <w:right w:val="single" w:color="auto" w:sz="4" w:space="0"/>
            </w:tcBorders>
            <w:vAlign w:val="center"/>
          </w:tcPr>
          <w:p w14:paraId="778B375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6A78552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2BCCFA0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1.15</w:t>
            </w:r>
          </w:p>
        </w:tc>
        <w:tc>
          <w:tcPr>
            <w:tcW w:w="3365" w:type="dxa"/>
            <w:tcBorders>
              <w:top w:val="single" w:color="auto" w:sz="4" w:space="0"/>
              <w:left w:val="single" w:color="auto" w:sz="4" w:space="0"/>
              <w:bottom w:val="single" w:color="auto" w:sz="4" w:space="0"/>
              <w:right w:val="single" w:color="auto" w:sz="4" w:space="0"/>
            </w:tcBorders>
            <w:vAlign w:val="center"/>
          </w:tcPr>
          <w:p w14:paraId="719FCB1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应防止工作人员直接接触具有或能产生兔险和有害因素的设备、没施生产物料、产品和剩余物料；2）应优先采用没有危害或危害较小的新工艺、新技术、新设备、新材料；3）对具有危验和有害因素的生产过程应合理地采用机械化、自动化和计算机技术，实现遥控或隔离操作；4）对产生危险和有害因素的过程，应规置监控检测仪器、仪表，必要时配置自动联锁、自动报警装置；5）及时排除或处理具有危险和有害因素的剩余物料；6）危脸性较大的生产装置或系统，应没置能保让人员安全、设备紧急停止运行的安全监控系统；7）对产件尘毒危害较大的工艺、作业和施工过程，应采取密闭、负压等综合措施：8）对易燃，易爆的工艺、作业和施工过程，应采取防火防爆措施；9）排放的有害废气、废液和废渣．应符合国家标准和有关规定。</w:t>
            </w:r>
          </w:p>
        </w:tc>
        <w:tc>
          <w:tcPr>
            <w:tcW w:w="1633" w:type="dxa"/>
            <w:tcBorders>
              <w:top w:val="single" w:color="auto" w:sz="4" w:space="0"/>
              <w:left w:val="single" w:color="auto" w:sz="4" w:space="0"/>
              <w:bottom w:val="single" w:color="auto" w:sz="4" w:space="0"/>
              <w:right w:val="single" w:color="auto" w:sz="4" w:space="0"/>
            </w:tcBorders>
            <w:vAlign w:val="center"/>
          </w:tcPr>
          <w:p w14:paraId="1A3ED2D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GB/T12801-2008第5.3.1条</w:t>
            </w:r>
          </w:p>
        </w:tc>
        <w:tc>
          <w:tcPr>
            <w:tcW w:w="2317" w:type="dxa"/>
            <w:tcBorders>
              <w:top w:val="single" w:color="auto" w:sz="4" w:space="0"/>
              <w:left w:val="single" w:color="auto" w:sz="4" w:space="0"/>
              <w:bottom w:val="single" w:color="auto" w:sz="4" w:space="0"/>
              <w:right w:val="single" w:color="auto" w:sz="4" w:space="0"/>
            </w:tcBorders>
            <w:vAlign w:val="center"/>
          </w:tcPr>
          <w:p w14:paraId="772BB02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项目信息化提升改造，进一步提高生产安全及环保要求。</w:t>
            </w:r>
          </w:p>
        </w:tc>
        <w:tc>
          <w:tcPr>
            <w:tcW w:w="772" w:type="dxa"/>
            <w:tcBorders>
              <w:top w:val="single" w:color="auto" w:sz="4" w:space="0"/>
              <w:left w:val="single" w:color="auto" w:sz="4" w:space="0"/>
              <w:bottom w:val="single" w:color="auto" w:sz="4" w:space="0"/>
              <w:right w:val="single" w:color="auto" w:sz="4" w:space="0"/>
            </w:tcBorders>
            <w:vAlign w:val="center"/>
          </w:tcPr>
          <w:p w14:paraId="6212133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29103CB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2566FAF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1.16</w:t>
            </w:r>
          </w:p>
        </w:tc>
        <w:tc>
          <w:tcPr>
            <w:tcW w:w="3365" w:type="dxa"/>
            <w:tcBorders>
              <w:top w:val="single" w:color="auto" w:sz="4" w:space="0"/>
              <w:left w:val="single" w:color="auto" w:sz="4" w:space="0"/>
              <w:bottom w:val="single" w:color="auto" w:sz="4" w:space="0"/>
              <w:right w:val="single" w:color="auto" w:sz="4" w:space="0"/>
            </w:tcBorders>
            <w:vAlign w:val="center"/>
          </w:tcPr>
          <w:p w14:paraId="7AB72BC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对工艺过程的控制要求：对事故后果严重的生产过程，应按冗余原则，设计备用装置和备用系统，并能保证在出现危险时能自动转换到备用装置和备用系统；各种仪器、仪表、检测记录装置等，应选用合理，灵敏可靠，易于识别。</w:t>
            </w:r>
          </w:p>
        </w:tc>
        <w:tc>
          <w:tcPr>
            <w:tcW w:w="1633" w:type="dxa"/>
            <w:tcBorders>
              <w:top w:val="single" w:color="auto" w:sz="4" w:space="0"/>
              <w:left w:val="single" w:color="auto" w:sz="4" w:space="0"/>
              <w:bottom w:val="single" w:color="auto" w:sz="4" w:space="0"/>
              <w:right w:val="single" w:color="auto" w:sz="4" w:space="0"/>
            </w:tcBorders>
            <w:vAlign w:val="center"/>
          </w:tcPr>
          <w:p w14:paraId="60182F4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GB/T12801-2008第5.3.2条</w:t>
            </w:r>
          </w:p>
        </w:tc>
        <w:tc>
          <w:tcPr>
            <w:tcW w:w="2317" w:type="dxa"/>
            <w:tcBorders>
              <w:top w:val="single" w:color="auto" w:sz="4" w:space="0"/>
              <w:left w:val="single" w:color="auto" w:sz="4" w:space="0"/>
              <w:bottom w:val="single" w:color="auto" w:sz="4" w:space="0"/>
              <w:right w:val="single" w:color="auto" w:sz="4" w:space="0"/>
            </w:tcBorders>
            <w:vAlign w:val="center"/>
          </w:tcPr>
          <w:p w14:paraId="1ADAFF3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各种仪器、仪表、检测记录装置等选用合理，灵敏可靠，易于识别。</w:t>
            </w:r>
          </w:p>
        </w:tc>
        <w:tc>
          <w:tcPr>
            <w:tcW w:w="772" w:type="dxa"/>
            <w:tcBorders>
              <w:top w:val="single" w:color="auto" w:sz="4" w:space="0"/>
              <w:left w:val="single" w:color="auto" w:sz="4" w:space="0"/>
              <w:bottom w:val="single" w:color="auto" w:sz="4" w:space="0"/>
              <w:right w:val="single" w:color="auto" w:sz="4" w:space="0"/>
            </w:tcBorders>
            <w:vAlign w:val="center"/>
          </w:tcPr>
          <w:p w14:paraId="5E7E29A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1CC3A8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6EF50A0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1.17</w:t>
            </w:r>
          </w:p>
        </w:tc>
        <w:tc>
          <w:tcPr>
            <w:tcW w:w="3365" w:type="dxa"/>
            <w:tcBorders>
              <w:top w:val="single" w:color="auto" w:sz="4" w:space="0"/>
              <w:left w:val="single" w:color="auto" w:sz="4" w:space="0"/>
              <w:bottom w:val="single" w:color="auto" w:sz="4" w:space="0"/>
              <w:right w:val="single" w:color="auto" w:sz="4" w:space="0"/>
            </w:tcBorders>
            <w:vAlign w:val="center"/>
          </w:tcPr>
          <w:p w14:paraId="498F4D9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应尽量选用自动化程度较高的设备，危险性较大的、重要的关键性生产设备，应由具备有效资质的单位进行设计、制造和检验。</w:t>
            </w:r>
          </w:p>
        </w:tc>
        <w:tc>
          <w:tcPr>
            <w:tcW w:w="1633" w:type="dxa"/>
            <w:tcBorders>
              <w:top w:val="single" w:color="auto" w:sz="4" w:space="0"/>
              <w:left w:val="single" w:color="auto" w:sz="4" w:space="0"/>
              <w:bottom w:val="single" w:color="auto" w:sz="4" w:space="0"/>
              <w:right w:val="single" w:color="auto" w:sz="4" w:space="0"/>
            </w:tcBorders>
            <w:vAlign w:val="center"/>
          </w:tcPr>
          <w:p w14:paraId="19A094F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GB/T12801-2008第5.6.1条</w:t>
            </w:r>
          </w:p>
        </w:tc>
        <w:tc>
          <w:tcPr>
            <w:tcW w:w="2317" w:type="dxa"/>
            <w:tcBorders>
              <w:top w:val="single" w:color="auto" w:sz="4" w:space="0"/>
              <w:left w:val="single" w:color="auto" w:sz="4" w:space="0"/>
              <w:bottom w:val="single" w:color="auto" w:sz="4" w:space="0"/>
              <w:right w:val="single" w:color="auto" w:sz="4" w:space="0"/>
            </w:tcBorders>
            <w:vAlign w:val="center"/>
          </w:tcPr>
          <w:p w14:paraId="407F8BE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生产设备自动化程度较高。</w:t>
            </w:r>
          </w:p>
        </w:tc>
        <w:tc>
          <w:tcPr>
            <w:tcW w:w="772" w:type="dxa"/>
            <w:tcBorders>
              <w:top w:val="single" w:color="auto" w:sz="4" w:space="0"/>
              <w:left w:val="single" w:color="auto" w:sz="4" w:space="0"/>
              <w:bottom w:val="single" w:color="auto" w:sz="4" w:space="0"/>
              <w:right w:val="single" w:color="auto" w:sz="4" w:space="0"/>
            </w:tcBorders>
            <w:vAlign w:val="center"/>
          </w:tcPr>
          <w:p w14:paraId="7827751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078525A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1914E8D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1.18</w:t>
            </w:r>
          </w:p>
        </w:tc>
        <w:tc>
          <w:tcPr>
            <w:tcW w:w="3365" w:type="dxa"/>
            <w:tcBorders>
              <w:top w:val="single" w:color="auto" w:sz="4" w:space="0"/>
              <w:left w:val="single" w:color="auto" w:sz="4" w:space="0"/>
              <w:bottom w:val="single" w:color="auto" w:sz="4" w:space="0"/>
              <w:right w:val="single" w:color="auto" w:sz="4" w:space="0"/>
            </w:tcBorders>
            <w:vAlign w:val="center"/>
          </w:tcPr>
          <w:p w14:paraId="5235D341">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使用的各种设备，应符合GB5083的有关规定。</w:t>
            </w:r>
          </w:p>
        </w:tc>
        <w:tc>
          <w:tcPr>
            <w:tcW w:w="1633" w:type="dxa"/>
            <w:tcBorders>
              <w:top w:val="single" w:color="auto" w:sz="4" w:space="0"/>
              <w:left w:val="single" w:color="auto" w:sz="4" w:space="0"/>
              <w:bottom w:val="single" w:color="auto" w:sz="4" w:space="0"/>
              <w:right w:val="single" w:color="auto" w:sz="4" w:space="0"/>
            </w:tcBorders>
            <w:vAlign w:val="center"/>
          </w:tcPr>
          <w:p w14:paraId="75F63934">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GB/T12801-2008第5.6.2条</w:t>
            </w:r>
          </w:p>
        </w:tc>
        <w:tc>
          <w:tcPr>
            <w:tcW w:w="2317" w:type="dxa"/>
            <w:tcBorders>
              <w:top w:val="single" w:color="auto" w:sz="4" w:space="0"/>
              <w:left w:val="single" w:color="auto" w:sz="4" w:space="0"/>
              <w:bottom w:val="single" w:color="auto" w:sz="4" w:space="0"/>
              <w:right w:val="single" w:color="auto" w:sz="4" w:space="0"/>
            </w:tcBorders>
            <w:vAlign w:val="center"/>
          </w:tcPr>
          <w:p w14:paraId="01FD82D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拟选用的生产设备符合规范要求。</w:t>
            </w:r>
          </w:p>
        </w:tc>
        <w:tc>
          <w:tcPr>
            <w:tcW w:w="772" w:type="dxa"/>
            <w:tcBorders>
              <w:top w:val="single" w:color="auto" w:sz="4" w:space="0"/>
              <w:left w:val="single" w:color="auto" w:sz="4" w:space="0"/>
              <w:bottom w:val="single" w:color="auto" w:sz="4" w:space="0"/>
              <w:right w:val="single" w:color="auto" w:sz="4" w:space="0"/>
            </w:tcBorders>
            <w:vAlign w:val="center"/>
          </w:tcPr>
          <w:p w14:paraId="7592459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2AEC3D1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1A032AA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w:t>
            </w:r>
          </w:p>
        </w:tc>
        <w:tc>
          <w:tcPr>
            <w:tcW w:w="8087" w:type="dxa"/>
            <w:gridSpan w:val="4"/>
            <w:tcBorders>
              <w:top w:val="single" w:color="auto" w:sz="4" w:space="0"/>
              <w:left w:val="single" w:color="auto" w:sz="4" w:space="0"/>
              <w:bottom w:val="single" w:color="auto" w:sz="4" w:space="0"/>
              <w:right w:val="single" w:color="auto" w:sz="4" w:space="0"/>
            </w:tcBorders>
            <w:vAlign w:val="center"/>
          </w:tcPr>
          <w:p w14:paraId="0688031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作业场所。</w:t>
            </w:r>
          </w:p>
        </w:tc>
      </w:tr>
      <w:tr w14:paraId="1E19194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43F04EC2">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2.1</w:t>
            </w:r>
          </w:p>
        </w:tc>
        <w:tc>
          <w:tcPr>
            <w:tcW w:w="3365" w:type="dxa"/>
            <w:tcBorders>
              <w:top w:val="single" w:color="auto" w:sz="4" w:space="0"/>
              <w:left w:val="single" w:color="auto" w:sz="4" w:space="0"/>
              <w:bottom w:val="single" w:color="auto" w:sz="4" w:space="0"/>
              <w:right w:val="single" w:color="auto" w:sz="4" w:space="0"/>
            </w:tcBorders>
            <w:vAlign w:val="center"/>
          </w:tcPr>
          <w:p w14:paraId="750A332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设备，建筑物平面布置的防火间距，不应小于3.4.1的规定。</w:t>
            </w:r>
          </w:p>
        </w:tc>
        <w:tc>
          <w:tcPr>
            <w:tcW w:w="1633" w:type="dxa"/>
            <w:tcBorders>
              <w:top w:val="single" w:color="auto" w:sz="4" w:space="0"/>
              <w:left w:val="single" w:color="auto" w:sz="4" w:space="0"/>
              <w:bottom w:val="single" w:color="auto" w:sz="4" w:space="0"/>
              <w:right w:val="single" w:color="auto" w:sz="4" w:space="0"/>
            </w:tcBorders>
            <w:vAlign w:val="center"/>
          </w:tcPr>
          <w:p w14:paraId="235A493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GB50016-2014地3.4.1条</w:t>
            </w:r>
          </w:p>
        </w:tc>
        <w:tc>
          <w:tcPr>
            <w:tcW w:w="2317" w:type="dxa"/>
            <w:tcBorders>
              <w:top w:val="single" w:color="auto" w:sz="4" w:space="0"/>
              <w:left w:val="single" w:color="auto" w:sz="4" w:space="0"/>
              <w:bottom w:val="single" w:color="auto" w:sz="4" w:space="0"/>
              <w:right w:val="single" w:color="auto" w:sz="4" w:space="0"/>
            </w:tcBorders>
            <w:vAlign w:val="center"/>
          </w:tcPr>
          <w:p w14:paraId="59B7DD8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厂区设备、建筑物平面布置的防火间距符合要求。</w:t>
            </w:r>
          </w:p>
        </w:tc>
        <w:tc>
          <w:tcPr>
            <w:tcW w:w="772" w:type="dxa"/>
            <w:tcBorders>
              <w:top w:val="single" w:color="auto" w:sz="4" w:space="0"/>
              <w:left w:val="single" w:color="auto" w:sz="4" w:space="0"/>
              <w:bottom w:val="single" w:color="auto" w:sz="4" w:space="0"/>
              <w:right w:val="single" w:color="auto" w:sz="4" w:space="0"/>
            </w:tcBorders>
            <w:vAlign w:val="center"/>
          </w:tcPr>
          <w:p w14:paraId="7DBB863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3BCB28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43EC0AF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2.2</w:t>
            </w:r>
          </w:p>
        </w:tc>
        <w:tc>
          <w:tcPr>
            <w:tcW w:w="3365" w:type="dxa"/>
            <w:tcBorders>
              <w:top w:val="single" w:color="auto" w:sz="4" w:space="0"/>
              <w:left w:val="single" w:color="auto" w:sz="4" w:space="0"/>
              <w:bottom w:val="single" w:color="auto" w:sz="4" w:space="0"/>
              <w:right w:val="single" w:color="auto" w:sz="4" w:space="0"/>
            </w:tcBorders>
            <w:vAlign w:val="center"/>
          </w:tcPr>
          <w:p w14:paraId="516D92D3">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若操作人员经常变换工作位置，则必须在生产设备上配备安全走板。安全走板的宽度应不小于500mm</w:t>
            </w:r>
          </w:p>
        </w:tc>
        <w:tc>
          <w:tcPr>
            <w:tcW w:w="1633" w:type="dxa"/>
            <w:tcBorders>
              <w:top w:val="single" w:color="auto" w:sz="4" w:space="0"/>
              <w:left w:val="single" w:color="auto" w:sz="4" w:space="0"/>
              <w:bottom w:val="single" w:color="auto" w:sz="4" w:space="0"/>
              <w:right w:val="single" w:color="auto" w:sz="4" w:space="0"/>
            </w:tcBorders>
            <w:vAlign w:val="center"/>
          </w:tcPr>
          <w:p w14:paraId="73A69479">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GB5083-1999第5.7.4条</w:t>
            </w:r>
          </w:p>
        </w:tc>
        <w:tc>
          <w:tcPr>
            <w:tcW w:w="2317" w:type="dxa"/>
            <w:tcBorders>
              <w:top w:val="single" w:color="auto" w:sz="4" w:space="0"/>
              <w:left w:val="single" w:color="auto" w:sz="4" w:space="0"/>
              <w:bottom w:val="single" w:color="auto" w:sz="4" w:space="0"/>
              <w:right w:val="single" w:color="auto" w:sz="4" w:space="0"/>
            </w:tcBorders>
            <w:vAlign w:val="center"/>
          </w:tcPr>
          <w:p w14:paraId="589ACE68">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安全走板满足要求。</w:t>
            </w:r>
          </w:p>
        </w:tc>
        <w:tc>
          <w:tcPr>
            <w:tcW w:w="772" w:type="dxa"/>
            <w:tcBorders>
              <w:top w:val="single" w:color="auto" w:sz="4" w:space="0"/>
              <w:left w:val="single" w:color="auto" w:sz="4" w:space="0"/>
              <w:bottom w:val="single" w:color="auto" w:sz="4" w:space="0"/>
              <w:right w:val="single" w:color="auto" w:sz="4" w:space="0"/>
            </w:tcBorders>
            <w:vAlign w:val="center"/>
          </w:tcPr>
          <w:p w14:paraId="45ED4DB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3FFFE8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7BDC45E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2.3</w:t>
            </w:r>
          </w:p>
        </w:tc>
        <w:tc>
          <w:tcPr>
            <w:tcW w:w="3365" w:type="dxa"/>
            <w:tcBorders>
              <w:top w:val="single" w:color="auto" w:sz="4" w:space="0"/>
              <w:left w:val="single" w:color="auto" w:sz="4" w:space="0"/>
              <w:bottom w:val="single" w:color="auto" w:sz="4" w:space="0"/>
              <w:right w:val="single" w:color="auto" w:sz="4" w:space="0"/>
            </w:tcBorders>
            <w:vAlign w:val="center"/>
          </w:tcPr>
          <w:p w14:paraId="4C72A59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若操作人员进行操作、维护、调节的工作位置在坠落基准面2m以上时，则必须在生产设备上配置供站立的平台和防坠落的护栏、护板或安全圈等。设计梯子、钢平台和防护栏，按GB4053.1、GB4053.2、GB4053.3、GB4053.4执行。</w:t>
            </w:r>
          </w:p>
        </w:tc>
        <w:tc>
          <w:tcPr>
            <w:tcW w:w="1633" w:type="dxa"/>
            <w:tcBorders>
              <w:top w:val="single" w:color="auto" w:sz="4" w:space="0"/>
              <w:left w:val="single" w:color="auto" w:sz="4" w:space="0"/>
              <w:bottom w:val="single" w:color="auto" w:sz="4" w:space="0"/>
              <w:right w:val="single" w:color="auto" w:sz="4" w:space="0"/>
            </w:tcBorders>
            <w:vAlign w:val="center"/>
          </w:tcPr>
          <w:p w14:paraId="6547FA5B">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GB5083-1999第5.7.4条</w:t>
            </w:r>
          </w:p>
        </w:tc>
        <w:tc>
          <w:tcPr>
            <w:tcW w:w="2317" w:type="dxa"/>
            <w:tcBorders>
              <w:top w:val="single" w:color="auto" w:sz="4" w:space="0"/>
              <w:left w:val="single" w:color="auto" w:sz="4" w:space="0"/>
              <w:bottom w:val="single" w:color="auto" w:sz="4" w:space="0"/>
              <w:right w:val="single" w:color="auto" w:sz="4" w:space="0"/>
            </w:tcBorders>
            <w:vAlign w:val="center"/>
          </w:tcPr>
          <w:p w14:paraId="155C671A">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生产设备上配置供站立的平台和防坠落的护栏、护板或安全圈等，</w:t>
            </w:r>
          </w:p>
        </w:tc>
        <w:tc>
          <w:tcPr>
            <w:tcW w:w="772" w:type="dxa"/>
            <w:tcBorders>
              <w:top w:val="single" w:color="auto" w:sz="4" w:space="0"/>
              <w:left w:val="single" w:color="auto" w:sz="4" w:space="0"/>
              <w:bottom w:val="single" w:color="auto" w:sz="4" w:space="0"/>
              <w:right w:val="single" w:color="auto" w:sz="4" w:space="0"/>
            </w:tcBorders>
            <w:vAlign w:val="center"/>
          </w:tcPr>
          <w:p w14:paraId="14EC1575">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331CCD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5779A79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2.4</w:t>
            </w:r>
          </w:p>
        </w:tc>
        <w:tc>
          <w:tcPr>
            <w:tcW w:w="3365" w:type="dxa"/>
            <w:tcBorders>
              <w:top w:val="single" w:color="auto" w:sz="4" w:space="0"/>
              <w:left w:val="single" w:color="auto" w:sz="4" w:space="0"/>
              <w:bottom w:val="single" w:color="auto" w:sz="4" w:space="0"/>
              <w:right w:val="single" w:color="auto" w:sz="4" w:space="0"/>
            </w:tcBorders>
            <w:vAlign w:val="center"/>
          </w:tcPr>
          <w:p w14:paraId="711EFEA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具有或能产生危险和有害因素源的车间、装置、设施与控制室、变配电室、仓库、办公室、试验室等公用设施的距离必须符合防火、防爆、防尘、防毒、防振、防辐射、防静电和防噪声规定</w:t>
            </w:r>
          </w:p>
        </w:tc>
        <w:tc>
          <w:tcPr>
            <w:tcW w:w="1633" w:type="dxa"/>
            <w:tcBorders>
              <w:top w:val="single" w:color="auto" w:sz="4" w:space="0"/>
              <w:left w:val="single" w:color="auto" w:sz="4" w:space="0"/>
              <w:bottom w:val="single" w:color="auto" w:sz="4" w:space="0"/>
              <w:right w:val="single" w:color="auto" w:sz="4" w:space="0"/>
            </w:tcBorders>
            <w:vAlign w:val="center"/>
          </w:tcPr>
          <w:p w14:paraId="4D1C52B7">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GB/T12801-2008第5.2.2.C</w:t>
            </w:r>
          </w:p>
        </w:tc>
        <w:tc>
          <w:tcPr>
            <w:tcW w:w="2317" w:type="dxa"/>
            <w:tcBorders>
              <w:top w:val="single" w:color="auto" w:sz="4" w:space="0"/>
              <w:left w:val="single" w:color="auto" w:sz="4" w:space="0"/>
              <w:bottom w:val="single" w:color="auto" w:sz="4" w:space="0"/>
              <w:right w:val="single" w:color="auto" w:sz="4" w:space="0"/>
            </w:tcBorders>
            <w:vAlign w:val="center"/>
          </w:tcPr>
          <w:p w14:paraId="529E0EA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可能产生振动、噪声的装置区远离办公生活区。</w:t>
            </w:r>
          </w:p>
        </w:tc>
        <w:tc>
          <w:tcPr>
            <w:tcW w:w="772" w:type="dxa"/>
            <w:tcBorders>
              <w:top w:val="single" w:color="auto" w:sz="4" w:space="0"/>
              <w:left w:val="single" w:color="auto" w:sz="4" w:space="0"/>
              <w:bottom w:val="single" w:color="auto" w:sz="4" w:space="0"/>
              <w:right w:val="single" w:color="auto" w:sz="4" w:space="0"/>
            </w:tcBorders>
            <w:vAlign w:val="center"/>
          </w:tcPr>
          <w:p w14:paraId="14A5AE4F">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r w14:paraId="3551328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63" w:hRule="atLeast"/>
          <w:jc w:val="center"/>
        </w:trPr>
        <w:tc>
          <w:tcPr>
            <w:tcW w:w="775" w:type="dxa"/>
            <w:tcBorders>
              <w:top w:val="single" w:color="auto" w:sz="4" w:space="0"/>
              <w:left w:val="single" w:color="auto" w:sz="4" w:space="0"/>
              <w:bottom w:val="single" w:color="auto" w:sz="4" w:space="0"/>
              <w:right w:val="single" w:color="auto" w:sz="4" w:space="0"/>
            </w:tcBorders>
            <w:vAlign w:val="center"/>
          </w:tcPr>
          <w:p w14:paraId="730AB8BD">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2.5</w:t>
            </w:r>
          </w:p>
        </w:tc>
        <w:tc>
          <w:tcPr>
            <w:tcW w:w="3365" w:type="dxa"/>
            <w:tcBorders>
              <w:top w:val="single" w:color="auto" w:sz="4" w:space="0"/>
              <w:left w:val="single" w:color="auto" w:sz="4" w:space="0"/>
              <w:bottom w:val="single" w:color="auto" w:sz="4" w:space="0"/>
              <w:right w:val="single" w:color="auto" w:sz="4" w:space="0"/>
            </w:tcBorders>
            <w:vAlign w:val="center"/>
          </w:tcPr>
          <w:p w14:paraId="7D5E1D8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作业区的布置应保证人员有足够的安全活动空间。设备、工机具、辅助设施的布置，生产手料、产品和剩余物料的堆放，人行道、车行道的布置和间隔距离，都不应妨碍人员工作和造成危害。</w:t>
            </w:r>
          </w:p>
        </w:tc>
        <w:tc>
          <w:tcPr>
            <w:tcW w:w="1633" w:type="dxa"/>
            <w:tcBorders>
              <w:top w:val="single" w:color="auto" w:sz="4" w:space="0"/>
              <w:left w:val="single" w:color="auto" w:sz="4" w:space="0"/>
              <w:bottom w:val="single" w:color="auto" w:sz="4" w:space="0"/>
              <w:right w:val="single" w:color="auto" w:sz="4" w:space="0"/>
            </w:tcBorders>
            <w:vAlign w:val="center"/>
          </w:tcPr>
          <w:p w14:paraId="1E9F890E">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GB/T12801-2008第5.7.3.A</w:t>
            </w:r>
          </w:p>
        </w:tc>
        <w:tc>
          <w:tcPr>
            <w:tcW w:w="2317" w:type="dxa"/>
            <w:tcBorders>
              <w:top w:val="single" w:color="auto" w:sz="4" w:space="0"/>
              <w:left w:val="single" w:color="auto" w:sz="4" w:space="0"/>
              <w:bottom w:val="single" w:color="auto" w:sz="4" w:space="0"/>
              <w:right w:val="single" w:color="auto" w:sz="4" w:space="0"/>
            </w:tcBorders>
            <w:vAlign w:val="center"/>
          </w:tcPr>
          <w:p w14:paraId="69599CCC">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作业区的布置应保证人员有足够的安全活动空间。</w:t>
            </w:r>
          </w:p>
        </w:tc>
        <w:tc>
          <w:tcPr>
            <w:tcW w:w="772" w:type="dxa"/>
            <w:tcBorders>
              <w:top w:val="single" w:color="auto" w:sz="4" w:space="0"/>
              <w:left w:val="single" w:color="auto" w:sz="4" w:space="0"/>
              <w:bottom w:val="single" w:color="auto" w:sz="4" w:space="0"/>
              <w:right w:val="single" w:color="auto" w:sz="4" w:space="0"/>
            </w:tcBorders>
            <w:vAlign w:val="center"/>
          </w:tcPr>
          <w:p w14:paraId="2DE13F96">
            <w:pPr>
              <w:overflowPunct w:val="0"/>
              <w:topLinePunct/>
              <w:autoSpaceDE w:val="0"/>
              <w:autoSpaceDN w:val="0"/>
              <w:spacing w:before="48" w:beforeLines="20" w:after="48" w:afterLines="20" w:line="240" w:lineRule="auto"/>
              <w:ind w:firstLine="0" w:firstLineChars="0"/>
              <w:jc w:val="center"/>
              <w:textAlignment w:val="center"/>
              <w:rPr>
                <w:rFonts w:cs="Times New Roman"/>
                <w:sz w:val="21"/>
                <w:szCs w:val="21"/>
              </w:rPr>
            </w:pPr>
            <w:r>
              <w:rPr>
                <w:rFonts w:hint="eastAsia" w:cs="Times New Roman"/>
                <w:sz w:val="21"/>
                <w:szCs w:val="21"/>
              </w:rPr>
              <w:t>符合</w:t>
            </w:r>
          </w:p>
        </w:tc>
      </w:tr>
    </w:tbl>
    <w:p w14:paraId="070C91D5">
      <w:pPr>
        <w:pStyle w:val="9"/>
        <w:rPr>
          <w:snapToGrid w:val="0"/>
          <w:color w:val="auto"/>
        </w:rPr>
      </w:pPr>
      <w:bookmarkStart w:id="500" w:name="_Toc23572"/>
      <w:bookmarkStart w:id="501" w:name="_Toc15067"/>
      <w:bookmarkStart w:id="502" w:name="_Toc215210596"/>
      <w:bookmarkStart w:id="503" w:name="_Toc403389311"/>
      <w:r>
        <w:rPr>
          <w:rFonts w:hint="eastAsia"/>
          <w:snapToGrid w:val="0"/>
          <w:color w:val="auto"/>
        </w:rPr>
        <w:t>5.2.2先进性和可靠性分析</w:t>
      </w:r>
      <w:bookmarkEnd w:id="500"/>
      <w:bookmarkEnd w:id="501"/>
      <w:bookmarkEnd w:id="502"/>
    </w:p>
    <w:p w14:paraId="17F8AB49">
      <w:pPr>
        <w:pStyle w:val="529"/>
        <w:ind w:firstLine="560"/>
        <w:rPr>
          <w:rFonts w:hint="eastAsia" w:ascii="宋体" w:hAnsi="宋体" w:cs="宋体"/>
        </w:rPr>
      </w:pPr>
      <w:r>
        <w:rPr>
          <w:rFonts w:hint="eastAsia"/>
          <w:szCs w:val="28"/>
        </w:rPr>
        <w:t>云南杉杉新材料有限公司</w:t>
      </w:r>
      <w:r>
        <w:rPr>
          <w:rFonts w:hint="eastAsia"/>
          <w:szCs w:val="28"/>
          <w:lang w:val="en-US"/>
        </w:rPr>
        <w:t>数字化转型专项建设项目</w:t>
      </w:r>
      <w:r>
        <w:rPr>
          <w:rFonts w:hint="eastAsia" w:ascii="宋体" w:hAnsi="宋体" w:cs="宋体"/>
        </w:rPr>
        <w:t xml:space="preserve">是发展较成熟的工艺， </w:t>
      </w:r>
      <w:r>
        <w:rPr>
          <w:rFonts w:hint="eastAsia" w:ascii="宋体" w:hAnsi="宋体" w:cs="宋体"/>
          <w:szCs w:val="28"/>
          <w:lang w:val="en-US"/>
        </w:rPr>
        <w:t>根据</w:t>
      </w:r>
      <w:r>
        <w:rPr>
          <w:rFonts w:hint="eastAsia" w:ascii="宋体" w:hAnsi="宋体" w:cs="宋体"/>
          <w:szCs w:val="27"/>
        </w:rPr>
        <w:t>《产业结构调整指导目录（2024年本）》、</w:t>
      </w:r>
      <w:r>
        <w:rPr>
          <w:rFonts w:ascii="宋体" w:hAnsi="宋体" w:cs="宋体"/>
          <w:szCs w:val="27"/>
          <w:lang w:val="en-US"/>
        </w:rPr>
        <w:t>《中华人民共和国国民经济和社会发展第十四个五年规划和2035年远景目标纲要》</w:t>
      </w:r>
      <w:r>
        <w:rPr>
          <w:rFonts w:hint="eastAsia" w:ascii="宋体" w:hAnsi="宋体" w:cs="宋体"/>
          <w:szCs w:val="28"/>
          <w:lang w:val="en-US"/>
        </w:rPr>
        <w:t>，企业生产信息化属于鼓励类项目，符合国家产业政策。</w:t>
      </w:r>
    </w:p>
    <w:p w14:paraId="39CFD67A">
      <w:pPr>
        <w:pStyle w:val="9"/>
        <w:rPr>
          <w:snapToGrid w:val="0"/>
          <w:color w:val="auto"/>
        </w:rPr>
      </w:pPr>
      <w:bookmarkStart w:id="504" w:name="_Toc4831"/>
      <w:bookmarkStart w:id="505" w:name="_Toc26923"/>
      <w:bookmarkStart w:id="506" w:name="_Toc215210597"/>
      <w:r>
        <w:rPr>
          <w:rFonts w:hint="eastAsia"/>
          <w:snapToGrid w:val="0"/>
          <w:color w:val="auto"/>
        </w:rPr>
        <w:t>5.2.3评价小结</w:t>
      </w:r>
      <w:bookmarkEnd w:id="503"/>
      <w:bookmarkEnd w:id="504"/>
      <w:bookmarkEnd w:id="505"/>
      <w:bookmarkEnd w:id="506"/>
    </w:p>
    <w:p w14:paraId="65C35C99">
      <w:pPr>
        <w:ind w:firstLine="560"/>
        <w:rPr>
          <w:lang w:val="zh-CN"/>
        </w:rPr>
      </w:pPr>
      <w:r>
        <w:rPr>
          <w:rFonts w:hint="eastAsia"/>
          <w:szCs w:val="28"/>
        </w:rPr>
        <w:t>云南杉杉新材料有限公司数字化转型专项建设项目</w:t>
      </w:r>
      <w:r>
        <w:rPr>
          <w:rFonts w:hint="eastAsia" w:ascii="宋体" w:hAnsi="宋体"/>
          <w:kern w:val="2"/>
          <w:szCs w:val="28"/>
        </w:rPr>
        <w:t>属于国家鼓励类项目，</w:t>
      </w:r>
      <w:r>
        <w:rPr>
          <w:rFonts w:hint="eastAsia" w:ascii="宋体" w:hAnsi="宋体"/>
          <w:szCs w:val="28"/>
        </w:rPr>
        <w:t>技术成熟可靠，生产设备、操作控制、能量消耗、材料消耗、产品质量，生产成本、劳动强度低、操作环境、技术经济指标和安全设施等，与国内同类项目相比比，水平相当。</w:t>
      </w:r>
      <w:r>
        <w:rPr>
          <w:rFonts w:hint="eastAsia" w:ascii="宋体" w:hAnsi="宋体"/>
        </w:rPr>
        <w:t>设备设施的可靠性能保证项目的安全生产。</w:t>
      </w:r>
    </w:p>
    <w:p w14:paraId="1EA6EE96">
      <w:pPr>
        <w:pStyle w:val="3"/>
        <w:ind w:firstLine="0" w:firstLineChars="0"/>
        <w:jc w:val="both"/>
        <w:rPr>
          <w:color w:val="auto"/>
        </w:rPr>
      </w:pPr>
      <w:bookmarkStart w:id="507" w:name="_Toc448780624"/>
      <w:bookmarkStart w:id="508" w:name="_Toc160982576"/>
      <w:bookmarkStart w:id="509" w:name="_Toc451549812"/>
      <w:bookmarkStart w:id="510" w:name="_Toc449443489"/>
      <w:bookmarkStart w:id="511" w:name="_Toc449442692"/>
      <w:bookmarkStart w:id="512" w:name="_Toc9852749"/>
      <w:bookmarkStart w:id="513" w:name="_Toc463820880"/>
      <w:bookmarkStart w:id="514" w:name="_Toc449389122"/>
      <w:bookmarkStart w:id="515" w:name="_Toc160982225"/>
      <w:bookmarkStart w:id="516" w:name="_Toc160982112"/>
      <w:bookmarkStart w:id="517" w:name="_Toc451550010"/>
      <w:bookmarkStart w:id="518" w:name="_Toc160982457"/>
      <w:bookmarkStart w:id="519" w:name="_Toc427070011"/>
      <w:bookmarkStart w:id="520" w:name="_Toc448781006"/>
      <w:r>
        <w:rPr>
          <w:color w:val="auto"/>
        </w:rPr>
        <w:br w:type="page"/>
      </w:r>
    </w:p>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p w14:paraId="368F243E">
      <w:pPr>
        <w:pStyle w:val="13"/>
        <w:widowControl w:val="0"/>
        <w:ind w:firstLineChars="0"/>
        <w:sectPr>
          <w:pgSz w:w="11906" w:h="16838"/>
          <w:pgMar w:top="1418" w:right="1134" w:bottom="1247" w:left="1588" w:header="851" w:footer="964" w:gutter="0"/>
          <w:pgNumType w:fmt="decimal"/>
          <w:cols w:space="720" w:num="1"/>
          <w:docGrid w:linePitch="312" w:charSpace="0"/>
        </w:sectPr>
      </w:pPr>
    </w:p>
    <w:p w14:paraId="2C6E221C">
      <w:pPr>
        <w:pStyle w:val="3"/>
        <w:spacing w:before="0" w:after="240" w:afterLines="100" w:line="800" w:lineRule="exact"/>
        <w:ind w:firstLine="883"/>
        <w:rPr>
          <w:color w:val="auto"/>
          <w:kern w:val="0"/>
        </w:rPr>
      </w:pPr>
      <w:bookmarkStart w:id="521" w:name="_Toc451550030"/>
      <w:bookmarkStart w:id="522" w:name="_Toc160982122"/>
      <w:bookmarkStart w:id="523" w:name="_Toc160982467"/>
      <w:bookmarkStart w:id="524" w:name="_Toc449443509"/>
      <w:bookmarkStart w:id="525" w:name="_Toc215210598"/>
      <w:bookmarkStart w:id="526" w:name="_Toc449442712"/>
      <w:bookmarkStart w:id="527" w:name="_Toc449389142"/>
      <w:bookmarkStart w:id="528" w:name="_Toc463820900"/>
      <w:bookmarkStart w:id="529" w:name="_Toc448780644"/>
      <w:bookmarkStart w:id="530" w:name="_Toc160982586"/>
      <w:bookmarkStart w:id="531" w:name="_Toc451549832"/>
      <w:bookmarkStart w:id="532" w:name="_Toc448781026"/>
      <w:bookmarkStart w:id="533" w:name="_Toc160982235"/>
      <w:bookmarkStart w:id="534" w:name="_Toc9852768"/>
      <w:r>
        <w:rPr>
          <w:color w:val="auto"/>
          <w:kern w:val="0"/>
        </w:rPr>
        <w:t>第</w:t>
      </w:r>
      <w:r>
        <w:rPr>
          <w:rFonts w:hint="eastAsia"/>
          <w:color w:val="auto"/>
          <w:kern w:val="0"/>
        </w:rPr>
        <w:t>6</w:t>
      </w:r>
      <w:r>
        <w:rPr>
          <w:color w:val="auto"/>
          <w:kern w:val="0"/>
        </w:rPr>
        <w:t xml:space="preserve">章 </w:t>
      </w:r>
      <w:r>
        <w:rPr>
          <w:rFonts w:hint="eastAsia"/>
          <w:color w:val="auto"/>
          <w:kern w:val="0"/>
        </w:rPr>
        <w:t>所采取的</w:t>
      </w:r>
      <w:r>
        <w:rPr>
          <w:color w:val="auto"/>
          <w:kern w:val="0"/>
        </w:rPr>
        <w:t>安全</w:t>
      </w:r>
      <w:r>
        <w:rPr>
          <w:rFonts w:hint="eastAsia"/>
          <w:color w:val="auto"/>
          <w:kern w:val="0"/>
        </w:rPr>
        <w:t>防范</w:t>
      </w:r>
      <w:r>
        <w:rPr>
          <w:color w:val="auto"/>
          <w:kern w:val="0"/>
        </w:rPr>
        <w:t>对策措施</w:t>
      </w:r>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p>
    <w:p w14:paraId="24E47E1D">
      <w:pPr>
        <w:pStyle w:val="5"/>
        <w:rPr>
          <w:color w:val="auto"/>
        </w:rPr>
      </w:pPr>
      <w:bookmarkStart w:id="535" w:name="_Toc113960225"/>
      <w:bookmarkStart w:id="536" w:name="_Toc10954"/>
      <w:bookmarkStart w:id="537" w:name="_Toc215210599"/>
      <w:r>
        <w:rPr>
          <w:color w:val="auto"/>
        </w:rPr>
        <w:t>6.2.1</w:t>
      </w:r>
      <w:r>
        <w:rPr>
          <w:rFonts w:hint="eastAsia"/>
          <w:color w:val="auto"/>
        </w:rPr>
        <w:t>总</w:t>
      </w:r>
      <w:r>
        <w:rPr>
          <w:color w:val="auto"/>
        </w:rPr>
        <w:t>平面布置方面的安全对策措施</w:t>
      </w:r>
      <w:bookmarkEnd w:id="535"/>
      <w:bookmarkEnd w:id="536"/>
      <w:bookmarkEnd w:id="537"/>
    </w:p>
    <w:p w14:paraId="6CC6F4C6">
      <w:pPr>
        <w:numPr>
          <w:ilvl w:val="0"/>
          <w:numId w:val="16"/>
        </w:numPr>
        <w:spacing w:line="500" w:lineRule="exact"/>
        <w:ind w:left="0" w:firstLine="560"/>
        <w:rPr>
          <w:rFonts w:cs="Times New Roman"/>
        </w:rPr>
      </w:pPr>
      <w:r>
        <w:rPr>
          <w:rFonts w:cs="Times New Roman"/>
        </w:rPr>
        <w:t>拟</w:t>
      </w:r>
      <w:r>
        <w:rPr>
          <w:rFonts w:hint="eastAsia" w:cs="Times New Roman"/>
        </w:rPr>
        <w:t>改造</w:t>
      </w:r>
      <w:r>
        <w:rPr>
          <w:rFonts w:cs="Times New Roman"/>
        </w:rPr>
        <w:t>项目在进行</w:t>
      </w:r>
      <w:r>
        <w:rPr>
          <w:rFonts w:hint="eastAsia" w:cs="Times New Roman"/>
        </w:rPr>
        <w:t>新增设备</w:t>
      </w:r>
      <w:r>
        <w:rPr>
          <w:rFonts w:cs="Times New Roman"/>
        </w:rPr>
        <w:t>布置</w:t>
      </w:r>
      <w:r>
        <w:rPr>
          <w:rFonts w:hint="eastAsia" w:cs="Times New Roman"/>
        </w:rPr>
        <w:t>时</w:t>
      </w:r>
      <w:r>
        <w:rPr>
          <w:rFonts w:cs="Times New Roman"/>
        </w:rPr>
        <w:t>，应按照</w:t>
      </w:r>
      <w:r>
        <w:rPr>
          <w:rFonts w:hint="eastAsia" w:cs="Times New Roman"/>
        </w:rPr>
        <w:t>《工业企业总平面设计规范》（</w:t>
      </w:r>
      <w:r>
        <w:rPr>
          <w:rFonts w:cs="Times New Roman"/>
        </w:rPr>
        <w:t>GB50187-2012）、《生产过程安全卫生要求总则》（GB/T12801-2008）等标准的要求进行设计、布置。</w:t>
      </w:r>
    </w:p>
    <w:p w14:paraId="27A952C2">
      <w:pPr>
        <w:numPr>
          <w:ilvl w:val="0"/>
          <w:numId w:val="16"/>
        </w:numPr>
        <w:spacing w:line="500" w:lineRule="exact"/>
        <w:ind w:left="0" w:firstLine="560"/>
        <w:rPr>
          <w:rFonts w:cs="Times New Roman"/>
        </w:rPr>
      </w:pPr>
      <w:r>
        <w:rPr>
          <w:rFonts w:hint="eastAsia" w:cs="Times New Roman"/>
        </w:rPr>
        <w:t>拟新增设备的布置应满足生产、设备安装与检修要求，同时应保证对周边正常生产的设备设施不造成影响。</w:t>
      </w:r>
    </w:p>
    <w:p w14:paraId="25D895A6">
      <w:pPr>
        <w:pStyle w:val="5"/>
        <w:rPr>
          <w:color w:val="auto"/>
        </w:rPr>
      </w:pPr>
      <w:bookmarkStart w:id="538" w:name="_Toc113960226"/>
      <w:bookmarkStart w:id="539" w:name="_Toc18364"/>
      <w:bookmarkStart w:id="540" w:name="_Toc215210600"/>
      <w:r>
        <w:rPr>
          <w:color w:val="auto"/>
        </w:rPr>
        <w:t>6.2.2工艺系统安全对策措施</w:t>
      </w:r>
      <w:bookmarkEnd w:id="538"/>
      <w:bookmarkEnd w:id="539"/>
      <w:bookmarkEnd w:id="540"/>
    </w:p>
    <w:p w14:paraId="00F1CB7D">
      <w:pPr>
        <w:numPr>
          <w:ilvl w:val="0"/>
          <w:numId w:val="17"/>
        </w:numPr>
        <w:ind w:left="0" w:firstLine="560"/>
        <w:rPr>
          <w:rFonts w:cs="Times New Roman"/>
        </w:rPr>
      </w:pPr>
      <w:r>
        <w:rPr>
          <w:rFonts w:hint="eastAsia" w:cs="Times New Roman"/>
        </w:rPr>
        <w:t>选用的设备防护装置和保护装置的元件应特别可靠，因其失效能使人员暴露于危险。</w:t>
      </w:r>
    </w:p>
    <w:p w14:paraId="57182724">
      <w:pPr>
        <w:numPr>
          <w:ilvl w:val="0"/>
          <w:numId w:val="17"/>
        </w:numPr>
        <w:ind w:left="0" w:firstLine="560"/>
        <w:rPr>
          <w:rFonts w:cs="Times New Roman"/>
        </w:rPr>
      </w:pPr>
      <w:r>
        <w:rPr>
          <w:rFonts w:cs="Times New Roman"/>
        </w:rPr>
        <w:t>安全管理和资料应满足相应要求，设备本体、辅助设施及安全防护装置等资料齐全；应确保其编程、操作、维修人员均参加有效的安全培训，并具备相应的工作能力。</w:t>
      </w:r>
    </w:p>
    <w:p w14:paraId="54A27AC7">
      <w:pPr>
        <w:numPr>
          <w:ilvl w:val="0"/>
          <w:numId w:val="17"/>
        </w:numPr>
        <w:ind w:left="0" w:firstLine="560"/>
        <w:rPr>
          <w:rFonts w:cs="Times New Roman"/>
        </w:rPr>
      </w:pPr>
      <w:r>
        <w:rPr>
          <w:rFonts w:cs="Times New Roman"/>
        </w:rPr>
        <w:t>作业区域应设置警示标志和封闭的防护栏，必备的检修门和开口部位应设置安全销、安全锁和光电保护等安全防护装置。</w:t>
      </w:r>
    </w:p>
    <w:p w14:paraId="784CFC68">
      <w:pPr>
        <w:numPr>
          <w:ilvl w:val="0"/>
          <w:numId w:val="17"/>
        </w:numPr>
        <w:ind w:left="0" w:firstLine="560"/>
        <w:rPr>
          <w:rFonts w:cs="Times New Roman"/>
        </w:rPr>
      </w:pPr>
      <w:r>
        <w:rPr>
          <w:rFonts w:cs="Times New Roman"/>
        </w:rPr>
        <w:t>各种行程限位、联锁装置、抗干扰屏蔽及急停装置应灵敏、可靠，任何安全装置动作均切断动力回路；急停装置应符合GB 16754的相关规定，并不得自动复位。</w:t>
      </w:r>
    </w:p>
    <w:p w14:paraId="18666D79">
      <w:pPr>
        <w:numPr>
          <w:ilvl w:val="0"/>
          <w:numId w:val="17"/>
        </w:numPr>
        <w:ind w:left="0" w:firstLine="560"/>
        <w:rPr>
          <w:rFonts w:cs="Times New Roman"/>
        </w:rPr>
      </w:pPr>
      <w:r>
        <w:rPr>
          <w:rFonts w:cs="Times New Roman"/>
        </w:rPr>
        <w:t>PE线应连接可靠，线径截面及安装方式应符合相关规定。电气线路标识清晰；保护回路应齐全、可靠，且能防止意外或偶然的误操作。</w:t>
      </w:r>
    </w:p>
    <w:p w14:paraId="2C828703">
      <w:pPr>
        <w:numPr>
          <w:ilvl w:val="0"/>
          <w:numId w:val="17"/>
        </w:numPr>
        <w:ind w:left="0" w:firstLine="560"/>
        <w:rPr>
          <w:rFonts w:cs="Times New Roman"/>
        </w:rPr>
      </w:pPr>
      <w:r>
        <w:rPr>
          <w:rFonts w:cs="Times New Roman"/>
        </w:rPr>
        <w:t>当调整、检查、维修进入危险区域时，设备应具备防止意外启动的功能。</w:t>
      </w:r>
    </w:p>
    <w:p w14:paraId="26823F94">
      <w:pPr>
        <w:numPr>
          <w:ilvl w:val="0"/>
          <w:numId w:val="17"/>
        </w:numPr>
        <w:ind w:left="0" w:firstLine="560"/>
        <w:rPr>
          <w:rFonts w:cs="Times New Roman"/>
        </w:rPr>
      </w:pPr>
      <w:r>
        <w:rPr>
          <w:rFonts w:hint="eastAsia" w:cs="Times New Roman"/>
        </w:rPr>
        <w:t>对特定机器的安全防护，应采取可靠措施，如固定式或活动式防护装置。</w:t>
      </w:r>
    </w:p>
    <w:p w14:paraId="5CB31159">
      <w:pPr>
        <w:numPr>
          <w:ilvl w:val="0"/>
          <w:numId w:val="17"/>
        </w:numPr>
        <w:ind w:left="0" w:firstLine="560"/>
        <w:rPr>
          <w:rFonts w:cs="Times New Roman"/>
        </w:rPr>
      </w:pPr>
      <w:r>
        <w:rPr>
          <w:rFonts w:hint="eastAsia" w:cs="Times New Roman"/>
        </w:rPr>
        <w:t>电气设备</w:t>
      </w:r>
      <w:r>
        <w:rPr>
          <w:rFonts w:cs="Times New Roman"/>
        </w:rPr>
        <w:t>/系统应具有在原点位置校准前、禁止机器人除手动运行外的其他运动</w:t>
      </w:r>
      <w:r>
        <w:rPr>
          <w:rFonts w:hint="eastAsia" w:cs="Times New Roman"/>
        </w:rPr>
        <w:t>，</w:t>
      </w:r>
      <w:r>
        <w:rPr>
          <w:rFonts w:cs="Times New Roman"/>
        </w:rPr>
        <w:t>以防止危险产生的安全措施。同时还应具有通过各种措施</w:t>
      </w:r>
      <w:r>
        <w:rPr>
          <w:rFonts w:hint="eastAsia" w:cs="Times New Roman"/>
        </w:rPr>
        <w:t>（</w:t>
      </w:r>
      <w:r>
        <w:rPr>
          <w:rFonts w:cs="Times New Roman"/>
        </w:rPr>
        <w:t>包括信息等</w:t>
      </w:r>
      <w:r>
        <w:rPr>
          <w:rFonts w:hint="eastAsia" w:cs="Times New Roman"/>
        </w:rPr>
        <w:t>）</w:t>
      </w:r>
      <w:r>
        <w:rPr>
          <w:rFonts w:cs="Times New Roman"/>
        </w:rPr>
        <w:t>对工业机器人进行故障诊断并进行相应维护的安全措施。</w:t>
      </w:r>
    </w:p>
    <w:p w14:paraId="5CAD6F14">
      <w:pPr>
        <w:numPr>
          <w:ilvl w:val="0"/>
          <w:numId w:val="17"/>
        </w:numPr>
        <w:ind w:left="0" w:firstLine="560"/>
        <w:rPr>
          <w:rFonts w:cs="Times New Roman"/>
        </w:rPr>
      </w:pPr>
      <w:r>
        <w:rPr>
          <w:rFonts w:hint="eastAsia" w:cs="Times New Roman"/>
        </w:rPr>
        <w:t>对因关节自重及不同姿态下工具自重有可能导致断电后关节跌落的状况，电气设备</w:t>
      </w:r>
      <w:r>
        <w:rPr>
          <w:rFonts w:cs="Times New Roman"/>
        </w:rPr>
        <w:t>/系统应具有内置刹车或外部刹车措施，确保工业机器人在断电、去使能、急停等状态下，关节能够自锁，并保持当时的</w:t>
      </w:r>
      <w:r>
        <w:rPr>
          <w:rFonts w:hint="eastAsia" w:cs="Times New Roman"/>
        </w:rPr>
        <w:t>位置与姿态。</w:t>
      </w:r>
    </w:p>
    <w:p w14:paraId="06D0037D">
      <w:pPr>
        <w:pStyle w:val="5"/>
        <w:rPr>
          <w:color w:val="auto"/>
        </w:rPr>
      </w:pPr>
      <w:bookmarkStart w:id="541" w:name="_Toc113960232"/>
      <w:bookmarkStart w:id="542" w:name="_Toc9605"/>
      <w:bookmarkStart w:id="543" w:name="_Toc215210601"/>
      <w:r>
        <w:rPr>
          <w:color w:val="auto"/>
        </w:rPr>
        <w:t>6.2.3</w:t>
      </w:r>
      <w:bookmarkEnd w:id="541"/>
      <w:bookmarkEnd w:id="542"/>
      <w:r>
        <w:rPr>
          <w:snapToGrid w:val="0"/>
          <w:color w:val="auto"/>
        </w:rPr>
        <w:t>仪表自控系统</w:t>
      </w:r>
      <w:r>
        <w:rPr>
          <w:color w:val="auto"/>
        </w:rPr>
        <w:t>安全对策措施</w:t>
      </w:r>
      <w:bookmarkEnd w:id="543"/>
    </w:p>
    <w:p w14:paraId="75229219">
      <w:pPr>
        <w:numPr>
          <w:ilvl w:val="0"/>
          <w:numId w:val="18"/>
        </w:numPr>
        <w:ind w:left="0" w:firstLine="560"/>
        <w:rPr>
          <w:rFonts w:cs="Times New Roman"/>
        </w:rPr>
      </w:pPr>
      <w:r>
        <w:rPr>
          <w:rFonts w:cs="Times New Roman"/>
        </w:rPr>
        <w:t>严格遵守国家的法律法规，执行国家及行业或国际上公认的标准及规范。</w:t>
      </w:r>
    </w:p>
    <w:p w14:paraId="4A4BB20E">
      <w:pPr>
        <w:numPr>
          <w:ilvl w:val="0"/>
          <w:numId w:val="18"/>
        </w:numPr>
        <w:ind w:left="0" w:firstLine="560"/>
        <w:rPr>
          <w:rFonts w:cs="Times New Roman"/>
        </w:rPr>
      </w:pPr>
      <w:r>
        <w:rPr>
          <w:rFonts w:cs="Times New Roman"/>
        </w:rPr>
        <w:t>本着安全可靠、操作平稳、数据准确、科学管理的原则，实现遥测、遥控。</w:t>
      </w:r>
    </w:p>
    <w:p w14:paraId="54FAAF5B">
      <w:pPr>
        <w:numPr>
          <w:ilvl w:val="0"/>
          <w:numId w:val="18"/>
        </w:numPr>
        <w:ind w:left="0" w:firstLine="560"/>
        <w:rPr>
          <w:rFonts w:cs="Times New Roman"/>
        </w:rPr>
      </w:pPr>
      <w:r>
        <w:rPr>
          <w:rFonts w:cs="Times New Roman"/>
        </w:rPr>
        <w:t>采用的设备、系统及材料技术先进、性能价格比高，能满足所处环境和工艺条件，在工业应用中被证明是成熟的产品。</w:t>
      </w:r>
    </w:p>
    <w:p w14:paraId="302621F5">
      <w:pPr>
        <w:numPr>
          <w:ilvl w:val="0"/>
          <w:numId w:val="18"/>
        </w:numPr>
        <w:ind w:left="0" w:firstLine="560"/>
        <w:rPr>
          <w:rFonts w:cs="Times New Roman"/>
        </w:rPr>
      </w:pPr>
      <w:r>
        <w:rPr>
          <w:rFonts w:cs="Times New Roman"/>
        </w:rPr>
        <w:t>采用以计算机为核心的监控及数据采集（简称SCADA）系统，实现燃气管道工程全线的动态管理和自动监控。</w:t>
      </w:r>
    </w:p>
    <w:p w14:paraId="41F17D0F">
      <w:pPr>
        <w:numPr>
          <w:ilvl w:val="0"/>
          <w:numId w:val="18"/>
        </w:numPr>
        <w:ind w:left="0" w:firstLine="560"/>
        <w:rPr>
          <w:rFonts w:cs="Times New Roman"/>
        </w:rPr>
      </w:pPr>
      <w:r>
        <w:rPr>
          <w:rFonts w:cs="Times New Roman"/>
        </w:rPr>
        <w:t>过程控制单元和安全控制单元采用可编程控制器（PLC），为保证系统的可靠性，PLC的处理器、通信模块、电源模块等按热备冗余设计。</w:t>
      </w:r>
    </w:p>
    <w:p w14:paraId="6857861C">
      <w:pPr>
        <w:numPr>
          <w:ilvl w:val="0"/>
          <w:numId w:val="18"/>
        </w:numPr>
        <w:ind w:left="0" w:firstLine="560"/>
        <w:rPr>
          <w:rFonts w:cs="Times New Roman"/>
        </w:rPr>
      </w:pPr>
      <w:r>
        <w:rPr>
          <w:rFonts w:cs="Times New Roman"/>
        </w:rPr>
        <w:t>设置了安全仪表系统（SIS），SIS系统是保证管道及沿线站场安全的逻辑控制系统。</w:t>
      </w:r>
    </w:p>
    <w:p w14:paraId="00C0BBF7">
      <w:pPr>
        <w:numPr>
          <w:ilvl w:val="0"/>
          <w:numId w:val="18"/>
        </w:numPr>
        <w:ind w:left="0" w:firstLine="560"/>
        <w:rPr>
          <w:rFonts w:cs="Times New Roman"/>
        </w:rPr>
      </w:pPr>
      <w:r>
        <w:rPr>
          <w:rFonts w:cs="Times New Roman"/>
        </w:rPr>
        <w:t>对运行的全过程进行实时监测、自动控制，达到有人值守、远程操作的管理水平。</w:t>
      </w:r>
    </w:p>
    <w:p w14:paraId="7CF79365">
      <w:pPr>
        <w:numPr>
          <w:ilvl w:val="0"/>
          <w:numId w:val="18"/>
        </w:numPr>
        <w:ind w:left="0" w:firstLine="560"/>
        <w:rPr>
          <w:rFonts w:cs="Times New Roman"/>
        </w:rPr>
      </w:pPr>
      <w:r>
        <w:rPr>
          <w:rFonts w:cs="Times New Roman"/>
        </w:rPr>
        <w:t>仪表、设备的选型以技术先进、性能稳定、可靠性高、性能价格比高、能够满足所需精度要求、能够满足现场环境及工艺条件要求等为原则，保证燃气管道安全、高效、平稳运行。</w:t>
      </w:r>
    </w:p>
    <w:p w14:paraId="47020771">
      <w:pPr>
        <w:pStyle w:val="5"/>
        <w:rPr>
          <w:color w:val="auto"/>
        </w:rPr>
      </w:pPr>
      <w:bookmarkStart w:id="544" w:name="_Toc113960239"/>
      <w:bookmarkStart w:id="545" w:name="_Toc215210602"/>
      <w:bookmarkStart w:id="546" w:name="_Toc7173"/>
      <w:r>
        <w:rPr>
          <w:color w:val="auto"/>
        </w:rPr>
        <w:t>6.2.</w:t>
      </w:r>
      <w:r>
        <w:rPr>
          <w:rFonts w:hint="eastAsia"/>
          <w:color w:val="auto"/>
        </w:rPr>
        <w:t>4</w:t>
      </w:r>
      <w:r>
        <w:rPr>
          <w:color w:val="auto"/>
        </w:rPr>
        <w:t>安全管理方面的安全对策措施</w:t>
      </w:r>
      <w:bookmarkEnd w:id="544"/>
      <w:bookmarkEnd w:id="545"/>
      <w:bookmarkEnd w:id="546"/>
    </w:p>
    <w:p w14:paraId="33E4498D">
      <w:pPr>
        <w:numPr>
          <w:ilvl w:val="0"/>
          <w:numId w:val="19"/>
        </w:numPr>
        <w:ind w:left="0" w:firstLine="560"/>
        <w:rPr>
          <w:rFonts w:cs="Times New Roman"/>
        </w:rPr>
      </w:pPr>
      <w:r>
        <w:rPr>
          <w:rFonts w:cs="Times New Roman"/>
        </w:rPr>
        <w:t>应严格执行各设备设施的安全操作规定，对生产过程、设备设施、器材、通道、作业环境等存在的隐患，应进行分析和控制。对动火作业、受限空间内作业、临时用电作业、高处作业等危险性较高的作业活动实施作业许可管理，严格履行审批手续。作业许可证应包含危害因素分析和安全措施等内容。</w:t>
      </w:r>
    </w:p>
    <w:p w14:paraId="57E67559">
      <w:pPr>
        <w:numPr>
          <w:ilvl w:val="0"/>
          <w:numId w:val="19"/>
        </w:numPr>
        <w:ind w:left="0" w:firstLine="560"/>
        <w:rPr>
          <w:rFonts w:cs="Times New Roman"/>
        </w:rPr>
      </w:pPr>
      <w:r>
        <w:rPr>
          <w:rFonts w:cs="Times New Roman"/>
        </w:rPr>
        <w:t>应结合新设备制定相应的操作规程、应急处置措施、维护保养方案等，并督促相关从业人员培训、学习，掌握必要的技能知识和应急处置能力。</w:t>
      </w:r>
    </w:p>
    <w:p w14:paraId="3F30A9FA">
      <w:pPr>
        <w:numPr>
          <w:ilvl w:val="0"/>
          <w:numId w:val="19"/>
        </w:numPr>
        <w:ind w:left="0" w:firstLine="560"/>
        <w:rPr>
          <w:rFonts w:cs="Times New Roman"/>
        </w:rPr>
      </w:pPr>
      <w:r>
        <w:rPr>
          <w:rFonts w:cs="Times New Roman"/>
        </w:rPr>
        <w:t>结合拟改造项目实际，制定符合实际要求的智能化控制设备安全管理制度，制定信息安全工作的安全管理制度体系。</w:t>
      </w:r>
    </w:p>
    <w:p w14:paraId="48F5C312">
      <w:pPr>
        <w:numPr>
          <w:ilvl w:val="0"/>
          <w:numId w:val="19"/>
        </w:numPr>
        <w:ind w:left="0" w:firstLine="560"/>
        <w:rPr>
          <w:rFonts w:cs="Times New Roman"/>
        </w:rPr>
      </w:pPr>
      <w:r>
        <w:rPr>
          <w:rFonts w:cs="Times New Roman"/>
        </w:rPr>
        <w:t>加强网络安全建设，通过工业防火墙、网闸等防护设备对工厂网络安全区域之间进行逻辑隔离安全防护。</w:t>
      </w:r>
    </w:p>
    <w:p w14:paraId="17496EEB">
      <w:pPr>
        <w:numPr>
          <w:ilvl w:val="0"/>
          <w:numId w:val="19"/>
        </w:numPr>
        <w:ind w:left="0" w:firstLine="560"/>
        <w:rPr>
          <w:rFonts w:cs="Times New Roman"/>
        </w:rPr>
      </w:pPr>
      <w:r>
        <w:rPr>
          <w:rFonts w:cs="Times New Roman"/>
        </w:rPr>
        <w:t>结合</w:t>
      </w:r>
      <w:r>
        <w:rPr>
          <w:rFonts w:hint="eastAsia" w:cs="Times New Roman"/>
        </w:rPr>
        <w:t>低碳增效</w:t>
      </w:r>
      <w:r>
        <w:rPr>
          <w:rFonts w:cs="Times New Roman"/>
        </w:rPr>
        <w:t>装备改造，制定相应的应急预案，当遭受到安全威胁导致车间出现异常或故障时，应立即采取紧急防护措施。</w:t>
      </w:r>
    </w:p>
    <w:p w14:paraId="7730FDFE">
      <w:pPr>
        <w:numPr>
          <w:ilvl w:val="0"/>
          <w:numId w:val="19"/>
        </w:numPr>
        <w:ind w:left="0" w:firstLine="560"/>
        <w:rPr>
          <w:rFonts w:cs="Times New Roman"/>
        </w:rPr>
      </w:pPr>
      <w:r>
        <w:rPr>
          <w:rFonts w:cs="Times New Roman"/>
        </w:rPr>
        <w:t>落实员工的安全技术培训、岗位技能培训、新工人（含临时工）的“三级安全教育”，保证员工具备必要的安全生产知识，熟悉有关的安全生产规章制度和安全操作规程，掌握本岗位的安全操作技能。</w:t>
      </w:r>
    </w:p>
    <w:p w14:paraId="2D8CE433">
      <w:pPr>
        <w:numPr>
          <w:ilvl w:val="0"/>
          <w:numId w:val="19"/>
        </w:numPr>
        <w:ind w:left="0" w:firstLine="560"/>
        <w:rPr>
          <w:rFonts w:cs="Times New Roman"/>
        </w:rPr>
      </w:pPr>
      <w:r>
        <w:rPr>
          <w:rFonts w:hint="eastAsia" w:cs="Times New Roman"/>
        </w:rPr>
        <w:t>在下一步</w:t>
      </w:r>
      <w:r>
        <w:rPr>
          <w:rFonts w:cs="Times New Roman"/>
        </w:rPr>
        <w:t>安全设施设计时，应根据</w:t>
      </w:r>
      <w:r>
        <w:rPr>
          <w:rFonts w:hint="eastAsia" w:cs="Times New Roman"/>
        </w:rPr>
        <w:t>《企业</w:t>
      </w:r>
      <w:r>
        <w:rPr>
          <w:rFonts w:cs="Times New Roman"/>
        </w:rPr>
        <w:t>安全生产</w:t>
      </w:r>
      <w:r>
        <w:rPr>
          <w:rFonts w:hint="eastAsia" w:cs="Times New Roman"/>
        </w:rPr>
        <w:t>费用提取</w:t>
      </w:r>
      <w:r>
        <w:rPr>
          <w:rFonts w:cs="Times New Roman"/>
        </w:rPr>
        <w:t>和</w:t>
      </w:r>
      <w:r>
        <w:rPr>
          <w:rFonts w:hint="eastAsia" w:cs="Times New Roman"/>
        </w:rPr>
        <w:t>使用</w:t>
      </w:r>
      <w:r>
        <w:rPr>
          <w:rFonts w:cs="Times New Roman"/>
        </w:rPr>
        <w:t>管理办法</w:t>
      </w:r>
      <w:r>
        <w:rPr>
          <w:rFonts w:hint="eastAsia" w:cs="Times New Roman"/>
        </w:rPr>
        <w:t>》（财资〔</w:t>
      </w:r>
      <w:r>
        <w:rPr>
          <w:rFonts w:cs="Times New Roman"/>
        </w:rPr>
        <w:t>2022〕136号</w:t>
      </w:r>
      <w:r>
        <w:rPr>
          <w:rFonts w:hint="eastAsia" w:cs="Times New Roman"/>
        </w:rPr>
        <w:t>）等</w:t>
      </w:r>
      <w:r>
        <w:rPr>
          <w:rFonts w:cs="Times New Roman"/>
        </w:rPr>
        <w:t>的相关要求，明确安全设施投资费用和安全资金投入预算</w:t>
      </w:r>
      <w:r>
        <w:rPr>
          <w:rFonts w:hint="eastAsia" w:cs="Times New Roman"/>
        </w:rPr>
        <w:t>等内容</w:t>
      </w:r>
      <w:r>
        <w:rPr>
          <w:rFonts w:cs="Times New Roman"/>
        </w:rPr>
        <w:t>。</w:t>
      </w:r>
    </w:p>
    <w:p w14:paraId="111B33CC">
      <w:pPr>
        <w:pStyle w:val="5"/>
        <w:rPr>
          <w:color w:val="auto"/>
        </w:rPr>
      </w:pPr>
      <w:bookmarkStart w:id="547" w:name="_Toc113960240"/>
      <w:bookmarkStart w:id="548" w:name="_Toc26563"/>
      <w:bookmarkStart w:id="549" w:name="_Toc215210603"/>
      <w:r>
        <w:rPr>
          <w:rFonts w:hint="eastAsia"/>
          <w:color w:val="auto"/>
        </w:rPr>
        <w:t>6.2.5</w:t>
      </w:r>
      <w:r>
        <w:rPr>
          <w:color w:val="auto"/>
        </w:rPr>
        <w:t>施工期的安全对策措施建议</w:t>
      </w:r>
      <w:bookmarkEnd w:id="547"/>
      <w:bookmarkEnd w:id="548"/>
      <w:bookmarkEnd w:id="549"/>
    </w:p>
    <w:p w14:paraId="5B9EE695">
      <w:pPr>
        <w:numPr>
          <w:ilvl w:val="0"/>
          <w:numId w:val="20"/>
        </w:numPr>
        <w:ind w:left="0" w:firstLine="560"/>
        <w:rPr>
          <w:rFonts w:cs="Times New Roman"/>
        </w:rPr>
      </w:pPr>
      <w:r>
        <w:rPr>
          <w:rFonts w:cs="Times New Roman"/>
        </w:rPr>
        <w:t>在工程建设期间，安全设施必须与主体工程同时设计、同时施工、同时投入生产和使用</w:t>
      </w:r>
      <w:r>
        <w:rPr>
          <w:rFonts w:hint="eastAsia" w:cs="Times New Roman"/>
        </w:rPr>
        <w:t>“</w:t>
      </w:r>
      <w:r>
        <w:rPr>
          <w:rFonts w:cs="Times New Roman"/>
        </w:rPr>
        <w:t>三同时</w:t>
      </w:r>
      <w:r>
        <w:rPr>
          <w:rFonts w:hint="eastAsia" w:cs="Times New Roman"/>
        </w:rPr>
        <w:t>”</w:t>
      </w:r>
      <w:r>
        <w:rPr>
          <w:rFonts w:cs="Times New Roman"/>
        </w:rPr>
        <w:t>的安全规定。</w:t>
      </w:r>
    </w:p>
    <w:p w14:paraId="7A00DB49">
      <w:pPr>
        <w:numPr>
          <w:ilvl w:val="0"/>
          <w:numId w:val="20"/>
        </w:numPr>
        <w:ind w:left="0" w:firstLine="560"/>
        <w:rPr>
          <w:rFonts w:cs="Times New Roman"/>
        </w:rPr>
      </w:pPr>
      <w:r>
        <w:rPr>
          <w:rFonts w:cs="Times New Roman"/>
        </w:rPr>
        <w:t>建设单位与施工单位应签订施工期间安全生产责任书。</w:t>
      </w:r>
    </w:p>
    <w:p w14:paraId="0DE974B6">
      <w:pPr>
        <w:numPr>
          <w:ilvl w:val="0"/>
          <w:numId w:val="20"/>
        </w:numPr>
        <w:ind w:left="0" w:firstLine="560"/>
        <w:rPr>
          <w:rFonts w:cs="Times New Roman"/>
        </w:rPr>
      </w:pPr>
      <w:r>
        <w:rPr>
          <w:rFonts w:cs="Times New Roman"/>
        </w:rPr>
        <w:t>建设单位应认真学习，严格贯彻执行《建设工程安全生产管理条例》，并对设计单位、施工单位、监理单位加强安全生产管理，按有关规定进行审查，明确安全生产责任，制定相应的施工安全管理方案，责成施工单位制定应急预案。</w:t>
      </w:r>
    </w:p>
    <w:p w14:paraId="502F20E4">
      <w:pPr>
        <w:numPr>
          <w:ilvl w:val="0"/>
          <w:numId w:val="20"/>
        </w:numPr>
        <w:ind w:left="0" w:firstLine="560"/>
        <w:rPr>
          <w:rFonts w:cs="Times New Roman"/>
        </w:rPr>
      </w:pPr>
      <w:r>
        <w:rPr>
          <w:rFonts w:cs="Times New Roman"/>
        </w:rPr>
        <w:t>施工期主要的危险、有害因素有高处坠落、起重伤害、车辆伤害、物体打击、机械伤害、坍塌、灼烫、触电、中毒和窒息、火灾、爆炸和粉尘、噪声等危害因素，施工单位应制定施工方案，采取预防措施，应重点预防火灾爆炸、</w:t>
      </w:r>
      <w:r>
        <w:rPr>
          <w:rFonts w:hint="eastAsia" w:cs="Times New Roman"/>
        </w:rPr>
        <w:t>灼烫</w:t>
      </w:r>
      <w:r>
        <w:rPr>
          <w:rFonts w:cs="Times New Roman"/>
        </w:rPr>
        <w:t>事故的发生。</w:t>
      </w:r>
    </w:p>
    <w:p w14:paraId="3B0D9C33">
      <w:pPr>
        <w:numPr>
          <w:ilvl w:val="0"/>
          <w:numId w:val="20"/>
        </w:numPr>
        <w:ind w:left="0" w:firstLine="560"/>
        <w:rPr>
          <w:rFonts w:cs="Times New Roman"/>
        </w:rPr>
      </w:pPr>
      <w:r>
        <w:rPr>
          <w:rFonts w:cs="Times New Roman"/>
        </w:rPr>
        <w:t>项目的施工、设备安装单位必须具相应的施工、安装资质。</w:t>
      </w:r>
    </w:p>
    <w:p w14:paraId="142E3469">
      <w:pPr>
        <w:numPr>
          <w:ilvl w:val="0"/>
          <w:numId w:val="20"/>
        </w:numPr>
        <w:ind w:left="0" w:firstLine="560"/>
        <w:rPr>
          <w:rFonts w:cs="Times New Roman"/>
        </w:rPr>
      </w:pPr>
      <w:r>
        <w:rPr>
          <w:rFonts w:cs="Times New Roman"/>
        </w:rPr>
        <w:t>在施工过程中施工人员必须严格遵守三大纪律：进现场戴好安全帽、上高空系好安全带、严禁高空落物；严禁酒后进入施工现场。</w:t>
      </w:r>
    </w:p>
    <w:p w14:paraId="4B9D587D">
      <w:pPr>
        <w:numPr>
          <w:ilvl w:val="0"/>
          <w:numId w:val="20"/>
        </w:numPr>
        <w:ind w:left="0" w:firstLine="560"/>
        <w:rPr>
          <w:rFonts w:cs="Times New Roman"/>
        </w:rPr>
      </w:pPr>
      <w:r>
        <w:rPr>
          <w:rFonts w:cs="Times New Roman"/>
        </w:rPr>
        <w:t>特种作业人员（包括起重工、电焊工、电工等）必须持证上岗。</w:t>
      </w:r>
    </w:p>
    <w:p w14:paraId="6E58A406">
      <w:pPr>
        <w:numPr>
          <w:ilvl w:val="0"/>
          <w:numId w:val="20"/>
        </w:numPr>
        <w:ind w:left="0" w:firstLine="560"/>
        <w:rPr>
          <w:rFonts w:cs="Times New Roman"/>
        </w:rPr>
      </w:pPr>
      <w:r>
        <w:rPr>
          <w:rFonts w:cs="Times New Roman"/>
        </w:rPr>
        <w:t>施工过程必须选用质量合格的施工机械（具）。</w:t>
      </w:r>
    </w:p>
    <w:p w14:paraId="59997A9B">
      <w:pPr>
        <w:numPr>
          <w:ilvl w:val="0"/>
          <w:numId w:val="20"/>
        </w:numPr>
        <w:ind w:left="0" w:firstLine="560"/>
        <w:rPr>
          <w:rFonts w:cs="Times New Roman"/>
        </w:rPr>
      </w:pPr>
      <w:r>
        <w:rPr>
          <w:rFonts w:cs="Times New Roman"/>
        </w:rPr>
        <w:t>施工场所应符合施工现场的一般规定：</w:t>
      </w:r>
    </w:p>
    <w:p w14:paraId="70017308">
      <w:pPr>
        <w:numPr>
          <w:ilvl w:val="0"/>
          <w:numId w:val="20"/>
        </w:numPr>
        <w:ind w:left="0" w:firstLine="560"/>
        <w:rPr>
          <w:rFonts w:cs="Times New Roman"/>
        </w:rPr>
      </w:pPr>
      <w:r>
        <w:rPr>
          <w:rFonts w:cs="Times New Roman"/>
        </w:rPr>
        <w:t>施工总平面布置应符合国家防火、工业卫生等有关规定；</w:t>
      </w:r>
    </w:p>
    <w:p w14:paraId="02A6FB3D">
      <w:pPr>
        <w:numPr>
          <w:ilvl w:val="0"/>
          <w:numId w:val="20"/>
        </w:numPr>
        <w:ind w:left="0" w:firstLine="560"/>
        <w:rPr>
          <w:rFonts w:cs="Times New Roman"/>
        </w:rPr>
      </w:pPr>
      <w:r>
        <w:rPr>
          <w:rFonts w:cs="Times New Roman"/>
        </w:rPr>
        <w:t>施工现场排水设施应全面规划，以保证施工期场地排水需要；</w:t>
      </w:r>
    </w:p>
    <w:p w14:paraId="5B00F40D">
      <w:pPr>
        <w:numPr>
          <w:ilvl w:val="0"/>
          <w:numId w:val="20"/>
        </w:numPr>
        <w:ind w:left="0" w:firstLine="560"/>
        <w:rPr>
          <w:rFonts w:cs="Times New Roman"/>
        </w:rPr>
      </w:pPr>
      <w:r>
        <w:rPr>
          <w:rFonts w:cs="Times New Roman"/>
        </w:rPr>
        <w:t>施工场所应做到整洁、规整。垃圾，废料应及时清除。</w:t>
      </w:r>
    </w:p>
    <w:p w14:paraId="4E9F8CF6">
      <w:pPr>
        <w:numPr>
          <w:ilvl w:val="0"/>
          <w:numId w:val="20"/>
        </w:numPr>
        <w:ind w:left="0" w:firstLine="560"/>
        <w:rPr>
          <w:rFonts w:cs="Times New Roman"/>
        </w:rPr>
      </w:pPr>
      <w:r>
        <w:rPr>
          <w:rFonts w:cs="Times New Roman"/>
        </w:rPr>
        <w:t>施工现场的道路应坚实、平坦，双车道宽度不得小于6m，单车道宽度不得小于3.5m，载重汽车的弯道半径一般不得小于15m。</w:t>
      </w:r>
    </w:p>
    <w:p w14:paraId="59EF9BF9">
      <w:pPr>
        <w:numPr>
          <w:ilvl w:val="0"/>
          <w:numId w:val="20"/>
        </w:numPr>
        <w:ind w:left="0" w:firstLine="560"/>
        <w:rPr>
          <w:rFonts w:cs="Times New Roman"/>
        </w:rPr>
      </w:pPr>
      <w:r>
        <w:rPr>
          <w:rFonts w:cs="Times New Roman"/>
        </w:rPr>
        <w:t>施工期用电应符合施工用电的一般规定：</w:t>
      </w:r>
    </w:p>
    <w:p w14:paraId="583F7ACB">
      <w:pPr>
        <w:numPr>
          <w:ilvl w:val="0"/>
          <w:numId w:val="20"/>
        </w:numPr>
        <w:ind w:left="0" w:firstLine="560"/>
        <w:rPr>
          <w:rFonts w:cs="Times New Roman"/>
        </w:rPr>
      </w:pPr>
      <w:r>
        <w:rPr>
          <w:rFonts w:cs="Times New Roman"/>
        </w:rPr>
        <w:t>施工用电的布设应按己批准的施工组织设计进行，并符合云峰分公司的有关规定，不得任意接线、施工用电设施竣工后应该经过验收合格后方可投入使用；</w:t>
      </w:r>
    </w:p>
    <w:p w14:paraId="1656A7B3">
      <w:pPr>
        <w:numPr>
          <w:ilvl w:val="0"/>
          <w:numId w:val="20"/>
        </w:numPr>
        <w:ind w:left="0" w:firstLine="560"/>
        <w:rPr>
          <w:rFonts w:cs="Times New Roman"/>
        </w:rPr>
      </w:pPr>
      <w:r>
        <w:rPr>
          <w:rFonts w:cs="Times New Roman"/>
        </w:rPr>
        <w:t>施工用电应明确管理机构，并由专业班组负责运行及维护；严禁非电工拆装施工用电设施；</w:t>
      </w:r>
    </w:p>
    <w:p w14:paraId="156C2B5D">
      <w:pPr>
        <w:numPr>
          <w:ilvl w:val="0"/>
          <w:numId w:val="20"/>
        </w:numPr>
        <w:ind w:left="0" w:firstLine="560"/>
        <w:rPr>
          <w:rFonts w:cs="Times New Roman"/>
        </w:rPr>
      </w:pPr>
      <w:r>
        <w:rPr>
          <w:rFonts w:cs="Times New Roman"/>
        </w:rPr>
        <w:t>施工用电设施投入使用前，应制定运行、维护、使用、检修等管理制度。</w:t>
      </w:r>
    </w:p>
    <w:p w14:paraId="71C83E23">
      <w:pPr>
        <w:numPr>
          <w:ilvl w:val="0"/>
          <w:numId w:val="20"/>
        </w:numPr>
        <w:ind w:left="0" w:firstLine="560"/>
        <w:rPr>
          <w:rFonts w:cs="Times New Roman"/>
        </w:rPr>
      </w:pPr>
      <w:r>
        <w:rPr>
          <w:rFonts w:cs="Times New Roman"/>
        </w:rPr>
        <w:t>高处作业人员应进行体格检查，体检合格者方可从事高处作业；高处作业平台、走道、斜道等距基准面高度小于</w:t>
      </w:r>
      <w:r>
        <w:rPr>
          <w:rFonts w:hint="eastAsia" w:cs="Times New Roman"/>
        </w:rPr>
        <w:t>2</w:t>
      </w:r>
      <w:r>
        <w:rPr>
          <w:rFonts w:cs="Times New Roman"/>
        </w:rPr>
        <w:t>m时，应装设</w:t>
      </w:r>
      <w:r>
        <w:rPr>
          <w:rFonts w:hint="eastAsia" w:cs="Times New Roman"/>
        </w:rPr>
        <w:t>0</w:t>
      </w:r>
      <w:r>
        <w:rPr>
          <w:rFonts w:cs="Times New Roman"/>
        </w:rPr>
        <w:t>.9m高的防护栏杆，距基准面高度大于等于</w:t>
      </w:r>
      <w:r>
        <w:rPr>
          <w:rFonts w:hint="eastAsia" w:cs="Times New Roman"/>
        </w:rPr>
        <w:t>2</w:t>
      </w:r>
      <w:r>
        <w:rPr>
          <w:rFonts w:cs="Times New Roman"/>
        </w:rPr>
        <w:t>m并小于</w:t>
      </w:r>
      <w:r>
        <w:rPr>
          <w:rFonts w:hint="eastAsia" w:cs="Times New Roman"/>
        </w:rPr>
        <w:t>2</w:t>
      </w:r>
      <w:r>
        <w:rPr>
          <w:rFonts w:cs="Times New Roman"/>
        </w:rPr>
        <w:t>0m时，应装设1.05m高的防护栏杆，距基准面高度大于等于</w:t>
      </w:r>
      <w:r>
        <w:rPr>
          <w:rFonts w:hint="eastAsia" w:cs="Times New Roman"/>
        </w:rPr>
        <w:t>2</w:t>
      </w:r>
      <w:r>
        <w:rPr>
          <w:rFonts w:cs="Times New Roman"/>
        </w:rPr>
        <w:t>0m时，应装设</w:t>
      </w:r>
      <w:r>
        <w:rPr>
          <w:rFonts w:hint="eastAsia" w:cs="Times New Roman"/>
        </w:rPr>
        <w:t>1</w:t>
      </w:r>
      <w:r>
        <w:rPr>
          <w:rFonts w:cs="Times New Roman"/>
        </w:rPr>
        <w:t>.2m高的防护栏杆；同时应在平台地面高度之上应设置18cm高的挡脚板或设防护立网；高处作业使用的脚手架，梯子及安全防护网应符合规定，在恶劣天气时应停止室外高处作业，高处作业必须系好安全带，安全带应规范固定。</w:t>
      </w:r>
    </w:p>
    <w:p w14:paraId="2A04BD20">
      <w:pPr>
        <w:numPr>
          <w:ilvl w:val="0"/>
          <w:numId w:val="20"/>
        </w:numPr>
        <w:ind w:left="0" w:firstLine="560"/>
        <w:rPr>
          <w:rFonts w:cs="Times New Roman"/>
        </w:rPr>
      </w:pPr>
      <w:r>
        <w:rPr>
          <w:rFonts w:cs="Times New Roman"/>
        </w:rPr>
        <w:t>各种机械设备应定期进行检查，发现问题及时解决，机械设备在使用时严格遵照操作规程操作，尽量减少误操作以防止机械伤害的发生。另外，各种机械设备的安全防护装置应做到灵敏有效。</w:t>
      </w:r>
    </w:p>
    <w:p w14:paraId="12D84A92">
      <w:pPr>
        <w:numPr>
          <w:ilvl w:val="0"/>
          <w:numId w:val="20"/>
        </w:numPr>
        <w:ind w:left="0" w:firstLine="560"/>
        <w:rPr>
          <w:rFonts w:cs="Times New Roman"/>
        </w:rPr>
      </w:pPr>
      <w:r>
        <w:rPr>
          <w:rFonts w:cs="Times New Roman"/>
        </w:rPr>
        <w:t>做好现场的防火工作，配备必要的消防器材，如干粉灭火器、二氧化碳灭火器等，保证施工现场消防通道畅通无阻。</w:t>
      </w:r>
    </w:p>
    <w:p w14:paraId="0EB183A1">
      <w:pPr>
        <w:numPr>
          <w:ilvl w:val="0"/>
          <w:numId w:val="20"/>
        </w:numPr>
        <w:ind w:left="0" w:firstLine="560"/>
        <w:rPr>
          <w:rFonts w:cs="Times New Roman"/>
        </w:rPr>
      </w:pPr>
      <w:r>
        <w:rPr>
          <w:rFonts w:cs="Times New Roman"/>
        </w:rPr>
        <w:t>施工过程中所有孔、洞、井、池等均应加盖或设防护栏杆。</w:t>
      </w:r>
    </w:p>
    <w:p w14:paraId="0397F602">
      <w:pPr>
        <w:numPr>
          <w:ilvl w:val="0"/>
          <w:numId w:val="20"/>
        </w:numPr>
        <w:ind w:left="0" w:firstLine="560"/>
        <w:rPr>
          <w:rFonts w:cs="Times New Roman"/>
        </w:rPr>
      </w:pPr>
      <w:r>
        <w:rPr>
          <w:rFonts w:cs="Times New Roman"/>
        </w:rPr>
        <w:t>在有害场所进行施工作业时，应做好个体防护，对在有害场所工作的施工人员定期进行体检。</w:t>
      </w:r>
    </w:p>
    <w:p w14:paraId="5DD11DEE">
      <w:pPr>
        <w:pStyle w:val="3"/>
        <w:spacing w:before="0" w:after="240" w:afterLines="100" w:line="800" w:lineRule="exact"/>
        <w:ind w:firstLine="883"/>
        <w:rPr>
          <w:color w:val="auto"/>
          <w:kern w:val="0"/>
        </w:rPr>
      </w:pPr>
      <w:bookmarkStart w:id="550" w:name="_Toc449443508"/>
      <w:bookmarkStart w:id="551" w:name="_Toc451549831"/>
      <w:bookmarkStart w:id="552" w:name="_Toc449389141"/>
      <w:bookmarkStart w:id="553" w:name="_Toc448780643"/>
      <w:bookmarkStart w:id="554" w:name="_Toc451550029"/>
      <w:bookmarkStart w:id="555" w:name="_Toc463820899"/>
      <w:bookmarkStart w:id="556" w:name="_Toc449442711"/>
      <w:bookmarkStart w:id="557" w:name="_Toc448781025"/>
      <w:r>
        <w:rPr>
          <w:color w:val="auto"/>
          <w:kern w:val="0"/>
        </w:rPr>
        <w:br w:type="page"/>
      </w:r>
      <w:bookmarkEnd w:id="550"/>
      <w:bookmarkEnd w:id="551"/>
      <w:bookmarkEnd w:id="552"/>
      <w:bookmarkEnd w:id="553"/>
      <w:bookmarkEnd w:id="554"/>
      <w:bookmarkEnd w:id="555"/>
      <w:bookmarkEnd w:id="556"/>
      <w:bookmarkEnd w:id="557"/>
      <w:bookmarkStart w:id="558" w:name="_Toc449442721"/>
      <w:bookmarkStart w:id="559" w:name="_Toc160982131"/>
      <w:bookmarkStart w:id="560" w:name="_Toc451550039"/>
      <w:bookmarkStart w:id="561" w:name="_Toc448781035"/>
      <w:bookmarkStart w:id="562" w:name="_Toc160982595"/>
      <w:bookmarkStart w:id="563" w:name="_Toc463820906"/>
      <w:bookmarkStart w:id="564" w:name="_Toc449443518"/>
      <w:bookmarkStart w:id="565" w:name="_Toc448780653"/>
      <w:bookmarkStart w:id="566" w:name="_Toc160982244"/>
      <w:bookmarkStart w:id="567" w:name="_Toc449389151"/>
      <w:bookmarkStart w:id="568" w:name="_Toc160982476"/>
      <w:bookmarkStart w:id="569" w:name="_Toc451549841"/>
      <w:bookmarkStart w:id="570" w:name="_Toc9852774"/>
      <w:bookmarkStart w:id="571" w:name="_Toc215210604"/>
      <w:r>
        <w:rPr>
          <w:color w:val="auto"/>
          <w:kern w:val="0"/>
        </w:rPr>
        <w:t>第</w:t>
      </w:r>
      <w:r>
        <w:rPr>
          <w:rFonts w:hint="eastAsia"/>
          <w:color w:val="auto"/>
          <w:kern w:val="0"/>
        </w:rPr>
        <w:t>7</w:t>
      </w:r>
      <w:r>
        <w:rPr>
          <w:color w:val="auto"/>
          <w:kern w:val="0"/>
        </w:rPr>
        <w:t>章</w:t>
      </w:r>
      <w:bookmarkEnd w:id="558"/>
      <w:bookmarkEnd w:id="559"/>
      <w:bookmarkEnd w:id="560"/>
      <w:bookmarkEnd w:id="561"/>
      <w:bookmarkEnd w:id="562"/>
      <w:bookmarkEnd w:id="563"/>
      <w:bookmarkEnd w:id="564"/>
      <w:bookmarkEnd w:id="565"/>
      <w:bookmarkEnd w:id="566"/>
      <w:bookmarkEnd w:id="567"/>
      <w:bookmarkEnd w:id="568"/>
      <w:bookmarkEnd w:id="569"/>
      <w:bookmarkEnd w:id="570"/>
      <w:r>
        <w:rPr>
          <w:rFonts w:hint="eastAsia"/>
          <w:color w:val="auto"/>
          <w:kern w:val="0"/>
        </w:rPr>
        <w:t xml:space="preserve"> 建设项目所达到的安全水平及综合分析结论</w:t>
      </w:r>
      <w:bookmarkEnd w:id="571"/>
    </w:p>
    <w:p w14:paraId="3A7627C0">
      <w:pPr>
        <w:pStyle w:val="5"/>
        <w:rPr>
          <w:color w:val="auto"/>
        </w:rPr>
      </w:pPr>
      <w:bookmarkStart w:id="572" w:name="_Toc215210605"/>
      <w:bookmarkStart w:id="573" w:name="_Toc20496"/>
      <w:r>
        <w:rPr>
          <w:rFonts w:hint="eastAsia"/>
          <w:color w:val="auto"/>
        </w:rPr>
        <w:t>7.1 安全条件和与周边的安全防护距离</w:t>
      </w:r>
      <w:bookmarkEnd w:id="572"/>
      <w:bookmarkEnd w:id="573"/>
    </w:p>
    <w:p w14:paraId="61DFC6FE">
      <w:pPr>
        <w:pStyle w:val="529"/>
        <w:ind w:firstLine="560"/>
        <w:rPr>
          <w:rFonts w:hint="eastAsia" w:ascii="宋体" w:hAnsi="宋体" w:cs="宋体"/>
          <w:b/>
          <w:bCs/>
          <w:szCs w:val="28"/>
        </w:rPr>
      </w:pPr>
      <w:r>
        <w:rPr>
          <w:rFonts w:hint="eastAsia" w:ascii="宋体" w:hAnsi="宋体" w:cs="宋体"/>
        </w:rPr>
        <w:t>本项目不改变现有总平面布置，在现有设备设施基础上进行信息化改造，厂内道路布置合理，连接方便、短捷，满足生产、运输、安装、检修、消防安全的要求。厂址及总平面布置符合</w:t>
      </w:r>
      <w:r>
        <w:rPr>
          <w:rFonts w:hint="eastAsia" w:ascii="宋体" w:hAnsi="宋体" w:cs="宋体"/>
          <w:szCs w:val="21"/>
        </w:rPr>
        <w:t>《工业企业总平面设计规范》GB50187、《建筑设计防火规范》</w:t>
      </w:r>
      <w:r>
        <w:rPr>
          <w:rFonts w:hint="eastAsia" w:ascii="宋体" w:hAnsi="宋体" w:cs="宋体"/>
          <w:szCs w:val="21"/>
          <w:lang w:val="en-US"/>
        </w:rPr>
        <w:t>GB50016的规定。</w:t>
      </w:r>
    </w:p>
    <w:p w14:paraId="60E1DABC">
      <w:pPr>
        <w:pStyle w:val="5"/>
        <w:rPr>
          <w:color w:val="auto"/>
        </w:rPr>
      </w:pPr>
      <w:bookmarkStart w:id="574" w:name="_Toc215210606"/>
      <w:bookmarkStart w:id="575" w:name="_Toc6732"/>
      <w:r>
        <w:rPr>
          <w:rFonts w:hint="eastAsia"/>
          <w:color w:val="auto"/>
        </w:rPr>
        <w:t>7.2 工艺系统及设施</w:t>
      </w:r>
      <w:bookmarkEnd w:id="574"/>
      <w:bookmarkEnd w:id="575"/>
    </w:p>
    <w:p w14:paraId="53913DAE">
      <w:pPr>
        <w:pStyle w:val="529"/>
        <w:ind w:firstLine="560"/>
        <w:rPr>
          <w:rFonts w:hint="eastAsia" w:ascii="宋体" w:hAnsi="宋体" w:cs="宋体"/>
          <w:szCs w:val="28"/>
          <w:lang w:val="en-US"/>
        </w:rPr>
      </w:pPr>
      <w:r>
        <w:rPr>
          <w:rFonts w:hint="eastAsia" w:ascii="宋体" w:hAnsi="宋体" w:cs="宋体"/>
        </w:rPr>
        <w:t>建设项目采取的是国内成熟技术，符合国家产业政策；项目的系统设计、设备选用、材质选择等符合安全要求。</w:t>
      </w:r>
    </w:p>
    <w:p w14:paraId="48C6DB4A">
      <w:pPr>
        <w:pStyle w:val="5"/>
        <w:rPr>
          <w:color w:val="auto"/>
        </w:rPr>
      </w:pPr>
      <w:bookmarkStart w:id="576" w:name="_Toc1847"/>
      <w:bookmarkStart w:id="577" w:name="_Toc215210607"/>
      <w:r>
        <w:rPr>
          <w:rFonts w:hint="eastAsia"/>
          <w:color w:val="auto"/>
        </w:rPr>
        <w:t>7.2 建设项目采用的安全设施水平</w:t>
      </w:r>
      <w:bookmarkEnd w:id="576"/>
      <w:bookmarkEnd w:id="577"/>
    </w:p>
    <w:p w14:paraId="0FD77995">
      <w:pPr>
        <w:pStyle w:val="529"/>
        <w:ind w:firstLine="560"/>
        <w:rPr>
          <w:rFonts w:hint="eastAsia" w:ascii="宋体" w:hAnsi="宋体" w:cs="宋体"/>
          <w:szCs w:val="28"/>
        </w:rPr>
      </w:pPr>
      <w:r>
        <w:rPr>
          <w:rFonts w:hint="eastAsia" w:ascii="宋体" w:hAnsi="宋体" w:cs="宋体"/>
          <w:szCs w:val="28"/>
        </w:rPr>
        <w:t>本报告针对项目建议书阶段未明确的补充完善了相应的</w:t>
      </w:r>
      <w:r>
        <w:rPr>
          <w:rFonts w:hint="eastAsia" w:ascii="宋体" w:hAnsi="宋体" w:cs="宋体"/>
        </w:rPr>
        <w:t>安全防范措施；符合相关法律法规的要求；</w:t>
      </w:r>
      <w:r>
        <w:rPr>
          <w:rFonts w:hint="eastAsia" w:ascii="宋体" w:hAnsi="宋体" w:cs="宋体"/>
          <w:szCs w:val="28"/>
        </w:rPr>
        <w:t>与国内同类建设项目相比，安全设施水平相当，符合安全要求。</w:t>
      </w:r>
    </w:p>
    <w:p w14:paraId="585FF87C">
      <w:pPr>
        <w:pStyle w:val="5"/>
        <w:rPr>
          <w:color w:val="auto"/>
        </w:rPr>
      </w:pPr>
      <w:bookmarkStart w:id="578" w:name="_Toc215210608"/>
      <w:bookmarkStart w:id="579" w:name="_Toc10589"/>
      <w:r>
        <w:rPr>
          <w:rFonts w:hint="eastAsia"/>
          <w:color w:val="auto"/>
        </w:rPr>
        <w:t>7.5 综合分析结论</w:t>
      </w:r>
      <w:bookmarkEnd w:id="578"/>
      <w:bookmarkEnd w:id="579"/>
    </w:p>
    <w:p w14:paraId="74CC7F17">
      <w:pPr>
        <w:pStyle w:val="529"/>
        <w:ind w:firstLine="560"/>
        <w:rPr>
          <w:rFonts w:hint="eastAsia" w:ascii="宋体" w:hAnsi="宋体" w:cs="宋体"/>
          <w:b/>
          <w:bCs/>
          <w:lang w:val="en-US"/>
        </w:rPr>
      </w:pPr>
      <w:r>
        <w:rPr>
          <w:rFonts w:hint="eastAsia" w:ascii="宋体" w:hAnsi="宋体" w:cs="宋体"/>
          <w:lang w:val="en-US"/>
        </w:rPr>
        <w:t>项目建议书提出的方案基本符合国家有关法律、法规的要求，项目技术方案是切实可行的，在严格落实项目本报告提出的安全对策与建议后，</w:t>
      </w:r>
      <w:r>
        <w:rPr>
          <w:rFonts w:hint="eastAsia"/>
          <w:b/>
          <w:bCs/>
          <w:szCs w:val="28"/>
        </w:rPr>
        <w:t>云南杉杉新材料有限公司</w:t>
      </w:r>
      <w:r>
        <w:rPr>
          <w:rFonts w:hint="eastAsia"/>
          <w:b/>
          <w:bCs/>
          <w:szCs w:val="28"/>
          <w:lang w:val="en-US"/>
        </w:rPr>
        <w:t>数字化转型专项建设项目</w:t>
      </w:r>
      <w:r>
        <w:rPr>
          <w:rStyle w:val="719"/>
          <w:rFonts w:hint="eastAsia" w:hAnsi="宋体" w:eastAsia="宋体"/>
          <w:b w:val="0"/>
          <w:bCs w:val="0"/>
        </w:rPr>
        <w:t>装置设施符合国家有关法律、法规和标准、规范的要求，在安全上是可行的。</w:t>
      </w:r>
    </w:p>
    <w:p w14:paraId="354054DA">
      <w:pPr>
        <w:ind w:firstLine="560"/>
        <w:rPr>
          <w:rFonts w:cs="Times New Roman"/>
        </w:rPr>
      </w:pPr>
    </w:p>
    <w:p w14:paraId="0003EDEA">
      <w:pPr>
        <w:pStyle w:val="3"/>
        <w:spacing w:before="0" w:after="240" w:afterLines="100" w:line="800" w:lineRule="exact"/>
        <w:ind w:firstLine="562"/>
        <w:rPr>
          <w:color w:val="auto"/>
          <w:kern w:val="0"/>
        </w:rPr>
      </w:pPr>
      <w:r>
        <w:rPr>
          <w:color w:val="auto"/>
          <w:sz w:val="28"/>
          <w:szCs w:val="28"/>
        </w:rPr>
        <w:br w:type="page"/>
      </w:r>
      <w:bookmarkStart w:id="580" w:name="_Toc160982481"/>
      <w:bookmarkStart w:id="581" w:name="_Toc160982600"/>
      <w:bookmarkStart w:id="582" w:name="_Toc160982136"/>
      <w:bookmarkStart w:id="583" w:name="_Toc160982249"/>
      <w:bookmarkStart w:id="584" w:name="_Toc215210609"/>
      <w:r>
        <w:rPr>
          <w:color w:val="auto"/>
          <w:kern w:val="0"/>
        </w:rPr>
        <w:t>附件</w:t>
      </w:r>
      <w:bookmarkEnd w:id="580"/>
      <w:bookmarkEnd w:id="581"/>
      <w:bookmarkEnd w:id="582"/>
      <w:bookmarkEnd w:id="583"/>
      <w:bookmarkEnd w:id="584"/>
    </w:p>
    <w:bookmarkEnd w:id="85"/>
    <w:p w14:paraId="31CADEC2">
      <w:pPr>
        <w:numPr>
          <w:ilvl w:val="0"/>
          <w:numId w:val="21"/>
        </w:numPr>
        <w:spacing w:line="500" w:lineRule="exact"/>
        <w:rPr>
          <w:rFonts w:cs="Times New Roman"/>
          <w:szCs w:val="28"/>
        </w:rPr>
      </w:pPr>
      <w:bookmarkStart w:id="585" w:name="OLE_LINK7"/>
      <w:r>
        <w:rPr>
          <w:rFonts w:cs="Times New Roman"/>
          <w:szCs w:val="28"/>
        </w:rPr>
        <w:t>委托书及真实性承诺</w:t>
      </w:r>
      <w:bookmarkEnd w:id="585"/>
      <w:r>
        <w:rPr>
          <w:rFonts w:cs="Times New Roman"/>
          <w:szCs w:val="28"/>
        </w:rPr>
        <w:t>；</w:t>
      </w:r>
    </w:p>
    <w:p w14:paraId="4ED08D85">
      <w:pPr>
        <w:numPr>
          <w:ilvl w:val="0"/>
          <w:numId w:val="21"/>
        </w:numPr>
        <w:spacing w:line="500" w:lineRule="exact"/>
        <w:rPr>
          <w:rFonts w:cs="Times New Roman"/>
          <w:szCs w:val="28"/>
        </w:rPr>
      </w:pPr>
      <w:r>
        <w:rPr>
          <w:rFonts w:cs="Times New Roman"/>
          <w:szCs w:val="28"/>
        </w:rPr>
        <w:t>建设单位营业执照；</w:t>
      </w:r>
    </w:p>
    <w:p w14:paraId="31D21533">
      <w:pPr>
        <w:numPr>
          <w:ilvl w:val="0"/>
          <w:numId w:val="21"/>
        </w:numPr>
        <w:spacing w:line="500" w:lineRule="exact"/>
        <w:rPr>
          <w:rFonts w:cs="Times New Roman"/>
          <w:szCs w:val="28"/>
        </w:rPr>
      </w:pPr>
      <w:r>
        <w:rPr>
          <w:rFonts w:cs="Times New Roman"/>
          <w:szCs w:val="28"/>
        </w:rPr>
        <w:t>投资项目备案证；</w:t>
      </w:r>
    </w:p>
    <w:p w14:paraId="2363D719">
      <w:pPr>
        <w:numPr>
          <w:ilvl w:val="0"/>
          <w:numId w:val="21"/>
        </w:numPr>
        <w:spacing w:line="500" w:lineRule="exact"/>
        <w:rPr>
          <w:rFonts w:cs="Times New Roman"/>
          <w:szCs w:val="28"/>
        </w:rPr>
        <w:sectPr>
          <w:pgSz w:w="11906" w:h="16838"/>
          <w:pgMar w:top="1418" w:right="1134" w:bottom="1134" w:left="1588" w:header="851" w:footer="992" w:gutter="0"/>
          <w:pgNumType w:fmt="decimal"/>
          <w:cols w:space="720" w:num="1"/>
          <w:docGrid w:linePitch="312" w:charSpace="0"/>
        </w:sectPr>
      </w:pPr>
      <w:r>
        <w:rPr>
          <w:rFonts w:hint="eastAsia" w:cs="Times New Roman"/>
          <w:szCs w:val="28"/>
        </w:rPr>
        <w:t>项目建议书封面。</w:t>
      </w:r>
    </w:p>
    <w:p w14:paraId="483F8F5C">
      <w:pPr>
        <w:pStyle w:val="570"/>
        <w:spacing w:line="240" w:lineRule="auto"/>
        <w:ind w:firstLineChars="0"/>
        <w:rPr>
          <w:rFonts w:ascii="仿宋_GB2312" w:eastAsia="仿宋_GB2312"/>
          <w:color w:val="auto"/>
          <w:sz w:val="28"/>
        </w:rPr>
      </w:pPr>
      <w:r>
        <w:drawing>
          <wp:inline distT="0" distB="0" distL="0" distR="0">
            <wp:extent cx="5779770" cy="7791450"/>
            <wp:effectExtent l="0" t="0" r="0" b="0"/>
            <wp:docPr id="430268760" name="图片 3"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68760" name="图片 3" descr="文本, 信件&#10;&#10;AI 生成的内容可能不正确。"/>
                    <pic:cNvPicPr>
                      <a:picLocks noChangeAspect="1" noChangeArrowheads="1"/>
                    </pic:cNvPicPr>
                  </pic:nvPicPr>
                  <pic:blipFill>
                    <a:blip r:embed="rId64" cstate="print">
                      <a:extLst>
                        <a:ext uri="{28A0092B-C50C-407E-A947-70E740481C1C}">
                          <a14:useLocalDpi xmlns:a14="http://schemas.microsoft.com/office/drawing/2010/main" val="0"/>
                        </a:ext>
                      </a:extLst>
                    </a:blip>
                    <a:srcRect l="900" r="-878" b="4811"/>
                    <a:stretch>
                      <a:fillRect/>
                    </a:stretch>
                  </pic:blipFill>
                  <pic:spPr>
                    <a:xfrm>
                      <a:off x="0" y="0"/>
                      <a:ext cx="5779836" cy="7791901"/>
                    </a:xfrm>
                    <a:prstGeom prst="rect">
                      <a:avLst/>
                    </a:prstGeom>
                    <a:noFill/>
                    <a:ln>
                      <a:noFill/>
                    </a:ln>
                  </pic:spPr>
                </pic:pic>
              </a:graphicData>
            </a:graphic>
          </wp:inline>
        </w:drawing>
      </w:r>
    </w:p>
    <w:p w14:paraId="7C65A48A">
      <w:pPr>
        <w:spacing w:line="500" w:lineRule="exact"/>
        <w:ind w:left="561" w:firstLine="0" w:firstLineChars="0"/>
        <w:rPr>
          <w:rFonts w:cs="Times New Roman"/>
          <w:szCs w:val="28"/>
        </w:rPr>
        <w:sectPr>
          <w:pgSz w:w="11906" w:h="16838"/>
          <w:pgMar w:top="1418" w:right="1134" w:bottom="1134" w:left="1588" w:header="851" w:footer="992" w:gutter="0"/>
          <w:pgNumType w:fmt="decimal"/>
          <w:cols w:space="720" w:num="1"/>
          <w:docGrid w:linePitch="312" w:charSpace="0"/>
        </w:sectPr>
      </w:pPr>
    </w:p>
    <w:p w14:paraId="21B6B500">
      <w:pPr>
        <w:spacing w:line="240" w:lineRule="auto"/>
        <w:ind w:left="561" w:firstLine="0" w:firstLineChars="0"/>
        <w:rPr>
          <w:rFonts w:cs="Times New Roman"/>
          <w:szCs w:val="28"/>
        </w:rPr>
      </w:pPr>
      <w:r>
        <w:rPr>
          <w:rFonts w:hint="eastAsia"/>
          <w:szCs w:val="28"/>
        </w:rPr>
        <w:drawing>
          <wp:inline distT="0" distB="0" distL="114300" distR="114300">
            <wp:extent cx="5062220" cy="6955155"/>
            <wp:effectExtent l="0" t="0" r="12700" b="9525"/>
            <wp:docPr id="19" name="图片 19" descr="174053217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740532175456"/>
                    <pic:cNvPicPr>
                      <a:picLocks noChangeAspect="1"/>
                    </pic:cNvPicPr>
                  </pic:nvPicPr>
                  <pic:blipFill>
                    <a:blip r:embed="rId65"/>
                    <a:stretch>
                      <a:fillRect/>
                    </a:stretch>
                  </pic:blipFill>
                  <pic:spPr>
                    <a:xfrm>
                      <a:off x="0" y="0"/>
                      <a:ext cx="5062220" cy="6955155"/>
                    </a:xfrm>
                    <a:prstGeom prst="rect">
                      <a:avLst/>
                    </a:prstGeom>
                  </pic:spPr>
                </pic:pic>
              </a:graphicData>
            </a:graphic>
          </wp:inline>
        </w:drawing>
      </w:r>
    </w:p>
    <w:p w14:paraId="21EF6D36">
      <w:pPr>
        <w:spacing w:line="240" w:lineRule="auto"/>
        <w:ind w:firstLine="0" w:firstLineChars="0"/>
        <w:jc w:val="center"/>
        <w:rPr>
          <w:rFonts w:cs="Times New Roman"/>
          <w:szCs w:val="28"/>
        </w:rPr>
      </w:pPr>
      <w:r>
        <w:rPr>
          <w:rFonts w:hint="eastAsia" w:ascii="仿宋" w:hAnsi="仿宋" w:cs="仿宋"/>
          <w:szCs w:val="28"/>
        </w:rPr>
        <w:drawing>
          <wp:inline distT="0" distB="0" distL="114300" distR="114300">
            <wp:extent cx="5073015" cy="7178675"/>
            <wp:effectExtent l="0" t="0" r="1905" b="14605"/>
            <wp:docPr id="277" name="图片 277" descr="备案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备案证_00"/>
                    <pic:cNvPicPr>
                      <a:picLocks noChangeAspect="1"/>
                    </pic:cNvPicPr>
                  </pic:nvPicPr>
                  <pic:blipFill>
                    <a:blip r:embed="rId66"/>
                    <a:stretch>
                      <a:fillRect/>
                    </a:stretch>
                  </pic:blipFill>
                  <pic:spPr>
                    <a:xfrm>
                      <a:off x="0" y="0"/>
                      <a:ext cx="5073015" cy="7178675"/>
                    </a:xfrm>
                    <a:prstGeom prst="rect">
                      <a:avLst/>
                    </a:prstGeom>
                  </pic:spPr>
                </pic:pic>
              </a:graphicData>
            </a:graphic>
          </wp:inline>
        </w:drawing>
      </w:r>
    </w:p>
    <w:p w14:paraId="28E49880">
      <w:pPr>
        <w:spacing w:line="240" w:lineRule="auto"/>
        <w:ind w:firstLine="0" w:firstLineChars="0"/>
        <w:jc w:val="center"/>
        <w:rPr>
          <w:rFonts w:cs="Times New Roman"/>
          <w:szCs w:val="28"/>
        </w:rPr>
      </w:pPr>
      <w:r>
        <w:rPr>
          <w:rFonts w:hint="eastAsia" w:ascii="仿宋" w:hAnsi="仿宋" w:cs="仿宋"/>
          <w:szCs w:val="28"/>
        </w:rPr>
        <w:drawing>
          <wp:inline distT="0" distB="0" distL="114300" distR="114300">
            <wp:extent cx="5616575" cy="7943215"/>
            <wp:effectExtent l="0" t="0" r="6985" b="12065"/>
            <wp:docPr id="276" name="图片 276" descr="备案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备案证_01"/>
                    <pic:cNvPicPr>
                      <a:picLocks noChangeAspect="1"/>
                    </pic:cNvPicPr>
                  </pic:nvPicPr>
                  <pic:blipFill>
                    <a:blip r:embed="rId67"/>
                    <a:stretch>
                      <a:fillRect/>
                    </a:stretch>
                  </pic:blipFill>
                  <pic:spPr>
                    <a:xfrm>
                      <a:off x="0" y="0"/>
                      <a:ext cx="5616575" cy="7943215"/>
                    </a:xfrm>
                    <a:prstGeom prst="rect">
                      <a:avLst/>
                    </a:prstGeom>
                  </pic:spPr>
                </pic:pic>
              </a:graphicData>
            </a:graphic>
          </wp:inline>
        </w:drawing>
      </w:r>
    </w:p>
    <w:p w14:paraId="446198CA">
      <w:pPr>
        <w:spacing w:line="240" w:lineRule="auto"/>
        <w:ind w:firstLine="0" w:firstLineChars="0"/>
        <w:jc w:val="center"/>
        <w:rPr>
          <w:rFonts w:cs="Times New Roman"/>
          <w:szCs w:val="28"/>
        </w:rPr>
      </w:pPr>
      <w:r>
        <w:rPr>
          <w:rFonts w:cs="Times New Roman"/>
          <w:szCs w:val="28"/>
        </w:rPr>
        <w:drawing>
          <wp:inline distT="0" distB="0" distL="0" distR="0">
            <wp:extent cx="5549265" cy="7401560"/>
            <wp:effectExtent l="0" t="0" r="0" b="8890"/>
            <wp:docPr id="1850288137" name="图片 3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88137" name="图片 31" descr="图示&#10;&#10;AI 生成的内容可能不正确。"/>
                    <pic:cNvPicPr>
                      <a:picLocks noChangeAspect="1" noChangeArrowheads="1"/>
                    </pic:cNvPicPr>
                  </pic:nvPicPr>
                  <pic:blipFill>
                    <a:blip r:embed="rId68">
                      <a:extLst>
                        <a:ext uri="{BEBA8EAE-BF5A-486C-A8C5-ECC9F3942E4B}">
                          <a14:imgProps xmlns:a14="http://schemas.microsoft.com/office/drawing/2010/main">
                            <a14:imgLayer r:embed="rId6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a:xfrm>
                      <a:off x="0" y="0"/>
                      <a:ext cx="5554170" cy="7407778"/>
                    </a:xfrm>
                    <a:prstGeom prst="rect">
                      <a:avLst/>
                    </a:prstGeom>
                    <a:noFill/>
                    <a:ln>
                      <a:noFill/>
                    </a:ln>
                  </pic:spPr>
                </pic:pic>
              </a:graphicData>
            </a:graphic>
          </wp:inline>
        </w:drawing>
      </w:r>
    </w:p>
    <w:p w14:paraId="320E5A33">
      <w:pPr>
        <w:spacing w:line="240" w:lineRule="auto"/>
        <w:ind w:firstLine="0" w:firstLineChars="0"/>
        <w:jc w:val="center"/>
        <w:rPr>
          <w:rFonts w:cs="Times New Roman"/>
          <w:szCs w:val="28"/>
        </w:rPr>
      </w:pPr>
      <w:r>
        <w:rPr>
          <w:rFonts w:cs="Times New Roman"/>
          <w:szCs w:val="28"/>
        </w:rPr>
        <w:drawing>
          <wp:inline distT="0" distB="0" distL="0" distR="0">
            <wp:extent cx="5606415" cy="7477760"/>
            <wp:effectExtent l="0" t="0" r="0" b="8890"/>
            <wp:docPr id="1792526990" name="图片 32"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26990" name="图片 32" descr="文本, 信件&#10;&#10;AI 生成的内容可能不正确。"/>
                    <pic:cNvPicPr>
                      <a:picLocks noChangeAspect="1" noChangeArrowheads="1"/>
                    </pic:cNvPicPr>
                  </pic:nvPicPr>
                  <pic:blipFill>
                    <a:blip r:embed="rId70">
                      <a:extLst>
                        <a:ext uri="{BEBA8EAE-BF5A-486C-A8C5-ECC9F3942E4B}">
                          <a14:imgProps xmlns:a14="http://schemas.microsoft.com/office/drawing/2010/main">
                            <a14:imgLayer r:embed="rId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a:xfrm>
                      <a:off x="0" y="0"/>
                      <a:ext cx="5612407" cy="7485450"/>
                    </a:xfrm>
                    <a:prstGeom prst="rect">
                      <a:avLst/>
                    </a:prstGeom>
                    <a:noFill/>
                    <a:ln>
                      <a:noFill/>
                    </a:ln>
                  </pic:spPr>
                </pic:pic>
              </a:graphicData>
            </a:graphic>
          </wp:inline>
        </w:drawing>
      </w:r>
    </w:p>
    <w:sectPr>
      <w:pgSz w:w="11906" w:h="16838"/>
      <w:pgMar w:top="1418" w:right="1134" w:bottom="1134" w:left="1588" w:header="851" w:footer="992" w:gutter="0"/>
      <w:pgNumType w:fmt="decimal"/>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MingLiU">
    <w:altName w:val="PMingLiU-ExtB"/>
    <w:panose1 w:val="02010609000101010101"/>
    <w:charset w:val="88"/>
    <w:family w:val="modern"/>
    <w:pitch w:val="default"/>
    <w:sig w:usb0="00000000" w:usb1="00000000" w:usb2="00000016" w:usb3="00000000" w:csb0="00100001" w:csb1="00000000"/>
  </w:font>
  <w:font w:name="細明體">
    <w:altName w:val="Segoe Print"/>
    <w:panose1 w:val="00000000000000000000"/>
    <w:charset w:val="00"/>
    <w:family w:val="auto"/>
    <w:pitch w:val="default"/>
    <w:sig w:usb0="00000000" w:usb1="00000000" w:usb2="00000000" w:usb3="00000000" w:csb0="00000000"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新宋体">
    <w:panose1 w:val="02010609030101010101"/>
    <w:charset w:val="86"/>
    <w:family w:val="modern"/>
    <w:pitch w:val="default"/>
    <w:sig w:usb0="00000203" w:usb1="288F0000" w:usb2="00000006" w:usb3="00000000" w:csb0="00040001" w:csb1="00000000"/>
  </w:font>
  <w:font w:name="Cambria">
    <w:panose1 w:val="02040503050406030204"/>
    <w:charset w:val="00"/>
    <w:family w:val="roman"/>
    <w:pitch w:val="default"/>
    <w:sig w:usb0="E00006FF" w:usb1="420024FF" w:usb2="02000000" w:usb3="00000000" w:csb0="2000019F" w:csb1="00000000"/>
  </w:font>
  <w:font w:name="Arial Black">
    <w:panose1 w:val="020B0A04020102020204"/>
    <w:charset w:val="00"/>
    <w:family w:val="swiss"/>
    <w:pitch w:val="default"/>
    <w:sig w:usb0="A00002AF" w:usb1="400078FB" w:usb2="00000000" w:usb3="00000000" w:csb0="6000009F" w:csb1="DFD70000"/>
  </w:font>
  <w:font w:name="AngsanaUPC">
    <w:altName w:val="Microsoft Sans Serif"/>
    <w:panose1 w:val="00000000000000000000"/>
    <w:charset w:val="DE"/>
    <w:family w:val="roman"/>
    <w:pitch w:val="default"/>
    <w:sig w:usb0="00000000" w:usb1="00000000" w:usb2="00000000" w:usb3="00000000" w:csb0="00010001" w:csb1="00000000"/>
  </w:font>
  <w:font w:name="Trebuchet MS">
    <w:panose1 w:val="020B0603020202020204"/>
    <w:charset w:val="00"/>
    <w:family w:val="swiss"/>
    <w:pitch w:val="default"/>
    <w:sig w:usb0="00000687" w:usb1="00000000" w:usb2="00000000" w:usb3="00000000" w:csb0="2000009F" w:csb1="00000000"/>
  </w:font>
  <w:font w:name="Arial Unicode MS">
    <w:altName w:val="Arial"/>
    <w:panose1 w:val="020B0604020202020204"/>
    <w:charset w:val="00"/>
    <w:family w:val="roman"/>
    <w:pitch w:val="default"/>
    <w:sig w:usb0="00000000" w:usb1="00000000" w:usb2="00000000" w:usb3="00000000" w:csb0="00000001" w:csb1="00000000"/>
  </w:font>
  <w:font w:name="Sim Sun">
    <w:altName w:val="宋体"/>
    <w:panose1 w:val="00000000000000000000"/>
    <w:charset w:val="86"/>
    <w:family w:val="swiss"/>
    <w:pitch w:val="default"/>
    <w:sig w:usb0="00000000" w:usb1="00000000" w:usb2="00000010" w:usb3="00000000" w:csb0="00040000" w:csb1="00000000"/>
  </w:font>
  <w:font w:name="方正仿宋简体">
    <w:altName w:val="微软雅黑"/>
    <w:panose1 w:val="00000000000000000000"/>
    <w:charset w:val="86"/>
    <w:family w:val="script"/>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Arial Narrow">
    <w:altName w:val="Arial"/>
    <w:panose1 w:val="020B0606020202030204"/>
    <w:charset w:val="00"/>
    <w:family w:val="swiss"/>
    <w:pitch w:val="default"/>
    <w:sig w:usb0="00000000" w:usb1="00000000" w:usb2="00000000" w:usb3="00000000" w:csb0="0000009F" w:csb1="00000000"/>
  </w:font>
  <w:font w:name="方正书宋简体">
    <w:altName w:val="宋体"/>
    <w:panose1 w:val="00000000000000000000"/>
    <w:charset w:val="86"/>
    <w:family w:val="auto"/>
    <w:pitch w:val="default"/>
    <w:sig w:usb0="00000000" w:usb1="00000000" w:usb2="00000010" w:usb3="00000000" w:csb0="00040000" w:csb1="00000000"/>
  </w:font>
  <w:font w:name="ˎ̥">
    <w:altName w:val="宋体"/>
    <w:panose1 w:val="00000000000000000000"/>
    <w:charset w:val="00"/>
    <w:family w:val="roman"/>
    <w:pitch w:val="default"/>
    <w:sig w:usb0="00000000" w:usb1="00000000" w:usb2="00000000" w:usb3="00000000" w:csb0="00040001"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Segoe UI">
    <w:panose1 w:val="020B0502040204020203"/>
    <w:charset w:val="00"/>
    <w:family w:val="swiss"/>
    <w:pitch w:val="default"/>
    <w:sig w:usb0="E4002EFF" w:usb1="C000E47F" w:usb2="00000009" w:usb3="00000000" w:csb0="200001FF"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Microsoft Sans Serif">
    <w:panose1 w:val="020B0604020202020204"/>
    <w:charset w:val="00"/>
    <w:family w:val="auto"/>
    <w:pitch w:val="default"/>
    <w:sig w:usb0="E5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BC9894">
    <w:pPr>
      <w:pStyle w:val="42"/>
      <w:spacing w:line="300" w:lineRule="exact"/>
      <w:ind w:firstLine="420"/>
      <w:rPr>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A1A068">
    <w:pPr>
      <w:pStyle w:val="4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74F465">
    <w:pPr>
      <w:pStyle w:val="4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4D9F03">
    <w:pPr>
      <w:pStyle w:val="42"/>
      <w:pBdr>
        <w:top w:val="single" w:color="auto" w:sz="4" w:space="0"/>
      </w:pBdr>
      <w:spacing w:line="300" w:lineRule="exact"/>
      <w:ind w:firstLine="0" w:firstLineChars="0"/>
      <w:rPr>
        <w:sz w:val="21"/>
        <w:szCs w:val="21"/>
      </w:rPr>
    </w:pPr>
    <w:r>
      <mc:AlternateContent>
        <mc:Choice Requires="wps">
          <w:drawing>
            <wp:anchor distT="0" distB="0" distL="114300" distR="114300" simplePos="0" relativeHeight="251659264" behindDoc="0" locked="0" layoutInCell="1" allowOverlap="1">
              <wp:simplePos x="0" y="0"/>
              <wp:positionH relativeFrom="margin">
                <wp:posOffset>2877820</wp:posOffset>
              </wp:positionH>
              <wp:positionV relativeFrom="paragraph">
                <wp:posOffset>11430</wp:posOffset>
              </wp:positionV>
              <wp:extent cx="297180" cy="217805"/>
              <wp:effectExtent l="0" t="0" r="0" b="0"/>
              <wp:wrapNone/>
              <wp:docPr id="1131168635" name="文本框 1"/>
              <wp:cNvGraphicFramePr/>
              <a:graphic xmlns:a="http://schemas.openxmlformats.org/drawingml/2006/main">
                <a:graphicData uri="http://schemas.microsoft.com/office/word/2010/wordprocessingShape">
                  <wps:wsp>
                    <wps:cNvSpPr txBox="1">
                      <a:spLocks noChangeArrowheads="1"/>
                    </wps:cNvSpPr>
                    <wps:spPr bwMode="auto">
                      <a:xfrm>
                        <a:off x="0" y="0"/>
                        <a:ext cx="297180" cy="217805"/>
                      </a:xfrm>
                      <a:prstGeom prst="rect">
                        <a:avLst/>
                      </a:prstGeom>
                      <a:noFill/>
                      <a:ln>
                        <a:noFill/>
                      </a:ln>
                    </wps:spPr>
                    <wps:txbx>
                      <w:txbxContent>
                        <w:p w14:paraId="7C1E88F4">
                          <w:pPr>
                            <w:pStyle w:val="42"/>
                            <w:ind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vert="horz" wrap="square" lIns="0" tIns="0" rIns="0" bIns="0" anchor="t" anchorCtr="0" upright="1">
                      <a:noAutofit/>
                    </wps:bodyPr>
                  </wps:wsp>
                </a:graphicData>
              </a:graphic>
            </wp:anchor>
          </w:drawing>
        </mc:Choice>
        <mc:Fallback>
          <w:pict>
            <v:shape id="文本框 1" o:spid="_x0000_s1026" o:spt="202" type="#_x0000_t202" style="position:absolute;left:0pt;margin-left:226.6pt;margin-top:0.9pt;height:17.15pt;width:23.4pt;mso-position-horizontal-relative:margin;z-index:251659264;mso-width-relative:page;mso-height-relative:page;" filled="f" stroked="f" coordsize="21600,21600" o:gfxdata="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vhL09YAAAAIAQAADwAAAAAAAAAB&#10;ACAAAAAiAAAAZHJzL2Rvd25yZXYueG1sUEsBAhQAFAAAAAgAh07iQP+GQMQSAgAADQQAAA4AAAAA&#10;AAAAAQAgAAAAJQEAAGRycy9lMm9Eb2MueG1sUEsFBgAAAAAGAAYAWQEAAKkFAAAAAA==&#10;">
              <v:fill on="f" focussize="0,0"/>
              <v:stroke on="f"/>
              <v:imagedata o:title=""/>
              <o:lock v:ext="edit" aspectratio="f"/>
              <v:textbox inset="0mm,0mm,0mm,0mm">
                <w:txbxContent>
                  <w:p w14:paraId="7C1E88F4">
                    <w:pPr>
                      <w:pStyle w:val="42"/>
                      <w:ind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r>
      <w:rPr>
        <w:sz w:val="21"/>
        <w:szCs w:val="21"/>
      </w:rPr>
      <w:t xml:space="preserve">江西赣安安全生产科学技术咨询服务中心               </w:t>
    </w:r>
    <w:r>
      <w:rPr>
        <w:rFonts w:hint="eastAsia"/>
        <w:sz w:val="21"/>
        <w:szCs w:val="21"/>
      </w:rPr>
      <w:t xml:space="preserve">          </w:t>
    </w:r>
    <w:r>
      <w:rPr>
        <w:sz w:val="21"/>
        <w:szCs w:val="21"/>
      </w:rPr>
      <w:t xml:space="preserve">            APJ-（赣）-002</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5D329">
    <w:pPr>
      <w:pStyle w:val="42"/>
      <w:pBdr>
        <w:top w:val="single" w:color="auto" w:sz="4" w:space="0"/>
      </w:pBdr>
      <w:spacing w:line="300" w:lineRule="exact"/>
      <w:ind w:firstLine="0" w:firstLineChars="0"/>
      <w:rPr>
        <w:sz w:val="21"/>
        <w:szCs w:val="21"/>
      </w:rPr>
    </w:pPr>
    <w:r>
      <mc:AlternateContent>
        <mc:Choice Requires="wps">
          <w:drawing>
            <wp:anchor distT="0" distB="0" distL="114300" distR="114300" simplePos="0" relativeHeight="251661312" behindDoc="0" locked="0" layoutInCell="1" allowOverlap="1">
              <wp:simplePos x="0" y="0"/>
              <wp:positionH relativeFrom="margin">
                <wp:posOffset>2877820</wp:posOffset>
              </wp:positionH>
              <wp:positionV relativeFrom="paragraph">
                <wp:posOffset>11430</wp:posOffset>
              </wp:positionV>
              <wp:extent cx="297180" cy="217805"/>
              <wp:effectExtent l="0" t="0" r="0" b="0"/>
              <wp:wrapNone/>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297180" cy="217805"/>
                      </a:xfrm>
                      <a:prstGeom prst="rect">
                        <a:avLst/>
                      </a:prstGeom>
                      <a:noFill/>
                      <a:ln>
                        <a:noFill/>
                      </a:ln>
                    </wps:spPr>
                    <wps:txbx>
                      <w:txbxContent>
                        <w:p w14:paraId="6515690D">
                          <w:pPr>
                            <w:pStyle w:val="42"/>
                            <w:ind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226.6pt;margin-top:0.9pt;height:17.15pt;width:23.4pt;mso-position-horizontal-relative:margin;z-index:251661312;mso-width-relative:page;mso-height-relative:page;" filled="f" stroked="f" coordsize="21600,21600" o:gfxdata="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b4S9PWAAAACAEAAA8AAAAAAAAAAQAgAAAAIgAA&#10;AGRycy9kb3ducmV2LnhtbFBLAQIUABQAAAAIAIdO4kC/uIo/CgIAAAQEAAAOAAAAAAAAAAEAIAAA&#10;ACUBAABkcnMvZTJvRG9jLnhtbFBLBQYAAAAABgAGAFkBAAChBQAAAAA=&#10;">
              <v:fill on="f" focussize="0,0"/>
              <v:stroke on="f"/>
              <v:imagedata o:title=""/>
              <o:lock v:ext="edit" aspectratio="f"/>
              <v:textbox inset="0mm,0mm,0mm,0mm">
                <w:txbxContent>
                  <w:p w14:paraId="6515690D">
                    <w:pPr>
                      <w:pStyle w:val="42"/>
                      <w:ind w:firstLine="0" w:firstLineChars="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r>
      <w:rPr>
        <w:sz w:val="21"/>
        <w:szCs w:val="21"/>
      </w:rPr>
      <w:t xml:space="preserve">江西赣安安全生产科学技术咨询服务中心               </w:t>
    </w:r>
    <w:r>
      <w:rPr>
        <w:rFonts w:hint="eastAsia"/>
        <w:sz w:val="21"/>
        <w:szCs w:val="21"/>
      </w:rPr>
      <w:t xml:space="preserve">          </w:t>
    </w:r>
    <w:r>
      <w:rPr>
        <w:sz w:val="21"/>
        <w:szCs w:val="21"/>
      </w:rPr>
      <w:t xml:space="preserve">            APJ-（赣）-002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4C5F99">
    <w:pPr>
      <w:pStyle w:val="8"/>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CD471C">
    <w:pPr>
      <w:pStyle w:val="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427EE6">
    <w:pPr>
      <w:pStyle w:val="8"/>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0D9136">
    <w:pPr>
      <w:pStyle w:val="8"/>
      <w:pBdr>
        <w:bottom w:val="single" w:color="auto" w:sz="4" w:space="1"/>
      </w:pBdr>
      <w:spacing w:line="240" w:lineRule="auto"/>
      <w:ind w:firstLine="0" w:firstLineChars="0"/>
      <w:jc w:val="both"/>
      <w:rPr>
        <w:color w:val="000000" w:themeColor="text1"/>
        <w14:textFill>
          <w14:solidFill>
            <w14:schemeClr w14:val="tx1"/>
          </w14:solidFill>
        </w14:textFill>
      </w:rPr>
    </w:pPr>
    <w:r>
      <w:rPr>
        <w:rFonts w:hint="eastAsia"/>
        <w:color w:val="000000" w:themeColor="text1"/>
        <w:spacing w:val="-12"/>
        <w14:textFill>
          <w14:solidFill>
            <w14:schemeClr w14:val="tx1"/>
          </w14:solidFill>
        </w14:textFill>
      </w:rPr>
      <w:t>云南杉杉新材料有限公司锂离子电池负极材料一体化数字化转型改造项目安全生产条件和设施综合分析报告</w:t>
    </w:r>
    <w:r>
      <w:rPr>
        <w:rFonts w:hint="eastAsia"/>
        <w:color w:val="000000" w:themeColor="text1"/>
        <w14:textFill>
          <w14:solidFill>
            <w14:schemeClr w14:val="tx1"/>
          </w14:solidFill>
        </w14:textFill>
      </w:rPr>
      <w:t xml:space="preserve">    </w:t>
    </w:r>
    <w:r>
      <w:rPr>
        <w:color w:val="000000" w:themeColor="text1"/>
        <w:sz w:val="16"/>
        <w:szCs w:val="16"/>
        <w14:textFill>
          <w14:solidFill>
            <w14:schemeClr w14:val="tx1"/>
          </w14:solidFill>
        </w14:textFill>
      </w:rPr>
      <w:t>GAAP[202</w:t>
    </w:r>
    <w:r>
      <w:rPr>
        <w:rFonts w:hint="eastAsia"/>
        <w:color w:val="000000" w:themeColor="text1"/>
        <w:sz w:val="16"/>
        <w:szCs w:val="16"/>
        <w14:textFill>
          <w14:solidFill>
            <w14:schemeClr w14:val="tx1"/>
          </w14:solidFill>
        </w14:textFill>
      </w:rPr>
      <w:t>5</w:t>
    </w:r>
    <w:r>
      <w:rPr>
        <w:color w:val="000000" w:themeColor="text1"/>
        <w:sz w:val="16"/>
        <w:szCs w:val="16"/>
        <w14:textFill>
          <w14:solidFill>
            <w14:schemeClr w14:val="tx1"/>
          </w14:solidFill>
        </w14:textFill>
      </w:rPr>
      <w:t>]</w:t>
    </w:r>
    <w:r>
      <w:t xml:space="preserve"> </w:t>
    </w:r>
    <w:r>
      <w:rPr>
        <w:color w:val="000000" w:themeColor="text1"/>
        <w:sz w:val="16"/>
        <w:szCs w:val="16"/>
        <w:lang w:val="en-US"/>
        <w14:textFill>
          <w14:solidFill>
            <w14:schemeClr w14:val="tx1"/>
          </w14:solidFill>
        </w14:textFill>
      </w:rPr>
      <w:t>0632</w:t>
    </w:r>
    <w:r>
      <w:rPr>
        <w:color w:val="000000" w:themeColor="text1"/>
        <w:sz w:val="16"/>
        <w:szCs w:val="16"/>
        <w14:textFill>
          <w14:solidFill>
            <w14:schemeClr w14:val="tx1"/>
          </w14:solidFill>
        </w14:textFill>
      </w:rPr>
      <w:t>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3BA7BF"/>
    <w:multiLevelType w:val="singleLevel"/>
    <w:tmpl w:val="893BA7BF"/>
    <w:lvl w:ilvl="0" w:tentative="0">
      <w:start w:val="1"/>
      <w:numFmt w:val="decimal"/>
      <w:suff w:val="nothing"/>
      <w:lvlText w:val="%1．"/>
      <w:lvlJc w:val="left"/>
      <w:pPr>
        <w:ind w:left="0" w:firstLine="400"/>
      </w:pPr>
      <w:rPr>
        <w:rFonts w:hint="default"/>
      </w:rPr>
    </w:lvl>
  </w:abstractNum>
  <w:abstractNum w:abstractNumId="1">
    <w:nsid w:val="99D94590"/>
    <w:multiLevelType w:val="singleLevel"/>
    <w:tmpl w:val="99D94590"/>
    <w:lvl w:ilvl="0" w:tentative="0">
      <w:start w:val="1"/>
      <w:numFmt w:val="decimal"/>
      <w:suff w:val="nothing"/>
      <w:lvlText w:val="%1．"/>
      <w:lvlJc w:val="left"/>
      <w:pPr>
        <w:ind w:left="0" w:firstLine="400"/>
      </w:pPr>
      <w:rPr>
        <w:rFonts w:hint="default"/>
      </w:rPr>
    </w:lvl>
  </w:abstractNum>
  <w:abstractNum w:abstractNumId="2">
    <w:nsid w:val="DEA15B61"/>
    <w:multiLevelType w:val="singleLevel"/>
    <w:tmpl w:val="DEA15B61"/>
    <w:lvl w:ilvl="0" w:tentative="0">
      <w:start w:val="1"/>
      <w:numFmt w:val="decimal"/>
      <w:lvlText w:val="%1"/>
      <w:lvlJc w:val="left"/>
      <w:pPr>
        <w:tabs>
          <w:tab w:val="left" w:pos="420"/>
        </w:tabs>
        <w:ind w:left="425" w:hanging="425"/>
      </w:pPr>
      <w:rPr>
        <w:rFonts w:hint="default"/>
      </w:rPr>
    </w:lvl>
  </w:abstractNum>
  <w:abstractNum w:abstractNumId="3">
    <w:nsid w:val="022E506E"/>
    <w:multiLevelType w:val="multilevel"/>
    <w:tmpl w:val="022E506E"/>
    <w:lvl w:ilvl="0" w:tentative="0">
      <w:start w:val="1"/>
      <w:numFmt w:val="decimal"/>
      <w:pStyle w:val="472"/>
      <w:lvlText w:val="%1."/>
      <w:lvlJc w:val="left"/>
      <w:pPr>
        <w:ind w:left="420" w:hanging="420"/>
      </w:pPr>
    </w:lvl>
    <w:lvl w:ilvl="1" w:tentative="0">
      <w:start w:val="1"/>
      <w:numFmt w:val="lowerLetter"/>
      <w:pStyle w:val="258"/>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7DD5178"/>
    <w:multiLevelType w:val="multilevel"/>
    <w:tmpl w:val="07DD5178"/>
    <w:lvl w:ilvl="0" w:tentative="0">
      <w:start w:val="1"/>
      <w:numFmt w:val="decimal"/>
      <w:suff w:val="nothing"/>
      <w:lvlText w:val="%1."/>
      <w:lvlJc w:val="left"/>
      <w:pPr>
        <w:ind w:left="501" w:hanging="360"/>
      </w:pPr>
      <w:rPr>
        <w:rFonts w:hint="default"/>
      </w:rPr>
    </w:lvl>
    <w:lvl w:ilvl="1" w:tentative="0">
      <w:start w:val="1"/>
      <w:numFmt w:val="lowerLetter"/>
      <w:lvlText w:val="%2)"/>
      <w:lvlJc w:val="left"/>
      <w:pPr>
        <w:ind w:left="1308" w:hanging="420"/>
      </w:pPr>
      <w:rPr>
        <w:rFonts w:hint="eastAsia"/>
      </w:rPr>
    </w:lvl>
    <w:lvl w:ilvl="2" w:tentative="0">
      <w:start w:val="1"/>
      <w:numFmt w:val="lowerRoman"/>
      <w:lvlText w:val="%3."/>
      <w:lvlJc w:val="right"/>
      <w:pPr>
        <w:ind w:left="1728" w:hanging="420"/>
      </w:pPr>
      <w:rPr>
        <w:rFonts w:hint="eastAsia"/>
      </w:rPr>
    </w:lvl>
    <w:lvl w:ilvl="3" w:tentative="0">
      <w:start w:val="1"/>
      <w:numFmt w:val="decimal"/>
      <w:lvlText w:val="%4."/>
      <w:lvlJc w:val="left"/>
      <w:pPr>
        <w:ind w:left="2148" w:hanging="420"/>
      </w:pPr>
      <w:rPr>
        <w:rFonts w:hint="eastAsia"/>
      </w:rPr>
    </w:lvl>
    <w:lvl w:ilvl="4" w:tentative="0">
      <w:start w:val="1"/>
      <w:numFmt w:val="lowerLetter"/>
      <w:lvlText w:val="%5)"/>
      <w:lvlJc w:val="left"/>
      <w:pPr>
        <w:ind w:left="2568" w:hanging="420"/>
      </w:pPr>
      <w:rPr>
        <w:rFonts w:hint="eastAsia"/>
      </w:rPr>
    </w:lvl>
    <w:lvl w:ilvl="5" w:tentative="0">
      <w:start w:val="1"/>
      <w:numFmt w:val="lowerRoman"/>
      <w:lvlText w:val="%6."/>
      <w:lvlJc w:val="right"/>
      <w:pPr>
        <w:ind w:left="2988" w:hanging="420"/>
      </w:pPr>
      <w:rPr>
        <w:rFonts w:hint="eastAsia"/>
      </w:rPr>
    </w:lvl>
    <w:lvl w:ilvl="6" w:tentative="0">
      <w:start w:val="1"/>
      <w:numFmt w:val="decimal"/>
      <w:lvlText w:val="%7."/>
      <w:lvlJc w:val="left"/>
      <w:pPr>
        <w:ind w:left="3408" w:hanging="420"/>
      </w:pPr>
      <w:rPr>
        <w:rFonts w:hint="eastAsia"/>
      </w:rPr>
    </w:lvl>
    <w:lvl w:ilvl="7" w:tentative="0">
      <w:start w:val="1"/>
      <w:numFmt w:val="lowerLetter"/>
      <w:lvlText w:val="%8)"/>
      <w:lvlJc w:val="left"/>
      <w:pPr>
        <w:ind w:left="3828" w:hanging="420"/>
      </w:pPr>
      <w:rPr>
        <w:rFonts w:hint="eastAsia"/>
      </w:rPr>
    </w:lvl>
    <w:lvl w:ilvl="8" w:tentative="0">
      <w:start w:val="1"/>
      <w:numFmt w:val="lowerRoman"/>
      <w:lvlText w:val="%9."/>
      <w:lvlJc w:val="right"/>
      <w:pPr>
        <w:ind w:left="4248" w:hanging="420"/>
      </w:pPr>
      <w:rPr>
        <w:rFonts w:hint="eastAsia"/>
      </w:rPr>
    </w:lvl>
  </w:abstractNum>
  <w:abstractNum w:abstractNumId="5">
    <w:nsid w:val="0C206546"/>
    <w:multiLevelType w:val="multilevel"/>
    <w:tmpl w:val="0C206546"/>
    <w:lvl w:ilvl="0" w:tentative="0">
      <w:start w:val="1"/>
      <w:numFmt w:val="decimal"/>
      <w:suff w:val="nothing"/>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
    <w:nsid w:val="136C5211"/>
    <w:multiLevelType w:val="multilevel"/>
    <w:tmpl w:val="136C5211"/>
    <w:lvl w:ilvl="0" w:tentative="0">
      <w:start w:val="1"/>
      <w:numFmt w:val="decimal"/>
      <w:suff w:val="nothing"/>
      <w:lvlText w:val="附件%1："/>
      <w:lvlJc w:val="left"/>
      <w:pPr>
        <w:ind w:left="-560" w:firstLine="560"/>
      </w:pPr>
      <w:rPr>
        <w:rFonts w:hint="eastAsia"/>
        <w:lang w:val="en-US"/>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7">
    <w:nsid w:val="162E061B"/>
    <w:multiLevelType w:val="multilevel"/>
    <w:tmpl w:val="162E061B"/>
    <w:lvl w:ilvl="0" w:tentative="0">
      <w:start w:val="1"/>
      <w:numFmt w:val="decimal"/>
      <w:suff w:val="nothing"/>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8">
    <w:nsid w:val="24D7001E"/>
    <w:multiLevelType w:val="multilevel"/>
    <w:tmpl w:val="24D7001E"/>
    <w:lvl w:ilvl="0" w:tentative="0">
      <w:start w:val="1"/>
      <w:numFmt w:val="decimal"/>
      <w:suff w:val="nothing"/>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9">
    <w:nsid w:val="2B74434D"/>
    <w:multiLevelType w:val="multilevel"/>
    <w:tmpl w:val="2B74434D"/>
    <w:lvl w:ilvl="0" w:tentative="0">
      <w:start w:val="1"/>
      <w:numFmt w:val="decimal"/>
      <w:suff w:val="nothing"/>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0">
    <w:nsid w:val="2C12626B"/>
    <w:multiLevelType w:val="multilevel"/>
    <w:tmpl w:val="2C12626B"/>
    <w:lvl w:ilvl="0" w:tentative="0">
      <w:start w:val="1"/>
      <w:numFmt w:val="decimal"/>
      <w:suff w:val="nothing"/>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1">
    <w:nsid w:val="366753C4"/>
    <w:multiLevelType w:val="multilevel"/>
    <w:tmpl w:val="366753C4"/>
    <w:lvl w:ilvl="0" w:tentative="0">
      <w:start w:val="1"/>
      <w:numFmt w:val="decimal"/>
      <w:lvlText w:val="表2-%1"/>
      <w:lvlJc w:val="left"/>
      <w:pPr>
        <w:ind w:left="420" w:hanging="420"/>
      </w:pPr>
      <w:rPr>
        <w:rFonts w:hint="default" w:ascii="Times New Roman" w:hAnsi="Times New Roman"/>
        <w:sz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38DB7A39"/>
    <w:multiLevelType w:val="multilevel"/>
    <w:tmpl w:val="38DB7A39"/>
    <w:lvl w:ilvl="0" w:tentative="0">
      <w:start w:val="1"/>
      <w:numFmt w:val="decimal"/>
      <w:suff w:val="nothing"/>
      <w:lvlText w:val="表3-%1"/>
      <w:lvlJc w:val="left"/>
      <w:pPr>
        <w:ind w:left="1280" w:hanging="720"/>
      </w:pPr>
      <w:rPr>
        <w:rFonts w:hint="default"/>
        <w:b/>
        <w:bCs/>
        <w:color w:val="auto"/>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3F653A6A"/>
    <w:multiLevelType w:val="multilevel"/>
    <w:tmpl w:val="3F653A6A"/>
    <w:lvl w:ilvl="0" w:tentative="0">
      <w:start w:val="1"/>
      <w:numFmt w:val="decimal"/>
      <w:lvlText w:val="图2-%1"/>
      <w:lvlJc w:val="left"/>
      <w:pPr>
        <w:ind w:left="980" w:hanging="420"/>
      </w:pPr>
      <w:rPr>
        <w:rFonts w:hint="default" w:ascii="Times New Roman" w:hAnsi="Times New Roman"/>
        <w:color w:val="auto"/>
        <w:sz w:val="24"/>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4">
    <w:nsid w:val="4AB24AEA"/>
    <w:multiLevelType w:val="multilevel"/>
    <w:tmpl w:val="4AB24AEA"/>
    <w:lvl w:ilvl="0" w:tentative="0">
      <w:start w:val="1"/>
      <w:numFmt w:val="decimal"/>
      <w:suff w:val="nothing"/>
      <w:lvlText w:val="%1."/>
      <w:lvlJc w:val="left"/>
      <w:pPr>
        <w:ind w:left="0" w:firstLine="468"/>
      </w:pPr>
      <w:rPr>
        <w:rFonts w:hint="default"/>
      </w:rPr>
    </w:lvl>
    <w:lvl w:ilvl="1" w:tentative="0">
      <w:start w:val="1"/>
      <w:numFmt w:val="lowerLetter"/>
      <w:lvlText w:val="%2)"/>
      <w:lvlJc w:val="left"/>
      <w:pPr>
        <w:ind w:left="1308" w:hanging="420"/>
      </w:pPr>
      <w:rPr>
        <w:rFonts w:hint="eastAsia"/>
      </w:rPr>
    </w:lvl>
    <w:lvl w:ilvl="2" w:tentative="0">
      <w:start w:val="1"/>
      <w:numFmt w:val="lowerRoman"/>
      <w:lvlText w:val="%3."/>
      <w:lvlJc w:val="right"/>
      <w:pPr>
        <w:ind w:left="1728" w:hanging="420"/>
      </w:pPr>
      <w:rPr>
        <w:rFonts w:hint="eastAsia"/>
      </w:rPr>
    </w:lvl>
    <w:lvl w:ilvl="3" w:tentative="0">
      <w:start w:val="1"/>
      <w:numFmt w:val="decimal"/>
      <w:lvlText w:val="%4."/>
      <w:lvlJc w:val="left"/>
      <w:pPr>
        <w:ind w:left="2148" w:hanging="420"/>
      </w:pPr>
      <w:rPr>
        <w:rFonts w:hint="eastAsia"/>
      </w:rPr>
    </w:lvl>
    <w:lvl w:ilvl="4" w:tentative="0">
      <w:start w:val="1"/>
      <w:numFmt w:val="lowerLetter"/>
      <w:lvlText w:val="%5)"/>
      <w:lvlJc w:val="left"/>
      <w:pPr>
        <w:ind w:left="2568" w:hanging="420"/>
      </w:pPr>
      <w:rPr>
        <w:rFonts w:hint="eastAsia"/>
      </w:rPr>
    </w:lvl>
    <w:lvl w:ilvl="5" w:tentative="0">
      <w:start w:val="1"/>
      <w:numFmt w:val="lowerRoman"/>
      <w:lvlText w:val="%6."/>
      <w:lvlJc w:val="right"/>
      <w:pPr>
        <w:ind w:left="2988" w:hanging="420"/>
      </w:pPr>
      <w:rPr>
        <w:rFonts w:hint="eastAsia"/>
      </w:rPr>
    </w:lvl>
    <w:lvl w:ilvl="6" w:tentative="0">
      <w:start w:val="1"/>
      <w:numFmt w:val="decimal"/>
      <w:lvlText w:val="%7."/>
      <w:lvlJc w:val="left"/>
      <w:pPr>
        <w:ind w:left="3408" w:hanging="420"/>
      </w:pPr>
      <w:rPr>
        <w:rFonts w:hint="eastAsia"/>
      </w:rPr>
    </w:lvl>
    <w:lvl w:ilvl="7" w:tentative="0">
      <w:start w:val="1"/>
      <w:numFmt w:val="lowerLetter"/>
      <w:lvlText w:val="%8)"/>
      <w:lvlJc w:val="left"/>
      <w:pPr>
        <w:ind w:left="3828" w:hanging="420"/>
      </w:pPr>
      <w:rPr>
        <w:rFonts w:hint="eastAsia"/>
      </w:rPr>
    </w:lvl>
    <w:lvl w:ilvl="8" w:tentative="0">
      <w:start w:val="1"/>
      <w:numFmt w:val="lowerRoman"/>
      <w:lvlText w:val="%9."/>
      <w:lvlJc w:val="right"/>
      <w:pPr>
        <w:ind w:left="4248" w:hanging="420"/>
      </w:pPr>
      <w:rPr>
        <w:rFonts w:hint="eastAsia"/>
      </w:rPr>
    </w:lvl>
  </w:abstractNum>
  <w:abstractNum w:abstractNumId="15">
    <w:nsid w:val="53510B65"/>
    <w:multiLevelType w:val="multilevel"/>
    <w:tmpl w:val="53510B65"/>
    <w:lvl w:ilvl="0" w:tentative="0">
      <w:start w:val="1"/>
      <w:numFmt w:val="decimal"/>
      <w:suff w:val="nothing"/>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6">
    <w:nsid w:val="5529C8FC"/>
    <w:multiLevelType w:val="multilevel"/>
    <w:tmpl w:val="5529C8FC"/>
    <w:lvl w:ilvl="0" w:tentative="0">
      <w:start w:val="1"/>
      <w:numFmt w:val="decimal"/>
      <w:pStyle w:val="680"/>
      <w:lvlText w:val="%1"/>
      <w:lvlJc w:val="left"/>
      <w:pPr>
        <w:ind w:left="425" w:hanging="425"/>
      </w:pPr>
      <w:rPr>
        <w:rFonts w:hint="eastAsia"/>
      </w:rPr>
    </w:lvl>
    <w:lvl w:ilvl="1" w:tentative="0">
      <w:start w:val="1"/>
      <w:numFmt w:val="decimal"/>
      <w:lvlText w:val="%1.%2"/>
      <w:lvlJc w:val="left"/>
      <w:pPr>
        <w:ind w:left="425" w:hanging="425"/>
      </w:pPr>
      <w:rPr>
        <w:rFonts w:hint="eastAsia"/>
      </w:rPr>
    </w:lvl>
    <w:lvl w:ilvl="2" w:tentative="0">
      <w:start w:val="1"/>
      <w:numFmt w:val="decimal"/>
      <w:pStyle w:val="331"/>
      <w:lvlText w:val="%1.%2.%3"/>
      <w:lvlJc w:val="left"/>
      <w:pPr>
        <w:ind w:left="425" w:hanging="425"/>
      </w:pPr>
      <w:rPr>
        <w:rFonts w:hint="eastAsia"/>
      </w:rPr>
    </w:lvl>
    <w:lvl w:ilvl="3" w:tentative="0">
      <w:start w:val="1"/>
      <w:numFmt w:val="decimal"/>
      <w:lvlText w:val="%1.%2.%3.%4"/>
      <w:lvlJc w:val="left"/>
      <w:pPr>
        <w:ind w:left="425" w:hanging="425"/>
      </w:pPr>
      <w:rPr>
        <w:rFonts w:hint="eastAsia"/>
      </w:rPr>
    </w:lvl>
    <w:lvl w:ilvl="4" w:tentative="0">
      <w:start w:val="1"/>
      <w:numFmt w:val="decimal"/>
      <w:lvlText w:val="%1.%2.%3.%4.%5"/>
      <w:lvlJc w:val="left"/>
      <w:pPr>
        <w:ind w:left="425" w:hanging="425"/>
      </w:pPr>
      <w:rPr>
        <w:rFonts w:hint="eastAsia"/>
      </w:rPr>
    </w:lvl>
    <w:lvl w:ilvl="5" w:tentative="0">
      <w:start w:val="1"/>
      <w:numFmt w:val="decimal"/>
      <w:lvlText w:val="%1.%2.%3.%4.%5.%6"/>
      <w:lvlJc w:val="left"/>
      <w:pPr>
        <w:ind w:left="425" w:hanging="425"/>
      </w:pPr>
      <w:rPr>
        <w:rFonts w:hint="eastAsia"/>
      </w:rPr>
    </w:lvl>
    <w:lvl w:ilvl="6" w:tentative="0">
      <w:start w:val="1"/>
      <w:numFmt w:val="decimal"/>
      <w:lvlText w:val="%1.%2.%3.%4.%5.%6.%7"/>
      <w:lvlJc w:val="left"/>
      <w:pPr>
        <w:ind w:left="425" w:hanging="425"/>
      </w:pPr>
      <w:rPr>
        <w:rFonts w:hint="eastAsia"/>
      </w:rPr>
    </w:lvl>
    <w:lvl w:ilvl="7" w:tentative="0">
      <w:start w:val="1"/>
      <w:numFmt w:val="decimal"/>
      <w:lvlText w:val="%1.%2.%3.%4.%5.%6.%7.%8"/>
      <w:lvlJc w:val="left"/>
      <w:pPr>
        <w:ind w:left="425" w:hanging="425"/>
      </w:pPr>
      <w:rPr>
        <w:rFonts w:hint="eastAsia"/>
      </w:rPr>
    </w:lvl>
    <w:lvl w:ilvl="8" w:tentative="0">
      <w:start w:val="1"/>
      <w:numFmt w:val="decimal"/>
      <w:lvlText w:val="%1.%2.%3.%4.%5.%6.%7.%8.%9"/>
      <w:lvlJc w:val="left"/>
      <w:pPr>
        <w:ind w:left="425" w:hanging="425"/>
      </w:pPr>
      <w:rPr>
        <w:rFonts w:hint="eastAsia"/>
      </w:rPr>
    </w:lvl>
  </w:abstractNum>
  <w:abstractNum w:abstractNumId="17">
    <w:nsid w:val="571F03B9"/>
    <w:multiLevelType w:val="multilevel"/>
    <w:tmpl w:val="571F03B9"/>
    <w:lvl w:ilvl="0" w:tentative="0">
      <w:start w:val="1"/>
      <w:numFmt w:val="decimal"/>
      <w:suff w:val="nothing"/>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8">
    <w:nsid w:val="582844BA"/>
    <w:multiLevelType w:val="multilevel"/>
    <w:tmpl w:val="582844BA"/>
    <w:lvl w:ilvl="0" w:tentative="0">
      <w:start w:val="1"/>
      <w:numFmt w:val="decimal"/>
      <w:suff w:val="nothing"/>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9">
    <w:nsid w:val="5AC74DA1"/>
    <w:multiLevelType w:val="multilevel"/>
    <w:tmpl w:val="5AC74DA1"/>
    <w:lvl w:ilvl="0" w:tentative="0">
      <w:start w:val="1"/>
      <w:numFmt w:val="decimal"/>
      <w:suff w:val="nothing"/>
      <w:lvlText w:val="%1."/>
      <w:lvlJc w:val="left"/>
      <w:pPr>
        <w:ind w:left="828" w:hanging="360"/>
      </w:pPr>
      <w:rPr>
        <w:rFonts w:hint="default" w:ascii="Times New Roman" w:hAnsi="Times New Roman" w:cs="Times New Roman"/>
      </w:rPr>
    </w:lvl>
    <w:lvl w:ilvl="1" w:tentative="0">
      <w:start w:val="1"/>
      <w:numFmt w:val="lowerLetter"/>
      <w:lvlText w:val="%2)"/>
      <w:lvlJc w:val="left"/>
      <w:pPr>
        <w:ind w:left="1308" w:hanging="420"/>
      </w:pPr>
      <w:rPr>
        <w:rFonts w:hint="eastAsia"/>
      </w:rPr>
    </w:lvl>
    <w:lvl w:ilvl="2" w:tentative="0">
      <w:start w:val="1"/>
      <w:numFmt w:val="lowerRoman"/>
      <w:lvlText w:val="%3."/>
      <w:lvlJc w:val="right"/>
      <w:pPr>
        <w:ind w:left="1728" w:hanging="420"/>
      </w:pPr>
      <w:rPr>
        <w:rFonts w:hint="eastAsia"/>
      </w:rPr>
    </w:lvl>
    <w:lvl w:ilvl="3" w:tentative="0">
      <w:start w:val="1"/>
      <w:numFmt w:val="decimal"/>
      <w:lvlText w:val="%4."/>
      <w:lvlJc w:val="left"/>
      <w:pPr>
        <w:ind w:left="2148" w:hanging="420"/>
      </w:pPr>
      <w:rPr>
        <w:rFonts w:hint="eastAsia"/>
      </w:rPr>
    </w:lvl>
    <w:lvl w:ilvl="4" w:tentative="0">
      <w:start w:val="1"/>
      <w:numFmt w:val="lowerLetter"/>
      <w:lvlText w:val="%5)"/>
      <w:lvlJc w:val="left"/>
      <w:pPr>
        <w:ind w:left="2568" w:hanging="420"/>
      </w:pPr>
      <w:rPr>
        <w:rFonts w:hint="eastAsia"/>
      </w:rPr>
    </w:lvl>
    <w:lvl w:ilvl="5" w:tentative="0">
      <w:start w:val="1"/>
      <w:numFmt w:val="lowerRoman"/>
      <w:lvlText w:val="%6."/>
      <w:lvlJc w:val="right"/>
      <w:pPr>
        <w:ind w:left="2988" w:hanging="420"/>
      </w:pPr>
      <w:rPr>
        <w:rFonts w:hint="eastAsia"/>
      </w:rPr>
    </w:lvl>
    <w:lvl w:ilvl="6" w:tentative="0">
      <w:start w:val="1"/>
      <w:numFmt w:val="decimal"/>
      <w:lvlText w:val="%7."/>
      <w:lvlJc w:val="left"/>
      <w:pPr>
        <w:ind w:left="3408" w:hanging="420"/>
      </w:pPr>
      <w:rPr>
        <w:rFonts w:hint="eastAsia"/>
      </w:rPr>
    </w:lvl>
    <w:lvl w:ilvl="7" w:tentative="0">
      <w:start w:val="1"/>
      <w:numFmt w:val="lowerLetter"/>
      <w:lvlText w:val="%8)"/>
      <w:lvlJc w:val="left"/>
      <w:pPr>
        <w:ind w:left="3828" w:hanging="420"/>
      </w:pPr>
      <w:rPr>
        <w:rFonts w:hint="eastAsia"/>
      </w:rPr>
    </w:lvl>
    <w:lvl w:ilvl="8" w:tentative="0">
      <w:start w:val="1"/>
      <w:numFmt w:val="lowerRoman"/>
      <w:lvlText w:val="%9."/>
      <w:lvlJc w:val="right"/>
      <w:pPr>
        <w:ind w:left="4248" w:hanging="420"/>
      </w:pPr>
      <w:rPr>
        <w:rFonts w:hint="eastAsia"/>
      </w:rPr>
    </w:lvl>
  </w:abstractNum>
  <w:abstractNum w:abstractNumId="20">
    <w:nsid w:val="71F63070"/>
    <w:multiLevelType w:val="multilevel"/>
    <w:tmpl w:val="71F63070"/>
    <w:lvl w:ilvl="0" w:tentative="0">
      <w:start w:val="1"/>
      <w:numFmt w:val="decimal"/>
      <w:suff w:val="nothing"/>
      <w:lvlText w:val="%1."/>
      <w:lvlJc w:val="left"/>
      <w:pPr>
        <w:ind w:left="828" w:hanging="360"/>
      </w:pPr>
      <w:rPr>
        <w:rFonts w:hint="default"/>
      </w:rPr>
    </w:lvl>
    <w:lvl w:ilvl="1" w:tentative="0">
      <w:start w:val="1"/>
      <w:numFmt w:val="lowerLetter"/>
      <w:lvlText w:val="%2)"/>
      <w:lvlJc w:val="left"/>
      <w:pPr>
        <w:ind w:left="1308" w:hanging="420"/>
      </w:pPr>
      <w:rPr>
        <w:rFonts w:hint="eastAsia"/>
      </w:rPr>
    </w:lvl>
    <w:lvl w:ilvl="2" w:tentative="0">
      <w:start w:val="1"/>
      <w:numFmt w:val="lowerRoman"/>
      <w:lvlText w:val="%3."/>
      <w:lvlJc w:val="right"/>
      <w:pPr>
        <w:ind w:left="1728" w:hanging="420"/>
      </w:pPr>
      <w:rPr>
        <w:rFonts w:hint="eastAsia"/>
      </w:rPr>
    </w:lvl>
    <w:lvl w:ilvl="3" w:tentative="0">
      <w:start w:val="1"/>
      <w:numFmt w:val="decimal"/>
      <w:lvlText w:val="%4."/>
      <w:lvlJc w:val="left"/>
      <w:pPr>
        <w:ind w:left="2148" w:hanging="420"/>
      </w:pPr>
      <w:rPr>
        <w:rFonts w:hint="eastAsia"/>
      </w:rPr>
    </w:lvl>
    <w:lvl w:ilvl="4" w:tentative="0">
      <w:start w:val="1"/>
      <w:numFmt w:val="lowerLetter"/>
      <w:lvlText w:val="%5)"/>
      <w:lvlJc w:val="left"/>
      <w:pPr>
        <w:ind w:left="2568" w:hanging="420"/>
      </w:pPr>
      <w:rPr>
        <w:rFonts w:hint="eastAsia"/>
      </w:rPr>
    </w:lvl>
    <w:lvl w:ilvl="5" w:tentative="0">
      <w:start w:val="1"/>
      <w:numFmt w:val="lowerRoman"/>
      <w:lvlText w:val="%6."/>
      <w:lvlJc w:val="right"/>
      <w:pPr>
        <w:ind w:left="2988" w:hanging="420"/>
      </w:pPr>
      <w:rPr>
        <w:rFonts w:hint="eastAsia"/>
      </w:rPr>
    </w:lvl>
    <w:lvl w:ilvl="6" w:tentative="0">
      <w:start w:val="1"/>
      <w:numFmt w:val="decimal"/>
      <w:lvlText w:val="%7."/>
      <w:lvlJc w:val="left"/>
      <w:pPr>
        <w:ind w:left="3408" w:hanging="420"/>
      </w:pPr>
      <w:rPr>
        <w:rFonts w:hint="eastAsia"/>
      </w:rPr>
    </w:lvl>
    <w:lvl w:ilvl="7" w:tentative="0">
      <w:start w:val="1"/>
      <w:numFmt w:val="lowerLetter"/>
      <w:lvlText w:val="%8)"/>
      <w:lvlJc w:val="left"/>
      <w:pPr>
        <w:ind w:left="3828" w:hanging="420"/>
      </w:pPr>
      <w:rPr>
        <w:rFonts w:hint="eastAsia"/>
      </w:rPr>
    </w:lvl>
    <w:lvl w:ilvl="8" w:tentative="0">
      <w:start w:val="1"/>
      <w:numFmt w:val="lowerRoman"/>
      <w:lvlText w:val="%9."/>
      <w:lvlJc w:val="right"/>
      <w:pPr>
        <w:ind w:left="4248" w:hanging="420"/>
      </w:pPr>
      <w:rPr>
        <w:rFonts w:hint="eastAsia"/>
      </w:rPr>
    </w:lvl>
  </w:abstractNum>
  <w:num w:numId="1">
    <w:abstractNumId w:val="3"/>
  </w:num>
  <w:num w:numId="2">
    <w:abstractNumId w:val="16"/>
  </w:num>
  <w:num w:numId="3">
    <w:abstractNumId w:val="20"/>
  </w:num>
  <w:num w:numId="4">
    <w:abstractNumId w:val="4"/>
  </w:num>
  <w:num w:numId="5">
    <w:abstractNumId w:val="19"/>
  </w:num>
  <w:num w:numId="6">
    <w:abstractNumId w:val="14"/>
  </w:num>
  <w:num w:numId="7">
    <w:abstractNumId w:val="10"/>
  </w:num>
  <w:num w:numId="8">
    <w:abstractNumId w:val="17"/>
  </w:num>
  <w:num w:numId="9">
    <w:abstractNumId w:val="11"/>
  </w:num>
  <w:num w:numId="10">
    <w:abstractNumId w:val="18"/>
  </w:num>
  <w:num w:numId="11">
    <w:abstractNumId w:val="13"/>
  </w:num>
  <w:num w:numId="12">
    <w:abstractNumId w:val="2"/>
  </w:num>
  <w:num w:numId="13">
    <w:abstractNumId w:val="12"/>
  </w:num>
  <w:num w:numId="14">
    <w:abstractNumId w:val="1"/>
  </w:num>
  <w:num w:numId="15">
    <w:abstractNumId w:val="0"/>
  </w:num>
  <w:num w:numId="16">
    <w:abstractNumId w:val="9"/>
  </w:num>
  <w:num w:numId="17">
    <w:abstractNumId w:val="15"/>
  </w:num>
  <w:num w:numId="18">
    <w:abstractNumId w:val="8"/>
  </w:num>
  <w:num w:numId="19">
    <w:abstractNumId w:val="7"/>
  </w:num>
  <w:num w:numId="20">
    <w:abstractNumId w:val="5"/>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2"/>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0"/>
  <w:drawingGridVerticalSpacing w:val="156"/>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U5YTk2NWU3OTRhNTU0YjZlNWE0ODExMjY4YzM0MTgifQ=="/>
  </w:docVars>
  <w:rsids>
    <w:rsidRoot w:val="00172A27"/>
    <w:rsid w:val="0000003F"/>
    <w:rsid w:val="00000602"/>
    <w:rsid w:val="00000E48"/>
    <w:rsid w:val="0000178F"/>
    <w:rsid w:val="000017E1"/>
    <w:rsid w:val="00001E37"/>
    <w:rsid w:val="00002605"/>
    <w:rsid w:val="0000296C"/>
    <w:rsid w:val="00003209"/>
    <w:rsid w:val="000038F2"/>
    <w:rsid w:val="000048B1"/>
    <w:rsid w:val="00004CA6"/>
    <w:rsid w:val="000052ED"/>
    <w:rsid w:val="000054A2"/>
    <w:rsid w:val="000055C2"/>
    <w:rsid w:val="000058C8"/>
    <w:rsid w:val="00007093"/>
    <w:rsid w:val="0000759C"/>
    <w:rsid w:val="00007895"/>
    <w:rsid w:val="00007B04"/>
    <w:rsid w:val="00007BF6"/>
    <w:rsid w:val="00007C64"/>
    <w:rsid w:val="00007F84"/>
    <w:rsid w:val="000111B1"/>
    <w:rsid w:val="000130A8"/>
    <w:rsid w:val="0001346D"/>
    <w:rsid w:val="00013C1A"/>
    <w:rsid w:val="00014107"/>
    <w:rsid w:val="000142AE"/>
    <w:rsid w:val="00014838"/>
    <w:rsid w:val="00015609"/>
    <w:rsid w:val="000159F8"/>
    <w:rsid w:val="00015A34"/>
    <w:rsid w:val="0001670F"/>
    <w:rsid w:val="000169BD"/>
    <w:rsid w:val="00016C3E"/>
    <w:rsid w:val="00016E5A"/>
    <w:rsid w:val="00017580"/>
    <w:rsid w:val="00020659"/>
    <w:rsid w:val="00020976"/>
    <w:rsid w:val="00020D26"/>
    <w:rsid w:val="0002152D"/>
    <w:rsid w:val="00021944"/>
    <w:rsid w:val="0002199A"/>
    <w:rsid w:val="00021A2B"/>
    <w:rsid w:val="00022208"/>
    <w:rsid w:val="000224C5"/>
    <w:rsid w:val="00022EC6"/>
    <w:rsid w:val="000243D0"/>
    <w:rsid w:val="00025433"/>
    <w:rsid w:val="00025C28"/>
    <w:rsid w:val="00025E61"/>
    <w:rsid w:val="00026192"/>
    <w:rsid w:val="00026A08"/>
    <w:rsid w:val="000304A0"/>
    <w:rsid w:val="00030682"/>
    <w:rsid w:val="00030C9B"/>
    <w:rsid w:val="00030CAB"/>
    <w:rsid w:val="00031EBE"/>
    <w:rsid w:val="00031FC9"/>
    <w:rsid w:val="000321BF"/>
    <w:rsid w:val="000323D7"/>
    <w:rsid w:val="00032470"/>
    <w:rsid w:val="00032CA0"/>
    <w:rsid w:val="00032D3E"/>
    <w:rsid w:val="00032ECA"/>
    <w:rsid w:val="0003547B"/>
    <w:rsid w:val="000355FF"/>
    <w:rsid w:val="0003763D"/>
    <w:rsid w:val="00037FB1"/>
    <w:rsid w:val="00040CF8"/>
    <w:rsid w:val="00040EBC"/>
    <w:rsid w:val="00040EEF"/>
    <w:rsid w:val="000410FE"/>
    <w:rsid w:val="00041882"/>
    <w:rsid w:val="00041C77"/>
    <w:rsid w:val="00042137"/>
    <w:rsid w:val="00042259"/>
    <w:rsid w:val="0004274B"/>
    <w:rsid w:val="000433E6"/>
    <w:rsid w:val="00043985"/>
    <w:rsid w:val="00044CBE"/>
    <w:rsid w:val="0004539D"/>
    <w:rsid w:val="00045509"/>
    <w:rsid w:val="000459A9"/>
    <w:rsid w:val="00045A28"/>
    <w:rsid w:val="00045AF8"/>
    <w:rsid w:val="00047356"/>
    <w:rsid w:val="000473FC"/>
    <w:rsid w:val="00047520"/>
    <w:rsid w:val="000478A5"/>
    <w:rsid w:val="000479A7"/>
    <w:rsid w:val="000501A9"/>
    <w:rsid w:val="000508B2"/>
    <w:rsid w:val="00051A4C"/>
    <w:rsid w:val="0005234A"/>
    <w:rsid w:val="00052620"/>
    <w:rsid w:val="00052E63"/>
    <w:rsid w:val="0005364B"/>
    <w:rsid w:val="00053FBA"/>
    <w:rsid w:val="0005430F"/>
    <w:rsid w:val="00054AAC"/>
    <w:rsid w:val="00055263"/>
    <w:rsid w:val="0005582F"/>
    <w:rsid w:val="00055BDA"/>
    <w:rsid w:val="00055C47"/>
    <w:rsid w:val="00056107"/>
    <w:rsid w:val="00056A48"/>
    <w:rsid w:val="00060C4C"/>
    <w:rsid w:val="00060DE4"/>
    <w:rsid w:val="00061719"/>
    <w:rsid w:val="00061D54"/>
    <w:rsid w:val="00062073"/>
    <w:rsid w:val="00062108"/>
    <w:rsid w:val="00062439"/>
    <w:rsid w:val="0006246B"/>
    <w:rsid w:val="00062654"/>
    <w:rsid w:val="0006277A"/>
    <w:rsid w:val="0006289B"/>
    <w:rsid w:val="00062C2D"/>
    <w:rsid w:val="00062C7D"/>
    <w:rsid w:val="00063FA4"/>
    <w:rsid w:val="000648CA"/>
    <w:rsid w:val="00064C9D"/>
    <w:rsid w:val="00064E97"/>
    <w:rsid w:val="000652B8"/>
    <w:rsid w:val="0006551A"/>
    <w:rsid w:val="0006584B"/>
    <w:rsid w:val="0006589D"/>
    <w:rsid w:val="00065AAE"/>
    <w:rsid w:val="00065C89"/>
    <w:rsid w:val="00065DB2"/>
    <w:rsid w:val="00067054"/>
    <w:rsid w:val="00067333"/>
    <w:rsid w:val="00067494"/>
    <w:rsid w:val="00070551"/>
    <w:rsid w:val="000707DC"/>
    <w:rsid w:val="0007098E"/>
    <w:rsid w:val="000709A4"/>
    <w:rsid w:val="00070AD5"/>
    <w:rsid w:val="00072003"/>
    <w:rsid w:val="00072230"/>
    <w:rsid w:val="000726A5"/>
    <w:rsid w:val="00072892"/>
    <w:rsid w:val="000736A1"/>
    <w:rsid w:val="00073E89"/>
    <w:rsid w:val="000742C9"/>
    <w:rsid w:val="00074682"/>
    <w:rsid w:val="000748CD"/>
    <w:rsid w:val="00075857"/>
    <w:rsid w:val="00075C8E"/>
    <w:rsid w:val="00076312"/>
    <w:rsid w:val="000769F2"/>
    <w:rsid w:val="00077883"/>
    <w:rsid w:val="00077C1C"/>
    <w:rsid w:val="00077D95"/>
    <w:rsid w:val="00077F20"/>
    <w:rsid w:val="0008033A"/>
    <w:rsid w:val="00082500"/>
    <w:rsid w:val="0008258A"/>
    <w:rsid w:val="00082B2E"/>
    <w:rsid w:val="00083058"/>
    <w:rsid w:val="000832EC"/>
    <w:rsid w:val="000833CB"/>
    <w:rsid w:val="000834A6"/>
    <w:rsid w:val="00083FC6"/>
    <w:rsid w:val="00085C8F"/>
    <w:rsid w:val="00085DFE"/>
    <w:rsid w:val="00086A8A"/>
    <w:rsid w:val="00086FEB"/>
    <w:rsid w:val="000877FF"/>
    <w:rsid w:val="000878DC"/>
    <w:rsid w:val="00090565"/>
    <w:rsid w:val="000909B1"/>
    <w:rsid w:val="00090A5A"/>
    <w:rsid w:val="000911BD"/>
    <w:rsid w:val="000911E9"/>
    <w:rsid w:val="000915CB"/>
    <w:rsid w:val="00091886"/>
    <w:rsid w:val="000919A7"/>
    <w:rsid w:val="000920F3"/>
    <w:rsid w:val="000925F9"/>
    <w:rsid w:val="00092620"/>
    <w:rsid w:val="000926AE"/>
    <w:rsid w:val="0009393B"/>
    <w:rsid w:val="00093AAC"/>
    <w:rsid w:val="00094DBF"/>
    <w:rsid w:val="00095085"/>
    <w:rsid w:val="00095956"/>
    <w:rsid w:val="0009623B"/>
    <w:rsid w:val="00096679"/>
    <w:rsid w:val="000968A3"/>
    <w:rsid w:val="00097C48"/>
    <w:rsid w:val="000A01B5"/>
    <w:rsid w:val="000A0361"/>
    <w:rsid w:val="000A16CC"/>
    <w:rsid w:val="000A19A3"/>
    <w:rsid w:val="000A20F2"/>
    <w:rsid w:val="000A2339"/>
    <w:rsid w:val="000A34E7"/>
    <w:rsid w:val="000A3649"/>
    <w:rsid w:val="000A3F54"/>
    <w:rsid w:val="000A6299"/>
    <w:rsid w:val="000A6A06"/>
    <w:rsid w:val="000A6C9C"/>
    <w:rsid w:val="000A7051"/>
    <w:rsid w:val="000A7677"/>
    <w:rsid w:val="000A7BE8"/>
    <w:rsid w:val="000A7D02"/>
    <w:rsid w:val="000B0BBD"/>
    <w:rsid w:val="000B1CC0"/>
    <w:rsid w:val="000B1D7B"/>
    <w:rsid w:val="000B25B5"/>
    <w:rsid w:val="000B263E"/>
    <w:rsid w:val="000B3062"/>
    <w:rsid w:val="000B3091"/>
    <w:rsid w:val="000B3E5C"/>
    <w:rsid w:val="000B41D6"/>
    <w:rsid w:val="000B4317"/>
    <w:rsid w:val="000B46C8"/>
    <w:rsid w:val="000B4F82"/>
    <w:rsid w:val="000B5213"/>
    <w:rsid w:val="000B527F"/>
    <w:rsid w:val="000B5561"/>
    <w:rsid w:val="000B63AE"/>
    <w:rsid w:val="000B6FF5"/>
    <w:rsid w:val="000B711C"/>
    <w:rsid w:val="000B7B0B"/>
    <w:rsid w:val="000C016F"/>
    <w:rsid w:val="000C1902"/>
    <w:rsid w:val="000C1A27"/>
    <w:rsid w:val="000C1D63"/>
    <w:rsid w:val="000C2163"/>
    <w:rsid w:val="000C2674"/>
    <w:rsid w:val="000C26EE"/>
    <w:rsid w:val="000C2700"/>
    <w:rsid w:val="000C3EDF"/>
    <w:rsid w:val="000C49FC"/>
    <w:rsid w:val="000C4E8D"/>
    <w:rsid w:val="000C52EA"/>
    <w:rsid w:val="000C5751"/>
    <w:rsid w:val="000C5F24"/>
    <w:rsid w:val="000C770E"/>
    <w:rsid w:val="000C7CFB"/>
    <w:rsid w:val="000C7EF5"/>
    <w:rsid w:val="000C7F4F"/>
    <w:rsid w:val="000D0791"/>
    <w:rsid w:val="000D0A24"/>
    <w:rsid w:val="000D0A62"/>
    <w:rsid w:val="000D15DF"/>
    <w:rsid w:val="000D1895"/>
    <w:rsid w:val="000D1B2A"/>
    <w:rsid w:val="000D21EB"/>
    <w:rsid w:val="000D2229"/>
    <w:rsid w:val="000D2BE2"/>
    <w:rsid w:val="000D2F26"/>
    <w:rsid w:val="000D4C79"/>
    <w:rsid w:val="000D5D02"/>
    <w:rsid w:val="000D5E05"/>
    <w:rsid w:val="000D66EE"/>
    <w:rsid w:val="000D6885"/>
    <w:rsid w:val="000D77E1"/>
    <w:rsid w:val="000D7F6C"/>
    <w:rsid w:val="000E0D4F"/>
    <w:rsid w:val="000E1A84"/>
    <w:rsid w:val="000E22BC"/>
    <w:rsid w:val="000E357E"/>
    <w:rsid w:val="000E38B1"/>
    <w:rsid w:val="000E47B4"/>
    <w:rsid w:val="000E48F4"/>
    <w:rsid w:val="000E4BEB"/>
    <w:rsid w:val="000E51A9"/>
    <w:rsid w:val="000E577A"/>
    <w:rsid w:val="000E7713"/>
    <w:rsid w:val="000E77B4"/>
    <w:rsid w:val="000F0041"/>
    <w:rsid w:val="000F036F"/>
    <w:rsid w:val="000F0530"/>
    <w:rsid w:val="000F0F10"/>
    <w:rsid w:val="000F1472"/>
    <w:rsid w:val="000F23BD"/>
    <w:rsid w:val="000F2C45"/>
    <w:rsid w:val="000F3303"/>
    <w:rsid w:val="000F35F3"/>
    <w:rsid w:val="000F3709"/>
    <w:rsid w:val="000F3729"/>
    <w:rsid w:val="000F3AC3"/>
    <w:rsid w:val="000F4176"/>
    <w:rsid w:val="000F4585"/>
    <w:rsid w:val="000F4B25"/>
    <w:rsid w:val="000F6534"/>
    <w:rsid w:val="000F6F9A"/>
    <w:rsid w:val="000F6FAD"/>
    <w:rsid w:val="000F72E2"/>
    <w:rsid w:val="000F7733"/>
    <w:rsid w:val="000F786F"/>
    <w:rsid w:val="0010024B"/>
    <w:rsid w:val="00100B2C"/>
    <w:rsid w:val="001023A8"/>
    <w:rsid w:val="00102AC3"/>
    <w:rsid w:val="0010311D"/>
    <w:rsid w:val="00103825"/>
    <w:rsid w:val="001038DA"/>
    <w:rsid w:val="0010399C"/>
    <w:rsid w:val="0010441C"/>
    <w:rsid w:val="00105513"/>
    <w:rsid w:val="00105A8C"/>
    <w:rsid w:val="00106E7B"/>
    <w:rsid w:val="00107007"/>
    <w:rsid w:val="0010784A"/>
    <w:rsid w:val="00107BF3"/>
    <w:rsid w:val="0011050F"/>
    <w:rsid w:val="001108EE"/>
    <w:rsid w:val="001109EE"/>
    <w:rsid w:val="0011140A"/>
    <w:rsid w:val="001115B6"/>
    <w:rsid w:val="001115C6"/>
    <w:rsid w:val="00111ABC"/>
    <w:rsid w:val="00111EEF"/>
    <w:rsid w:val="001126B0"/>
    <w:rsid w:val="00113236"/>
    <w:rsid w:val="00113DD8"/>
    <w:rsid w:val="00113E17"/>
    <w:rsid w:val="00114B82"/>
    <w:rsid w:val="00115245"/>
    <w:rsid w:val="00115C26"/>
    <w:rsid w:val="00115ECB"/>
    <w:rsid w:val="00116A42"/>
    <w:rsid w:val="00117392"/>
    <w:rsid w:val="00117837"/>
    <w:rsid w:val="00117B9F"/>
    <w:rsid w:val="00117F97"/>
    <w:rsid w:val="00120988"/>
    <w:rsid w:val="00121041"/>
    <w:rsid w:val="00121E6A"/>
    <w:rsid w:val="00122EF8"/>
    <w:rsid w:val="001232D1"/>
    <w:rsid w:val="001238AE"/>
    <w:rsid w:val="00123B03"/>
    <w:rsid w:val="00123F52"/>
    <w:rsid w:val="00124159"/>
    <w:rsid w:val="00125182"/>
    <w:rsid w:val="0012549D"/>
    <w:rsid w:val="0012598A"/>
    <w:rsid w:val="00125ABC"/>
    <w:rsid w:val="001263EE"/>
    <w:rsid w:val="0012648D"/>
    <w:rsid w:val="001268E7"/>
    <w:rsid w:val="001268FB"/>
    <w:rsid w:val="00126C44"/>
    <w:rsid w:val="00126EDD"/>
    <w:rsid w:val="001308CE"/>
    <w:rsid w:val="00130963"/>
    <w:rsid w:val="001310A9"/>
    <w:rsid w:val="00131198"/>
    <w:rsid w:val="0013156D"/>
    <w:rsid w:val="00131D68"/>
    <w:rsid w:val="0013221E"/>
    <w:rsid w:val="0013256D"/>
    <w:rsid w:val="00132775"/>
    <w:rsid w:val="001327BE"/>
    <w:rsid w:val="00133F3E"/>
    <w:rsid w:val="0013439A"/>
    <w:rsid w:val="00134512"/>
    <w:rsid w:val="00134ACE"/>
    <w:rsid w:val="00134BFA"/>
    <w:rsid w:val="00136B15"/>
    <w:rsid w:val="001375D8"/>
    <w:rsid w:val="00137DF7"/>
    <w:rsid w:val="00140219"/>
    <w:rsid w:val="00140887"/>
    <w:rsid w:val="00140F38"/>
    <w:rsid w:val="00140FA8"/>
    <w:rsid w:val="00141380"/>
    <w:rsid w:val="0014217D"/>
    <w:rsid w:val="00142C73"/>
    <w:rsid w:val="00143106"/>
    <w:rsid w:val="00143406"/>
    <w:rsid w:val="00143519"/>
    <w:rsid w:val="00143646"/>
    <w:rsid w:val="00143D20"/>
    <w:rsid w:val="00144291"/>
    <w:rsid w:val="00144387"/>
    <w:rsid w:val="001445EB"/>
    <w:rsid w:val="0014494C"/>
    <w:rsid w:val="001449AF"/>
    <w:rsid w:val="00144A71"/>
    <w:rsid w:val="00145837"/>
    <w:rsid w:val="00146055"/>
    <w:rsid w:val="00146261"/>
    <w:rsid w:val="00146A03"/>
    <w:rsid w:val="0014732D"/>
    <w:rsid w:val="001505D8"/>
    <w:rsid w:val="00151551"/>
    <w:rsid w:val="00151EBA"/>
    <w:rsid w:val="00152135"/>
    <w:rsid w:val="001529B8"/>
    <w:rsid w:val="00154DF7"/>
    <w:rsid w:val="00155D24"/>
    <w:rsid w:val="00156640"/>
    <w:rsid w:val="00156C1E"/>
    <w:rsid w:val="00157057"/>
    <w:rsid w:val="001579E4"/>
    <w:rsid w:val="00157DBB"/>
    <w:rsid w:val="00157E2B"/>
    <w:rsid w:val="001608D4"/>
    <w:rsid w:val="00160D3C"/>
    <w:rsid w:val="00161870"/>
    <w:rsid w:val="00162511"/>
    <w:rsid w:val="001625DA"/>
    <w:rsid w:val="00162DDD"/>
    <w:rsid w:val="001638A4"/>
    <w:rsid w:val="00163A24"/>
    <w:rsid w:val="00164154"/>
    <w:rsid w:val="001646A2"/>
    <w:rsid w:val="00164B3A"/>
    <w:rsid w:val="00164BB2"/>
    <w:rsid w:val="00164D15"/>
    <w:rsid w:val="001650E6"/>
    <w:rsid w:val="00165887"/>
    <w:rsid w:val="00165B8C"/>
    <w:rsid w:val="00166001"/>
    <w:rsid w:val="00166312"/>
    <w:rsid w:val="00166341"/>
    <w:rsid w:val="001665A4"/>
    <w:rsid w:val="00167015"/>
    <w:rsid w:val="0016730A"/>
    <w:rsid w:val="0017047C"/>
    <w:rsid w:val="001706B0"/>
    <w:rsid w:val="00170B74"/>
    <w:rsid w:val="00170E05"/>
    <w:rsid w:val="00171835"/>
    <w:rsid w:val="00172A27"/>
    <w:rsid w:val="00172ED1"/>
    <w:rsid w:val="00173344"/>
    <w:rsid w:val="00173497"/>
    <w:rsid w:val="00173983"/>
    <w:rsid w:val="00173C93"/>
    <w:rsid w:val="00173F71"/>
    <w:rsid w:val="00174556"/>
    <w:rsid w:val="00174649"/>
    <w:rsid w:val="00174929"/>
    <w:rsid w:val="00174A6D"/>
    <w:rsid w:val="00175265"/>
    <w:rsid w:val="00176064"/>
    <w:rsid w:val="00177329"/>
    <w:rsid w:val="00177629"/>
    <w:rsid w:val="00177BC3"/>
    <w:rsid w:val="00177D5E"/>
    <w:rsid w:val="0018193C"/>
    <w:rsid w:val="00182385"/>
    <w:rsid w:val="00183376"/>
    <w:rsid w:val="00183646"/>
    <w:rsid w:val="00183776"/>
    <w:rsid w:val="00184DCD"/>
    <w:rsid w:val="001858C5"/>
    <w:rsid w:val="00185E2F"/>
    <w:rsid w:val="00185EED"/>
    <w:rsid w:val="00185F9A"/>
    <w:rsid w:val="00186480"/>
    <w:rsid w:val="0018657E"/>
    <w:rsid w:val="00187B4A"/>
    <w:rsid w:val="00187FCD"/>
    <w:rsid w:val="00190690"/>
    <w:rsid w:val="00190B20"/>
    <w:rsid w:val="00191790"/>
    <w:rsid w:val="00192DAB"/>
    <w:rsid w:val="00192DFF"/>
    <w:rsid w:val="0019347A"/>
    <w:rsid w:val="00193A69"/>
    <w:rsid w:val="00194D77"/>
    <w:rsid w:val="00194E5C"/>
    <w:rsid w:val="00195A68"/>
    <w:rsid w:val="00195FDC"/>
    <w:rsid w:val="00196222"/>
    <w:rsid w:val="00196298"/>
    <w:rsid w:val="001966E4"/>
    <w:rsid w:val="00196DBE"/>
    <w:rsid w:val="0019761E"/>
    <w:rsid w:val="001A00C2"/>
    <w:rsid w:val="001A06FC"/>
    <w:rsid w:val="001A12A3"/>
    <w:rsid w:val="001A1CC2"/>
    <w:rsid w:val="001A1F38"/>
    <w:rsid w:val="001A20A7"/>
    <w:rsid w:val="001A27DE"/>
    <w:rsid w:val="001A29EA"/>
    <w:rsid w:val="001A2DA5"/>
    <w:rsid w:val="001A2E00"/>
    <w:rsid w:val="001A3240"/>
    <w:rsid w:val="001A3972"/>
    <w:rsid w:val="001A3D61"/>
    <w:rsid w:val="001A431E"/>
    <w:rsid w:val="001A52B1"/>
    <w:rsid w:val="001A56CC"/>
    <w:rsid w:val="001A56D9"/>
    <w:rsid w:val="001A5DD6"/>
    <w:rsid w:val="001A61E2"/>
    <w:rsid w:val="001A6B64"/>
    <w:rsid w:val="001A6BAF"/>
    <w:rsid w:val="001A6E9C"/>
    <w:rsid w:val="001B106F"/>
    <w:rsid w:val="001B1836"/>
    <w:rsid w:val="001B2028"/>
    <w:rsid w:val="001B2770"/>
    <w:rsid w:val="001B2F5B"/>
    <w:rsid w:val="001B3C6A"/>
    <w:rsid w:val="001B3F90"/>
    <w:rsid w:val="001B4943"/>
    <w:rsid w:val="001B526C"/>
    <w:rsid w:val="001B5836"/>
    <w:rsid w:val="001B5E20"/>
    <w:rsid w:val="001B5E75"/>
    <w:rsid w:val="001B61E5"/>
    <w:rsid w:val="001B6DD4"/>
    <w:rsid w:val="001B6F7F"/>
    <w:rsid w:val="001B7D3A"/>
    <w:rsid w:val="001C012F"/>
    <w:rsid w:val="001C0CC7"/>
    <w:rsid w:val="001C1381"/>
    <w:rsid w:val="001C19D7"/>
    <w:rsid w:val="001C1D6C"/>
    <w:rsid w:val="001C2871"/>
    <w:rsid w:val="001C2ACC"/>
    <w:rsid w:val="001C2B18"/>
    <w:rsid w:val="001C2DB5"/>
    <w:rsid w:val="001C337A"/>
    <w:rsid w:val="001C354B"/>
    <w:rsid w:val="001C3CC1"/>
    <w:rsid w:val="001C3F8F"/>
    <w:rsid w:val="001C52F2"/>
    <w:rsid w:val="001C56C9"/>
    <w:rsid w:val="001C5D58"/>
    <w:rsid w:val="001C6002"/>
    <w:rsid w:val="001C6388"/>
    <w:rsid w:val="001C6E53"/>
    <w:rsid w:val="001D0973"/>
    <w:rsid w:val="001D0AAB"/>
    <w:rsid w:val="001D33F7"/>
    <w:rsid w:val="001D4973"/>
    <w:rsid w:val="001D4BA9"/>
    <w:rsid w:val="001D4C2C"/>
    <w:rsid w:val="001D59FB"/>
    <w:rsid w:val="001D5D50"/>
    <w:rsid w:val="001D5FFE"/>
    <w:rsid w:val="001D7362"/>
    <w:rsid w:val="001D7F86"/>
    <w:rsid w:val="001E0039"/>
    <w:rsid w:val="001E0853"/>
    <w:rsid w:val="001E1638"/>
    <w:rsid w:val="001E1AF5"/>
    <w:rsid w:val="001E1B56"/>
    <w:rsid w:val="001E1F8C"/>
    <w:rsid w:val="001E2F20"/>
    <w:rsid w:val="001E31C9"/>
    <w:rsid w:val="001E35D1"/>
    <w:rsid w:val="001E439C"/>
    <w:rsid w:val="001E4CDD"/>
    <w:rsid w:val="001E4E33"/>
    <w:rsid w:val="001E50F0"/>
    <w:rsid w:val="001E5296"/>
    <w:rsid w:val="001E584A"/>
    <w:rsid w:val="001E5F48"/>
    <w:rsid w:val="001E63C3"/>
    <w:rsid w:val="001E66E6"/>
    <w:rsid w:val="001E6A27"/>
    <w:rsid w:val="001E7611"/>
    <w:rsid w:val="001E7AF5"/>
    <w:rsid w:val="001E7E67"/>
    <w:rsid w:val="001F06C7"/>
    <w:rsid w:val="001F10E3"/>
    <w:rsid w:val="001F1D1A"/>
    <w:rsid w:val="001F2ADA"/>
    <w:rsid w:val="001F2E7D"/>
    <w:rsid w:val="001F3010"/>
    <w:rsid w:val="001F4299"/>
    <w:rsid w:val="001F4569"/>
    <w:rsid w:val="001F52E7"/>
    <w:rsid w:val="001F5AA1"/>
    <w:rsid w:val="001F6488"/>
    <w:rsid w:val="001F6A49"/>
    <w:rsid w:val="001F7333"/>
    <w:rsid w:val="001F7428"/>
    <w:rsid w:val="001F7E5C"/>
    <w:rsid w:val="00200280"/>
    <w:rsid w:val="002016EB"/>
    <w:rsid w:val="00201E8C"/>
    <w:rsid w:val="00202754"/>
    <w:rsid w:val="00202D42"/>
    <w:rsid w:val="00203219"/>
    <w:rsid w:val="00203488"/>
    <w:rsid w:val="00203EDB"/>
    <w:rsid w:val="002040FD"/>
    <w:rsid w:val="00204433"/>
    <w:rsid w:val="00204A15"/>
    <w:rsid w:val="002068FF"/>
    <w:rsid w:val="00206977"/>
    <w:rsid w:val="00207F52"/>
    <w:rsid w:val="00207FF8"/>
    <w:rsid w:val="00210AFA"/>
    <w:rsid w:val="00211E5D"/>
    <w:rsid w:val="0021246E"/>
    <w:rsid w:val="0021270D"/>
    <w:rsid w:val="002139C9"/>
    <w:rsid w:val="00213A79"/>
    <w:rsid w:val="00215ECD"/>
    <w:rsid w:val="00216191"/>
    <w:rsid w:val="002165A2"/>
    <w:rsid w:val="00220EDE"/>
    <w:rsid w:val="0022117D"/>
    <w:rsid w:val="0022185A"/>
    <w:rsid w:val="00221D60"/>
    <w:rsid w:val="00221F81"/>
    <w:rsid w:val="00222144"/>
    <w:rsid w:val="0022246E"/>
    <w:rsid w:val="00222B14"/>
    <w:rsid w:val="00222FBC"/>
    <w:rsid w:val="00223506"/>
    <w:rsid w:val="002235D6"/>
    <w:rsid w:val="00223E28"/>
    <w:rsid w:val="00224475"/>
    <w:rsid w:val="00224484"/>
    <w:rsid w:val="00224B65"/>
    <w:rsid w:val="0022520B"/>
    <w:rsid w:val="00225C94"/>
    <w:rsid w:val="00225D2C"/>
    <w:rsid w:val="00225F7F"/>
    <w:rsid w:val="0022674C"/>
    <w:rsid w:val="00227299"/>
    <w:rsid w:val="002272FD"/>
    <w:rsid w:val="00230492"/>
    <w:rsid w:val="00231C44"/>
    <w:rsid w:val="00232180"/>
    <w:rsid w:val="00232420"/>
    <w:rsid w:val="00232635"/>
    <w:rsid w:val="00233DE9"/>
    <w:rsid w:val="00234601"/>
    <w:rsid w:val="002346A1"/>
    <w:rsid w:val="002349A0"/>
    <w:rsid w:val="00234B09"/>
    <w:rsid w:val="00235AC8"/>
    <w:rsid w:val="00236682"/>
    <w:rsid w:val="00236771"/>
    <w:rsid w:val="002368B4"/>
    <w:rsid w:val="002377EF"/>
    <w:rsid w:val="00237B5B"/>
    <w:rsid w:val="00237DA9"/>
    <w:rsid w:val="00240034"/>
    <w:rsid w:val="002408A5"/>
    <w:rsid w:val="0024090D"/>
    <w:rsid w:val="00240F04"/>
    <w:rsid w:val="00240F2B"/>
    <w:rsid w:val="00240FB7"/>
    <w:rsid w:val="0024142B"/>
    <w:rsid w:val="002417F7"/>
    <w:rsid w:val="00241878"/>
    <w:rsid w:val="00241893"/>
    <w:rsid w:val="00241E56"/>
    <w:rsid w:val="002424F0"/>
    <w:rsid w:val="002426AD"/>
    <w:rsid w:val="00243697"/>
    <w:rsid w:val="00243A92"/>
    <w:rsid w:val="002442C1"/>
    <w:rsid w:val="00244A22"/>
    <w:rsid w:val="00244C76"/>
    <w:rsid w:val="00246049"/>
    <w:rsid w:val="002462F4"/>
    <w:rsid w:val="0024705D"/>
    <w:rsid w:val="00247C00"/>
    <w:rsid w:val="00250010"/>
    <w:rsid w:val="002511EB"/>
    <w:rsid w:val="00251934"/>
    <w:rsid w:val="00251D7B"/>
    <w:rsid w:val="00251F39"/>
    <w:rsid w:val="002520A1"/>
    <w:rsid w:val="002527A8"/>
    <w:rsid w:val="0025296E"/>
    <w:rsid w:val="00253079"/>
    <w:rsid w:val="0025368B"/>
    <w:rsid w:val="00255214"/>
    <w:rsid w:val="00255B46"/>
    <w:rsid w:val="00255F10"/>
    <w:rsid w:val="002561D2"/>
    <w:rsid w:val="002568BF"/>
    <w:rsid w:val="00256FC7"/>
    <w:rsid w:val="00257986"/>
    <w:rsid w:val="00257C03"/>
    <w:rsid w:val="00257CE6"/>
    <w:rsid w:val="00257D14"/>
    <w:rsid w:val="00257EC6"/>
    <w:rsid w:val="002603E4"/>
    <w:rsid w:val="0026055E"/>
    <w:rsid w:val="00260D9C"/>
    <w:rsid w:val="00260F66"/>
    <w:rsid w:val="0026115E"/>
    <w:rsid w:val="002611C5"/>
    <w:rsid w:val="00262086"/>
    <w:rsid w:val="002620AA"/>
    <w:rsid w:val="0026362F"/>
    <w:rsid w:val="00263C39"/>
    <w:rsid w:val="00263F47"/>
    <w:rsid w:val="002647DC"/>
    <w:rsid w:val="002649CA"/>
    <w:rsid w:val="00264E10"/>
    <w:rsid w:val="00264FCD"/>
    <w:rsid w:val="00265BA0"/>
    <w:rsid w:val="00266291"/>
    <w:rsid w:val="002666CB"/>
    <w:rsid w:val="0026703C"/>
    <w:rsid w:val="0026779C"/>
    <w:rsid w:val="0026785C"/>
    <w:rsid w:val="00267DB6"/>
    <w:rsid w:val="00267E1F"/>
    <w:rsid w:val="002700CC"/>
    <w:rsid w:val="00270798"/>
    <w:rsid w:val="00270C2D"/>
    <w:rsid w:val="00270FF3"/>
    <w:rsid w:val="00272B75"/>
    <w:rsid w:val="002733D4"/>
    <w:rsid w:val="00273E88"/>
    <w:rsid w:val="00273EB8"/>
    <w:rsid w:val="00273EDF"/>
    <w:rsid w:val="002740C0"/>
    <w:rsid w:val="00274433"/>
    <w:rsid w:val="00274CD9"/>
    <w:rsid w:val="0027531A"/>
    <w:rsid w:val="002757C3"/>
    <w:rsid w:val="0027678C"/>
    <w:rsid w:val="002777FA"/>
    <w:rsid w:val="002806F5"/>
    <w:rsid w:val="0028115B"/>
    <w:rsid w:val="00281188"/>
    <w:rsid w:val="00281256"/>
    <w:rsid w:val="002818D1"/>
    <w:rsid w:val="00282C12"/>
    <w:rsid w:val="00284C2D"/>
    <w:rsid w:val="0028517B"/>
    <w:rsid w:val="002852F2"/>
    <w:rsid w:val="00286250"/>
    <w:rsid w:val="0028678C"/>
    <w:rsid w:val="00290390"/>
    <w:rsid w:val="00290B6F"/>
    <w:rsid w:val="002915EC"/>
    <w:rsid w:val="0029190D"/>
    <w:rsid w:val="0029191B"/>
    <w:rsid w:val="00291E64"/>
    <w:rsid w:val="002934DA"/>
    <w:rsid w:val="002938DC"/>
    <w:rsid w:val="00293A3D"/>
    <w:rsid w:val="00294989"/>
    <w:rsid w:val="00295935"/>
    <w:rsid w:val="00295A1D"/>
    <w:rsid w:val="00295B15"/>
    <w:rsid w:val="00295B7D"/>
    <w:rsid w:val="0029613B"/>
    <w:rsid w:val="00296308"/>
    <w:rsid w:val="00297251"/>
    <w:rsid w:val="002A05F3"/>
    <w:rsid w:val="002A0E8A"/>
    <w:rsid w:val="002A267E"/>
    <w:rsid w:val="002A272D"/>
    <w:rsid w:val="002A2AF4"/>
    <w:rsid w:val="002A3370"/>
    <w:rsid w:val="002A386E"/>
    <w:rsid w:val="002A4479"/>
    <w:rsid w:val="002A45B4"/>
    <w:rsid w:val="002A4750"/>
    <w:rsid w:val="002A4AC6"/>
    <w:rsid w:val="002A4BA7"/>
    <w:rsid w:val="002A4D34"/>
    <w:rsid w:val="002A655C"/>
    <w:rsid w:val="002A6B25"/>
    <w:rsid w:val="002A7FA0"/>
    <w:rsid w:val="002B0912"/>
    <w:rsid w:val="002B1A5B"/>
    <w:rsid w:val="002B1B62"/>
    <w:rsid w:val="002B1C97"/>
    <w:rsid w:val="002B2189"/>
    <w:rsid w:val="002B22DD"/>
    <w:rsid w:val="002B3020"/>
    <w:rsid w:val="002B33B2"/>
    <w:rsid w:val="002B343A"/>
    <w:rsid w:val="002B4B28"/>
    <w:rsid w:val="002B5241"/>
    <w:rsid w:val="002B5253"/>
    <w:rsid w:val="002B597F"/>
    <w:rsid w:val="002B5DD0"/>
    <w:rsid w:val="002B6795"/>
    <w:rsid w:val="002B6F05"/>
    <w:rsid w:val="002B701D"/>
    <w:rsid w:val="002B707D"/>
    <w:rsid w:val="002B71FD"/>
    <w:rsid w:val="002B7595"/>
    <w:rsid w:val="002B7924"/>
    <w:rsid w:val="002C03EB"/>
    <w:rsid w:val="002C0C3C"/>
    <w:rsid w:val="002C0E88"/>
    <w:rsid w:val="002C12A4"/>
    <w:rsid w:val="002C12BE"/>
    <w:rsid w:val="002C1365"/>
    <w:rsid w:val="002C1AAA"/>
    <w:rsid w:val="002C242C"/>
    <w:rsid w:val="002C295B"/>
    <w:rsid w:val="002C375C"/>
    <w:rsid w:val="002C4203"/>
    <w:rsid w:val="002C4AFF"/>
    <w:rsid w:val="002C4BB0"/>
    <w:rsid w:val="002C5199"/>
    <w:rsid w:val="002C5A2F"/>
    <w:rsid w:val="002C5C39"/>
    <w:rsid w:val="002C7B38"/>
    <w:rsid w:val="002D03A9"/>
    <w:rsid w:val="002D088D"/>
    <w:rsid w:val="002D0A38"/>
    <w:rsid w:val="002D0F95"/>
    <w:rsid w:val="002D18BC"/>
    <w:rsid w:val="002D1B27"/>
    <w:rsid w:val="002D3A09"/>
    <w:rsid w:val="002D3DBB"/>
    <w:rsid w:val="002D413A"/>
    <w:rsid w:val="002D4208"/>
    <w:rsid w:val="002D4602"/>
    <w:rsid w:val="002D4B5B"/>
    <w:rsid w:val="002D4CF6"/>
    <w:rsid w:val="002D4FD8"/>
    <w:rsid w:val="002D5A03"/>
    <w:rsid w:val="002D5E2F"/>
    <w:rsid w:val="002D669C"/>
    <w:rsid w:val="002D7CB0"/>
    <w:rsid w:val="002E0A84"/>
    <w:rsid w:val="002E10C5"/>
    <w:rsid w:val="002E1717"/>
    <w:rsid w:val="002E176D"/>
    <w:rsid w:val="002E191E"/>
    <w:rsid w:val="002E1B9B"/>
    <w:rsid w:val="002E1C01"/>
    <w:rsid w:val="002E1E03"/>
    <w:rsid w:val="002E250F"/>
    <w:rsid w:val="002E28B0"/>
    <w:rsid w:val="002E2C65"/>
    <w:rsid w:val="002E2C8D"/>
    <w:rsid w:val="002E3C81"/>
    <w:rsid w:val="002E657A"/>
    <w:rsid w:val="002E66FC"/>
    <w:rsid w:val="002E6BC9"/>
    <w:rsid w:val="002E7BA9"/>
    <w:rsid w:val="002F0070"/>
    <w:rsid w:val="002F0579"/>
    <w:rsid w:val="002F0854"/>
    <w:rsid w:val="002F0EBC"/>
    <w:rsid w:val="002F16BE"/>
    <w:rsid w:val="002F1D1D"/>
    <w:rsid w:val="002F1EA1"/>
    <w:rsid w:val="002F2178"/>
    <w:rsid w:val="002F51C2"/>
    <w:rsid w:val="002F53C3"/>
    <w:rsid w:val="002F60E6"/>
    <w:rsid w:val="002F7F4A"/>
    <w:rsid w:val="00300332"/>
    <w:rsid w:val="00301116"/>
    <w:rsid w:val="00301436"/>
    <w:rsid w:val="003022FC"/>
    <w:rsid w:val="00302451"/>
    <w:rsid w:val="00302607"/>
    <w:rsid w:val="00302A0A"/>
    <w:rsid w:val="00303694"/>
    <w:rsid w:val="00304337"/>
    <w:rsid w:val="003057FD"/>
    <w:rsid w:val="00306847"/>
    <w:rsid w:val="00306F68"/>
    <w:rsid w:val="0030767F"/>
    <w:rsid w:val="003079F3"/>
    <w:rsid w:val="0031057B"/>
    <w:rsid w:val="00310E2E"/>
    <w:rsid w:val="00310E47"/>
    <w:rsid w:val="003110E8"/>
    <w:rsid w:val="00311A80"/>
    <w:rsid w:val="00311F38"/>
    <w:rsid w:val="0031285D"/>
    <w:rsid w:val="00312B57"/>
    <w:rsid w:val="003132A7"/>
    <w:rsid w:val="003137B3"/>
    <w:rsid w:val="00314623"/>
    <w:rsid w:val="003148D4"/>
    <w:rsid w:val="00314907"/>
    <w:rsid w:val="00314F83"/>
    <w:rsid w:val="00315219"/>
    <w:rsid w:val="0031528E"/>
    <w:rsid w:val="0031536E"/>
    <w:rsid w:val="00315477"/>
    <w:rsid w:val="00315BCD"/>
    <w:rsid w:val="00315C37"/>
    <w:rsid w:val="00316C9E"/>
    <w:rsid w:val="00316F64"/>
    <w:rsid w:val="00316FAB"/>
    <w:rsid w:val="00317CA4"/>
    <w:rsid w:val="0032028A"/>
    <w:rsid w:val="00320F0A"/>
    <w:rsid w:val="003225F5"/>
    <w:rsid w:val="003230C3"/>
    <w:rsid w:val="0032354E"/>
    <w:rsid w:val="00323D2F"/>
    <w:rsid w:val="00324D6A"/>
    <w:rsid w:val="00326280"/>
    <w:rsid w:val="0032641A"/>
    <w:rsid w:val="00326453"/>
    <w:rsid w:val="0032681F"/>
    <w:rsid w:val="00326B11"/>
    <w:rsid w:val="00326B64"/>
    <w:rsid w:val="00326FFA"/>
    <w:rsid w:val="003271B0"/>
    <w:rsid w:val="00327701"/>
    <w:rsid w:val="00327C39"/>
    <w:rsid w:val="003302EB"/>
    <w:rsid w:val="0033030D"/>
    <w:rsid w:val="0033064C"/>
    <w:rsid w:val="0033100C"/>
    <w:rsid w:val="003317F8"/>
    <w:rsid w:val="00332393"/>
    <w:rsid w:val="0033239B"/>
    <w:rsid w:val="0033260C"/>
    <w:rsid w:val="00333CA5"/>
    <w:rsid w:val="00333EAA"/>
    <w:rsid w:val="00333F8F"/>
    <w:rsid w:val="00334EA1"/>
    <w:rsid w:val="00335451"/>
    <w:rsid w:val="0033583A"/>
    <w:rsid w:val="00335FAD"/>
    <w:rsid w:val="0033723E"/>
    <w:rsid w:val="00337F16"/>
    <w:rsid w:val="003402DE"/>
    <w:rsid w:val="00340729"/>
    <w:rsid w:val="0034099F"/>
    <w:rsid w:val="00341614"/>
    <w:rsid w:val="00341C68"/>
    <w:rsid w:val="00343A7C"/>
    <w:rsid w:val="00343BAE"/>
    <w:rsid w:val="00344060"/>
    <w:rsid w:val="003441FB"/>
    <w:rsid w:val="0034550C"/>
    <w:rsid w:val="003462EF"/>
    <w:rsid w:val="0034640B"/>
    <w:rsid w:val="003471DF"/>
    <w:rsid w:val="0034735B"/>
    <w:rsid w:val="0034747A"/>
    <w:rsid w:val="00347F25"/>
    <w:rsid w:val="00350A90"/>
    <w:rsid w:val="003524E0"/>
    <w:rsid w:val="00352985"/>
    <w:rsid w:val="00352E3B"/>
    <w:rsid w:val="003531AA"/>
    <w:rsid w:val="0035351B"/>
    <w:rsid w:val="00353DA8"/>
    <w:rsid w:val="003542A7"/>
    <w:rsid w:val="00355842"/>
    <w:rsid w:val="00355C4A"/>
    <w:rsid w:val="003573DE"/>
    <w:rsid w:val="003575EA"/>
    <w:rsid w:val="00360061"/>
    <w:rsid w:val="00360A96"/>
    <w:rsid w:val="00360AEA"/>
    <w:rsid w:val="0036192A"/>
    <w:rsid w:val="00361A4B"/>
    <w:rsid w:val="003621F7"/>
    <w:rsid w:val="00362B30"/>
    <w:rsid w:val="0036367E"/>
    <w:rsid w:val="00363F8B"/>
    <w:rsid w:val="00364DC2"/>
    <w:rsid w:val="00365C7B"/>
    <w:rsid w:val="00365E03"/>
    <w:rsid w:val="00365F01"/>
    <w:rsid w:val="00366072"/>
    <w:rsid w:val="00366C38"/>
    <w:rsid w:val="003672CA"/>
    <w:rsid w:val="0036733B"/>
    <w:rsid w:val="00367E3C"/>
    <w:rsid w:val="00370196"/>
    <w:rsid w:val="00370B84"/>
    <w:rsid w:val="00370E12"/>
    <w:rsid w:val="003715EB"/>
    <w:rsid w:val="00372748"/>
    <w:rsid w:val="00372E11"/>
    <w:rsid w:val="00373AB4"/>
    <w:rsid w:val="003740D3"/>
    <w:rsid w:val="00375936"/>
    <w:rsid w:val="00376885"/>
    <w:rsid w:val="00376FDF"/>
    <w:rsid w:val="003774A0"/>
    <w:rsid w:val="00377A42"/>
    <w:rsid w:val="003806EA"/>
    <w:rsid w:val="00380953"/>
    <w:rsid w:val="003815D2"/>
    <w:rsid w:val="003815F9"/>
    <w:rsid w:val="00381B1E"/>
    <w:rsid w:val="003825E0"/>
    <w:rsid w:val="0038297A"/>
    <w:rsid w:val="00382FA7"/>
    <w:rsid w:val="003830E0"/>
    <w:rsid w:val="003830E8"/>
    <w:rsid w:val="00384B3E"/>
    <w:rsid w:val="0038581B"/>
    <w:rsid w:val="00385846"/>
    <w:rsid w:val="00386844"/>
    <w:rsid w:val="003868B4"/>
    <w:rsid w:val="003874FA"/>
    <w:rsid w:val="00390717"/>
    <w:rsid w:val="00391EFA"/>
    <w:rsid w:val="00392C39"/>
    <w:rsid w:val="003936A7"/>
    <w:rsid w:val="003942F8"/>
    <w:rsid w:val="00394A13"/>
    <w:rsid w:val="00395F4C"/>
    <w:rsid w:val="00397F6B"/>
    <w:rsid w:val="003A01D5"/>
    <w:rsid w:val="003A0722"/>
    <w:rsid w:val="003A0CF3"/>
    <w:rsid w:val="003A0E54"/>
    <w:rsid w:val="003A1120"/>
    <w:rsid w:val="003A1958"/>
    <w:rsid w:val="003A2654"/>
    <w:rsid w:val="003A282A"/>
    <w:rsid w:val="003A2BC1"/>
    <w:rsid w:val="003A34A6"/>
    <w:rsid w:val="003A3779"/>
    <w:rsid w:val="003A3F0A"/>
    <w:rsid w:val="003A4453"/>
    <w:rsid w:val="003A4F80"/>
    <w:rsid w:val="003A51A9"/>
    <w:rsid w:val="003A5280"/>
    <w:rsid w:val="003A5406"/>
    <w:rsid w:val="003A558B"/>
    <w:rsid w:val="003A58D0"/>
    <w:rsid w:val="003A592E"/>
    <w:rsid w:val="003A5C8E"/>
    <w:rsid w:val="003A5F07"/>
    <w:rsid w:val="003A7DA2"/>
    <w:rsid w:val="003B0D4B"/>
    <w:rsid w:val="003B1471"/>
    <w:rsid w:val="003B1951"/>
    <w:rsid w:val="003B1EEA"/>
    <w:rsid w:val="003B248D"/>
    <w:rsid w:val="003B2586"/>
    <w:rsid w:val="003B25AF"/>
    <w:rsid w:val="003B3508"/>
    <w:rsid w:val="003B40FD"/>
    <w:rsid w:val="003B46E4"/>
    <w:rsid w:val="003B46ED"/>
    <w:rsid w:val="003B55EC"/>
    <w:rsid w:val="003B5D6F"/>
    <w:rsid w:val="003B6E1C"/>
    <w:rsid w:val="003C27DF"/>
    <w:rsid w:val="003C28A7"/>
    <w:rsid w:val="003C2BFF"/>
    <w:rsid w:val="003C3501"/>
    <w:rsid w:val="003C3595"/>
    <w:rsid w:val="003C37B0"/>
    <w:rsid w:val="003C447C"/>
    <w:rsid w:val="003C482B"/>
    <w:rsid w:val="003C64E8"/>
    <w:rsid w:val="003C698A"/>
    <w:rsid w:val="003C69EA"/>
    <w:rsid w:val="003C6B30"/>
    <w:rsid w:val="003C7637"/>
    <w:rsid w:val="003C7E8C"/>
    <w:rsid w:val="003D0165"/>
    <w:rsid w:val="003D0A11"/>
    <w:rsid w:val="003D0C36"/>
    <w:rsid w:val="003D137C"/>
    <w:rsid w:val="003D13CB"/>
    <w:rsid w:val="003D1B1A"/>
    <w:rsid w:val="003D1CB0"/>
    <w:rsid w:val="003D24F9"/>
    <w:rsid w:val="003D29AB"/>
    <w:rsid w:val="003D3AB8"/>
    <w:rsid w:val="003D4160"/>
    <w:rsid w:val="003D42E8"/>
    <w:rsid w:val="003D58B7"/>
    <w:rsid w:val="003D65CC"/>
    <w:rsid w:val="003D65D2"/>
    <w:rsid w:val="003D6897"/>
    <w:rsid w:val="003D6A21"/>
    <w:rsid w:val="003D6E81"/>
    <w:rsid w:val="003D7134"/>
    <w:rsid w:val="003D7819"/>
    <w:rsid w:val="003E0C88"/>
    <w:rsid w:val="003E14AF"/>
    <w:rsid w:val="003E2AFD"/>
    <w:rsid w:val="003E2D3D"/>
    <w:rsid w:val="003E311E"/>
    <w:rsid w:val="003E3661"/>
    <w:rsid w:val="003E3EC4"/>
    <w:rsid w:val="003E4FD5"/>
    <w:rsid w:val="003E5C66"/>
    <w:rsid w:val="003E614A"/>
    <w:rsid w:val="003E64A0"/>
    <w:rsid w:val="003E6CDD"/>
    <w:rsid w:val="003E705F"/>
    <w:rsid w:val="003E73A1"/>
    <w:rsid w:val="003E74F0"/>
    <w:rsid w:val="003E7585"/>
    <w:rsid w:val="003E7E6B"/>
    <w:rsid w:val="003F0267"/>
    <w:rsid w:val="003F05CE"/>
    <w:rsid w:val="003F0634"/>
    <w:rsid w:val="003F0C36"/>
    <w:rsid w:val="003F0E93"/>
    <w:rsid w:val="003F2026"/>
    <w:rsid w:val="003F299A"/>
    <w:rsid w:val="003F3194"/>
    <w:rsid w:val="003F3831"/>
    <w:rsid w:val="003F67F1"/>
    <w:rsid w:val="003F6F9C"/>
    <w:rsid w:val="003F7276"/>
    <w:rsid w:val="004000DC"/>
    <w:rsid w:val="004004C0"/>
    <w:rsid w:val="00401257"/>
    <w:rsid w:val="004012FA"/>
    <w:rsid w:val="004016CF"/>
    <w:rsid w:val="0040196F"/>
    <w:rsid w:val="004026F3"/>
    <w:rsid w:val="00402F4D"/>
    <w:rsid w:val="00403876"/>
    <w:rsid w:val="0040515B"/>
    <w:rsid w:val="00405360"/>
    <w:rsid w:val="00405DA5"/>
    <w:rsid w:val="00405FC6"/>
    <w:rsid w:val="00406C23"/>
    <w:rsid w:val="004070BE"/>
    <w:rsid w:val="00407DB2"/>
    <w:rsid w:val="004105A4"/>
    <w:rsid w:val="00410995"/>
    <w:rsid w:val="00410B86"/>
    <w:rsid w:val="00410BB7"/>
    <w:rsid w:val="0041184C"/>
    <w:rsid w:val="00412192"/>
    <w:rsid w:val="00412261"/>
    <w:rsid w:val="00412722"/>
    <w:rsid w:val="00412FE7"/>
    <w:rsid w:val="0041354A"/>
    <w:rsid w:val="004142EC"/>
    <w:rsid w:val="004146E2"/>
    <w:rsid w:val="004160C9"/>
    <w:rsid w:val="00416FC1"/>
    <w:rsid w:val="00417C33"/>
    <w:rsid w:val="00417C84"/>
    <w:rsid w:val="00417D51"/>
    <w:rsid w:val="00417DF8"/>
    <w:rsid w:val="00417FA7"/>
    <w:rsid w:val="0042011C"/>
    <w:rsid w:val="004204F5"/>
    <w:rsid w:val="00420960"/>
    <w:rsid w:val="00420C3F"/>
    <w:rsid w:val="00422C8B"/>
    <w:rsid w:val="00422E13"/>
    <w:rsid w:val="004230D9"/>
    <w:rsid w:val="00423789"/>
    <w:rsid w:val="00423B0C"/>
    <w:rsid w:val="004267C0"/>
    <w:rsid w:val="00426C91"/>
    <w:rsid w:val="00427620"/>
    <w:rsid w:val="00430968"/>
    <w:rsid w:val="00430D7C"/>
    <w:rsid w:val="004315E7"/>
    <w:rsid w:val="004316DE"/>
    <w:rsid w:val="004318BF"/>
    <w:rsid w:val="0043240B"/>
    <w:rsid w:val="0043378C"/>
    <w:rsid w:val="00434450"/>
    <w:rsid w:val="00434677"/>
    <w:rsid w:val="00434990"/>
    <w:rsid w:val="00435960"/>
    <w:rsid w:val="00435E1C"/>
    <w:rsid w:val="00437E4A"/>
    <w:rsid w:val="00440B5A"/>
    <w:rsid w:val="00442E86"/>
    <w:rsid w:val="0044356A"/>
    <w:rsid w:val="00443746"/>
    <w:rsid w:val="00443752"/>
    <w:rsid w:val="0044434E"/>
    <w:rsid w:val="00444AAB"/>
    <w:rsid w:val="00444D3D"/>
    <w:rsid w:val="0044512A"/>
    <w:rsid w:val="00445C95"/>
    <w:rsid w:val="00445E17"/>
    <w:rsid w:val="00446DBD"/>
    <w:rsid w:val="00447258"/>
    <w:rsid w:val="00447A36"/>
    <w:rsid w:val="00447EF1"/>
    <w:rsid w:val="00450300"/>
    <w:rsid w:val="00451390"/>
    <w:rsid w:val="00451ABD"/>
    <w:rsid w:val="004524FA"/>
    <w:rsid w:val="00452BC1"/>
    <w:rsid w:val="00452D68"/>
    <w:rsid w:val="00452DC5"/>
    <w:rsid w:val="00452E4A"/>
    <w:rsid w:val="00453BED"/>
    <w:rsid w:val="00453ED1"/>
    <w:rsid w:val="004544C6"/>
    <w:rsid w:val="004549DB"/>
    <w:rsid w:val="00454E2D"/>
    <w:rsid w:val="004550F1"/>
    <w:rsid w:val="0045538C"/>
    <w:rsid w:val="00455516"/>
    <w:rsid w:val="00455B25"/>
    <w:rsid w:val="00455BF6"/>
    <w:rsid w:val="004562E5"/>
    <w:rsid w:val="004572DC"/>
    <w:rsid w:val="0045736C"/>
    <w:rsid w:val="004576DE"/>
    <w:rsid w:val="004577D3"/>
    <w:rsid w:val="00457850"/>
    <w:rsid w:val="00457C66"/>
    <w:rsid w:val="00457C9B"/>
    <w:rsid w:val="00457DE2"/>
    <w:rsid w:val="00460170"/>
    <w:rsid w:val="00460DC4"/>
    <w:rsid w:val="004615CD"/>
    <w:rsid w:val="00461AF0"/>
    <w:rsid w:val="00462180"/>
    <w:rsid w:val="004629F5"/>
    <w:rsid w:val="00462EFA"/>
    <w:rsid w:val="0046320A"/>
    <w:rsid w:val="00464922"/>
    <w:rsid w:val="00465D65"/>
    <w:rsid w:val="00465E9A"/>
    <w:rsid w:val="00466ABC"/>
    <w:rsid w:val="004672F3"/>
    <w:rsid w:val="00467F2B"/>
    <w:rsid w:val="004702B6"/>
    <w:rsid w:val="00470A3C"/>
    <w:rsid w:val="00471291"/>
    <w:rsid w:val="0047300D"/>
    <w:rsid w:val="00474033"/>
    <w:rsid w:val="00474101"/>
    <w:rsid w:val="00474462"/>
    <w:rsid w:val="004746BE"/>
    <w:rsid w:val="004751A8"/>
    <w:rsid w:val="00475608"/>
    <w:rsid w:val="00476E5C"/>
    <w:rsid w:val="00477546"/>
    <w:rsid w:val="00477A17"/>
    <w:rsid w:val="00477A67"/>
    <w:rsid w:val="00480024"/>
    <w:rsid w:val="0048037A"/>
    <w:rsid w:val="00481359"/>
    <w:rsid w:val="00482264"/>
    <w:rsid w:val="0048330D"/>
    <w:rsid w:val="004840B6"/>
    <w:rsid w:val="004844D0"/>
    <w:rsid w:val="0048459E"/>
    <w:rsid w:val="0048464C"/>
    <w:rsid w:val="004849BB"/>
    <w:rsid w:val="00485941"/>
    <w:rsid w:val="00486144"/>
    <w:rsid w:val="0048614A"/>
    <w:rsid w:val="0048634B"/>
    <w:rsid w:val="004903F7"/>
    <w:rsid w:val="0049064B"/>
    <w:rsid w:val="004913DE"/>
    <w:rsid w:val="00491F53"/>
    <w:rsid w:val="0049233B"/>
    <w:rsid w:val="00492F2E"/>
    <w:rsid w:val="0049328F"/>
    <w:rsid w:val="004935E4"/>
    <w:rsid w:val="00494736"/>
    <w:rsid w:val="004948DE"/>
    <w:rsid w:val="00494FAF"/>
    <w:rsid w:val="00495BA3"/>
    <w:rsid w:val="0049702E"/>
    <w:rsid w:val="004978C3"/>
    <w:rsid w:val="004A0C36"/>
    <w:rsid w:val="004A0D51"/>
    <w:rsid w:val="004A148F"/>
    <w:rsid w:val="004A163F"/>
    <w:rsid w:val="004A2093"/>
    <w:rsid w:val="004A383C"/>
    <w:rsid w:val="004A395E"/>
    <w:rsid w:val="004A4258"/>
    <w:rsid w:val="004A4613"/>
    <w:rsid w:val="004A46BE"/>
    <w:rsid w:val="004A489D"/>
    <w:rsid w:val="004A720E"/>
    <w:rsid w:val="004A72CD"/>
    <w:rsid w:val="004A7F9B"/>
    <w:rsid w:val="004B0C70"/>
    <w:rsid w:val="004B0E24"/>
    <w:rsid w:val="004B1356"/>
    <w:rsid w:val="004B13D9"/>
    <w:rsid w:val="004B1A4A"/>
    <w:rsid w:val="004B25F6"/>
    <w:rsid w:val="004B3C73"/>
    <w:rsid w:val="004B40ED"/>
    <w:rsid w:val="004B41ED"/>
    <w:rsid w:val="004B5294"/>
    <w:rsid w:val="004B602A"/>
    <w:rsid w:val="004B6653"/>
    <w:rsid w:val="004B7A35"/>
    <w:rsid w:val="004C05A6"/>
    <w:rsid w:val="004C09A7"/>
    <w:rsid w:val="004C0D3E"/>
    <w:rsid w:val="004C0EC0"/>
    <w:rsid w:val="004C1684"/>
    <w:rsid w:val="004C1715"/>
    <w:rsid w:val="004C1FA7"/>
    <w:rsid w:val="004C2AA4"/>
    <w:rsid w:val="004C36C0"/>
    <w:rsid w:val="004C3D51"/>
    <w:rsid w:val="004C4729"/>
    <w:rsid w:val="004C4779"/>
    <w:rsid w:val="004C4E33"/>
    <w:rsid w:val="004C4EDC"/>
    <w:rsid w:val="004C4FA0"/>
    <w:rsid w:val="004C5B40"/>
    <w:rsid w:val="004C5E03"/>
    <w:rsid w:val="004C6AC4"/>
    <w:rsid w:val="004D026A"/>
    <w:rsid w:val="004D02C9"/>
    <w:rsid w:val="004D0700"/>
    <w:rsid w:val="004D0B6A"/>
    <w:rsid w:val="004D0C27"/>
    <w:rsid w:val="004D217E"/>
    <w:rsid w:val="004D26E0"/>
    <w:rsid w:val="004D2BB4"/>
    <w:rsid w:val="004D2C9C"/>
    <w:rsid w:val="004D35EA"/>
    <w:rsid w:val="004D3625"/>
    <w:rsid w:val="004D3F21"/>
    <w:rsid w:val="004D40ED"/>
    <w:rsid w:val="004D488A"/>
    <w:rsid w:val="004D4905"/>
    <w:rsid w:val="004D4E23"/>
    <w:rsid w:val="004D5038"/>
    <w:rsid w:val="004D5EB5"/>
    <w:rsid w:val="004D5FBF"/>
    <w:rsid w:val="004D6C86"/>
    <w:rsid w:val="004D731A"/>
    <w:rsid w:val="004E2088"/>
    <w:rsid w:val="004E2380"/>
    <w:rsid w:val="004E29F0"/>
    <w:rsid w:val="004E5376"/>
    <w:rsid w:val="004E64A1"/>
    <w:rsid w:val="004E65B7"/>
    <w:rsid w:val="004E6CD0"/>
    <w:rsid w:val="004E757B"/>
    <w:rsid w:val="004E77C0"/>
    <w:rsid w:val="004F0B2C"/>
    <w:rsid w:val="004F18B5"/>
    <w:rsid w:val="004F19BC"/>
    <w:rsid w:val="004F2282"/>
    <w:rsid w:val="004F2CB0"/>
    <w:rsid w:val="004F2DD3"/>
    <w:rsid w:val="004F300C"/>
    <w:rsid w:val="004F3D36"/>
    <w:rsid w:val="004F3FC5"/>
    <w:rsid w:val="004F44E0"/>
    <w:rsid w:val="004F4BC8"/>
    <w:rsid w:val="004F5496"/>
    <w:rsid w:val="004F558F"/>
    <w:rsid w:val="004F5CF8"/>
    <w:rsid w:val="004F744F"/>
    <w:rsid w:val="004F746D"/>
    <w:rsid w:val="0050009E"/>
    <w:rsid w:val="005006EF"/>
    <w:rsid w:val="005009BA"/>
    <w:rsid w:val="005020A8"/>
    <w:rsid w:val="0050273A"/>
    <w:rsid w:val="00502C90"/>
    <w:rsid w:val="00503B0F"/>
    <w:rsid w:val="00503EB9"/>
    <w:rsid w:val="00503FDE"/>
    <w:rsid w:val="00504E27"/>
    <w:rsid w:val="00506214"/>
    <w:rsid w:val="00506632"/>
    <w:rsid w:val="00506B1B"/>
    <w:rsid w:val="00510500"/>
    <w:rsid w:val="00511FD1"/>
    <w:rsid w:val="00511FF9"/>
    <w:rsid w:val="00512272"/>
    <w:rsid w:val="005130CC"/>
    <w:rsid w:val="005136F3"/>
    <w:rsid w:val="00513EDC"/>
    <w:rsid w:val="005144C4"/>
    <w:rsid w:val="0051499A"/>
    <w:rsid w:val="00514D35"/>
    <w:rsid w:val="00514F13"/>
    <w:rsid w:val="0051514E"/>
    <w:rsid w:val="005151B9"/>
    <w:rsid w:val="00515433"/>
    <w:rsid w:val="0051663B"/>
    <w:rsid w:val="00517B62"/>
    <w:rsid w:val="00517B87"/>
    <w:rsid w:val="00520872"/>
    <w:rsid w:val="005211A6"/>
    <w:rsid w:val="0052269F"/>
    <w:rsid w:val="005231AD"/>
    <w:rsid w:val="005241A9"/>
    <w:rsid w:val="00524480"/>
    <w:rsid w:val="005248C5"/>
    <w:rsid w:val="00524E0E"/>
    <w:rsid w:val="00524FA9"/>
    <w:rsid w:val="00525783"/>
    <w:rsid w:val="0052579B"/>
    <w:rsid w:val="00526157"/>
    <w:rsid w:val="00526295"/>
    <w:rsid w:val="00526305"/>
    <w:rsid w:val="005266A7"/>
    <w:rsid w:val="005304DF"/>
    <w:rsid w:val="00530AA3"/>
    <w:rsid w:val="005333D2"/>
    <w:rsid w:val="00533573"/>
    <w:rsid w:val="005338B8"/>
    <w:rsid w:val="0053434E"/>
    <w:rsid w:val="00534D58"/>
    <w:rsid w:val="005361EE"/>
    <w:rsid w:val="00536FEC"/>
    <w:rsid w:val="0053744D"/>
    <w:rsid w:val="00537527"/>
    <w:rsid w:val="0053764A"/>
    <w:rsid w:val="00537B9D"/>
    <w:rsid w:val="00540339"/>
    <w:rsid w:val="00540602"/>
    <w:rsid w:val="00541757"/>
    <w:rsid w:val="00541EC2"/>
    <w:rsid w:val="00542170"/>
    <w:rsid w:val="00542503"/>
    <w:rsid w:val="0054268F"/>
    <w:rsid w:val="00542B1A"/>
    <w:rsid w:val="00542F52"/>
    <w:rsid w:val="00543B2B"/>
    <w:rsid w:val="005441E3"/>
    <w:rsid w:val="00544254"/>
    <w:rsid w:val="00544D3E"/>
    <w:rsid w:val="00545A28"/>
    <w:rsid w:val="00545C47"/>
    <w:rsid w:val="00546754"/>
    <w:rsid w:val="00546DBB"/>
    <w:rsid w:val="00547239"/>
    <w:rsid w:val="00547828"/>
    <w:rsid w:val="00547CC9"/>
    <w:rsid w:val="00550449"/>
    <w:rsid w:val="005505C1"/>
    <w:rsid w:val="0055147C"/>
    <w:rsid w:val="00551980"/>
    <w:rsid w:val="00552E06"/>
    <w:rsid w:val="00553862"/>
    <w:rsid w:val="00553E20"/>
    <w:rsid w:val="00553F83"/>
    <w:rsid w:val="00554B07"/>
    <w:rsid w:val="00554B41"/>
    <w:rsid w:val="005557AA"/>
    <w:rsid w:val="005559FB"/>
    <w:rsid w:val="00555A00"/>
    <w:rsid w:val="00555CDF"/>
    <w:rsid w:val="00557899"/>
    <w:rsid w:val="00560880"/>
    <w:rsid w:val="00560CC9"/>
    <w:rsid w:val="00560FEC"/>
    <w:rsid w:val="00561A4B"/>
    <w:rsid w:val="005620B7"/>
    <w:rsid w:val="00563EB0"/>
    <w:rsid w:val="005640AE"/>
    <w:rsid w:val="0056474F"/>
    <w:rsid w:val="00564CC3"/>
    <w:rsid w:val="00565695"/>
    <w:rsid w:val="0056679D"/>
    <w:rsid w:val="00566F3E"/>
    <w:rsid w:val="00570322"/>
    <w:rsid w:val="00570386"/>
    <w:rsid w:val="00570E90"/>
    <w:rsid w:val="00571BB0"/>
    <w:rsid w:val="00571F09"/>
    <w:rsid w:val="005720AF"/>
    <w:rsid w:val="0057247B"/>
    <w:rsid w:val="00573225"/>
    <w:rsid w:val="00573CC8"/>
    <w:rsid w:val="00573DA8"/>
    <w:rsid w:val="00573F66"/>
    <w:rsid w:val="00573FB5"/>
    <w:rsid w:val="005747CA"/>
    <w:rsid w:val="00575426"/>
    <w:rsid w:val="00576CB7"/>
    <w:rsid w:val="00577054"/>
    <w:rsid w:val="00577C67"/>
    <w:rsid w:val="005800C0"/>
    <w:rsid w:val="00580172"/>
    <w:rsid w:val="00580459"/>
    <w:rsid w:val="00580D40"/>
    <w:rsid w:val="0058152B"/>
    <w:rsid w:val="005829AF"/>
    <w:rsid w:val="00582C6F"/>
    <w:rsid w:val="00582C96"/>
    <w:rsid w:val="00583205"/>
    <w:rsid w:val="005837A4"/>
    <w:rsid w:val="00584075"/>
    <w:rsid w:val="00584181"/>
    <w:rsid w:val="005847A6"/>
    <w:rsid w:val="00585825"/>
    <w:rsid w:val="0058629D"/>
    <w:rsid w:val="00590230"/>
    <w:rsid w:val="0059061F"/>
    <w:rsid w:val="0059095C"/>
    <w:rsid w:val="00591813"/>
    <w:rsid w:val="00591C51"/>
    <w:rsid w:val="00592145"/>
    <w:rsid w:val="005923A8"/>
    <w:rsid w:val="005925C9"/>
    <w:rsid w:val="005930BF"/>
    <w:rsid w:val="00593372"/>
    <w:rsid w:val="00593568"/>
    <w:rsid w:val="00593AE0"/>
    <w:rsid w:val="00593CE7"/>
    <w:rsid w:val="00593E5A"/>
    <w:rsid w:val="0059438F"/>
    <w:rsid w:val="00595175"/>
    <w:rsid w:val="005959A9"/>
    <w:rsid w:val="0059654D"/>
    <w:rsid w:val="005966B2"/>
    <w:rsid w:val="00596A2D"/>
    <w:rsid w:val="00597C70"/>
    <w:rsid w:val="00597EA9"/>
    <w:rsid w:val="005A05CC"/>
    <w:rsid w:val="005A06F5"/>
    <w:rsid w:val="005A0963"/>
    <w:rsid w:val="005A23A3"/>
    <w:rsid w:val="005A26E4"/>
    <w:rsid w:val="005A2DE3"/>
    <w:rsid w:val="005A2E44"/>
    <w:rsid w:val="005A31D8"/>
    <w:rsid w:val="005A3A50"/>
    <w:rsid w:val="005A3F6A"/>
    <w:rsid w:val="005A530F"/>
    <w:rsid w:val="005A5C8D"/>
    <w:rsid w:val="005A6E43"/>
    <w:rsid w:val="005A7653"/>
    <w:rsid w:val="005A7F1A"/>
    <w:rsid w:val="005B0124"/>
    <w:rsid w:val="005B024C"/>
    <w:rsid w:val="005B045C"/>
    <w:rsid w:val="005B069B"/>
    <w:rsid w:val="005B1259"/>
    <w:rsid w:val="005B175F"/>
    <w:rsid w:val="005B182E"/>
    <w:rsid w:val="005B1BB0"/>
    <w:rsid w:val="005B1DF5"/>
    <w:rsid w:val="005B200D"/>
    <w:rsid w:val="005B2D77"/>
    <w:rsid w:val="005B33FE"/>
    <w:rsid w:val="005B358A"/>
    <w:rsid w:val="005B40BB"/>
    <w:rsid w:val="005B43AC"/>
    <w:rsid w:val="005B53A1"/>
    <w:rsid w:val="005B5764"/>
    <w:rsid w:val="005B6535"/>
    <w:rsid w:val="005B6806"/>
    <w:rsid w:val="005B7324"/>
    <w:rsid w:val="005B7531"/>
    <w:rsid w:val="005B783D"/>
    <w:rsid w:val="005B786D"/>
    <w:rsid w:val="005B7923"/>
    <w:rsid w:val="005B7DB6"/>
    <w:rsid w:val="005B7F05"/>
    <w:rsid w:val="005C0167"/>
    <w:rsid w:val="005C14E4"/>
    <w:rsid w:val="005C28E9"/>
    <w:rsid w:val="005C2ADE"/>
    <w:rsid w:val="005C2BC1"/>
    <w:rsid w:val="005C3244"/>
    <w:rsid w:val="005C3BAC"/>
    <w:rsid w:val="005C4586"/>
    <w:rsid w:val="005C4997"/>
    <w:rsid w:val="005C49EE"/>
    <w:rsid w:val="005C4E5D"/>
    <w:rsid w:val="005C5BD2"/>
    <w:rsid w:val="005C6DA7"/>
    <w:rsid w:val="005C7132"/>
    <w:rsid w:val="005D0C22"/>
    <w:rsid w:val="005D0C6B"/>
    <w:rsid w:val="005D1986"/>
    <w:rsid w:val="005D23B6"/>
    <w:rsid w:val="005D3027"/>
    <w:rsid w:val="005D3045"/>
    <w:rsid w:val="005D3107"/>
    <w:rsid w:val="005D36FA"/>
    <w:rsid w:val="005D40FB"/>
    <w:rsid w:val="005D4910"/>
    <w:rsid w:val="005D4BE2"/>
    <w:rsid w:val="005D50B3"/>
    <w:rsid w:val="005D57F3"/>
    <w:rsid w:val="005D5A58"/>
    <w:rsid w:val="005D5E6E"/>
    <w:rsid w:val="005D63BE"/>
    <w:rsid w:val="005D6D28"/>
    <w:rsid w:val="005E079D"/>
    <w:rsid w:val="005E0F8C"/>
    <w:rsid w:val="005E2F3D"/>
    <w:rsid w:val="005E31FD"/>
    <w:rsid w:val="005E3474"/>
    <w:rsid w:val="005E3D0E"/>
    <w:rsid w:val="005E42CC"/>
    <w:rsid w:val="005E450D"/>
    <w:rsid w:val="005E4857"/>
    <w:rsid w:val="005E4892"/>
    <w:rsid w:val="005E49D2"/>
    <w:rsid w:val="005E56B6"/>
    <w:rsid w:val="005E641E"/>
    <w:rsid w:val="005E76AD"/>
    <w:rsid w:val="005E79C6"/>
    <w:rsid w:val="005F0DD3"/>
    <w:rsid w:val="005F1164"/>
    <w:rsid w:val="005F126C"/>
    <w:rsid w:val="005F2810"/>
    <w:rsid w:val="005F3187"/>
    <w:rsid w:val="005F347A"/>
    <w:rsid w:val="005F4750"/>
    <w:rsid w:val="005F4BF4"/>
    <w:rsid w:val="005F4CC3"/>
    <w:rsid w:val="005F4E92"/>
    <w:rsid w:val="005F544D"/>
    <w:rsid w:val="005F5AA1"/>
    <w:rsid w:val="005F5B0A"/>
    <w:rsid w:val="005F66A1"/>
    <w:rsid w:val="005F75B4"/>
    <w:rsid w:val="005F7703"/>
    <w:rsid w:val="005F7B32"/>
    <w:rsid w:val="00600C77"/>
    <w:rsid w:val="006017AA"/>
    <w:rsid w:val="00601A30"/>
    <w:rsid w:val="00601CFD"/>
    <w:rsid w:val="00601D1A"/>
    <w:rsid w:val="0060231C"/>
    <w:rsid w:val="00602353"/>
    <w:rsid w:val="006024AE"/>
    <w:rsid w:val="006043E4"/>
    <w:rsid w:val="00605254"/>
    <w:rsid w:val="0060536F"/>
    <w:rsid w:val="0060636F"/>
    <w:rsid w:val="00606790"/>
    <w:rsid w:val="00606A29"/>
    <w:rsid w:val="0060725A"/>
    <w:rsid w:val="00607C23"/>
    <w:rsid w:val="00610BE8"/>
    <w:rsid w:val="00611019"/>
    <w:rsid w:val="00611CCA"/>
    <w:rsid w:val="00611EB6"/>
    <w:rsid w:val="00611ECC"/>
    <w:rsid w:val="006124E0"/>
    <w:rsid w:val="00612505"/>
    <w:rsid w:val="00612547"/>
    <w:rsid w:val="00612736"/>
    <w:rsid w:val="006128FE"/>
    <w:rsid w:val="00612CFE"/>
    <w:rsid w:val="00612F23"/>
    <w:rsid w:val="00613171"/>
    <w:rsid w:val="006141B8"/>
    <w:rsid w:val="006149D2"/>
    <w:rsid w:val="00614D1E"/>
    <w:rsid w:val="006168A4"/>
    <w:rsid w:val="0061716B"/>
    <w:rsid w:val="00617402"/>
    <w:rsid w:val="00622260"/>
    <w:rsid w:val="00622DAA"/>
    <w:rsid w:val="00622FEB"/>
    <w:rsid w:val="006235AD"/>
    <w:rsid w:val="006242BC"/>
    <w:rsid w:val="00624632"/>
    <w:rsid w:val="006248BF"/>
    <w:rsid w:val="00624DBC"/>
    <w:rsid w:val="006256C3"/>
    <w:rsid w:val="00625C52"/>
    <w:rsid w:val="006269FA"/>
    <w:rsid w:val="00626EB7"/>
    <w:rsid w:val="0063009C"/>
    <w:rsid w:val="006301A7"/>
    <w:rsid w:val="0063116E"/>
    <w:rsid w:val="00631B63"/>
    <w:rsid w:val="00633150"/>
    <w:rsid w:val="0063372D"/>
    <w:rsid w:val="006338BE"/>
    <w:rsid w:val="00633D50"/>
    <w:rsid w:val="00633D83"/>
    <w:rsid w:val="006342A5"/>
    <w:rsid w:val="00634429"/>
    <w:rsid w:val="006344BF"/>
    <w:rsid w:val="00634A0B"/>
    <w:rsid w:val="00634C27"/>
    <w:rsid w:val="00634D11"/>
    <w:rsid w:val="00634F3D"/>
    <w:rsid w:val="00635CF1"/>
    <w:rsid w:val="0063661F"/>
    <w:rsid w:val="00636686"/>
    <w:rsid w:val="00636EB7"/>
    <w:rsid w:val="00637BD9"/>
    <w:rsid w:val="00640368"/>
    <w:rsid w:val="006406F2"/>
    <w:rsid w:val="00641549"/>
    <w:rsid w:val="006427A2"/>
    <w:rsid w:val="00642BF1"/>
    <w:rsid w:val="00642C4D"/>
    <w:rsid w:val="00642E7D"/>
    <w:rsid w:val="00643FBB"/>
    <w:rsid w:val="0064417C"/>
    <w:rsid w:val="00644992"/>
    <w:rsid w:val="00644CD5"/>
    <w:rsid w:val="00644F08"/>
    <w:rsid w:val="006451F1"/>
    <w:rsid w:val="00645CCD"/>
    <w:rsid w:val="00650C11"/>
    <w:rsid w:val="00651573"/>
    <w:rsid w:val="00651CE1"/>
    <w:rsid w:val="00651E02"/>
    <w:rsid w:val="00652141"/>
    <w:rsid w:val="00652835"/>
    <w:rsid w:val="00652C64"/>
    <w:rsid w:val="00652D36"/>
    <w:rsid w:val="00652EC9"/>
    <w:rsid w:val="00653020"/>
    <w:rsid w:val="00653B6B"/>
    <w:rsid w:val="00654F5E"/>
    <w:rsid w:val="00655005"/>
    <w:rsid w:val="00655033"/>
    <w:rsid w:val="006551AB"/>
    <w:rsid w:val="00655368"/>
    <w:rsid w:val="00655508"/>
    <w:rsid w:val="006557EF"/>
    <w:rsid w:val="00655AEA"/>
    <w:rsid w:val="00655E47"/>
    <w:rsid w:val="00656302"/>
    <w:rsid w:val="00656EDF"/>
    <w:rsid w:val="00657A5A"/>
    <w:rsid w:val="00657B4F"/>
    <w:rsid w:val="00660274"/>
    <w:rsid w:val="00660622"/>
    <w:rsid w:val="00660792"/>
    <w:rsid w:val="00661C99"/>
    <w:rsid w:val="006620D8"/>
    <w:rsid w:val="006622B1"/>
    <w:rsid w:val="00662826"/>
    <w:rsid w:val="006637A2"/>
    <w:rsid w:val="006643EE"/>
    <w:rsid w:val="006643F0"/>
    <w:rsid w:val="00664C4A"/>
    <w:rsid w:val="00664CF7"/>
    <w:rsid w:val="00664E3B"/>
    <w:rsid w:val="00666956"/>
    <w:rsid w:val="006674B1"/>
    <w:rsid w:val="0066781C"/>
    <w:rsid w:val="00667992"/>
    <w:rsid w:val="00667EF0"/>
    <w:rsid w:val="00667F8C"/>
    <w:rsid w:val="00670167"/>
    <w:rsid w:val="00671013"/>
    <w:rsid w:val="00671908"/>
    <w:rsid w:val="00671E4B"/>
    <w:rsid w:val="00672E20"/>
    <w:rsid w:val="00673B19"/>
    <w:rsid w:val="00673ECE"/>
    <w:rsid w:val="00674765"/>
    <w:rsid w:val="00675276"/>
    <w:rsid w:val="006759AC"/>
    <w:rsid w:val="00675BD2"/>
    <w:rsid w:val="006761E6"/>
    <w:rsid w:val="0067650E"/>
    <w:rsid w:val="006767E5"/>
    <w:rsid w:val="0067772C"/>
    <w:rsid w:val="00680452"/>
    <w:rsid w:val="00680D8F"/>
    <w:rsid w:val="00681F1A"/>
    <w:rsid w:val="006826EC"/>
    <w:rsid w:val="0068277C"/>
    <w:rsid w:val="00683894"/>
    <w:rsid w:val="006838C6"/>
    <w:rsid w:val="00683C4F"/>
    <w:rsid w:val="00683C53"/>
    <w:rsid w:val="00684FBB"/>
    <w:rsid w:val="0068506F"/>
    <w:rsid w:val="00686178"/>
    <w:rsid w:val="0068656F"/>
    <w:rsid w:val="00686CAB"/>
    <w:rsid w:val="00687031"/>
    <w:rsid w:val="006870CC"/>
    <w:rsid w:val="00687433"/>
    <w:rsid w:val="00687802"/>
    <w:rsid w:val="006900A8"/>
    <w:rsid w:val="006903AC"/>
    <w:rsid w:val="00690471"/>
    <w:rsid w:val="00690800"/>
    <w:rsid w:val="00691C33"/>
    <w:rsid w:val="00692182"/>
    <w:rsid w:val="0069227D"/>
    <w:rsid w:val="0069267F"/>
    <w:rsid w:val="00692B28"/>
    <w:rsid w:val="00693881"/>
    <w:rsid w:val="00694205"/>
    <w:rsid w:val="00694F80"/>
    <w:rsid w:val="0069507E"/>
    <w:rsid w:val="0069619A"/>
    <w:rsid w:val="00696827"/>
    <w:rsid w:val="00696A09"/>
    <w:rsid w:val="00696A1B"/>
    <w:rsid w:val="00696AD9"/>
    <w:rsid w:val="006970AB"/>
    <w:rsid w:val="006970E2"/>
    <w:rsid w:val="006971AC"/>
    <w:rsid w:val="00697B32"/>
    <w:rsid w:val="006A0051"/>
    <w:rsid w:val="006A0601"/>
    <w:rsid w:val="006A0698"/>
    <w:rsid w:val="006A0720"/>
    <w:rsid w:val="006A08D7"/>
    <w:rsid w:val="006A08EC"/>
    <w:rsid w:val="006A095E"/>
    <w:rsid w:val="006A0FD9"/>
    <w:rsid w:val="006A11C5"/>
    <w:rsid w:val="006A13E6"/>
    <w:rsid w:val="006A18A0"/>
    <w:rsid w:val="006A29D5"/>
    <w:rsid w:val="006A3F4B"/>
    <w:rsid w:val="006A4BFD"/>
    <w:rsid w:val="006A5038"/>
    <w:rsid w:val="006A5732"/>
    <w:rsid w:val="006A59F8"/>
    <w:rsid w:val="006A6473"/>
    <w:rsid w:val="006A6D80"/>
    <w:rsid w:val="006A76B4"/>
    <w:rsid w:val="006A7D7B"/>
    <w:rsid w:val="006B0AC4"/>
    <w:rsid w:val="006B0DD1"/>
    <w:rsid w:val="006B0E70"/>
    <w:rsid w:val="006B12B5"/>
    <w:rsid w:val="006B2F1B"/>
    <w:rsid w:val="006B31D8"/>
    <w:rsid w:val="006B3531"/>
    <w:rsid w:val="006B3C24"/>
    <w:rsid w:val="006B3D0C"/>
    <w:rsid w:val="006B3E2C"/>
    <w:rsid w:val="006B42C8"/>
    <w:rsid w:val="006B44EF"/>
    <w:rsid w:val="006B472E"/>
    <w:rsid w:val="006B4F28"/>
    <w:rsid w:val="006B5116"/>
    <w:rsid w:val="006B5ACC"/>
    <w:rsid w:val="006B614F"/>
    <w:rsid w:val="006B65E6"/>
    <w:rsid w:val="006B6BA9"/>
    <w:rsid w:val="006B6E69"/>
    <w:rsid w:val="006B6EF4"/>
    <w:rsid w:val="006B7070"/>
    <w:rsid w:val="006B70E0"/>
    <w:rsid w:val="006B7C5A"/>
    <w:rsid w:val="006C0684"/>
    <w:rsid w:val="006C08AD"/>
    <w:rsid w:val="006C0FEB"/>
    <w:rsid w:val="006C1678"/>
    <w:rsid w:val="006C1767"/>
    <w:rsid w:val="006C1A66"/>
    <w:rsid w:val="006C2444"/>
    <w:rsid w:val="006C3002"/>
    <w:rsid w:val="006C423A"/>
    <w:rsid w:val="006C4595"/>
    <w:rsid w:val="006C4DC7"/>
    <w:rsid w:val="006C50BE"/>
    <w:rsid w:val="006C532B"/>
    <w:rsid w:val="006C59D6"/>
    <w:rsid w:val="006C5C45"/>
    <w:rsid w:val="006C6648"/>
    <w:rsid w:val="006C6BE5"/>
    <w:rsid w:val="006C6CE8"/>
    <w:rsid w:val="006C79D2"/>
    <w:rsid w:val="006D02E8"/>
    <w:rsid w:val="006D4E75"/>
    <w:rsid w:val="006D5E2E"/>
    <w:rsid w:val="006D614B"/>
    <w:rsid w:val="006D6638"/>
    <w:rsid w:val="006D68EC"/>
    <w:rsid w:val="006D6DD4"/>
    <w:rsid w:val="006D6DFC"/>
    <w:rsid w:val="006D7457"/>
    <w:rsid w:val="006D7B2F"/>
    <w:rsid w:val="006E0906"/>
    <w:rsid w:val="006E142E"/>
    <w:rsid w:val="006E1DAB"/>
    <w:rsid w:val="006E2423"/>
    <w:rsid w:val="006E2486"/>
    <w:rsid w:val="006E2A31"/>
    <w:rsid w:val="006E2D65"/>
    <w:rsid w:val="006E2F29"/>
    <w:rsid w:val="006E31A0"/>
    <w:rsid w:val="006E3873"/>
    <w:rsid w:val="006E396B"/>
    <w:rsid w:val="006E3B20"/>
    <w:rsid w:val="006E3BEF"/>
    <w:rsid w:val="006E4A16"/>
    <w:rsid w:val="006E5284"/>
    <w:rsid w:val="006E5790"/>
    <w:rsid w:val="006E6DD0"/>
    <w:rsid w:val="006E6FBC"/>
    <w:rsid w:val="006E7B77"/>
    <w:rsid w:val="006F1191"/>
    <w:rsid w:val="006F2412"/>
    <w:rsid w:val="006F2A35"/>
    <w:rsid w:val="006F304B"/>
    <w:rsid w:val="006F46D0"/>
    <w:rsid w:val="006F47F8"/>
    <w:rsid w:val="006F490E"/>
    <w:rsid w:val="006F5057"/>
    <w:rsid w:val="006F5CAB"/>
    <w:rsid w:val="006F6361"/>
    <w:rsid w:val="006F68FF"/>
    <w:rsid w:val="006F7358"/>
    <w:rsid w:val="006F751B"/>
    <w:rsid w:val="006F76CD"/>
    <w:rsid w:val="006F7C7E"/>
    <w:rsid w:val="00700282"/>
    <w:rsid w:val="00700DEA"/>
    <w:rsid w:val="007019BC"/>
    <w:rsid w:val="007020D9"/>
    <w:rsid w:val="00702DDA"/>
    <w:rsid w:val="007035C8"/>
    <w:rsid w:val="007036F9"/>
    <w:rsid w:val="00703F85"/>
    <w:rsid w:val="0070403C"/>
    <w:rsid w:val="007040AE"/>
    <w:rsid w:val="00704532"/>
    <w:rsid w:val="0070541D"/>
    <w:rsid w:val="00705C4B"/>
    <w:rsid w:val="00705FCD"/>
    <w:rsid w:val="007060FB"/>
    <w:rsid w:val="007076BB"/>
    <w:rsid w:val="00707E6B"/>
    <w:rsid w:val="00710143"/>
    <w:rsid w:val="00710711"/>
    <w:rsid w:val="007138FA"/>
    <w:rsid w:val="00713B47"/>
    <w:rsid w:val="00713BB1"/>
    <w:rsid w:val="00714628"/>
    <w:rsid w:val="00714660"/>
    <w:rsid w:val="00714B37"/>
    <w:rsid w:val="00715F81"/>
    <w:rsid w:val="007172C0"/>
    <w:rsid w:val="00717646"/>
    <w:rsid w:val="00717948"/>
    <w:rsid w:val="0072054E"/>
    <w:rsid w:val="00720BD3"/>
    <w:rsid w:val="0072116E"/>
    <w:rsid w:val="0072155F"/>
    <w:rsid w:val="00722685"/>
    <w:rsid w:val="0072301C"/>
    <w:rsid w:val="00724A76"/>
    <w:rsid w:val="00724DD3"/>
    <w:rsid w:val="00725D3A"/>
    <w:rsid w:val="007261FD"/>
    <w:rsid w:val="007267B5"/>
    <w:rsid w:val="00727841"/>
    <w:rsid w:val="007300AB"/>
    <w:rsid w:val="00730335"/>
    <w:rsid w:val="00730C2C"/>
    <w:rsid w:val="00732808"/>
    <w:rsid w:val="00732AC2"/>
    <w:rsid w:val="00732DEE"/>
    <w:rsid w:val="00733231"/>
    <w:rsid w:val="00733BFB"/>
    <w:rsid w:val="0073427F"/>
    <w:rsid w:val="0073483A"/>
    <w:rsid w:val="00735C14"/>
    <w:rsid w:val="00736163"/>
    <w:rsid w:val="007372AF"/>
    <w:rsid w:val="00737E4F"/>
    <w:rsid w:val="00740393"/>
    <w:rsid w:val="007403B7"/>
    <w:rsid w:val="0074056B"/>
    <w:rsid w:val="00740A8C"/>
    <w:rsid w:val="00741A09"/>
    <w:rsid w:val="00742192"/>
    <w:rsid w:val="00742674"/>
    <w:rsid w:val="007428BB"/>
    <w:rsid w:val="00743716"/>
    <w:rsid w:val="0074436F"/>
    <w:rsid w:val="0074533E"/>
    <w:rsid w:val="00745AD9"/>
    <w:rsid w:val="00745E0F"/>
    <w:rsid w:val="007462A8"/>
    <w:rsid w:val="00746C98"/>
    <w:rsid w:val="00746E67"/>
    <w:rsid w:val="00746E9F"/>
    <w:rsid w:val="007479E9"/>
    <w:rsid w:val="0075049A"/>
    <w:rsid w:val="00750729"/>
    <w:rsid w:val="00750EEF"/>
    <w:rsid w:val="00751335"/>
    <w:rsid w:val="0075142F"/>
    <w:rsid w:val="00751682"/>
    <w:rsid w:val="00751BB2"/>
    <w:rsid w:val="00751C8B"/>
    <w:rsid w:val="00752A8C"/>
    <w:rsid w:val="00753490"/>
    <w:rsid w:val="0075356B"/>
    <w:rsid w:val="00753F84"/>
    <w:rsid w:val="007541AC"/>
    <w:rsid w:val="0075423E"/>
    <w:rsid w:val="00754A36"/>
    <w:rsid w:val="00755B31"/>
    <w:rsid w:val="00755FE5"/>
    <w:rsid w:val="00756743"/>
    <w:rsid w:val="00757962"/>
    <w:rsid w:val="00757BA0"/>
    <w:rsid w:val="00757E8B"/>
    <w:rsid w:val="00760498"/>
    <w:rsid w:val="0076183A"/>
    <w:rsid w:val="00761F0E"/>
    <w:rsid w:val="00762521"/>
    <w:rsid w:val="007627F4"/>
    <w:rsid w:val="007634CB"/>
    <w:rsid w:val="00763662"/>
    <w:rsid w:val="00764B33"/>
    <w:rsid w:val="00764FDA"/>
    <w:rsid w:val="007652C7"/>
    <w:rsid w:val="007658A3"/>
    <w:rsid w:val="00765CE3"/>
    <w:rsid w:val="00765F37"/>
    <w:rsid w:val="00766AE1"/>
    <w:rsid w:val="00767EA4"/>
    <w:rsid w:val="007701C6"/>
    <w:rsid w:val="007708CE"/>
    <w:rsid w:val="00770F47"/>
    <w:rsid w:val="00771944"/>
    <w:rsid w:val="00772931"/>
    <w:rsid w:val="00773482"/>
    <w:rsid w:val="00773A34"/>
    <w:rsid w:val="00773C9B"/>
    <w:rsid w:val="007741AD"/>
    <w:rsid w:val="00774495"/>
    <w:rsid w:val="0077537A"/>
    <w:rsid w:val="007753AE"/>
    <w:rsid w:val="0077656F"/>
    <w:rsid w:val="00776FDA"/>
    <w:rsid w:val="007773AB"/>
    <w:rsid w:val="007775B3"/>
    <w:rsid w:val="0077762E"/>
    <w:rsid w:val="00777EE5"/>
    <w:rsid w:val="00782D56"/>
    <w:rsid w:val="00782E7E"/>
    <w:rsid w:val="00783000"/>
    <w:rsid w:val="007833AA"/>
    <w:rsid w:val="00783B84"/>
    <w:rsid w:val="00783CF3"/>
    <w:rsid w:val="00784651"/>
    <w:rsid w:val="0078500F"/>
    <w:rsid w:val="00785282"/>
    <w:rsid w:val="00785B63"/>
    <w:rsid w:val="00785CE6"/>
    <w:rsid w:val="00786C0B"/>
    <w:rsid w:val="00786C63"/>
    <w:rsid w:val="00790583"/>
    <w:rsid w:val="00790CFA"/>
    <w:rsid w:val="00790FD0"/>
    <w:rsid w:val="0079166A"/>
    <w:rsid w:val="00791D64"/>
    <w:rsid w:val="00792817"/>
    <w:rsid w:val="00792BF2"/>
    <w:rsid w:val="00793E21"/>
    <w:rsid w:val="007943D8"/>
    <w:rsid w:val="00795701"/>
    <w:rsid w:val="007959D5"/>
    <w:rsid w:val="007959FF"/>
    <w:rsid w:val="00796945"/>
    <w:rsid w:val="00796EB4"/>
    <w:rsid w:val="00797030"/>
    <w:rsid w:val="007A0066"/>
    <w:rsid w:val="007A012B"/>
    <w:rsid w:val="007A0210"/>
    <w:rsid w:val="007A0B5C"/>
    <w:rsid w:val="007A1446"/>
    <w:rsid w:val="007A15BB"/>
    <w:rsid w:val="007A1CEF"/>
    <w:rsid w:val="007A2B0D"/>
    <w:rsid w:val="007A3311"/>
    <w:rsid w:val="007A44A9"/>
    <w:rsid w:val="007A47FC"/>
    <w:rsid w:val="007A4A58"/>
    <w:rsid w:val="007A4A6B"/>
    <w:rsid w:val="007A502F"/>
    <w:rsid w:val="007A5504"/>
    <w:rsid w:val="007A5874"/>
    <w:rsid w:val="007A6281"/>
    <w:rsid w:val="007A6789"/>
    <w:rsid w:val="007A6BF7"/>
    <w:rsid w:val="007A6CC4"/>
    <w:rsid w:val="007A6FC7"/>
    <w:rsid w:val="007A791A"/>
    <w:rsid w:val="007B0139"/>
    <w:rsid w:val="007B0507"/>
    <w:rsid w:val="007B0927"/>
    <w:rsid w:val="007B0D4B"/>
    <w:rsid w:val="007B0D73"/>
    <w:rsid w:val="007B1F52"/>
    <w:rsid w:val="007B2145"/>
    <w:rsid w:val="007B228E"/>
    <w:rsid w:val="007B2F25"/>
    <w:rsid w:val="007B323F"/>
    <w:rsid w:val="007B37C4"/>
    <w:rsid w:val="007B3E0F"/>
    <w:rsid w:val="007B42FF"/>
    <w:rsid w:val="007B5DC2"/>
    <w:rsid w:val="007B69D2"/>
    <w:rsid w:val="007B6B20"/>
    <w:rsid w:val="007B7165"/>
    <w:rsid w:val="007B7270"/>
    <w:rsid w:val="007B769F"/>
    <w:rsid w:val="007B7C8F"/>
    <w:rsid w:val="007C0215"/>
    <w:rsid w:val="007C029A"/>
    <w:rsid w:val="007C0B37"/>
    <w:rsid w:val="007C1DF1"/>
    <w:rsid w:val="007C2176"/>
    <w:rsid w:val="007C33D0"/>
    <w:rsid w:val="007C3BBF"/>
    <w:rsid w:val="007C415F"/>
    <w:rsid w:val="007C437B"/>
    <w:rsid w:val="007C49AF"/>
    <w:rsid w:val="007C5050"/>
    <w:rsid w:val="007C554C"/>
    <w:rsid w:val="007C623F"/>
    <w:rsid w:val="007C62A5"/>
    <w:rsid w:val="007C6B55"/>
    <w:rsid w:val="007C6CEE"/>
    <w:rsid w:val="007C71D8"/>
    <w:rsid w:val="007C79B1"/>
    <w:rsid w:val="007C7BCD"/>
    <w:rsid w:val="007D0AFE"/>
    <w:rsid w:val="007D0C15"/>
    <w:rsid w:val="007D111B"/>
    <w:rsid w:val="007D1270"/>
    <w:rsid w:val="007D1C90"/>
    <w:rsid w:val="007D1F88"/>
    <w:rsid w:val="007D2084"/>
    <w:rsid w:val="007D2339"/>
    <w:rsid w:val="007D2474"/>
    <w:rsid w:val="007D2AAA"/>
    <w:rsid w:val="007D2C25"/>
    <w:rsid w:val="007D3DE6"/>
    <w:rsid w:val="007D46FC"/>
    <w:rsid w:val="007D47CB"/>
    <w:rsid w:val="007D48AA"/>
    <w:rsid w:val="007D529A"/>
    <w:rsid w:val="007D5DC9"/>
    <w:rsid w:val="007D63AC"/>
    <w:rsid w:val="007D6616"/>
    <w:rsid w:val="007D72AD"/>
    <w:rsid w:val="007D7462"/>
    <w:rsid w:val="007E042C"/>
    <w:rsid w:val="007E0795"/>
    <w:rsid w:val="007E0DC7"/>
    <w:rsid w:val="007E1E65"/>
    <w:rsid w:val="007E3D15"/>
    <w:rsid w:val="007E5704"/>
    <w:rsid w:val="007E5B98"/>
    <w:rsid w:val="007E6685"/>
    <w:rsid w:val="007E6709"/>
    <w:rsid w:val="007E6AB4"/>
    <w:rsid w:val="007E6DA7"/>
    <w:rsid w:val="007E7349"/>
    <w:rsid w:val="007E7B94"/>
    <w:rsid w:val="007E7EC9"/>
    <w:rsid w:val="007F05BC"/>
    <w:rsid w:val="007F0602"/>
    <w:rsid w:val="007F07E1"/>
    <w:rsid w:val="007F123F"/>
    <w:rsid w:val="007F2398"/>
    <w:rsid w:val="007F29AE"/>
    <w:rsid w:val="007F3499"/>
    <w:rsid w:val="007F39ED"/>
    <w:rsid w:val="007F3A09"/>
    <w:rsid w:val="007F3AE8"/>
    <w:rsid w:val="007F3B54"/>
    <w:rsid w:val="007F4926"/>
    <w:rsid w:val="007F592F"/>
    <w:rsid w:val="007F60C4"/>
    <w:rsid w:val="007F72F6"/>
    <w:rsid w:val="00800420"/>
    <w:rsid w:val="008032BD"/>
    <w:rsid w:val="008034B6"/>
    <w:rsid w:val="00803CE8"/>
    <w:rsid w:val="00803DFC"/>
    <w:rsid w:val="00803F06"/>
    <w:rsid w:val="008045F2"/>
    <w:rsid w:val="00804808"/>
    <w:rsid w:val="008051DE"/>
    <w:rsid w:val="0080572E"/>
    <w:rsid w:val="00805C22"/>
    <w:rsid w:val="00805C5B"/>
    <w:rsid w:val="00806102"/>
    <w:rsid w:val="008062C7"/>
    <w:rsid w:val="0080758D"/>
    <w:rsid w:val="00807C97"/>
    <w:rsid w:val="00810806"/>
    <w:rsid w:val="00810855"/>
    <w:rsid w:val="00811360"/>
    <w:rsid w:val="00811857"/>
    <w:rsid w:val="00812922"/>
    <w:rsid w:val="00813919"/>
    <w:rsid w:val="00813AA4"/>
    <w:rsid w:val="0081430F"/>
    <w:rsid w:val="00814314"/>
    <w:rsid w:val="008144B2"/>
    <w:rsid w:val="00814B10"/>
    <w:rsid w:val="0081717D"/>
    <w:rsid w:val="00817678"/>
    <w:rsid w:val="00817739"/>
    <w:rsid w:val="008201FB"/>
    <w:rsid w:val="00820709"/>
    <w:rsid w:val="00820916"/>
    <w:rsid w:val="0082092C"/>
    <w:rsid w:val="0082103F"/>
    <w:rsid w:val="00821622"/>
    <w:rsid w:val="0082258C"/>
    <w:rsid w:val="008236F7"/>
    <w:rsid w:val="008237BD"/>
    <w:rsid w:val="0082430D"/>
    <w:rsid w:val="008252DE"/>
    <w:rsid w:val="008254F8"/>
    <w:rsid w:val="00826AB4"/>
    <w:rsid w:val="008270BB"/>
    <w:rsid w:val="00827DE9"/>
    <w:rsid w:val="008304C8"/>
    <w:rsid w:val="008304D2"/>
    <w:rsid w:val="008317DE"/>
    <w:rsid w:val="0083234D"/>
    <w:rsid w:val="00832F5B"/>
    <w:rsid w:val="0083306B"/>
    <w:rsid w:val="00833A63"/>
    <w:rsid w:val="00833B25"/>
    <w:rsid w:val="00833FA6"/>
    <w:rsid w:val="00834248"/>
    <w:rsid w:val="0083435F"/>
    <w:rsid w:val="0083449C"/>
    <w:rsid w:val="00834650"/>
    <w:rsid w:val="00834676"/>
    <w:rsid w:val="00835189"/>
    <w:rsid w:val="00835E86"/>
    <w:rsid w:val="00836C06"/>
    <w:rsid w:val="0083773F"/>
    <w:rsid w:val="00837887"/>
    <w:rsid w:val="008379B7"/>
    <w:rsid w:val="00837CD1"/>
    <w:rsid w:val="008409F8"/>
    <w:rsid w:val="00840A5B"/>
    <w:rsid w:val="00840BC4"/>
    <w:rsid w:val="008420DA"/>
    <w:rsid w:val="0084214B"/>
    <w:rsid w:val="008423BB"/>
    <w:rsid w:val="00843852"/>
    <w:rsid w:val="008440E7"/>
    <w:rsid w:val="0084421D"/>
    <w:rsid w:val="00844C71"/>
    <w:rsid w:val="00845685"/>
    <w:rsid w:val="00846789"/>
    <w:rsid w:val="00846F2F"/>
    <w:rsid w:val="00847383"/>
    <w:rsid w:val="0084781D"/>
    <w:rsid w:val="008503DC"/>
    <w:rsid w:val="00850B00"/>
    <w:rsid w:val="00850D05"/>
    <w:rsid w:val="008519FC"/>
    <w:rsid w:val="00851A7A"/>
    <w:rsid w:val="00852568"/>
    <w:rsid w:val="00852720"/>
    <w:rsid w:val="0085280B"/>
    <w:rsid w:val="00852FFD"/>
    <w:rsid w:val="00853174"/>
    <w:rsid w:val="0085319C"/>
    <w:rsid w:val="00853251"/>
    <w:rsid w:val="0085331B"/>
    <w:rsid w:val="00853495"/>
    <w:rsid w:val="00853AEF"/>
    <w:rsid w:val="00854AE9"/>
    <w:rsid w:val="0085553F"/>
    <w:rsid w:val="008557C1"/>
    <w:rsid w:val="0085643A"/>
    <w:rsid w:val="00856566"/>
    <w:rsid w:val="0085695C"/>
    <w:rsid w:val="00856B68"/>
    <w:rsid w:val="00856CF6"/>
    <w:rsid w:val="00857BEC"/>
    <w:rsid w:val="008604A3"/>
    <w:rsid w:val="00861DF0"/>
    <w:rsid w:val="00861EAA"/>
    <w:rsid w:val="0086219B"/>
    <w:rsid w:val="00862399"/>
    <w:rsid w:val="00862B2C"/>
    <w:rsid w:val="00862B63"/>
    <w:rsid w:val="00862CB5"/>
    <w:rsid w:val="00862E2E"/>
    <w:rsid w:val="00863E8F"/>
    <w:rsid w:val="00864696"/>
    <w:rsid w:val="00864989"/>
    <w:rsid w:val="00864DF1"/>
    <w:rsid w:val="00864EA3"/>
    <w:rsid w:val="00865893"/>
    <w:rsid w:val="00865BCC"/>
    <w:rsid w:val="00865C0D"/>
    <w:rsid w:val="008662D1"/>
    <w:rsid w:val="00866A8A"/>
    <w:rsid w:val="00866DB9"/>
    <w:rsid w:val="0086795A"/>
    <w:rsid w:val="00867D73"/>
    <w:rsid w:val="00867F32"/>
    <w:rsid w:val="0087031A"/>
    <w:rsid w:val="00870862"/>
    <w:rsid w:val="00870E31"/>
    <w:rsid w:val="0087119D"/>
    <w:rsid w:val="0087143A"/>
    <w:rsid w:val="00871C4B"/>
    <w:rsid w:val="00871C7C"/>
    <w:rsid w:val="0087202C"/>
    <w:rsid w:val="00872137"/>
    <w:rsid w:val="00872D00"/>
    <w:rsid w:val="00872FBD"/>
    <w:rsid w:val="00873E3B"/>
    <w:rsid w:val="00874DCD"/>
    <w:rsid w:val="00874F0B"/>
    <w:rsid w:val="00874F25"/>
    <w:rsid w:val="008759A3"/>
    <w:rsid w:val="00876198"/>
    <w:rsid w:val="008761E3"/>
    <w:rsid w:val="008765A1"/>
    <w:rsid w:val="00876DBC"/>
    <w:rsid w:val="00876DC6"/>
    <w:rsid w:val="00876E0E"/>
    <w:rsid w:val="008770B5"/>
    <w:rsid w:val="00877680"/>
    <w:rsid w:val="008800AF"/>
    <w:rsid w:val="00881B5D"/>
    <w:rsid w:val="00882363"/>
    <w:rsid w:val="00882704"/>
    <w:rsid w:val="00882830"/>
    <w:rsid w:val="00882EAE"/>
    <w:rsid w:val="008831CB"/>
    <w:rsid w:val="0088396A"/>
    <w:rsid w:val="00883A73"/>
    <w:rsid w:val="00883F95"/>
    <w:rsid w:val="0088525A"/>
    <w:rsid w:val="0088538D"/>
    <w:rsid w:val="00885C32"/>
    <w:rsid w:val="00886C7A"/>
    <w:rsid w:val="00887D1E"/>
    <w:rsid w:val="00887DE4"/>
    <w:rsid w:val="008906FB"/>
    <w:rsid w:val="00890D90"/>
    <w:rsid w:val="00890E5A"/>
    <w:rsid w:val="008928F2"/>
    <w:rsid w:val="00892922"/>
    <w:rsid w:val="00892EBD"/>
    <w:rsid w:val="00892ECC"/>
    <w:rsid w:val="00893E56"/>
    <w:rsid w:val="0089430F"/>
    <w:rsid w:val="00894F6D"/>
    <w:rsid w:val="00894F93"/>
    <w:rsid w:val="008952F7"/>
    <w:rsid w:val="00896D4E"/>
    <w:rsid w:val="00897FF4"/>
    <w:rsid w:val="008A007F"/>
    <w:rsid w:val="008A061A"/>
    <w:rsid w:val="008A1396"/>
    <w:rsid w:val="008A295E"/>
    <w:rsid w:val="008A2E00"/>
    <w:rsid w:val="008A32E8"/>
    <w:rsid w:val="008A34CE"/>
    <w:rsid w:val="008A35A9"/>
    <w:rsid w:val="008A3674"/>
    <w:rsid w:val="008A40C7"/>
    <w:rsid w:val="008A4B30"/>
    <w:rsid w:val="008A52B9"/>
    <w:rsid w:val="008A542D"/>
    <w:rsid w:val="008A5612"/>
    <w:rsid w:val="008A5ABF"/>
    <w:rsid w:val="008A628B"/>
    <w:rsid w:val="008A7097"/>
    <w:rsid w:val="008B0677"/>
    <w:rsid w:val="008B141B"/>
    <w:rsid w:val="008B1513"/>
    <w:rsid w:val="008B187D"/>
    <w:rsid w:val="008B1F5A"/>
    <w:rsid w:val="008B29C7"/>
    <w:rsid w:val="008B2ECB"/>
    <w:rsid w:val="008B3C6B"/>
    <w:rsid w:val="008B42F8"/>
    <w:rsid w:val="008B450C"/>
    <w:rsid w:val="008B4664"/>
    <w:rsid w:val="008B5328"/>
    <w:rsid w:val="008B56F3"/>
    <w:rsid w:val="008B62D0"/>
    <w:rsid w:val="008B6A5F"/>
    <w:rsid w:val="008B745C"/>
    <w:rsid w:val="008C0084"/>
    <w:rsid w:val="008C02B2"/>
    <w:rsid w:val="008C0708"/>
    <w:rsid w:val="008C0D17"/>
    <w:rsid w:val="008C1A52"/>
    <w:rsid w:val="008C2148"/>
    <w:rsid w:val="008C22A1"/>
    <w:rsid w:val="008C2646"/>
    <w:rsid w:val="008C3546"/>
    <w:rsid w:val="008C3B64"/>
    <w:rsid w:val="008C444A"/>
    <w:rsid w:val="008C47EC"/>
    <w:rsid w:val="008C48E9"/>
    <w:rsid w:val="008C4D88"/>
    <w:rsid w:val="008C56C4"/>
    <w:rsid w:val="008C5D16"/>
    <w:rsid w:val="008C6E9A"/>
    <w:rsid w:val="008C6EEA"/>
    <w:rsid w:val="008C7041"/>
    <w:rsid w:val="008C77FE"/>
    <w:rsid w:val="008C79B9"/>
    <w:rsid w:val="008C7D38"/>
    <w:rsid w:val="008C7E7F"/>
    <w:rsid w:val="008D0DDC"/>
    <w:rsid w:val="008D1775"/>
    <w:rsid w:val="008D2377"/>
    <w:rsid w:val="008D364C"/>
    <w:rsid w:val="008D3833"/>
    <w:rsid w:val="008D3848"/>
    <w:rsid w:val="008D3F67"/>
    <w:rsid w:val="008D408C"/>
    <w:rsid w:val="008D4AD8"/>
    <w:rsid w:val="008D50F4"/>
    <w:rsid w:val="008D51E8"/>
    <w:rsid w:val="008D563B"/>
    <w:rsid w:val="008D6FBC"/>
    <w:rsid w:val="008D70A8"/>
    <w:rsid w:val="008D7119"/>
    <w:rsid w:val="008D78A5"/>
    <w:rsid w:val="008D7CFE"/>
    <w:rsid w:val="008E02EB"/>
    <w:rsid w:val="008E0CD8"/>
    <w:rsid w:val="008E1D1F"/>
    <w:rsid w:val="008E1DA4"/>
    <w:rsid w:val="008E1F4C"/>
    <w:rsid w:val="008E2067"/>
    <w:rsid w:val="008E214F"/>
    <w:rsid w:val="008E21C5"/>
    <w:rsid w:val="008E245C"/>
    <w:rsid w:val="008E2CE4"/>
    <w:rsid w:val="008E330D"/>
    <w:rsid w:val="008E359E"/>
    <w:rsid w:val="008E3959"/>
    <w:rsid w:val="008E3A78"/>
    <w:rsid w:val="008E403A"/>
    <w:rsid w:val="008E40E4"/>
    <w:rsid w:val="008E44C9"/>
    <w:rsid w:val="008E5339"/>
    <w:rsid w:val="008E646C"/>
    <w:rsid w:val="008E6495"/>
    <w:rsid w:val="008E6D6D"/>
    <w:rsid w:val="008E7517"/>
    <w:rsid w:val="008E7774"/>
    <w:rsid w:val="008E7E7E"/>
    <w:rsid w:val="008F1AE4"/>
    <w:rsid w:val="008F1EF6"/>
    <w:rsid w:val="008F21DA"/>
    <w:rsid w:val="008F2751"/>
    <w:rsid w:val="008F2942"/>
    <w:rsid w:val="008F31BF"/>
    <w:rsid w:val="008F3546"/>
    <w:rsid w:val="008F3AFC"/>
    <w:rsid w:val="008F3F45"/>
    <w:rsid w:val="008F4234"/>
    <w:rsid w:val="008F5630"/>
    <w:rsid w:val="008F58AA"/>
    <w:rsid w:val="008F6A78"/>
    <w:rsid w:val="008F7A12"/>
    <w:rsid w:val="00900066"/>
    <w:rsid w:val="009005AC"/>
    <w:rsid w:val="009008A9"/>
    <w:rsid w:val="009015C7"/>
    <w:rsid w:val="00901A39"/>
    <w:rsid w:val="00901F86"/>
    <w:rsid w:val="00902871"/>
    <w:rsid w:val="00902F1E"/>
    <w:rsid w:val="00903340"/>
    <w:rsid w:val="00903FAD"/>
    <w:rsid w:val="009041B2"/>
    <w:rsid w:val="00904272"/>
    <w:rsid w:val="009043D1"/>
    <w:rsid w:val="009043F9"/>
    <w:rsid w:val="009049C3"/>
    <w:rsid w:val="009050E1"/>
    <w:rsid w:val="009058D1"/>
    <w:rsid w:val="009058DD"/>
    <w:rsid w:val="009061C3"/>
    <w:rsid w:val="009061DF"/>
    <w:rsid w:val="0090666B"/>
    <w:rsid w:val="00906C30"/>
    <w:rsid w:val="00906DD1"/>
    <w:rsid w:val="0090723F"/>
    <w:rsid w:val="009077A8"/>
    <w:rsid w:val="009077F9"/>
    <w:rsid w:val="00910584"/>
    <w:rsid w:val="0091126A"/>
    <w:rsid w:val="009118A3"/>
    <w:rsid w:val="00911AD8"/>
    <w:rsid w:val="00912429"/>
    <w:rsid w:val="00913046"/>
    <w:rsid w:val="009133E4"/>
    <w:rsid w:val="00913615"/>
    <w:rsid w:val="009136F4"/>
    <w:rsid w:val="00913D83"/>
    <w:rsid w:val="0091418C"/>
    <w:rsid w:val="00915059"/>
    <w:rsid w:val="009157FD"/>
    <w:rsid w:val="0091586A"/>
    <w:rsid w:val="009159DE"/>
    <w:rsid w:val="00916591"/>
    <w:rsid w:val="00916D3F"/>
    <w:rsid w:val="00916F25"/>
    <w:rsid w:val="0091709D"/>
    <w:rsid w:val="0092135E"/>
    <w:rsid w:val="0092189D"/>
    <w:rsid w:val="00922CF5"/>
    <w:rsid w:val="00923500"/>
    <w:rsid w:val="00923656"/>
    <w:rsid w:val="00923BA5"/>
    <w:rsid w:val="00924157"/>
    <w:rsid w:val="0092441B"/>
    <w:rsid w:val="00924AFE"/>
    <w:rsid w:val="00924F59"/>
    <w:rsid w:val="009251DF"/>
    <w:rsid w:val="00925D7A"/>
    <w:rsid w:val="009261F0"/>
    <w:rsid w:val="009265F9"/>
    <w:rsid w:val="009266A5"/>
    <w:rsid w:val="009267D0"/>
    <w:rsid w:val="00927B9B"/>
    <w:rsid w:val="00927C30"/>
    <w:rsid w:val="00927DB4"/>
    <w:rsid w:val="00930D3E"/>
    <w:rsid w:val="00931243"/>
    <w:rsid w:val="00931B4B"/>
    <w:rsid w:val="009320B3"/>
    <w:rsid w:val="00932465"/>
    <w:rsid w:val="00932B6C"/>
    <w:rsid w:val="0093313A"/>
    <w:rsid w:val="00934478"/>
    <w:rsid w:val="00935264"/>
    <w:rsid w:val="00936717"/>
    <w:rsid w:val="0093718F"/>
    <w:rsid w:val="009373B6"/>
    <w:rsid w:val="009374FC"/>
    <w:rsid w:val="009379DF"/>
    <w:rsid w:val="0094076F"/>
    <w:rsid w:val="009407B2"/>
    <w:rsid w:val="0094094A"/>
    <w:rsid w:val="00941764"/>
    <w:rsid w:val="00941F2C"/>
    <w:rsid w:val="00942079"/>
    <w:rsid w:val="009423E9"/>
    <w:rsid w:val="009428E9"/>
    <w:rsid w:val="00942C33"/>
    <w:rsid w:val="00942FAC"/>
    <w:rsid w:val="00943215"/>
    <w:rsid w:val="00944D18"/>
    <w:rsid w:val="0094526A"/>
    <w:rsid w:val="009474EA"/>
    <w:rsid w:val="00947EF9"/>
    <w:rsid w:val="00947F28"/>
    <w:rsid w:val="00947F3F"/>
    <w:rsid w:val="0095062F"/>
    <w:rsid w:val="00950A48"/>
    <w:rsid w:val="00950A5E"/>
    <w:rsid w:val="00950DD7"/>
    <w:rsid w:val="009510AA"/>
    <w:rsid w:val="00951BFB"/>
    <w:rsid w:val="00951F71"/>
    <w:rsid w:val="00953577"/>
    <w:rsid w:val="0095462E"/>
    <w:rsid w:val="00954D71"/>
    <w:rsid w:val="009551CB"/>
    <w:rsid w:val="009553AE"/>
    <w:rsid w:val="00955469"/>
    <w:rsid w:val="00955AB9"/>
    <w:rsid w:val="009560A4"/>
    <w:rsid w:val="009563FE"/>
    <w:rsid w:val="00957A7E"/>
    <w:rsid w:val="00957C57"/>
    <w:rsid w:val="00957D96"/>
    <w:rsid w:val="0096037D"/>
    <w:rsid w:val="009613B4"/>
    <w:rsid w:val="0096181C"/>
    <w:rsid w:val="00961CB0"/>
    <w:rsid w:val="0096246C"/>
    <w:rsid w:val="00962A3D"/>
    <w:rsid w:val="00963092"/>
    <w:rsid w:val="00963837"/>
    <w:rsid w:val="0096392B"/>
    <w:rsid w:val="00964033"/>
    <w:rsid w:val="00964788"/>
    <w:rsid w:val="00964B10"/>
    <w:rsid w:val="00965419"/>
    <w:rsid w:val="00965736"/>
    <w:rsid w:val="00965B55"/>
    <w:rsid w:val="00966657"/>
    <w:rsid w:val="00966AF8"/>
    <w:rsid w:val="00966D39"/>
    <w:rsid w:val="00966DF5"/>
    <w:rsid w:val="00967280"/>
    <w:rsid w:val="00967406"/>
    <w:rsid w:val="00967B0D"/>
    <w:rsid w:val="009706ED"/>
    <w:rsid w:val="009723C4"/>
    <w:rsid w:val="009725B3"/>
    <w:rsid w:val="009727DA"/>
    <w:rsid w:val="00972B62"/>
    <w:rsid w:val="00972DCB"/>
    <w:rsid w:val="009743A7"/>
    <w:rsid w:val="00974F43"/>
    <w:rsid w:val="0097581E"/>
    <w:rsid w:val="00975953"/>
    <w:rsid w:val="00975BD6"/>
    <w:rsid w:val="00975E22"/>
    <w:rsid w:val="00976CC4"/>
    <w:rsid w:val="009775BA"/>
    <w:rsid w:val="00977EB9"/>
    <w:rsid w:val="009803ED"/>
    <w:rsid w:val="009808BE"/>
    <w:rsid w:val="00980ADE"/>
    <w:rsid w:val="0098124D"/>
    <w:rsid w:val="00981C56"/>
    <w:rsid w:val="00981C6B"/>
    <w:rsid w:val="00981E29"/>
    <w:rsid w:val="00982592"/>
    <w:rsid w:val="009829B6"/>
    <w:rsid w:val="00983CF1"/>
    <w:rsid w:val="0098503E"/>
    <w:rsid w:val="00985C6D"/>
    <w:rsid w:val="00985FC6"/>
    <w:rsid w:val="00986AEC"/>
    <w:rsid w:val="00986D1F"/>
    <w:rsid w:val="00986D76"/>
    <w:rsid w:val="0099113C"/>
    <w:rsid w:val="0099114C"/>
    <w:rsid w:val="00991F49"/>
    <w:rsid w:val="009922B0"/>
    <w:rsid w:val="00992C6B"/>
    <w:rsid w:val="00993728"/>
    <w:rsid w:val="00993D26"/>
    <w:rsid w:val="00993F3B"/>
    <w:rsid w:val="00995460"/>
    <w:rsid w:val="0099591E"/>
    <w:rsid w:val="00995DB6"/>
    <w:rsid w:val="00996D03"/>
    <w:rsid w:val="009A0051"/>
    <w:rsid w:val="009A14B4"/>
    <w:rsid w:val="009A1E98"/>
    <w:rsid w:val="009A2233"/>
    <w:rsid w:val="009A2711"/>
    <w:rsid w:val="009A3121"/>
    <w:rsid w:val="009A3209"/>
    <w:rsid w:val="009A39FC"/>
    <w:rsid w:val="009A4C6D"/>
    <w:rsid w:val="009A51DE"/>
    <w:rsid w:val="009A5609"/>
    <w:rsid w:val="009A6787"/>
    <w:rsid w:val="009A6AC8"/>
    <w:rsid w:val="009A75E2"/>
    <w:rsid w:val="009B016E"/>
    <w:rsid w:val="009B047A"/>
    <w:rsid w:val="009B053F"/>
    <w:rsid w:val="009B13A4"/>
    <w:rsid w:val="009B1CF1"/>
    <w:rsid w:val="009B250F"/>
    <w:rsid w:val="009B3055"/>
    <w:rsid w:val="009B36F3"/>
    <w:rsid w:val="009B385A"/>
    <w:rsid w:val="009B385D"/>
    <w:rsid w:val="009B3CBC"/>
    <w:rsid w:val="009B3F47"/>
    <w:rsid w:val="009B414C"/>
    <w:rsid w:val="009B4FB5"/>
    <w:rsid w:val="009B4FEF"/>
    <w:rsid w:val="009B568D"/>
    <w:rsid w:val="009B5BAA"/>
    <w:rsid w:val="009B5E98"/>
    <w:rsid w:val="009B6185"/>
    <w:rsid w:val="009B6460"/>
    <w:rsid w:val="009B74F7"/>
    <w:rsid w:val="009B7CE6"/>
    <w:rsid w:val="009B7F38"/>
    <w:rsid w:val="009C008C"/>
    <w:rsid w:val="009C08A3"/>
    <w:rsid w:val="009C0B80"/>
    <w:rsid w:val="009C12AE"/>
    <w:rsid w:val="009C1EFE"/>
    <w:rsid w:val="009C24E9"/>
    <w:rsid w:val="009C2CF3"/>
    <w:rsid w:val="009C3623"/>
    <w:rsid w:val="009C3C59"/>
    <w:rsid w:val="009C3CE1"/>
    <w:rsid w:val="009C45D7"/>
    <w:rsid w:val="009C4758"/>
    <w:rsid w:val="009C491A"/>
    <w:rsid w:val="009C513D"/>
    <w:rsid w:val="009C5348"/>
    <w:rsid w:val="009C57B6"/>
    <w:rsid w:val="009C5866"/>
    <w:rsid w:val="009C5ECB"/>
    <w:rsid w:val="009C6664"/>
    <w:rsid w:val="009C695F"/>
    <w:rsid w:val="009C7D17"/>
    <w:rsid w:val="009C7D96"/>
    <w:rsid w:val="009D07D6"/>
    <w:rsid w:val="009D130C"/>
    <w:rsid w:val="009D14AE"/>
    <w:rsid w:val="009D14DE"/>
    <w:rsid w:val="009D1867"/>
    <w:rsid w:val="009D1BA3"/>
    <w:rsid w:val="009D26D5"/>
    <w:rsid w:val="009D2BD8"/>
    <w:rsid w:val="009D30AA"/>
    <w:rsid w:val="009D3D69"/>
    <w:rsid w:val="009D465F"/>
    <w:rsid w:val="009D5069"/>
    <w:rsid w:val="009D5260"/>
    <w:rsid w:val="009D5757"/>
    <w:rsid w:val="009D6D60"/>
    <w:rsid w:val="009D7408"/>
    <w:rsid w:val="009D78B5"/>
    <w:rsid w:val="009D7A08"/>
    <w:rsid w:val="009D7F6D"/>
    <w:rsid w:val="009E0237"/>
    <w:rsid w:val="009E041C"/>
    <w:rsid w:val="009E0469"/>
    <w:rsid w:val="009E0CBE"/>
    <w:rsid w:val="009E1B56"/>
    <w:rsid w:val="009E239C"/>
    <w:rsid w:val="009E2F1C"/>
    <w:rsid w:val="009E33D9"/>
    <w:rsid w:val="009E3B2D"/>
    <w:rsid w:val="009E3BC2"/>
    <w:rsid w:val="009E3C5D"/>
    <w:rsid w:val="009E508B"/>
    <w:rsid w:val="009E62DB"/>
    <w:rsid w:val="009E642F"/>
    <w:rsid w:val="009E6A1B"/>
    <w:rsid w:val="009E6C0E"/>
    <w:rsid w:val="009E6D11"/>
    <w:rsid w:val="009F02DC"/>
    <w:rsid w:val="009F02E4"/>
    <w:rsid w:val="009F0353"/>
    <w:rsid w:val="009F05F8"/>
    <w:rsid w:val="009F134F"/>
    <w:rsid w:val="009F135F"/>
    <w:rsid w:val="009F1592"/>
    <w:rsid w:val="009F1B48"/>
    <w:rsid w:val="009F459C"/>
    <w:rsid w:val="009F4C91"/>
    <w:rsid w:val="009F4E3D"/>
    <w:rsid w:val="009F5352"/>
    <w:rsid w:val="009F5468"/>
    <w:rsid w:val="009F5527"/>
    <w:rsid w:val="009F5C70"/>
    <w:rsid w:val="009F65D2"/>
    <w:rsid w:val="009F7BC0"/>
    <w:rsid w:val="009F7E6A"/>
    <w:rsid w:val="00A00779"/>
    <w:rsid w:val="00A00844"/>
    <w:rsid w:val="00A00A98"/>
    <w:rsid w:val="00A01525"/>
    <w:rsid w:val="00A0194C"/>
    <w:rsid w:val="00A01B8F"/>
    <w:rsid w:val="00A02162"/>
    <w:rsid w:val="00A02292"/>
    <w:rsid w:val="00A0287B"/>
    <w:rsid w:val="00A02BDF"/>
    <w:rsid w:val="00A02FF4"/>
    <w:rsid w:val="00A03022"/>
    <w:rsid w:val="00A03173"/>
    <w:rsid w:val="00A0317A"/>
    <w:rsid w:val="00A0323F"/>
    <w:rsid w:val="00A0354D"/>
    <w:rsid w:val="00A03598"/>
    <w:rsid w:val="00A0377F"/>
    <w:rsid w:val="00A043F0"/>
    <w:rsid w:val="00A04BC3"/>
    <w:rsid w:val="00A05236"/>
    <w:rsid w:val="00A052F6"/>
    <w:rsid w:val="00A05F8C"/>
    <w:rsid w:val="00A06BE1"/>
    <w:rsid w:val="00A06CDD"/>
    <w:rsid w:val="00A075D1"/>
    <w:rsid w:val="00A10D86"/>
    <w:rsid w:val="00A11ACE"/>
    <w:rsid w:val="00A11B07"/>
    <w:rsid w:val="00A12E59"/>
    <w:rsid w:val="00A13054"/>
    <w:rsid w:val="00A13D0C"/>
    <w:rsid w:val="00A13DBC"/>
    <w:rsid w:val="00A14BCF"/>
    <w:rsid w:val="00A1513F"/>
    <w:rsid w:val="00A158A7"/>
    <w:rsid w:val="00A15A08"/>
    <w:rsid w:val="00A15BF2"/>
    <w:rsid w:val="00A16574"/>
    <w:rsid w:val="00A16913"/>
    <w:rsid w:val="00A16A19"/>
    <w:rsid w:val="00A16F6F"/>
    <w:rsid w:val="00A17410"/>
    <w:rsid w:val="00A21047"/>
    <w:rsid w:val="00A21163"/>
    <w:rsid w:val="00A21170"/>
    <w:rsid w:val="00A21503"/>
    <w:rsid w:val="00A22612"/>
    <w:rsid w:val="00A22AD4"/>
    <w:rsid w:val="00A22DE2"/>
    <w:rsid w:val="00A235C0"/>
    <w:rsid w:val="00A23F5B"/>
    <w:rsid w:val="00A2467B"/>
    <w:rsid w:val="00A24A37"/>
    <w:rsid w:val="00A24D23"/>
    <w:rsid w:val="00A24D24"/>
    <w:rsid w:val="00A2687D"/>
    <w:rsid w:val="00A2689F"/>
    <w:rsid w:val="00A26C6F"/>
    <w:rsid w:val="00A26EBD"/>
    <w:rsid w:val="00A27149"/>
    <w:rsid w:val="00A2762E"/>
    <w:rsid w:val="00A279B1"/>
    <w:rsid w:val="00A27FD2"/>
    <w:rsid w:val="00A300FE"/>
    <w:rsid w:val="00A31617"/>
    <w:rsid w:val="00A31AB1"/>
    <w:rsid w:val="00A31FF1"/>
    <w:rsid w:val="00A3211E"/>
    <w:rsid w:val="00A3581D"/>
    <w:rsid w:val="00A35B2D"/>
    <w:rsid w:val="00A35FBD"/>
    <w:rsid w:val="00A378C9"/>
    <w:rsid w:val="00A37AE0"/>
    <w:rsid w:val="00A37DA7"/>
    <w:rsid w:val="00A404FB"/>
    <w:rsid w:val="00A40FCD"/>
    <w:rsid w:val="00A40FFB"/>
    <w:rsid w:val="00A41632"/>
    <w:rsid w:val="00A41E39"/>
    <w:rsid w:val="00A43518"/>
    <w:rsid w:val="00A43730"/>
    <w:rsid w:val="00A43E78"/>
    <w:rsid w:val="00A44012"/>
    <w:rsid w:val="00A44504"/>
    <w:rsid w:val="00A44948"/>
    <w:rsid w:val="00A44A9C"/>
    <w:rsid w:val="00A454E6"/>
    <w:rsid w:val="00A45C1C"/>
    <w:rsid w:val="00A45D97"/>
    <w:rsid w:val="00A463A6"/>
    <w:rsid w:val="00A4648E"/>
    <w:rsid w:val="00A4676E"/>
    <w:rsid w:val="00A471AB"/>
    <w:rsid w:val="00A4786D"/>
    <w:rsid w:val="00A502EC"/>
    <w:rsid w:val="00A50C0A"/>
    <w:rsid w:val="00A51013"/>
    <w:rsid w:val="00A5111D"/>
    <w:rsid w:val="00A5135E"/>
    <w:rsid w:val="00A515BB"/>
    <w:rsid w:val="00A51EC7"/>
    <w:rsid w:val="00A5295D"/>
    <w:rsid w:val="00A5386F"/>
    <w:rsid w:val="00A54339"/>
    <w:rsid w:val="00A5462B"/>
    <w:rsid w:val="00A54CD0"/>
    <w:rsid w:val="00A54F82"/>
    <w:rsid w:val="00A554B6"/>
    <w:rsid w:val="00A5581D"/>
    <w:rsid w:val="00A55949"/>
    <w:rsid w:val="00A55CA2"/>
    <w:rsid w:val="00A55DEF"/>
    <w:rsid w:val="00A56247"/>
    <w:rsid w:val="00A563FB"/>
    <w:rsid w:val="00A571CB"/>
    <w:rsid w:val="00A57E2A"/>
    <w:rsid w:val="00A60645"/>
    <w:rsid w:val="00A60790"/>
    <w:rsid w:val="00A61053"/>
    <w:rsid w:val="00A61510"/>
    <w:rsid w:val="00A6185B"/>
    <w:rsid w:val="00A61EEB"/>
    <w:rsid w:val="00A62132"/>
    <w:rsid w:val="00A6245A"/>
    <w:rsid w:val="00A6266F"/>
    <w:rsid w:val="00A62920"/>
    <w:rsid w:val="00A62B1C"/>
    <w:rsid w:val="00A63062"/>
    <w:rsid w:val="00A63E15"/>
    <w:rsid w:val="00A63E7C"/>
    <w:rsid w:val="00A641CE"/>
    <w:rsid w:val="00A644A3"/>
    <w:rsid w:val="00A64DB2"/>
    <w:rsid w:val="00A65398"/>
    <w:rsid w:val="00A6546F"/>
    <w:rsid w:val="00A65CD0"/>
    <w:rsid w:val="00A65EEE"/>
    <w:rsid w:val="00A6603C"/>
    <w:rsid w:val="00A6677B"/>
    <w:rsid w:val="00A66A42"/>
    <w:rsid w:val="00A67348"/>
    <w:rsid w:val="00A67465"/>
    <w:rsid w:val="00A6769B"/>
    <w:rsid w:val="00A71884"/>
    <w:rsid w:val="00A7278B"/>
    <w:rsid w:val="00A736DF"/>
    <w:rsid w:val="00A73A87"/>
    <w:rsid w:val="00A74449"/>
    <w:rsid w:val="00A744C3"/>
    <w:rsid w:val="00A74697"/>
    <w:rsid w:val="00A7483A"/>
    <w:rsid w:val="00A760C0"/>
    <w:rsid w:val="00A76E97"/>
    <w:rsid w:val="00A776A3"/>
    <w:rsid w:val="00A7782A"/>
    <w:rsid w:val="00A77BA7"/>
    <w:rsid w:val="00A80233"/>
    <w:rsid w:val="00A8036A"/>
    <w:rsid w:val="00A805AA"/>
    <w:rsid w:val="00A806A3"/>
    <w:rsid w:val="00A809F5"/>
    <w:rsid w:val="00A813FF"/>
    <w:rsid w:val="00A816AC"/>
    <w:rsid w:val="00A81AF0"/>
    <w:rsid w:val="00A81BAF"/>
    <w:rsid w:val="00A81BF4"/>
    <w:rsid w:val="00A8201C"/>
    <w:rsid w:val="00A82734"/>
    <w:rsid w:val="00A82881"/>
    <w:rsid w:val="00A834B7"/>
    <w:rsid w:val="00A83771"/>
    <w:rsid w:val="00A840E7"/>
    <w:rsid w:val="00A84331"/>
    <w:rsid w:val="00A84413"/>
    <w:rsid w:val="00A85853"/>
    <w:rsid w:val="00A861F0"/>
    <w:rsid w:val="00A86752"/>
    <w:rsid w:val="00A87059"/>
    <w:rsid w:val="00A8742C"/>
    <w:rsid w:val="00A876C1"/>
    <w:rsid w:val="00A90765"/>
    <w:rsid w:val="00A9164D"/>
    <w:rsid w:val="00A91CFB"/>
    <w:rsid w:val="00A91F05"/>
    <w:rsid w:val="00A921CD"/>
    <w:rsid w:val="00A92D3A"/>
    <w:rsid w:val="00A93C04"/>
    <w:rsid w:val="00A93F05"/>
    <w:rsid w:val="00A93F07"/>
    <w:rsid w:val="00A94242"/>
    <w:rsid w:val="00A94B21"/>
    <w:rsid w:val="00A94E9A"/>
    <w:rsid w:val="00A961AE"/>
    <w:rsid w:val="00A96431"/>
    <w:rsid w:val="00A97FA4"/>
    <w:rsid w:val="00AA0E49"/>
    <w:rsid w:val="00AA13EA"/>
    <w:rsid w:val="00AA189E"/>
    <w:rsid w:val="00AA2277"/>
    <w:rsid w:val="00AA2E8B"/>
    <w:rsid w:val="00AA2EF9"/>
    <w:rsid w:val="00AA34B9"/>
    <w:rsid w:val="00AA55A2"/>
    <w:rsid w:val="00AA5938"/>
    <w:rsid w:val="00AA6042"/>
    <w:rsid w:val="00AA64DE"/>
    <w:rsid w:val="00AA659C"/>
    <w:rsid w:val="00AA6BBA"/>
    <w:rsid w:val="00AA73EA"/>
    <w:rsid w:val="00AA7932"/>
    <w:rsid w:val="00AA7C4A"/>
    <w:rsid w:val="00AB016A"/>
    <w:rsid w:val="00AB0523"/>
    <w:rsid w:val="00AB1C6D"/>
    <w:rsid w:val="00AB27E9"/>
    <w:rsid w:val="00AB296B"/>
    <w:rsid w:val="00AB3EC2"/>
    <w:rsid w:val="00AB3FF7"/>
    <w:rsid w:val="00AB48DA"/>
    <w:rsid w:val="00AB4944"/>
    <w:rsid w:val="00AB512D"/>
    <w:rsid w:val="00AB5DF3"/>
    <w:rsid w:val="00AB63F2"/>
    <w:rsid w:val="00AB64CA"/>
    <w:rsid w:val="00AB658E"/>
    <w:rsid w:val="00AB6639"/>
    <w:rsid w:val="00AB67B9"/>
    <w:rsid w:val="00AB68E4"/>
    <w:rsid w:val="00AB75A9"/>
    <w:rsid w:val="00AB7D55"/>
    <w:rsid w:val="00AB7E9B"/>
    <w:rsid w:val="00AC026D"/>
    <w:rsid w:val="00AC0D37"/>
    <w:rsid w:val="00AC117A"/>
    <w:rsid w:val="00AC3FAF"/>
    <w:rsid w:val="00AC47D1"/>
    <w:rsid w:val="00AC52FA"/>
    <w:rsid w:val="00AC68E4"/>
    <w:rsid w:val="00AC712A"/>
    <w:rsid w:val="00AC7277"/>
    <w:rsid w:val="00AC7910"/>
    <w:rsid w:val="00AC7A23"/>
    <w:rsid w:val="00AD0C75"/>
    <w:rsid w:val="00AD3F35"/>
    <w:rsid w:val="00AD4130"/>
    <w:rsid w:val="00AD50F1"/>
    <w:rsid w:val="00AD5126"/>
    <w:rsid w:val="00AD5129"/>
    <w:rsid w:val="00AD6073"/>
    <w:rsid w:val="00AD6081"/>
    <w:rsid w:val="00AD63C2"/>
    <w:rsid w:val="00AD6F77"/>
    <w:rsid w:val="00AD73A8"/>
    <w:rsid w:val="00AD7B75"/>
    <w:rsid w:val="00AE0000"/>
    <w:rsid w:val="00AE1421"/>
    <w:rsid w:val="00AE1614"/>
    <w:rsid w:val="00AE542A"/>
    <w:rsid w:val="00AE7917"/>
    <w:rsid w:val="00AE7D61"/>
    <w:rsid w:val="00AF0723"/>
    <w:rsid w:val="00AF0B8A"/>
    <w:rsid w:val="00AF14B7"/>
    <w:rsid w:val="00AF1585"/>
    <w:rsid w:val="00AF16A6"/>
    <w:rsid w:val="00AF1FDF"/>
    <w:rsid w:val="00AF200B"/>
    <w:rsid w:val="00AF4262"/>
    <w:rsid w:val="00AF4C2D"/>
    <w:rsid w:val="00AF4CDB"/>
    <w:rsid w:val="00AF5033"/>
    <w:rsid w:val="00AF57BF"/>
    <w:rsid w:val="00AF599B"/>
    <w:rsid w:val="00AF6611"/>
    <w:rsid w:val="00AF71F0"/>
    <w:rsid w:val="00AF7476"/>
    <w:rsid w:val="00AF7D21"/>
    <w:rsid w:val="00B00874"/>
    <w:rsid w:val="00B008F3"/>
    <w:rsid w:val="00B01D29"/>
    <w:rsid w:val="00B0233C"/>
    <w:rsid w:val="00B0277D"/>
    <w:rsid w:val="00B02D6A"/>
    <w:rsid w:val="00B0357F"/>
    <w:rsid w:val="00B039EA"/>
    <w:rsid w:val="00B03C5E"/>
    <w:rsid w:val="00B03DF6"/>
    <w:rsid w:val="00B045C3"/>
    <w:rsid w:val="00B05364"/>
    <w:rsid w:val="00B057BA"/>
    <w:rsid w:val="00B0595F"/>
    <w:rsid w:val="00B05F3E"/>
    <w:rsid w:val="00B07180"/>
    <w:rsid w:val="00B07590"/>
    <w:rsid w:val="00B0787D"/>
    <w:rsid w:val="00B10554"/>
    <w:rsid w:val="00B105AD"/>
    <w:rsid w:val="00B110D5"/>
    <w:rsid w:val="00B115D2"/>
    <w:rsid w:val="00B11E0E"/>
    <w:rsid w:val="00B11E92"/>
    <w:rsid w:val="00B12713"/>
    <w:rsid w:val="00B12AE4"/>
    <w:rsid w:val="00B12FBA"/>
    <w:rsid w:val="00B13383"/>
    <w:rsid w:val="00B1365F"/>
    <w:rsid w:val="00B13CB9"/>
    <w:rsid w:val="00B1404F"/>
    <w:rsid w:val="00B1480B"/>
    <w:rsid w:val="00B14868"/>
    <w:rsid w:val="00B15DC3"/>
    <w:rsid w:val="00B16166"/>
    <w:rsid w:val="00B1642F"/>
    <w:rsid w:val="00B164FB"/>
    <w:rsid w:val="00B16F92"/>
    <w:rsid w:val="00B1770C"/>
    <w:rsid w:val="00B17E48"/>
    <w:rsid w:val="00B20075"/>
    <w:rsid w:val="00B20C2B"/>
    <w:rsid w:val="00B215B1"/>
    <w:rsid w:val="00B2254E"/>
    <w:rsid w:val="00B226C5"/>
    <w:rsid w:val="00B241C1"/>
    <w:rsid w:val="00B24221"/>
    <w:rsid w:val="00B24E97"/>
    <w:rsid w:val="00B2521D"/>
    <w:rsid w:val="00B252E4"/>
    <w:rsid w:val="00B25B14"/>
    <w:rsid w:val="00B25FC4"/>
    <w:rsid w:val="00B26344"/>
    <w:rsid w:val="00B2661B"/>
    <w:rsid w:val="00B2716A"/>
    <w:rsid w:val="00B27189"/>
    <w:rsid w:val="00B27313"/>
    <w:rsid w:val="00B277F6"/>
    <w:rsid w:val="00B27811"/>
    <w:rsid w:val="00B30205"/>
    <w:rsid w:val="00B30843"/>
    <w:rsid w:val="00B3121A"/>
    <w:rsid w:val="00B31370"/>
    <w:rsid w:val="00B31509"/>
    <w:rsid w:val="00B32608"/>
    <w:rsid w:val="00B337A8"/>
    <w:rsid w:val="00B342C2"/>
    <w:rsid w:val="00B3475E"/>
    <w:rsid w:val="00B35090"/>
    <w:rsid w:val="00B351C6"/>
    <w:rsid w:val="00B35EEC"/>
    <w:rsid w:val="00B36025"/>
    <w:rsid w:val="00B36C56"/>
    <w:rsid w:val="00B37667"/>
    <w:rsid w:val="00B37BD6"/>
    <w:rsid w:val="00B37F57"/>
    <w:rsid w:val="00B40964"/>
    <w:rsid w:val="00B409AD"/>
    <w:rsid w:val="00B40C56"/>
    <w:rsid w:val="00B413C7"/>
    <w:rsid w:val="00B4219A"/>
    <w:rsid w:val="00B431D5"/>
    <w:rsid w:val="00B4320F"/>
    <w:rsid w:val="00B43744"/>
    <w:rsid w:val="00B43A01"/>
    <w:rsid w:val="00B43B6B"/>
    <w:rsid w:val="00B44B27"/>
    <w:rsid w:val="00B44EAD"/>
    <w:rsid w:val="00B45503"/>
    <w:rsid w:val="00B455AF"/>
    <w:rsid w:val="00B45FCA"/>
    <w:rsid w:val="00B461A3"/>
    <w:rsid w:val="00B46397"/>
    <w:rsid w:val="00B4766A"/>
    <w:rsid w:val="00B504B4"/>
    <w:rsid w:val="00B50A6D"/>
    <w:rsid w:val="00B51952"/>
    <w:rsid w:val="00B519BA"/>
    <w:rsid w:val="00B52B94"/>
    <w:rsid w:val="00B53DA8"/>
    <w:rsid w:val="00B54E94"/>
    <w:rsid w:val="00B55600"/>
    <w:rsid w:val="00B55DF2"/>
    <w:rsid w:val="00B57606"/>
    <w:rsid w:val="00B57793"/>
    <w:rsid w:val="00B57A13"/>
    <w:rsid w:val="00B57C27"/>
    <w:rsid w:val="00B60E82"/>
    <w:rsid w:val="00B612DB"/>
    <w:rsid w:val="00B6211B"/>
    <w:rsid w:val="00B62235"/>
    <w:rsid w:val="00B6321A"/>
    <w:rsid w:val="00B63322"/>
    <w:rsid w:val="00B636C6"/>
    <w:rsid w:val="00B63DE3"/>
    <w:rsid w:val="00B64931"/>
    <w:rsid w:val="00B64DB2"/>
    <w:rsid w:val="00B65869"/>
    <w:rsid w:val="00B6651B"/>
    <w:rsid w:val="00B67DC9"/>
    <w:rsid w:val="00B67EBB"/>
    <w:rsid w:val="00B70079"/>
    <w:rsid w:val="00B70B49"/>
    <w:rsid w:val="00B70FD2"/>
    <w:rsid w:val="00B72D12"/>
    <w:rsid w:val="00B739DB"/>
    <w:rsid w:val="00B73BE5"/>
    <w:rsid w:val="00B73DF5"/>
    <w:rsid w:val="00B73E8D"/>
    <w:rsid w:val="00B7416B"/>
    <w:rsid w:val="00B743E4"/>
    <w:rsid w:val="00B749E3"/>
    <w:rsid w:val="00B7501C"/>
    <w:rsid w:val="00B75545"/>
    <w:rsid w:val="00B75B2F"/>
    <w:rsid w:val="00B75CA8"/>
    <w:rsid w:val="00B76788"/>
    <w:rsid w:val="00B76DF4"/>
    <w:rsid w:val="00B76F9D"/>
    <w:rsid w:val="00B77122"/>
    <w:rsid w:val="00B774D9"/>
    <w:rsid w:val="00B7775D"/>
    <w:rsid w:val="00B77E9A"/>
    <w:rsid w:val="00B77F9D"/>
    <w:rsid w:val="00B80074"/>
    <w:rsid w:val="00B80557"/>
    <w:rsid w:val="00B80E8B"/>
    <w:rsid w:val="00B82252"/>
    <w:rsid w:val="00B832F3"/>
    <w:rsid w:val="00B83706"/>
    <w:rsid w:val="00B84A67"/>
    <w:rsid w:val="00B84B90"/>
    <w:rsid w:val="00B8527D"/>
    <w:rsid w:val="00B85B2C"/>
    <w:rsid w:val="00B86834"/>
    <w:rsid w:val="00B86EBB"/>
    <w:rsid w:val="00B87AF2"/>
    <w:rsid w:val="00B90855"/>
    <w:rsid w:val="00B90995"/>
    <w:rsid w:val="00B90CFD"/>
    <w:rsid w:val="00B90FD0"/>
    <w:rsid w:val="00B9108D"/>
    <w:rsid w:val="00B9128A"/>
    <w:rsid w:val="00B9155D"/>
    <w:rsid w:val="00B93830"/>
    <w:rsid w:val="00B93872"/>
    <w:rsid w:val="00B940EB"/>
    <w:rsid w:val="00B94527"/>
    <w:rsid w:val="00B956D3"/>
    <w:rsid w:val="00B95824"/>
    <w:rsid w:val="00B959B6"/>
    <w:rsid w:val="00B95FA8"/>
    <w:rsid w:val="00B96939"/>
    <w:rsid w:val="00B96BC0"/>
    <w:rsid w:val="00B96DCA"/>
    <w:rsid w:val="00B9786F"/>
    <w:rsid w:val="00B97BBE"/>
    <w:rsid w:val="00BA047D"/>
    <w:rsid w:val="00BA0925"/>
    <w:rsid w:val="00BA100E"/>
    <w:rsid w:val="00BA1F17"/>
    <w:rsid w:val="00BA2FE0"/>
    <w:rsid w:val="00BA3ED1"/>
    <w:rsid w:val="00BA4328"/>
    <w:rsid w:val="00BA4D9A"/>
    <w:rsid w:val="00BA6CC3"/>
    <w:rsid w:val="00BB0AC6"/>
    <w:rsid w:val="00BB0B4D"/>
    <w:rsid w:val="00BB0D5E"/>
    <w:rsid w:val="00BB0D91"/>
    <w:rsid w:val="00BB107C"/>
    <w:rsid w:val="00BB19B9"/>
    <w:rsid w:val="00BB4490"/>
    <w:rsid w:val="00BB4802"/>
    <w:rsid w:val="00BB4B2A"/>
    <w:rsid w:val="00BB4E35"/>
    <w:rsid w:val="00BB5530"/>
    <w:rsid w:val="00BB5687"/>
    <w:rsid w:val="00BB5955"/>
    <w:rsid w:val="00BB6302"/>
    <w:rsid w:val="00BB6735"/>
    <w:rsid w:val="00BB7398"/>
    <w:rsid w:val="00BB7A2F"/>
    <w:rsid w:val="00BC0C53"/>
    <w:rsid w:val="00BC11BA"/>
    <w:rsid w:val="00BC1331"/>
    <w:rsid w:val="00BC1AC0"/>
    <w:rsid w:val="00BC20F7"/>
    <w:rsid w:val="00BC2D12"/>
    <w:rsid w:val="00BC34AB"/>
    <w:rsid w:val="00BC36A7"/>
    <w:rsid w:val="00BC3D6C"/>
    <w:rsid w:val="00BC3F6B"/>
    <w:rsid w:val="00BC418B"/>
    <w:rsid w:val="00BC4551"/>
    <w:rsid w:val="00BC73EF"/>
    <w:rsid w:val="00BC7FE7"/>
    <w:rsid w:val="00BD093C"/>
    <w:rsid w:val="00BD0DE4"/>
    <w:rsid w:val="00BD1052"/>
    <w:rsid w:val="00BD13D0"/>
    <w:rsid w:val="00BD1C07"/>
    <w:rsid w:val="00BD241B"/>
    <w:rsid w:val="00BD244B"/>
    <w:rsid w:val="00BD26F9"/>
    <w:rsid w:val="00BD28B6"/>
    <w:rsid w:val="00BD3111"/>
    <w:rsid w:val="00BD36FD"/>
    <w:rsid w:val="00BD5081"/>
    <w:rsid w:val="00BD564E"/>
    <w:rsid w:val="00BD5B41"/>
    <w:rsid w:val="00BD5BC9"/>
    <w:rsid w:val="00BD5E52"/>
    <w:rsid w:val="00BD61DB"/>
    <w:rsid w:val="00BD62F0"/>
    <w:rsid w:val="00BD6891"/>
    <w:rsid w:val="00BD6B75"/>
    <w:rsid w:val="00BD761E"/>
    <w:rsid w:val="00BD7658"/>
    <w:rsid w:val="00BD7A0A"/>
    <w:rsid w:val="00BD7A56"/>
    <w:rsid w:val="00BE0016"/>
    <w:rsid w:val="00BE0CF4"/>
    <w:rsid w:val="00BE0E83"/>
    <w:rsid w:val="00BE14A7"/>
    <w:rsid w:val="00BE190F"/>
    <w:rsid w:val="00BE219F"/>
    <w:rsid w:val="00BE2383"/>
    <w:rsid w:val="00BE298C"/>
    <w:rsid w:val="00BE2A2B"/>
    <w:rsid w:val="00BE3532"/>
    <w:rsid w:val="00BE360A"/>
    <w:rsid w:val="00BE3875"/>
    <w:rsid w:val="00BE3E61"/>
    <w:rsid w:val="00BE3FEF"/>
    <w:rsid w:val="00BE4764"/>
    <w:rsid w:val="00BE493E"/>
    <w:rsid w:val="00BE522C"/>
    <w:rsid w:val="00BE533C"/>
    <w:rsid w:val="00BE5A6D"/>
    <w:rsid w:val="00BE5EBF"/>
    <w:rsid w:val="00BE6141"/>
    <w:rsid w:val="00BE6643"/>
    <w:rsid w:val="00BE67E5"/>
    <w:rsid w:val="00BE6BA2"/>
    <w:rsid w:val="00BE6D5A"/>
    <w:rsid w:val="00BE6F90"/>
    <w:rsid w:val="00BE73BC"/>
    <w:rsid w:val="00BF0387"/>
    <w:rsid w:val="00BF11A1"/>
    <w:rsid w:val="00BF1A92"/>
    <w:rsid w:val="00BF1F12"/>
    <w:rsid w:val="00BF29CC"/>
    <w:rsid w:val="00BF3B76"/>
    <w:rsid w:val="00BF3CB7"/>
    <w:rsid w:val="00BF3D54"/>
    <w:rsid w:val="00BF464A"/>
    <w:rsid w:val="00BF4990"/>
    <w:rsid w:val="00BF4BA9"/>
    <w:rsid w:val="00BF529A"/>
    <w:rsid w:val="00BF55D8"/>
    <w:rsid w:val="00BF56FF"/>
    <w:rsid w:val="00BF5854"/>
    <w:rsid w:val="00BF5C54"/>
    <w:rsid w:val="00BF642D"/>
    <w:rsid w:val="00BF7888"/>
    <w:rsid w:val="00BF78CD"/>
    <w:rsid w:val="00BF79F7"/>
    <w:rsid w:val="00C0025F"/>
    <w:rsid w:val="00C004FC"/>
    <w:rsid w:val="00C00978"/>
    <w:rsid w:val="00C014A5"/>
    <w:rsid w:val="00C01A1A"/>
    <w:rsid w:val="00C01C9D"/>
    <w:rsid w:val="00C0239D"/>
    <w:rsid w:val="00C02D73"/>
    <w:rsid w:val="00C02F41"/>
    <w:rsid w:val="00C0393B"/>
    <w:rsid w:val="00C03BB3"/>
    <w:rsid w:val="00C03D9C"/>
    <w:rsid w:val="00C0425C"/>
    <w:rsid w:val="00C04335"/>
    <w:rsid w:val="00C046A6"/>
    <w:rsid w:val="00C05203"/>
    <w:rsid w:val="00C057B1"/>
    <w:rsid w:val="00C058BF"/>
    <w:rsid w:val="00C05A11"/>
    <w:rsid w:val="00C05E68"/>
    <w:rsid w:val="00C05E79"/>
    <w:rsid w:val="00C05FE4"/>
    <w:rsid w:val="00C06055"/>
    <w:rsid w:val="00C06B8B"/>
    <w:rsid w:val="00C06BC0"/>
    <w:rsid w:val="00C06EC0"/>
    <w:rsid w:val="00C06F0A"/>
    <w:rsid w:val="00C072ED"/>
    <w:rsid w:val="00C07454"/>
    <w:rsid w:val="00C1007D"/>
    <w:rsid w:val="00C11668"/>
    <w:rsid w:val="00C1185F"/>
    <w:rsid w:val="00C12D55"/>
    <w:rsid w:val="00C130F0"/>
    <w:rsid w:val="00C140B6"/>
    <w:rsid w:val="00C1478E"/>
    <w:rsid w:val="00C148A7"/>
    <w:rsid w:val="00C14996"/>
    <w:rsid w:val="00C14B8A"/>
    <w:rsid w:val="00C152C1"/>
    <w:rsid w:val="00C155A7"/>
    <w:rsid w:val="00C16001"/>
    <w:rsid w:val="00C16F6D"/>
    <w:rsid w:val="00C17132"/>
    <w:rsid w:val="00C173E8"/>
    <w:rsid w:val="00C17853"/>
    <w:rsid w:val="00C17A63"/>
    <w:rsid w:val="00C206E8"/>
    <w:rsid w:val="00C207FA"/>
    <w:rsid w:val="00C2141D"/>
    <w:rsid w:val="00C23E02"/>
    <w:rsid w:val="00C24048"/>
    <w:rsid w:val="00C242B0"/>
    <w:rsid w:val="00C248D4"/>
    <w:rsid w:val="00C24B02"/>
    <w:rsid w:val="00C2621F"/>
    <w:rsid w:val="00C262D6"/>
    <w:rsid w:val="00C26567"/>
    <w:rsid w:val="00C26838"/>
    <w:rsid w:val="00C26C3A"/>
    <w:rsid w:val="00C27FC9"/>
    <w:rsid w:val="00C3025D"/>
    <w:rsid w:val="00C30507"/>
    <w:rsid w:val="00C30730"/>
    <w:rsid w:val="00C30AC2"/>
    <w:rsid w:val="00C30E89"/>
    <w:rsid w:val="00C31CCE"/>
    <w:rsid w:val="00C3265A"/>
    <w:rsid w:val="00C32B87"/>
    <w:rsid w:val="00C34207"/>
    <w:rsid w:val="00C353DF"/>
    <w:rsid w:val="00C354E3"/>
    <w:rsid w:val="00C35C98"/>
    <w:rsid w:val="00C36B8C"/>
    <w:rsid w:val="00C370AC"/>
    <w:rsid w:val="00C3746A"/>
    <w:rsid w:val="00C37758"/>
    <w:rsid w:val="00C4017B"/>
    <w:rsid w:val="00C40A3A"/>
    <w:rsid w:val="00C40C6E"/>
    <w:rsid w:val="00C41A4C"/>
    <w:rsid w:val="00C41CFA"/>
    <w:rsid w:val="00C41D11"/>
    <w:rsid w:val="00C4239A"/>
    <w:rsid w:val="00C43481"/>
    <w:rsid w:val="00C437A6"/>
    <w:rsid w:val="00C448BF"/>
    <w:rsid w:val="00C4498C"/>
    <w:rsid w:val="00C44BBA"/>
    <w:rsid w:val="00C44E25"/>
    <w:rsid w:val="00C45100"/>
    <w:rsid w:val="00C45326"/>
    <w:rsid w:val="00C45B08"/>
    <w:rsid w:val="00C471D2"/>
    <w:rsid w:val="00C475CC"/>
    <w:rsid w:val="00C47C8C"/>
    <w:rsid w:val="00C47CBC"/>
    <w:rsid w:val="00C47E3F"/>
    <w:rsid w:val="00C500EA"/>
    <w:rsid w:val="00C5039D"/>
    <w:rsid w:val="00C50813"/>
    <w:rsid w:val="00C50AB2"/>
    <w:rsid w:val="00C51254"/>
    <w:rsid w:val="00C51717"/>
    <w:rsid w:val="00C51F0B"/>
    <w:rsid w:val="00C52B20"/>
    <w:rsid w:val="00C52F8E"/>
    <w:rsid w:val="00C543B4"/>
    <w:rsid w:val="00C54404"/>
    <w:rsid w:val="00C546B4"/>
    <w:rsid w:val="00C54814"/>
    <w:rsid w:val="00C54A02"/>
    <w:rsid w:val="00C54D0A"/>
    <w:rsid w:val="00C54E4F"/>
    <w:rsid w:val="00C54EF8"/>
    <w:rsid w:val="00C5598F"/>
    <w:rsid w:val="00C56346"/>
    <w:rsid w:val="00C5769C"/>
    <w:rsid w:val="00C578EB"/>
    <w:rsid w:val="00C57EDA"/>
    <w:rsid w:val="00C6013F"/>
    <w:rsid w:val="00C609B4"/>
    <w:rsid w:val="00C609DA"/>
    <w:rsid w:val="00C60A95"/>
    <w:rsid w:val="00C60BF3"/>
    <w:rsid w:val="00C60C40"/>
    <w:rsid w:val="00C61BD0"/>
    <w:rsid w:val="00C61D65"/>
    <w:rsid w:val="00C6209D"/>
    <w:rsid w:val="00C62689"/>
    <w:rsid w:val="00C6268D"/>
    <w:rsid w:val="00C62865"/>
    <w:rsid w:val="00C629CF"/>
    <w:rsid w:val="00C62ACC"/>
    <w:rsid w:val="00C62BD9"/>
    <w:rsid w:val="00C634D3"/>
    <w:rsid w:val="00C642FE"/>
    <w:rsid w:val="00C64949"/>
    <w:rsid w:val="00C64D34"/>
    <w:rsid w:val="00C650EA"/>
    <w:rsid w:val="00C654C7"/>
    <w:rsid w:val="00C659E5"/>
    <w:rsid w:val="00C6614E"/>
    <w:rsid w:val="00C66B1F"/>
    <w:rsid w:val="00C66F9E"/>
    <w:rsid w:val="00C678E4"/>
    <w:rsid w:val="00C67A1B"/>
    <w:rsid w:val="00C67E16"/>
    <w:rsid w:val="00C702EF"/>
    <w:rsid w:val="00C7035F"/>
    <w:rsid w:val="00C709CD"/>
    <w:rsid w:val="00C70C06"/>
    <w:rsid w:val="00C71378"/>
    <w:rsid w:val="00C72751"/>
    <w:rsid w:val="00C72B30"/>
    <w:rsid w:val="00C73115"/>
    <w:rsid w:val="00C73CBB"/>
    <w:rsid w:val="00C743B7"/>
    <w:rsid w:val="00C744AE"/>
    <w:rsid w:val="00C74DD1"/>
    <w:rsid w:val="00C75025"/>
    <w:rsid w:val="00C75760"/>
    <w:rsid w:val="00C759FE"/>
    <w:rsid w:val="00C75CFD"/>
    <w:rsid w:val="00C76205"/>
    <w:rsid w:val="00C763A1"/>
    <w:rsid w:val="00C7692B"/>
    <w:rsid w:val="00C76A65"/>
    <w:rsid w:val="00C76C97"/>
    <w:rsid w:val="00C77142"/>
    <w:rsid w:val="00C773EB"/>
    <w:rsid w:val="00C776C1"/>
    <w:rsid w:val="00C77819"/>
    <w:rsid w:val="00C77841"/>
    <w:rsid w:val="00C77EF9"/>
    <w:rsid w:val="00C80B3D"/>
    <w:rsid w:val="00C8112B"/>
    <w:rsid w:val="00C81705"/>
    <w:rsid w:val="00C8291F"/>
    <w:rsid w:val="00C82948"/>
    <w:rsid w:val="00C829DC"/>
    <w:rsid w:val="00C8300A"/>
    <w:rsid w:val="00C83B55"/>
    <w:rsid w:val="00C84531"/>
    <w:rsid w:val="00C846C7"/>
    <w:rsid w:val="00C84C83"/>
    <w:rsid w:val="00C84F83"/>
    <w:rsid w:val="00C85226"/>
    <w:rsid w:val="00C85361"/>
    <w:rsid w:val="00C855DD"/>
    <w:rsid w:val="00C85E85"/>
    <w:rsid w:val="00C865A0"/>
    <w:rsid w:val="00C86D60"/>
    <w:rsid w:val="00C86F51"/>
    <w:rsid w:val="00C87205"/>
    <w:rsid w:val="00C87501"/>
    <w:rsid w:val="00C8752C"/>
    <w:rsid w:val="00C876E9"/>
    <w:rsid w:val="00C87CED"/>
    <w:rsid w:val="00C90F24"/>
    <w:rsid w:val="00C914AE"/>
    <w:rsid w:val="00C914D2"/>
    <w:rsid w:val="00C916F9"/>
    <w:rsid w:val="00C91867"/>
    <w:rsid w:val="00C91C10"/>
    <w:rsid w:val="00C927B1"/>
    <w:rsid w:val="00C92C3A"/>
    <w:rsid w:val="00C92DFF"/>
    <w:rsid w:val="00C93287"/>
    <w:rsid w:val="00C93FBD"/>
    <w:rsid w:val="00C94455"/>
    <w:rsid w:val="00C94933"/>
    <w:rsid w:val="00C94AE8"/>
    <w:rsid w:val="00C94F05"/>
    <w:rsid w:val="00C9579B"/>
    <w:rsid w:val="00C9608C"/>
    <w:rsid w:val="00C96894"/>
    <w:rsid w:val="00C96BC2"/>
    <w:rsid w:val="00C972E4"/>
    <w:rsid w:val="00C97962"/>
    <w:rsid w:val="00CA04D7"/>
    <w:rsid w:val="00CA0734"/>
    <w:rsid w:val="00CA0885"/>
    <w:rsid w:val="00CA0CA7"/>
    <w:rsid w:val="00CA1048"/>
    <w:rsid w:val="00CA2186"/>
    <w:rsid w:val="00CA23F7"/>
    <w:rsid w:val="00CA26E8"/>
    <w:rsid w:val="00CA2843"/>
    <w:rsid w:val="00CA2921"/>
    <w:rsid w:val="00CA3377"/>
    <w:rsid w:val="00CA43C0"/>
    <w:rsid w:val="00CA4EB1"/>
    <w:rsid w:val="00CA6420"/>
    <w:rsid w:val="00CA6552"/>
    <w:rsid w:val="00CA6AC5"/>
    <w:rsid w:val="00CA6B00"/>
    <w:rsid w:val="00CA7054"/>
    <w:rsid w:val="00CA7A47"/>
    <w:rsid w:val="00CA7D2C"/>
    <w:rsid w:val="00CA7E3B"/>
    <w:rsid w:val="00CA7F2F"/>
    <w:rsid w:val="00CB0825"/>
    <w:rsid w:val="00CB08C6"/>
    <w:rsid w:val="00CB0A81"/>
    <w:rsid w:val="00CB0C11"/>
    <w:rsid w:val="00CB1A78"/>
    <w:rsid w:val="00CB1C8F"/>
    <w:rsid w:val="00CB1EF2"/>
    <w:rsid w:val="00CB1FF5"/>
    <w:rsid w:val="00CB2E15"/>
    <w:rsid w:val="00CB30C8"/>
    <w:rsid w:val="00CB383F"/>
    <w:rsid w:val="00CB3F90"/>
    <w:rsid w:val="00CB44A0"/>
    <w:rsid w:val="00CB5280"/>
    <w:rsid w:val="00CB5654"/>
    <w:rsid w:val="00CB5A94"/>
    <w:rsid w:val="00CB5ABC"/>
    <w:rsid w:val="00CB5DA3"/>
    <w:rsid w:val="00CB5E22"/>
    <w:rsid w:val="00CB609C"/>
    <w:rsid w:val="00CB60E3"/>
    <w:rsid w:val="00CB7219"/>
    <w:rsid w:val="00CB74B6"/>
    <w:rsid w:val="00CB79E2"/>
    <w:rsid w:val="00CC068D"/>
    <w:rsid w:val="00CC081E"/>
    <w:rsid w:val="00CC0A40"/>
    <w:rsid w:val="00CC149C"/>
    <w:rsid w:val="00CC18F9"/>
    <w:rsid w:val="00CC2EB4"/>
    <w:rsid w:val="00CC312D"/>
    <w:rsid w:val="00CC395B"/>
    <w:rsid w:val="00CC39BB"/>
    <w:rsid w:val="00CC410E"/>
    <w:rsid w:val="00CC4FE8"/>
    <w:rsid w:val="00CC5652"/>
    <w:rsid w:val="00CC56AE"/>
    <w:rsid w:val="00CC63EC"/>
    <w:rsid w:val="00CC6664"/>
    <w:rsid w:val="00CC6CFB"/>
    <w:rsid w:val="00CD0630"/>
    <w:rsid w:val="00CD0C53"/>
    <w:rsid w:val="00CD0D25"/>
    <w:rsid w:val="00CD15E2"/>
    <w:rsid w:val="00CD16C4"/>
    <w:rsid w:val="00CD2610"/>
    <w:rsid w:val="00CD3B4A"/>
    <w:rsid w:val="00CD3D10"/>
    <w:rsid w:val="00CD40F4"/>
    <w:rsid w:val="00CD4583"/>
    <w:rsid w:val="00CD4994"/>
    <w:rsid w:val="00CD4BEC"/>
    <w:rsid w:val="00CD4EFF"/>
    <w:rsid w:val="00CD51BC"/>
    <w:rsid w:val="00CD5383"/>
    <w:rsid w:val="00CD5B72"/>
    <w:rsid w:val="00CD5EBD"/>
    <w:rsid w:val="00CD5FDD"/>
    <w:rsid w:val="00CD6042"/>
    <w:rsid w:val="00CD6265"/>
    <w:rsid w:val="00CD63D7"/>
    <w:rsid w:val="00CD7000"/>
    <w:rsid w:val="00CD7147"/>
    <w:rsid w:val="00CD7701"/>
    <w:rsid w:val="00CE07C9"/>
    <w:rsid w:val="00CE0E9C"/>
    <w:rsid w:val="00CE132E"/>
    <w:rsid w:val="00CE2293"/>
    <w:rsid w:val="00CE2799"/>
    <w:rsid w:val="00CE2FFA"/>
    <w:rsid w:val="00CE35B2"/>
    <w:rsid w:val="00CE37E1"/>
    <w:rsid w:val="00CE3C58"/>
    <w:rsid w:val="00CE3CDA"/>
    <w:rsid w:val="00CE406A"/>
    <w:rsid w:val="00CE677F"/>
    <w:rsid w:val="00CF0163"/>
    <w:rsid w:val="00CF0509"/>
    <w:rsid w:val="00CF1316"/>
    <w:rsid w:val="00CF13C6"/>
    <w:rsid w:val="00CF15BA"/>
    <w:rsid w:val="00CF1679"/>
    <w:rsid w:val="00CF1823"/>
    <w:rsid w:val="00CF2220"/>
    <w:rsid w:val="00CF2250"/>
    <w:rsid w:val="00CF27BF"/>
    <w:rsid w:val="00CF442A"/>
    <w:rsid w:val="00CF445C"/>
    <w:rsid w:val="00CF5444"/>
    <w:rsid w:val="00CF5781"/>
    <w:rsid w:val="00CF5AA4"/>
    <w:rsid w:val="00CF5CDD"/>
    <w:rsid w:val="00CF6E01"/>
    <w:rsid w:val="00CF7005"/>
    <w:rsid w:val="00CF710D"/>
    <w:rsid w:val="00CF780C"/>
    <w:rsid w:val="00CF7A37"/>
    <w:rsid w:val="00CF7E33"/>
    <w:rsid w:val="00CF7EC8"/>
    <w:rsid w:val="00D00B19"/>
    <w:rsid w:val="00D015DF"/>
    <w:rsid w:val="00D0166C"/>
    <w:rsid w:val="00D0181D"/>
    <w:rsid w:val="00D01B8D"/>
    <w:rsid w:val="00D01BBB"/>
    <w:rsid w:val="00D0249C"/>
    <w:rsid w:val="00D03183"/>
    <w:rsid w:val="00D03454"/>
    <w:rsid w:val="00D03499"/>
    <w:rsid w:val="00D045A4"/>
    <w:rsid w:val="00D048E8"/>
    <w:rsid w:val="00D04EB5"/>
    <w:rsid w:val="00D05BAA"/>
    <w:rsid w:val="00D05C65"/>
    <w:rsid w:val="00D061D2"/>
    <w:rsid w:val="00D06DB0"/>
    <w:rsid w:val="00D07129"/>
    <w:rsid w:val="00D07420"/>
    <w:rsid w:val="00D074D6"/>
    <w:rsid w:val="00D10859"/>
    <w:rsid w:val="00D10C5F"/>
    <w:rsid w:val="00D111CE"/>
    <w:rsid w:val="00D1123F"/>
    <w:rsid w:val="00D11667"/>
    <w:rsid w:val="00D11A11"/>
    <w:rsid w:val="00D11C12"/>
    <w:rsid w:val="00D12227"/>
    <w:rsid w:val="00D12252"/>
    <w:rsid w:val="00D12749"/>
    <w:rsid w:val="00D12BC9"/>
    <w:rsid w:val="00D145F8"/>
    <w:rsid w:val="00D14805"/>
    <w:rsid w:val="00D14A28"/>
    <w:rsid w:val="00D1729C"/>
    <w:rsid w:val="00D17573"/>
    <w:rsid w:val="00D17B1B"/>
    <w:rsid w:val="00D17D87"/>
    <w:rsid w:val="00D203A5"/>
    <w:rsid w:val="00D20752"/>
    <w:rsid w:val="00D208E6"/>
    <w:rsid w:val="00D20B57"/>
    <w:rsid w:val="00D20E75"/>
    <w:rsid w:val="00D21328"/>
    <w:rsid w:val="00D2152F"/>
    <w:rsid w:val="00D219D1"/>
    <w:rsid w:val="00D2222D"/>
    <w:rsid w:val="00D22F63"/>
    <w:rsid w:val="00D23019"/>
    <w:rsid w:val="00D23371"/>
    <w:rsid w:val="00D24245"/>
    <w:rsid w:val="00D2455C"/>
    <w:rsid w:val="00D24EE8"/>
    <w:rsid w:val="00D251D1"/>
    <w:rsid w:val="00D25443"/>
    <w:rsid w:val="00D26736"/>
    <w:rsid w:val="00D26BC5"/>
    <w:rsid w:val="00D27304"/>
    <w:rsid w:val="00D27E6F"/>
    <w:rsid w:val="00D30179"/>
    <w:rsid w:val="00D30AF8"/>
    <w:rsid w:val="00D30F1A"/>
    <w:rsid w:val="00D31A4D"/>
    <w:rsid w:val="00D31ACE"/>
    <w:rsid w:val="00D31BE8"/>
    <w:rsid w:val="00D32DDB"/>
    <w:rsid w:val="00D335D8"/>
    <w:rsid w:val="00D33EA6"/>
    <w:rsid w:val="00D343E1"/>
    <w:rsid w:val="00D34627"/>
    <w:rsid w:val="00D34AF5"/>
    <w:rsid w:val="00D35D2B"/>
    <w:rsid w:val="00D36231"/>
    <w:rsid w:val="00D36716"/>
    <w:rsid w:val="00D36EEE"/>
    <w:rsid w:val="00D370FC"/>
    <w:rsid w:val="00D37471"/>
    <w:rsid w:val="00D37DD5"/>
    <w:rsid w:val="00D4038B"/>
    <w:rsid w:val="00D40F25"/>
    <w:rsid w:val="00D415FE"/>
    <w:rsid w:val="00D4180D"/>
    <w:rsid w:val="00D42195"/>
    <w:rsid w:val="00D430F8"/>
    <w:rsid w:val="00D433B8"/>
    <w:rsid w:val="00D43A5D"/>
    <w:rsid w:val="00D43ACF"/>
    <w:rsid w:val="00D44413"/>
    <w:rsid w:val="00D449A1"/>
    <w:rsid w:val="00D44B7A"/>
    <w:rsid w:val="00D45C97"/>
    <w:rsid w:val="00D45F69"/>
    <w:rsid w:val="00D46282"/>
    <w:rsid w:val="00D46298"/>
    <w:rsid w:val="00D46309"/>
    <w:rsid w:val="00D4661B"/>
    <w:rsid w:val="00D4673A"/>
    <w:rsid w:val="00D46C6E"/>
    <w:rsid w:val="00D46D46"/>
    <w:rsid w:val="00D472A4"/>
    <w:rsid w:val="00D50169"/>
    <w:rsid w:val="00D50C6D"/>
    <w:rsid w:val="00D5191B"/>
    <w:rsid w:val="00D51C8F"/>
    <w:rsid w:val="00D52560"/>
    <w:rsid w:val="00D55639"/>
    <w:rsid w:val="00D558F1"/>
    <w:rsid w:val="00D55FC5"/>
    <w:rsid w:val="00D56C64"/>
    <w:rsid w:val="00D56FA3"/>
    <w:rsid w:val="00D571E0"/>
    <w:rsid w:val="00D575C4"/>
    <w:rsid w:val="00D57B74"/>
    <w:rsid w:val="00D57C30"/>
    <w:rsid w:val="00D60164"/>
    <w:rsid w:val="00D60F3B"/>
    <w:rsid w:val="00D61B76"/>
    <w:rsid w:val="00D63599"/>
    <w:rsid w:val="00D65869"/>
    <w:rsid w:val="00D65911"/>
    <w:rsid w:val="00D6730D"/>
    <w:rsid w:val="00D6797C"/>
    <w:rsid w:val="00D7030E"/>
    <w:rsid w:val="00D7074F"/>
    <w:rsid w:val="00D70EA2"/>
    <w:rsid w:val="00D71866"/>
    <w:rsid w:val="00D718DC"/>
    <w:rsid w:val="00D71B13"/>
    <w:rsid w:val="00D72766"/>
    <w:rsid w:val="00D7387D"/>
    <w:rsid w:val="00D73DAD"/>
    <w:rsid w:val="00D73EB7"/>
    <w:rsid w:val="00D74022"/>
    <w:rsid w:val="00D743C9"/>
    <w:rsid w:val="00D7450C"/>
    <w:rsid w:val="00D74667"/>
    <w:rsid w:val="00D75BA4"/>
    <w:rsid w:val="00D76046"/>
    <w:rsid w:val="00D760B8"/>
    <w:rsid w:val="00D770EF"/>
    <w:rsid w:val="00D7750F"/>
    <w:rsid w:val="00D80191"/>
    <w:rsid w:val="00D80770"/>
    <w:rsid w:val="00D81900"/>
    <w:rsid w:val="00D83209"/>
    <w:rsid w:val="00D83EDF"/>
    <w:rsid w:val="00D84820"/>
    <w:rsid w:val="00D84B94"/>
    <w:rsid w:val="00D84C8B"/>
    <w:rsid w:val="00D85C21"/>
    <w:rsid w:val="00D87050"/>
    <w:rsid w:val="00D87858"/>
    <w:rsid w:val="00D909F2"/>
    <w:rsid w:val="00D91771"/>
    <w:rsid w:val="00D919C5"/>
    <w:rsid w:val="00D92DFF"/>
    <w:rsid w:val="00D93140"/>
    <w:rsid w:val="00D93737"/>
    <w:rsid w:val="00D93A3C"/>
    <w:rsid w:val="00D93BF1"/>
    <w:rsid w:val="00D93E57"/>
    <w:rsid w:val="00D943F7"/>
    <w:rsid w:val="00D944AE"/>
    <w:rsid w:val="00D94EF8"/>
    <w:rsid w:val="00D95327"/>
    <w:rsid w:val="00D95429"/>
    <w:rsid w:val="00D95489"/>
    <w:rsid w:val="00D9551D"/>
    <w:rsid w:val="00D9574A"/>
    <w:rsid w:val="00D96234"/>
    <w:rsid w:val="00D96D99"/>
    <w:rsid w:val="00D9709B"/>
    <w:rsid w:val="00D971A9"/>
    <w:rsid w:val="00D97708"/>
    <w:rsid w:val="00DA02DF"/>
    <w:rsid w:val="00DA32FA"/>
    <w:rsid w:val="00DA43AE"/>
    <w:rsid w:val="00DA50AF"/>
    <w:rsid w:val="00DA5605"/>
    <w:rsid w:val="00DA6E9A"/>
    <w:rsid w:val="00DA71D2"/>
    <w:rsid w:val="00DA7CDD"/>
    <w:rsid w:val="00DB0F27"/>
    <w:rsid w:val="00DB148B"/>
    <w:rsid w:val="00DB30CD"/>
    <w:rsid w:val="00DB4908"/>
    <w:rsid w:val="00DB5257"/>
    <w:rsid w:val="00DB611A"/>
    <w:rsid w:val="00DB6EEB"/>
    <w:rsid w:val="00DB7C95"/>
    <w:rsid w:val="00DB7FC2"/>
    <w:rsid w:val="00DC0CF5"/>
    <w:rsid w:val="00DC1157"/>
    <w:rsid w:val="00DC145B"/>
    <w:rsid w:val="00DC17DA"/>
    <w:rsid w:val="00DC1B43"/>
    <w:rsid w:val="00DC27BD"/>
    <w:rsid w:val="00DC29CB"/>
    <w:rsid w:val="00DC3624"/>
    <w:rsid w:val="00DC4094"/>
    <w:rsid w:val="00DC48E4"/>
    <w:rsid w:val="00DC4A7D"/>
    <w:rsid w:val="00DC5496"/>
    <w:rsid w:val="00DC7951"/>
    <w:rsid w:val="00DD150E"/>
    <w:rsid w:val="00DD1622"/>
    <w:rsid w:val="00DD2BA1"/>
    <w:rsid w:val="00DD362A"/>
    <w:rsid w:val="00DD3827"/>
    <w:rsid w:val="00DD3B75"/>
    <w:rsid w:val="00DD3F48"/>
    <w:rsid w:val="00DD41E3"/>
    <w:rsid w:val="00DD4BAD"/>
    <w:rsid w:val="00DD50E4"/>
    <w:rsid w:val="00DD571A"/>
    <w:rsid w:val="00DD69F7"/>
    <w:rsid w:val="00DD6FD4"/>
    <w:rsid w:val="00DD7467"/>
    <w:rsid w:val="00DE0542"/>
    <w:rsid w:val="00DE075E"/>
    <w:rsid w:val="00DE0BE3"/>
    <w:rsid w:val="00DE0D3C"/>
    <w:rsid w:val="00DE22EE"/>
    <w:rsid w:val="00DE2F60"/>
    <w:rsid w:val="00DE332E"/>
    <w:rsid w:val="00DE3832"/>
    <w:rsid w:val="00DE3BD0"/>
    <w:rsid w:val="00DE3E0A"/>
    <w:rsid w:val="00DE4120"/>
    <w:rsid w:val="00DE46F6"/>
    <w:rsid w:val="00DE47E5"/>
    <w:rsid w:val="00DE517D"/>
    <w:rsid w:val="00DE51D7"/>
    <w:rsid w:val="00DE59FF"/>
    <w:rsid w:val="00DE5A58"/>
    <w:rsid w:val="00DE5F21"/>
    <w:rsid w:val="00DE70A2"/>
    <w:rsid w:val="00DE7444"/>
    <w:rsid w:val="00DE7467"/>
    <w:rsid w:val="00DF065E"/>
    <w:rsid w:val="00DF157A"/>
    <w:rsid w:val="00DF20DF"/>
    <w:rsid w:val="00DF2FE9"/>
    <w:rsid w:val="00DF35D2"/>
    <w:rsid w:val="00DF37A6"/>
    <w:rsid w:val="00DF3FEC"/>
    <w:rsid w:val="00DF4284"/>
    <w:rsid w:val="00DF4DB7"/>
    <w:rsid w:val="00DF4F12"/>
    <w:rsid w:val="00DF5269"/>
    <w:rsid w:val="00DF5463"/>
    <w:rsid w:val="00DF5719"/>
    <w:rsid w:val="00DF5A8C"/>
    <w:rsid w:val="00DF68C6"/>
    <w:rsid w:val="00DF693A"/>
    <w:rsid w:val="00DF6AB1"/>
    <w:rsid w:val="00DF6B1F"/>
    <w:rsid w:val="00DF6B36"/>
    <w:rsid w:val="00DF6B8A"/>
    <w:rsid w:val="00DF732A"/>
    <w:rsid w:val="00DF7E3D"/>
    <w:rsid w:val="00E00335"/>
    <w:rsid w:val="00E00B73"/>
    <w:rsid w:val="00E010AB"/>
    <w:rsid w:val="00E01E93"/>
    <w:rsid w:val="00E020E6"/>
    <w:rsid w:val="00E02767"/>
    <w:rsid w:val="00E03132"/>
    <w:rsid w:val="00E032A4"/>
    <w:rsid w:val="00E03595"/>
    <w:rsid w:val="00E047EC"/>
    <w:rsid w:val="00E050D5"/>
    <w:rsid w:val="00E053B6"/>
    <w:rsid w:val="00E0565C"/>
    <w:rsid w:val="00E059E2"/>
    <w:rsid w:val="00E0666C"/>
    <w:rsid w:val="00E06B9B"/>
    <w:rsid w:val="00E079F9"/>
    <w:rsid w:val="00E07B26"/>
    <w:rsid w:val="00E07D64"/>
    <w:rsid w:val="00E07EF7"/>
    <w:rsid w:val="00E07FFB"/>
    <w:rsid w:val="00E10381"/>
    <w:rsid w:val="00E104DA"/>
    <w:rsid w:val="00E10749"/>
    <w:rsid w:val="00E10832"/>
    <w:rsid w:val="00E11010"/>
    <w:rsid w:val="00E11646"/>
    <w:rsid w:val="00E11FA2"/>
    <w:rsid w:val="00E124B5"/>
    <w:rsid w:val="00E13BE9"/>
    <w:rsid w:val="00E14A61"/>
    <w:rsid w:val="00E1521B"/>
    <w:rsid w:val="00E15574"/>
    <w:rsid w:val="00E15A58"/>
    <w:rsid w:val="00E16220"/>
    <w:rsid w:val="00E1650C"/>
    <w:rsid w:val="00E1736C"/>
    <w:rsid w:val="00E177CE"/>
    <w:rsid w:val="00E17C0C"/>
    <w:rsid w:val="00E20B7D"/>
    <w:rsid w:val="00E20C0C"/>
    <w:rsid w:val="00E20D8E"/>
    <w:rsid w:val="00E21E18"/>
    <w:rsid w:val="00E22A9D"/>
    <w:rsid w:val="00E23763"/>
    <w:rsid w:val="00E2456F"/>
    <w:rsid w:val="00E26748"/>
    <w:rsid w:val="00E26ED5"/>
    <w:rsid w:val="00E27377"/>
    <w:rsid w:val="00E278CE"/>
    <w:rsid w:val="00E27978"/>
    <w:rsid w:val="00E27CF9"/>
    <w:rsid w:val="00E30DF5"/>
    <w:rsid w:val="00E32F52"/>
    <w:rsid w:val="00E330BF"/>
    <w:rsid w:val="00E3315F"/>
    <w:rsid w:val="00E332F3"/>
    <w:rsid w:val="00E34368"/>
    <w:rsid w:val="00E347EF"/>
    <w:rsid w:val="00E3486C"/>
    <w:rsid w:val="00E351F6"/>
    <w:rsid w:val="00E35A7F"/>
    <w:rsid w:val="00E36CC6"/>
    <w:rsid w:val="00E370D9"/>
    <w:rsid w:val="00E377A8"/>
    <w:rsid w:val="00E40303"/>
    <w:rsid w:val="00E41AF9"/>
    <w:rsid w:val="00E41E35"/>
    <w:rsid w:val="00E42289"/>
    <w:rsid w:val="00E43193"/>
    <w:rsid w:val="00E432D8"/>
    <w:rsid w:val="00E43991"/>
    <w:rsid w:val="00E4423E"/>
    <w:rsid w:val="00E44D26"/>
    <w:rsid w:val="00E44E2D"/>
    <w:rsid w:val="00E44F24"/>
    <w:rsid w:val="00E457DA"/>
    <w:rsid w:val="00E45A46"/>
    <w:rsid w:val="00E45F1C"/>
    <w:rsid w:val="00E472FE"/>
    <w:rsid w:val="00E47614"/>
    <w:rsid w:val="00E47879"/>
    <w:rsid w:val="00E47B19"/>
    <w:rsid w:val="00E47CD7"/>
    <w:rsid w:val="00E5085F"/>
    <w:rsid w:val="00E51F4B"/>
    <w:rsid w:val="00E52A17"/>
    <w:rsid w:val="00E52BAE"/>
    <w:rsid w:val="00E52C62"/>
    <w:rsid w:val="00E535CD"/>
    <w:rsid w:val="00E5377C"/>
    <w:rsid w:val="00E53B65"/>
    <w:rsid w:val="00E54153"/>
    <w:rsid w:val="00E54983"/>
    <w:rsid w:val="00E561F4"/>
    <w:rsid w:val="00E562C5"/>
    <w:rsid w:val="00E56505"/>
    <w:rsid w:val="00E56C01"/>
    <w:rsid w:val="00E57BEF"/>
    <w:rsid w:val="00E60068"/>
    <w:rsid w:val="00E6037B"/>
    <w:rsid w:val="00E60523"/>
    <w:rsid w:val="00E606A3"/>
    <w:rsid w:val="00E609BA"/>
    <w:rsid w:val="00E6155B"/>
    <w:rsid w:val="00E629AD"/>
    <w:rsid w:val="00E62DAA"/>
    <w:rsid w:val="00E64013"/>
    <w:rsid w:val="00E64187"/>
    <w:rsid w:val="00E6418D"/>
    <w:rsid w:val="00E64351"/>
    <w:rsid w:val="00E646C3"/>
    <w:rsid w:val="00E64E94"/>
    <w:rsid w:val="00E65A00"/>
    <w:rsid w:val="00E663CB"/>
    <w:rsid w:val="00E66BDA"/>
    <w:rsid w:val="00E67817"/>
    <w:rsid w:val="00E67AE2"/>
    <w:rsid w:val="00E67D7C"/>
    <w:rsid w:val="00E7099C"/>
    <w:rsid w:val="00E70F8A"/>
    <w:rsid w:val="00E71704"/>
    <w:rsid w:val="00E72519"/>
    <w:rsid w:val="00E725BA"/>
    <w:rsid w:val="00E7296E"/>
    <w:rsid w:val="00E72A7C"/>
    <w:rsid w:val="00E7319B"/>
    <w:rsid w:val="00E7393C"/>
    <w:rsid w:val="00E73CC5"/>
    <w:rsid w:val="00E73E38"/>
    <w:rsid w:val="00E74550"/>
    <w:rsid w:val="00E74779"/>
    <w:rsid w:val="00E74FFC"/>
    <w:rsid w:val="00E750AD"/>
    <w:rsid w:val="00E754A9"/>
    <w:rsid w:val="00E75CCA"/>
    <w:rsid w:val="00E763E5"/>
    <w:rsid w:val="00E764FA"/>
    <w:rsid w:val="00E769DA"/>
    <w:rsid w:val="00E775F1"/>
    <w:rsid w:val="00E77C28"/>
    <w:rsid w:val="00E802F1"/>
    <w:rsid w:val="00E80EB8"/>
    <w:rsid w:val="00E81008"/>
    <w:rsid w:val="00E8192D"/>
    <w:rsid w:val="00E82400"/>
    <w:rsid w:val="00E82F2B"/>
    <w:rsid w:val="00E82F44"/>
    <w:rsid w:val="00E83079"/>
    <w:rsid w:val="00E8339A"/>
    <w:rsid w:val="00E83D5A"/>
    <w:rsid w:val="00E83E5D"/>
    <w:rsid w:val="00E8401C"/>
    <w:rsid w:val="00E8406B"/>
    <w:rsid w:val="00E85011"/>
    <w:rsid w:val="00E8503F"/>
    <w:rsid w:val="00E85E88"/>
    <w:rsid w:val="00E860F2"/>
    <w:rsid w:val="00E86BAA"/>
    <w:rsid w:val="00E86C9B"/>
    <w:rsid w:val="00E87002"/>
    <w:rsid w:val="00E90254"/>
    <w:rsid w:val="00E90438"/>
    <w:rsid w:val="00E908DB"/>
    <w:rsid w:val="00E909D5"/>
    <w:rsid w:val="00E90B6F"/>
    <w:rsid w:val="00E91692"/>
    <w:rsid w:val="00E91AC4"/>
    <w:rsid w:val="00E91C3D"/>
    <w:rsid w:val="00E91C6A"/>
    <w:rsid w:val="00E91D94"/>
    <w:rsid w:val="00E91F04"/>
    <w:rsid w:val="00E92A90"/>
    <w:rsid w:val="00E93D6F"/>
    <w:rsid w:val="00E94B24"/>
    <w:rsid w:val="00E94BFF"/>
    <w:rsid w:val="00E95214"/>
    <w:rsid w:val="00E956F7"/>
    <w:rsid w:val="00E95E2C"/>
    <w:rsid w:val="00E95E41"/>
    <w:rsid w:val="00E960B2"/>
    <w:rsid w:val="00E96AE5"/>
    <w:rsid w:val="00E96C3F"/>
    <w:rsid w:val="00E96C46"/>
    <w:rsid w:val="00E97056"/>
    <w:rsid w:val="00E972F3"/>
    <w:rsid w:val="00E97C03"/>
    <w:rsid w:val="00EA04E1"/>
    <w:rsid w:val="00EA1719"/>
    <w:rsid w:val="00EA197E"/>
    <w:rsid w:val="00EA19C3"/>
    <w:rsid w:val="00EA2899"/>
    <w:rsid w:val="00EA2BC4"/>
    <w:rsid w:val="00EA2BD2"/>
    <w:rsid w:val="00EA2D03"/>
    <w:rsid w:val="00EA41BB"/>
    <w:rsid w:val="00EA474A"/>
    <w:rsid w:val="00EA4D64"/>
    <w:rsid w:val="00EA5EAC"/>
    <w:rsid w:val="00EA6507"/>
    <w:rsid w:val="00EA7681"/>
    <w:rsid w:val="00EA772E"/>
    <w:rsid w:val="00EA79B1"/>
    <w:rsid w:val="00EB03AB"/>
    <w:rsid w:val="00EB1158"/>
    <w:rsid w:val="00EB11A4"/>
    <w:rsid w:val="00EB1414"/>
    <w:rsid w:val="00EB19A7"/>
    <w:rsid w:val="00EB2AD4"/>
    <w:rsid w:val="00EB36DF"/>
    <w:rsid w:val="00EB3D0B"/>
    <w:rsid w:val="00EB409A"/>
    <w:rsid w:val="00EB4A9A"/>
    <w:rsid w:val="00EB4AD7"/>
    <w:rsid w:val="00EB51A0"/>
    <w:rsid w:val="00EB580B"/>
    <w:rsid w:val="00EB5B5B"/>
    <w:rsid w:val="00EB776D"/>
    <w:rsid w:val="00EB7D74"/>
    <w:rsid w:val="00EC0B53"/>
    <w:rsid w:val="00EC1043"/>
    <w:rsid w:val="00EC1CFC"/>
    <w:rsid w:val="00EC24D5"/>
    <w:rsid w:val="00EC2CFA"/>
    <w:rsid w:val="00EC3405"/>
    <w:rsid w:val="00EC3A94"/>
    <w:rsid w:val="00EC3AB5"/>
    <w:rsid w:val="00EC3D60"/>
    <w:rsid w:val="00EC4B3C"/>
    <w:rsid w:val="00EC58A6"/>
    <w:rsid w:val="00EC5F2B"/>
    <w:rsid w:val="00EC60E6"/>
    <w:rsid w:val="00EC6DBE"/>
    <w:rsid w:val="00ED002E"/>
    <w:rsid w:val="00ED277A"/>
    <w:rsid w:val="00ED28A8"/>
    <w:rsid w:val="00ED3025"/>
    <w:rsid w:val="00ED445C"/>
    <w:rsid w:val="00ED4D1D"/>
    <w:rsid w:val="00ED50F1"/>
    <w:rsid w:val="00ED61CC"/>
    <w:rsid w:val="00ED64C1"/>
    <w:rsid w:val="00ED687E"/>
    <w:rsid w:val="00ED7191"/>
    <w:rsid w:val="00ED7AC8"/>
    <w:rsid w:val="00EE0314"/>
    <w:rsid w:val="00EE25CE"/>
    <w:rsid w:val="00EE2641"/>
    <w:rsid w:val="00EE28CE"/>
    <w:rsid w:val="00EE3037"/>
    <w:rsid w:val="00EE35B5"/>
    <w:rsid w:val="00EE3FCA"/>
    <w:rsid w:val="00EE4FC9"/>
    <w:rsid w:val="00EE5714"/>
    <w:rsid w:val="00EE5C9B"/>
    <w:rsid w:val="00EE608B"/>
    <w:rsid w:val="00EE609F"/>
    <w:rsid w:val="00EE65C5"/>
    <w:rsid w:val="00EE68AC"/>
    <w:rsid w:val="00EE710B"/>
    <w:rsid w:val="00EE736E"/>
    <w:rsid w:val="00EE7CED"/>
    <w:rsid w:val="00EF0F00"/>
    <w:rsid w:val="00EF16AB"/>
    <w:rsid w:val="00EF1A8C"/>
    <w:rsid w:val="00EF21F1"/>
    <w:rsid w:val="00EF2667"/>
    <w:rsid w:val="00EF2868"/>
    <w:rsid w:val="00EF2E00"/>
    <w:rsid w:val="00EF37BF"/>
    <w:rsid w:val="00EF38EB"/>
    <w:rsid w:val="00EF3D13"/>
    <w:rsid w:val="00EF452F"/>
    <w:rsid w:val="00EF46B2"/>
    <w:rsid w:val="00EF484D"/>
    <w:rsid w:val="00EF4AB3"/>
    <w:rsid w:val="00EF65FA"/>
    <w:rsid w:val="00EF736B"/>
    <w:rsid w:val="00EF73C1"/>
    <w:rsid w:val="00EF7932"/>
    <w:rsid w:val="00F00875"/>
    <w:rsid w:val="00F00CAE"/>
    <w:rsid w:val="00F010D8"/>
    <w:rsid w:val="00F015B2"/>
    <w:rsid w:val="00F01AE3"/>
    <w:rsid w:val="00F020AC"/>
    <w:rsid w:val="00F0264A"/>
    <w:rsid w:val="00F03A5C"/>
    <w:rsid w:val="00F03A83"/>
    <w:rsid w:val="00F03EBC"/>
    <w:rsid w:val="00F0646A"/>
    <w:rsid w:val="00F0686E"/>
    <w:rsid w:val="00F06EED"/>
    <w:rsid w:val="00F076A0"/>
    <w:rsid w:val="00F07B7F"/>
    <w:rsid w:val="00F07D33"/>
    <w:rsid w:val="00F100A3"/>
    <w:rsid w:val="00F1015E"/>
    <w:rsid w:val="00F10CBF"/>
    <w:rsid w:val="00F10D5E"/>
    <w:rsid w:val="00F111B4"/>
    <w:rsid w:val="00F11C40"/>
    <w:rsid w:val="00F1241A"/>
    <w:rsid w:val="00F12540"/>
    <w:rsid w:val="00F13487"/>
    <w:rsid w:val="00F13C2F"/>
    <w:rsid w:val="00F1404D"/>
    <w:rsid w:val="00F142A2"/>
    <w:rsid w:val="00F14663"/>
    <w:rsid w:val="00F146E6"/>
    <w:rsid w:val="00F1479B"/>
    <w:rsid w:val="00F16775"/>
    <w:rsid w:val="00F16DA4"/>
    <w:rsid w:val="00F16DB5"/>
    <w:rsid w:val="00F16F01"/>
    <w:rsid w:val="00F17995"/>
    <w:rsid w:val="00F17D84"/>
    <w:rsid w:val="00F17E19"/>
    <w:rsid w:val="00F208A2"/>
    <w:rsid w:val="00F20D21"/>
    <w:rsid w:val="00F2102A"/>
    <w:rsid w:val="00F2168F"/>
    <w:rsid w:val="00F21839"/>
    <w:rsid w:val="00F2194C"/>
    <w:rsid w:val="00F22094"/>
    <w:rsid w:val="00F22E3A"/>
    <w:rsid w:val="00F23340"/>
    <w:rsid w:val="00F234D4"/>
    <w:rsid w:val="00F242DD"/>
    <w:rsid w:val="00F24967"/>
    <w:rsid w:val="00F2498B"/>
    <w:rsid w:val="00F24E00"/>
    <w:rsid w:val="00F24F89"/>
    <w:rsid w:val="00F25C48"/>
    <w:rsid w:val="00F2711B"/>
    <w:rsid w:val="00F27980"/>
    <w:rsid w:val="00F27D6A"/>
    <w:rsid w:val="00F301D1"/>
    <w:rsid w:val="00F302BA"/>
    <w:rsid w:val="00F30350"/>
    <w:rsid w:val="00F3049D"/>
    <w:rsid w:val="00F30755"/>
    <w:rsid w:val="00F30984"/>
    <w:rsid w:val="00F30ADE"/>
    <w:rsid w:val="00F31390"/>
    <w:rsid w:val="00F31653"/>
    <w:rsid w:val="00F3279C"/>
    <w:rsid w:val="00F327ED"/>
    <w:rsid w:val="00F33F46"/>
    <w:rsid w:val="00F3406A"/>
    <w:rsid w:val="00F34E1D"/>
    <w:rsid w:val="00F35987"/>
    <w:rsid w:val="00F35F68"/>
    <w:rsid w:val="00F362A0"/>
    <w:rsid w:val="00F36BBA"/>
    <w:rsid w:val="00F37076"/>
    <w:rsid w:val="00F37482"/>
    <w:rsid w:val="00F402C8"/>
    <w:rsid w:val="00F40849"/>
    <w:rsid w:val="00F40992"/>
    <w:rsid w:val="00F409BB"/>
    <w:rsid w:val="00F40B9D"/>
    <w:rsid w:val="00F41B98"/>
    <w:rsid w:val="00F41E0E"/>
    <w:rsid w:val="00F42E9E"/>
    <w:rsid w:val="00F43B3D"/>
    <w:rsid w:val="00F43F13"/>
    <w:rsid w:val="00F445B9"/>
    <w:rsid w:val="00F44E16"/>
    <w:rsid w:val="00F456F0"/>
    <w:rsid w:val="00F464C0"/>
    <w:rsid w:val="00F477AC"/>
    <w:rsid w:val="00F4783A"/>
    <w:rsid w:val="00F512B5"/>
    <w:rsid w:val="00F5151E"/>
    <w:rsid w:val="00F516C8"/>
    <w:rsid w:val="00F51A4F"/>
    <w:rsid w:val="00F51B69"/>
    <w:rsid w:val="00F522A9"/>
    <w:rsid w:val="00F533D7"/>
    <w:rsid w:val="00F53B3D"/>
    <w:rsid w:val="00F53CEC"/>
    <w:rsid w:val="00F54600"/>
    <w:rsid w:val="00F546AC"/>
    <w:rsid w:val="00F54ED7"/>
    <w:rsid w:val="00F55380"/>
    <w:rsid w:val="00F5540A"/>
    <w:rsid w:val="00F564B9"/>
    <w:rsid w:val="00F565B1"/>
    <w:rsid w:val="00F57C38"/>
    <w:rsid w:val="00F57E2E"/>
    <w:rsid w:val="00F60C7A"/>
    <w:rsid w:val="00F6203F"/>
    <w:rsid w:val="00F62F10"/>
    <w:rsid w:val="00F630C6"/>
    <w:rsid w:val="00F6324A"/>
    <w:rsid w:val="00F63709"/>
    <w:rsid w:val="00F64158"/>
    <w:rsid w:val="00F6441A"/>
    <w:rsid w:val="00F64926"/>
    <w:rsid w:val="00F64C1F"/>
    <w:rsid w:val="00F64D92"/>
    <w:rsid w:val="00F651DD"/>
    <w:rsid w:val="00F65E1B"/>
    <w:rsid w:val="00F67B99"/>
    <w:rsid w:val="00F706CE"/>
    <w:rsid w:val="00F7124A"/>
    <w:rsid w:val="00F71808"/>
    <w:rsid w:val="00F71821"/>
    <w:rsid w:val="00F71993"/>
    <w:rsid w:val="00F720DF"/>
    <w:rsid w:val="00F723CC"/>
    <w:rsid w:val="00F72D32"/>
    <w:rsid w:val="00F73784"/>
    <w:rsid w:val="00F73B69"/>
    <w:rsid w:val="00F73EAD"/>
    <w:rsid w:val="00F74C2C"/>
    <w:rsid w:val="00F74F37"/>
    <w:rsid w:val="00F7524F"/>
    <w:rsid w:val="00F75338"/>
    <w:rsid w:val="00F75D50"/>
    <w:rsid w:val="00F75EAF"/>
    <w:rsid w:val="00F76362"/>
    <w:rsid w:val="00F767A3"/>
    <w:rsid w:val="00F76B26"/>
    <w:rsid w:val="00F76F42"/>
    <w:rsid w:val="00F77F0F"/>
    <w:rsid w:val="00F808E0"/>
    <w:rsid w:val="00F8091C"/>
    <w:rsid w:val="00F80BDC"/>
    <w:rsid w:val="00F8128F"/>
    <w:rsid w:val="00F81362"/>
    <w:rsid w:val="00F8180A"/>
    <w:rsid w:val="00F8479E"/>
    <w:rsid w:val="00F84BC2"/>
    <w:rsid w:val="00F85273"/>
    <w:rsid w:val="00F86455"/>
    <w:rsid w:val="00F86673"/>
    <w:rsid w:val="00F869FC"/>
    <w:rsid w:val="00F8742F"/>
    <w:rsid w:val="00F8766D"/>
    <w:rsid w:val="00F87959"/>
    <w:rsid w:val="00F87A17"/>
    <w:rsid w:val="00F87AFE"/>
    <w:rsid w:val="00F900FC"/>
    <w:rsid w:val="00F904D7"/>
    <w:rsid w:val="00F904DE"/>
    <w:rsid w:val="00F9079E"/>
    <w:rsid w:val="00F910CE"/>
    <w:rsid w:val="00F911A5"/>
    <w:rsid w:val="00F92303"/>
    <w:rsid w:val="00F92DD2"/>
    <w:rsid w:val="00F92E3B"/>
    <w:rsid w:val="00F93DA4"/>
    <w:rsid w:val="00F93E05"/>
    <w:rsid w:val="00F94839"/>
    <w:rsid w:val="00F95778"/>
    <w:rsid w:val="00F95A70"/>
    <w:rsid w:val="00F961D3"/>
    <w:rsid w:val="00F96410"/>
    <w:rsid w:val="00F97843"/>
    <w:rsid w:val="00FA00AA"/>
    <w:rsid w:val="00FA02F1"/>
    <w:rsid w:val="00FA0EAC"/>
    <w:rsid w:val="00FA25AA"/>
    <w:rsid w:val="00FA36C8"/>
    <w:rsid w:val="00FA3A48"/>
    <w:rsid w:val="00FA4105"/>
    <w:rsid w:val="00FA5302"/>
    <w:rsid w:val="00FA554F"/>
    <w:rsid w:val="00FA61BC"/>
    <w:rsid w:val="00FA629B"/>
    <w:rsid w:val="00FA6643"/>
    <w:rsid w:val="00FA664D"/>
    <w:rsid w:val="00FA6EC7"/>
    <w:rsid w:val="00FA7CA2"/>
    <w:rsid w:val="00FA7D57"/>
    <w:rsid w:val="00FB02F1"/>
    <w:rsid w:val="00FB0BDE"/>
    <w:rsid w:val="00FB149F"/>
    <w:rsid w:val="00FB16E1"/>
    <w:rsid w:val="00FB2BD8"/>
    <w:rsid w:val="00FB2EF3"/>
    <w:rsid w:val="00FB2F2B"/>
    <w:rsid w:val="00FB3208"/>
    <w:rsid w:val="00FB358E"/>
    <w:rsid w:val="00FB467C"/>
    <w:rsid w:val="00FB48EA"/>
    <w:rsid w:val="00FB52C1"/>
    <w:rsid w:val="00FB56BB"/>
    <w:rsid w:val="00FB5CA3"/>
    <w:rsid w:val="00FC05EB"/>
    <w:rsid w:val="00FC0808"/>
    <w:rsid w:val="00FC1878"/>
    <w:rsid w:val="00FC1AFA"/>
    <w:rsid w:val="00FC1F65"/>
    <w:rsid w:val="00FC245A"/>
    <w:rsid w:val="00FC32BC"/>
    <w:rsid w:val="00FC3493"/>
    <w:rsid w:val="00FC3D7A"/>
    <w:rsid w:val="00FC3D85"/>
    <w:rsid w:val="00FC4ADE"/>
    <w:rsid w:val="00FC5124"/>
    <w:rsid w:val="00FC5144"/>
    <w:rsid w:val="00FC572E"/>
    <w:rsid w:val="00FC6D75"/>
    <w:rsid w:val="00FC72E2"/>
    <w:rsid w:val="00FC7A04"/>
    <w:rsid w:val="00FD13E6"/>
    <w:rsid w:val="00FD1688"/>
    <w:rsid w:val="00FD1B24"/>
    <w:rsid w:val="00FD1C0D"/>
    <w:rsid w:val="00FD1F0E"/>
    <w:rsid w:val="00FD1FFC"/>
    <w:rsid w:val="00FD2B70"/>
    <w:rsid w:val="00FD4138"/>
    <w:rsid w:val="00FD4CC5"/>
    <w:rsid w:val="00FD4CEC"/>
    <w:rsid w:val="00FD59AD"/>
    <w:rsid w:val="00FD6CFB"/>
    <w:rsid w:val="00FD6D8C"/>
    <w:rsid w:val="00FD7B85"/>
    <w:rsid w:val="00FE02D1"/>
    <w:rsid w:val="00FE0677"/>
    <w:rsid w:val="00FE0AC8"/>
    <w:rsid w:val="00FE155F"/>
    <w:rsid w:val="00FE27D8"/>
    <w:rsid w:val="00FE2DCA"/>
    <w:rsid w:val="00FE33A5"/>
    <w:rsid w:val="00FE3867"/>
    <w:rsid w:val="00FE41BB"/>
    <w:rsid w:val="00FE4371"/>
    <w:rsid w:val="00FE5258"/>
    <w:rsid w:val="00FE5ADE"/>
    <w:rsid w:val="00FE7DC4"/>
    <w:rsid w:val="00FF0306"/>
    <w:rsid w:val="00FF0F20"/>
    <w:rsid w:val="00FF2BFE"/>
    <w:rsid w:val="00FF397B"/>
    <w:rsid w:val="00FF5353"/>
    <w:rsid w:val="00FF54B5"/>
    <w:rsid w:val="00FF5797"/>
    <w:rsid w:val="00FF5D4E"/>
    <w:rsid w:val="00FF6254"/>
    <w:rsid w:val="00FF6BD4"/>
    <w:rsid w:val="00FF6C4B"/>
    <w:rsid w:val="00FF6D57"/>
    <w:rsid w:val="00FF6E36"/>
    <w:rsid w:val="00FF7B2C"/>
    <w:rsid w:val="00FF7FB8"/>
    <w:rsid w:val="012071E5"/>
    <w:rsid w:val="014663BA"/>
    <w:rsid w:val="01BA22B8"/>
    <w:rsid w:val="01EB68FC"/>
    <w:rsid w:val="023C2195"/>
    <w:rsid w:val="024A59CE"/>
    <w:rsid w:val="025760E2"/>
    <w:rsid w:val="02AD7741"/>
    <w:rsid w:val="02CB3234"/>
    <w:rsid w:val="02DD2587"/>
    <w:rsid w:val="02F20765"/>
    <w:rsid w:val="02F361E7"/>
    <w:rsid w:val="02FC76B4"/>
    <w:rsid w:val="032640B7"/>
    <w:rsid w:val="033A62C2"/>
    <w:rsid w:val="03A03D81"/>
    <w:rsid w:val="03BA492B"/>
    <w:rsid w:val="03EC63FF"/>
    <w:rsid w:val="041F7ED2"/>
    <w:rsid w:val="0431586E"/>
    <w:rsid w:val="04436E0D"/>
    <w:rsid w:val="04E868C1"/>
    <w:rsid w:val="04FC07BA"/>
    <w:rsid w:val="052F448C"/>
    <w:rsid w:val="05301F0E"/>
    <w:rsid w:val="0539104D"/>
    <w:rsid w:val="055F2A5D"/>
    <w:rsid w:val="056D77F4"/>
    <w:rsid w:val="059960BA"/>
    <w:rsid w:val="05DD332B"/>
    <w:rsid w:val="05FA06DD"/>
    <w:rsid w:val="062E1176"/>
    <w:rsid w:val="062E1E31"/>
    <w:rsid w:val="06713B9F"/>
    <w:rsid w:val="069808F1"/>
    <w:rsid w:val="06C822EA"/>
    <w:rsid w:val="06CD64B7"/>
    <w:rsid w:val="07040B8F"/>
    <w:rsid w:val="070E4D22"/>
    <w:rsid w:val="07190B35"/>
    <w:rsid w:val="072510C4"/>
    <w:rsid w:val="07254947"/>
    <w:rsid w:val="07373BE8"/>
    <w:rsid w:val="073B6AEB"/>
    <w:rsid w:val="07655731"/>
    <w:rsid w:val="077730CD"/>
    <w:rsid w:val="07773FB1"/>
    <w:rsid w:val="07B973B9"/>
    <w:rsid w:val="07E72244"/>
    <w:rsid w:val="07EA7B88"/>
    <w:rsid w:val="08223565"/>
    <w:rsid w:val="085D7EC7"/>
    <w:rsid w:val="08822685"/>
    <w:rsid w:val="08965AA3"/>
    <w:rsid w:val="08C26091"/>
    <w:rsid w:val="08F10DED"/>
    <w:rsid w:val="09012BD3"/>
    <w:rsid w:val="092A0515"/>
    <w:rsid w:val="09540384"/>
    <w:rsid w:val="096D7D04"/>
    <w:rsid w:val="09770614"/>
    <w:rsid w:val="09A017D8"/>
    <w:rsid w:val="09C614AB"/>
    <w:rsid w:val="09DA06B8"/>
    <w:rsid w:val="0A4C18F1"/>
    <w:rsid w:val="0AB70FA0"/>
    <w:rsid w:val="0AEE277F"/>
    <w:rsid w:val="0B0E5232"/>
    <w:rsid w:val="0B175B42"/>
    <w:rsid w:val="0B1C1D90"/>
    <w:rsid w:val="0B2009CF"/>
    <w:rsid w:val="0B354A5D"/>
    <w:rsid w:val="0B393AF8"/>
    <w:rsid w:val="0B8709D7"/>
    <w:rsid w:val="0BA9762F"/>
    <w:rsid w:val="0BB43441"/>
    <w:rsid w:val="0C7B7987"/>
    <w:rsid w:val="0C813921"/>
    <w:rsid w:val="0C996F37"/>
    <w:rsid w:val="0CAC00F9"/>
    <w:rsid w:val="0CC17E16"/>
    <w:rsid w:val="0CD13741"/>
    <w:rsid w:val="0CE20630"/>
    <w:rsid w:val="0CE7033B"/>
    <w:rsid w:val="0D06756B"/>
    <w:rsid w:val="0D23109A"/>
    <w:rsid w:val="0D2C3F28"/>
    <w:rsid w:val="0D4C5AE1"/>
    <w:rsid w:val="0D884641"/>
    <w:rsid w:val="0DD71E42"/>
    <w:rsid w:val="0DEA0E63"/>
    <w:rsid w:val="0DF9367B"/>
    <w:rsid w:val="0DFA10FD"/>
    <w:rsid w:val="0E355A5F"/>
    <w:rsid w:val="0E4E0B87"/>
    <w:rsid w:val="0E643D85"/>
    <w:rsid w:val="0EA21BDD"/>
    <w:rsid w:val="0EC966A2"/>
    <w:rsid w:val="0EFC41A3"/>
    <w:rsid w:val="0EFD7A26"/>
    <w:rsid w:val="0F1457B6"/>
    <w:rsid w:val="0F251AE4"/>
    <w:rsid w:val="0F2A39ED"/>
    <w:rsid w:val="0F6B5ADC"/>
    <w:rsid w:val="0F864107"/>
    <w:rsid w:val="0F975694"/>
    <w:rsid w:val="10293910"/>
    <w:rsid w:val="105534DB"/>
    <w:rsid w:val="1056219B"/>
    <w:rsid w:val="10725009"/>
    <w:rsid w:val="107A3BCC"/>
    <w:rsid w:val="109664C2"/>
    <w:rsid w:val="110A6481"/>
    <w:rsid w:val="11115E0C"/>
    <w:rsid w:val="116825AD"/>
    <w:rsid w:val="116D0724"/>
    <w:rsid w:val="1199708A"/>
    <w:rsid w:val="11B21219"/>
    <w:rsid w:val="11CE1A42"/>
    <w:rsid w:val="120433D3"/>
    <w:rsid w:val="12915003"/>
    <w:rsid w:val="12AC01B1"/>
    <w:rsid w:val="12AF7E37"/>
    <w:rsid w:val="12D0036B"/>
    <w:rsid w:val="12E024D3"/>
    <w:rsid w:val="12EE333C"/>
    <w:rsid w:val="131C7166"/>
    <w:rsid w:val="1363315E"/>
    <w:rsid w:val="136844F9"/>
    <w:rsid w:val="1381490C"/>
    <w:rsid w:val="13987DB4"/>
    <w:rsid w:val="139C340C"/>
    <w:rsid w:val="13B0545B"/>
    <w:rsid w:val="14036DAA"/>
    <w:rsid w:val="142E02A8"/>
    <w:rsid w:val="14787422"/>
    <w:rsid w:val="149D1BE1"/>
    <w:rsid w:val="14C257D6"/>
    <w:rsid w:val="14D13334"/>
    <w:rsid w:val="14EC05ED"/>
    <w:rsid w:val="150128C8"/>
    <w:rsid w:val="15034E08"/>
    <w:rsid w:val="1553008A"/>
    <w:rsid w:val="15B20255"/>
    <w:rsid w:val="15E169F5"/>
    <w:rsid w:val="16013F82"/>
    <w:rsid w:val="162219DC"/>
    <w:rsid w:val="16521C58"/>
    <w:rsid w:val="16527FAD"/>
    <w:rsid w:val="16697BD2"/>
    <w:rsid w:val="16914599"/>
    <w:rsid w:val="16BC6358"/>
    <w:rsid w:val="16DE58DB"/>
    <w:rsid w:val="16FA16C0"/>
    <w:rsid w:val="1745465D"/>
    <w:rsid w:val="175E5D62"/>
    <w:rsid w:val="181D3326"/>
    <w:rsid w:val="182B7833"/>
    <w:rsid w:val="185B5E04"/>
    <w:rsid w:val="18962766"/>
    <w:rsid w:val="18AB2DF4"/>
    <w:rsid w:val="18B07A55"/>
    <w:rsid w:val="19103908"/>
    <w:rsid w:val="19532B19"/>
    <w:rsid w:val="195A6500"/>
    <w:rsid w:val="19885571"/>
    <w:rsid w:val="19AB0116"/>
    <w:rsid w:val="19E96131"/>
    <w:rsid w:val="1A1E34E6"/>
    <w:rsid w:val="1A27558E"/>
    <w:rsid w:val="1A2950FA"/>
    <w:rsid w:val="1A6D6D61"/>
    <w:rsid w:val="1A9F4D39"/>
    <w:rsid w:val="1AEA51B8"/>
    <w:rsid w:val="1AFD0956"/>
    <w:rsid w:val="1B4C6157"/>
    <w:rsid w:val="1B4D3BD8"/>
    <w:rsid w:val="1B6260FC"/>
    <w:rsid w:val="1B644941"/>
    <w:rsid w:val="1B764D9C"/>
    <w:rsid w:val="1B8C565B"/>
    <w:rsid w:val="1BD163B0"/>
    <w:rsid w:val="1CA13205"/>
    <w:rsid w:val="1CA82B90"/>
    <w:rsid w:val="1CE20908"/>
    <w:rsid w:val="1CE21A70"/>
    <w:rsid w:val="1D5C7B62"/>
    <w:rsid w:val="1D804DF1"/>
    <w:rsid w:val="1DE40399"/>
    <w:rsid w:val="1DEB44A1"/>
    <w:rsid w:val="1E4538B6"/>
    <w:rsid w:val="1E4E1FC7"/>
    <w:rsid w:val="1EB95DF3"/>
    <w:rsid w:val="1ED01768"/>
    <w:rsid w:val="1EF81434"/>
    <w:rsid w:val="1F001DEB"/>
    <w:rsid w:val="1F00786C"/>
    <w:rsid w:val="1F0B5BFD"/>
    <w:rsid w:val="1F1746E7"/>
    <w:rsid w:val="1F3644C3"/>
    <w:rsid w:val="1F416F0E"/>
    <w:rsid w:val="1F7E629B"/>
    <w:rsid w:val="1F7F2339"/>
    <w:rsid w:val="1F8A3F4D"/>
    <w:rsid w:val="1FAD3208"/>
    <w:rsid w:val="1FAD7985"/>
    <w:rsid w:val="1FB9701B"/>
    <w:rsid w:val="1FDE39D7"/>
    <w:rsid w:val="20022912"/>
    <w:rsid w:val="201209AE"/>
    <w:rsid w:val="202A7DFC"/>
    <w:rsid w:val="20346964"/>
    <w:rsid w:val="203821AD"/>
    <w:rsid w:val="208366E3"/>
    <w:rsid w:val="208F1E39"/>
    <w:rsid w:val="209249D8"/>
    <w:rsid w:val="210F75CC"/>
    <w:rsid w:val="21690F5F"/>
    <w:rsid w:val="216B0BDF"/>
    <w:rsid w:val="21723DED"/>
    <w:rsid w:val="21816606"/>
    <w:rsid w:val="219865D1"/>
    <w:rsid w:val="219F1439"/>
    <w:rsid w:val="21A1493D"/>
    <w:rsid w:val="21C734F7"/>
    <w:rsid w:val="220D1A6D"/>
    <w:rsid w:val="227F6529"/>
    <w:rsid w:val="22F7746D"/>
    <w:rsid w:val="230B610D"/>
    <w:rsid w:val="23135718"/>
    <w:rsid w:val="233E43F8"/>
    <w:rsid w:val="235978A2"/>
    <w:rsid w:val="235A678E"/>
    <w:rsid w:val="2364201F"/>
    <w:rsid w:val="23715AB1"/>
    <w:rsid w:val="23A5630C"/>
    <w:rsid w:val="23F6158E"/>
    <w:rsid w:val="243E1982"/>
    <w:rsid w:val="246170B5"/>
    <w:rsid w:val="246C460D"/>
    <w:rsid w:val="249A1F8C"/>
    <w:rsid w:val="24A061A3"/>
    <w:rsid w:val="24DD54EC"/>
    <w:rsid w:val="24EC2D9F"/>
    <w:rsid w:val="24FA7B37"/>
    <w:rsid w:val="25012D45"/>
    <w:rsid w:val="25055EC8"/>
    <w:rsid w:val="250E67D7"/>
    <w:rsid w:val="25290686"/>
    <w:rsid w:val="25334962"/>
    <w:rsid w:val="253D18A5"/>
    <w:rsid w:val="25444AB3"/>
    <w:rsid w:val="255527CF"/>
    <w:rsid w:val="257D0110"/>
    <w:rsid w:val="25BD21AD"/>
    <w:rsid w:val="25DD4E4D"/>
    <w:rsid w:val="25DE6EB0"/>
    <w:rsid w:val="25DF4931"/>
    <w:rsid w:val="25E642BC"/>
    <w:rsid w:val="2622669F"/>
    <w:rsid w:val="26862B41"/>
    <w:rsid w:val="26906CD3"/>
    <w:rsid w:val="269243D5"/>
    <w:rsid w:val="269A17E1"/>
    <w:rsid w:val="26A5600A"/>
    <w:rsid w:val="26EC15EB"/>
    <w:rsid w:val="26F92E80"/>
    <w:rsid w:val="27531FA3"/>
    <w:rsid w:val="275505FF"/>
    <w:rsid w:val="276C23D4"/>
    <w:rsid w:val="276E106B"/>
    <w:rsid w:val="277D5657"/>
    <w:rsid w:val="277E30D9"/>
    <w:rsid w:val="27A45517"/>
    <w:rsid w:val="27AA7420"/>
    <w:rsid w:val="27D3326E"/>
    <w:rsid w:val="27D94A95"/>
    <w:rsid w:val="27E601D4"/>
    <w:rsid w:val="281335CC"/>
    <w:rsid w:val="28331903"/>
    <w:rsid w:val="283E5715"/>
    <w:rsid w:val="28454698"/>
    <w:rsid w:val="2869172C"/>
    <w:rsid w:val="28894890"/>
    <w:rsid w:val="289912A7"/>
    <w:rsid w:val="28A605BD"/>
    <w:rsid w:val="28B37798"/>
    <w:rsid w:val="28F64EC4"/>
    <w:rsid w:val="28FF44CE"/>
    <w:rsid w:val="291021EA"/>
    <w:rsid w:val="29300B3B"/>
    <w:rsid w:val="294E7AD1"/>
    <w:rsid w:val="295039D0"/>
    <w:rsid w:val="296A3B7E"/>
    <w:rsid w:val="296B6BBA"/>
    <w:rsid w:val="29C64297"/>
    <w:rsid w:val="29E412C9"/>
    <w:rsid w:val="2A4028DC"/>
    <w:rsid w:val="2A496A6F"/>
    <w:rsid w:val="2A574846"/>
    <w:rsid w:val="2A7740BB"/>
    <w:rsid w:val="2A880B33"/>
    <w:rsid w:val="2AE46C6D"/>
    <w:rsid w:val="2B305A68"/>
    <w:rsid w:val="2B3F7D0C"/>
    <w:rsid w:val="2B496A2D"/>
    <w:rsid w:val="2B665F42"/>
    <w:rsid w:val="2B866477"/>
    <w:rsid w:val="2B8C7AFA"/>
    <w:rsid w:val="2BB92149"/>
    <w:rsid w:val="2BB9232F"/>
    <w:rsid w:val="2BFC6FEA"/>
    <w:rsid w:val="2C463031"/>
    <w:rsid w:val="2C907843"/>
    <w:rsid w:val="2D0B4074"/>
    <w:rsid w:val="2D260121"/>
    <w:rsid w:val="2D8432FA"/>
    <w:rsid w:val="2DD36753"/>
    <w:rsid w:val="2E2F0CC0"/>
    <w:rsid w:val="2E7867C9"/>
    <w:rsid w:val="2E7D2606"/>
    <w:rsid w:val="2EA94A1A"/>
    <w:rsid w:val="2EC71DCC"/>
    <w:rsid w:val="2ED43FD4"/>
    <w:rsid w:val="2EE23C7A"/>
    <w:rsid w:val="2F0D2540"/>
    <w:rsid w:val="2F735768"/>
    <w:rsid w:val="2F843CC3"/>
    <w:rsid w:val="2FCF47FC"/>
    <w:rsid w:val="2FEC7CEF"/>
    <w:rsid w:val="300701D9"/>
    <w:rsid w:val="301574EF"/>
    <w:rsid w:val="306D3401"/>
    <w:rsid w:val="308158FC"/>
    <w:rsid w:val="308D3CB6"/>
    <w:rsid w:val="30A47041"/>
    <w:rsid w:val="30C329C2"/>
    <w:rsid w:val="30F2365A"/>
    <w:rsid w:val="31200DC9"/>
    <w:rsid w:val="31211B10"/>
    <w:rsid w:val="31377C9D"/>
    <w:rsid w:val="3138634D"/>
    <w:rsid w:val="318005AF"/>
    <w:rsid w:val="31865A40"/>
    <w:rsid w:val="31B66C1B"/>
    <w:rsid w:val="31CB6BC1"/>
    <w:rsid w:val="31F52DF0"/>
    <w:rsid w:val="32136FB5"/>
    <w:rsid w:val="32483F8C"/>
    <w:rsid w:val="32A7320F"/>
    <w:rsid w:val="32A974A8"/>
    <w:rsid w:val="32CB4565"/>
    <w:rsid w:val="33026C3D"/>
    <w:rsid w:val="33041EC0"/>
    <w:rsid w:val="33244200"/>
    <w:rsid w:val="334B0336"/>
    <w:rsid w:val="33A309C5"/>
    <w:rsid w:val="33D90E9F"/>
    <w:rsid w:val="33F325DD"/>
    <w:rsid w:val="33FE365D"/>
    <w:rsid w:val="340E19B7"/>
    <w:rsid w:val="34666F41"/>
    <w:rsid w:val="346D3911"/>
    <w:rsid w:val="348A00EC"/>
    <w:rsid w:val="348F514A"/>
    <w:rsid w:val="34987FD8"/>
    <w:rsid w:val="3511441F"/>
    <w:rsid w:val="356C3834"/>
    <w:rsid w:val="358259D7"/>
    <w:rsid w:val="35A2048B"/>
    <w:rsid w:val="35B171E8"/>
    <w:rsid w:val="360E6250"/>
    <w:rsid w:val="365E1EC3"/>
    <w:rsid w:val="367871E9"/>
    <w:rsid w:val="36C71D39"/>
    <w:rsid w:val="36E72D20"/>
    <w:rsid w:val="3723513A"/>
    <w:rsid w:val="375201D1"/>
    <w:rsid w:val="37682375"/>
    <w:rsid w:val="37B13A6E"/>
    <w:rsid w:val="37D00A9F"/>
    <w:rsid w:val="380A7980"/>
    <w:rsid w:val="383871CA"/>
    <w:rsid w:val="384A7212"/>
    <w:rsid w:val="385B6485"/>
    <w:rsid w:val="38C95D79"/>
    <w:rsid w:val="38D90F52"/>
    <w:rsid w:val="392A7A57"/>
    <w:rsid w:val="39501A09"/>
    <w:rsid w:val="396C04C1"/>
    <w:rsid w:val="397C1E1E"/>
    <w:rsid w:val="39B62EBE"/>
    <w:rsid w:val="39BE4A47"/>
    <w:rsid w:val="39E032BD"/>
    <w:rsid w:val="39F32D23"/>
    <w:rsid w:val="3A7754FB"/>
    <w:rsid w:val="3A9160A5"/>
    <w:rsid w:val="3A964CA2"/>
    <w:rsid w:val="3A9956AF"/>
    <w:rsid w:val="3AA70248"/>
    <w:rsid w:val="3AA9374B"/>
    <w:rsid w:val="3AD81BEF"/>
    <w:rsid w:val="3B006358"/>
    <w:rsid w:val="3B0405E2"/>
    <w:rsid w:val="3B2D013E"/>
    <w:rsid w:val="3BDC1195"/>
    <w:rsid w:val="3BFB7875"/>
    <w:rsid w:val="3C202811"/>
    <w:rsid w:val="3C224794"/>
    <w:rsid w:val="3C6C0E2E"/>
    <w:rsid w:val="3C992BF7"/>
    <w:rsid w:val="3C9943D8"/>
    <w:rsid w:val="3CB10772"/>
    <w:rsid w:val="3CD62A5B"/>
    <w:rsid w:val="3CFD291B"/>
    <w:rsid w:val="3CFD619E"/>
    <w:rsid w:val="3D7E79F1"/>
    <w:rsid w:val="3D8A7087"/>
    <w:rsid w:val="3D9B4DA3"/>
    <w:rsid w:val="3DDF3C75"/>
    <w:rsid w:val="3DE109E1"/>
    <w:rsid w:val="3DE21C94"/>
    <w:rsid w:val="3DEA0CE2"/>
    <w:rsid w:val="3DEB4AAE"/>
    <w:rsid w:val="3E294607"/>
    <w:rsid w:val="3E49205B"/>
    <w:rsid w:val="3E5809D9"/>
    <w:rsid w:val="3E733781"/>
    <w:rsid w:val="3E9451DB"/>
    <w:rsid w:val="3EC7320B"/>
    <w:rsid w:val="3EC84510"/>
    <w:rsid w:val="3EEE30CB"/>
    <w:rsid w:val="3EF76A35"/>
    <w:rsid w:val="3F0120EC"/>
    <w:rsid w:val="3F027B6D"/>
    <w:rsid w:val="3F736BA7"/>
    <w:rsid w:val="3FAF0F8B"/>
    <w:rsid w:val="4000420D"/>
    <w:rsid w:val="404A344A"/>
    <w:rsid w:val="406903B9"/>
    <w:rsid w:val="408F05F9"/>
    <w:rsid w:val="40CF35E1"/>
    <w:rsid w:val="40EA548F"/>
    <w:rsid w:val="40FA67E4"/>
    <w:rsid w:val="41302380"/>
    <w:rsid w:val="41356808"/>
    <w:rsid w:val="414C1CB1"/>
    <w:rsid w:val="414E1930"/>
    <w:rsid w:val="41714ABE"/>
    <w:rsid w:val="417B6F7C"/>
    <w:rsid w:val="418E5F9D"/>
    <w:rsid w:val="41A36E3C"/>
    <w:rsid w:val="41F45941"/>
    <w:rsid w:val="41FC2CE3"/>
    <w:rsid w:val="42176DFB"/>
    <w:rsid w:val="42702D0D"/>
    <w:rsid w:val="42831D2D"/>
    <w:rsid w:val="42C423FA"/>
    <w:rsid w:val="432B2EF5"/>
    <w:rsid w:val="439A4D79"/>
    <w:rsid w:val="43F5638C"/>
    <w:rsid w:val="43F7188F"/>
    <w:rsid w:val="440B764A"/>
    <w:rsid w:val="442E1112"/>
    <w:rsid w:val="443231BD"/>
    <w:rsid w:val="444C672F"/>
    <w:rsid w:val="444F0682"/>
    <w:rsid w:val="44942A12"/>
    <w:rsid w:val="44974A0B"/>
    <w:rsid w:val="44FE0DBC"/>
    <w:rsid w:val="45516648"/>
    <w:rsid w:val="45913BAE"/>
    <w:rsid w:val="45A01C4B"/>
    <w:rsid w:val="45BB7BE1"/>
    <w:rsid w:val="45C320C4"/>
    <w:rsid w:val="45E61C3E"/>
    <w:rsid w:val="46146386"/>
    <w:rsid w:val="464239D2"/>
    <w:rsid w:val="46513FED"/>
    <w:rsid w:val="46772BA7"/>
    <w:rsid w:val="467C702F"/>
    <w:rsid w:val="467D0B4E"/>
    <w:rsid w:val="4698695F"/>
    <w:rsid w:val="46BE0D9D"/>
    <w:rsid w:val="46D54246"/>
    <w:rsid w:val="46DF12D2"/>
    <w:rsid w:val="46E22257"/>
    <w:rsid w:val="46E531DB"/>
    <w:rsid w:val="46F76979"/>
    <w:rsid w:val="474C3E84"/>
    <w:rsid w:val="47811C1D"/>
    <w:rsid w:val="47863E7D"/>
    <w:rsid w:val="4790083B"/>
    <w:rsid w:val="479A7EA6"/>
    <w:rsid w:val="47AE06A6"/>
    <w:rsid w:val="47C5711C"/>
    <w:rsid w:val="47F75622"/>
    <w:rsid w:val="47F81BD0"/>
    <w:rsid w:val="47F952A2"/>
    <w:rsid w:val="488009FE"/>
    <w:rsid w:val="488C7F50"/>
    <w:rsid w:val="48D6398B"/>
    <w:rsid w:val="490436CB"/>
    <w:rsid w:val="49203DD7"/>
    <w:rsid w:val="49235EEE"/>
    <w:rsid w:val="496916B2"/>
    <w:rsid w:val="49932E45"/>
    <w:rsid w:val="499E33D4"/>
    <w:rsid w:val="49E03BAC"/>
    <w:rsid w:val="49ED69D6"/>
    <w:rsid w:val="4A70372C"/>
    <w:rsid w:val="4A9F427C"/>
    <w:rsid w:val="4AB2329C"/>
    <w:rsid w:val="4AD652B4"/>
    <w:rsid w:val="4B1E4B4A"/>
    <w:rsid w:val="4B3A58DC"/>
    <w:rsid w:val="4B423A85"/>
    <w:rsid w:val="4B4A4715"/>
    <w:rsid w:val="4B775B0D"/>
    <w:rsid w:val="4B80136B"/>
    <w:rsid w:val="4B8E6103"/>
    <w:rsid w:val="4BA402A6"/>
    <w:rsid w:val="4BF75B32"/>
    <w:rsid w:val="4C150AB7"/>
    <w:rsid w:val="4C387B13"/>
    <w:rsid w:val="4C475FD9"/>
    <w:rsid w:val="4C55061C"/>
    <w:rsid w:val="4C6D3572"/>
    <w:rsid w:val="4C711F79"/>
    <w:rsid w:val="4C7B4A86"/>
    <w:rsid w:val="4C906FAA"/>
    <w:rsid w:val="4C956D80"/>
    <w:rsid w:val="4D0F5E59"/>
    <w:rsid w:val="4D4006CE"/>
    <w:rsid w:val="4D4408FE"/>
    <w:rsid w:val="4D486759"/>
    <w:rsid w:val="4D4D6CBC"/>
    <w:rsid w:val="4D6473B4"/>
    <w:rsid w:val="4DA91FD9"/>
    <w:rsid w:val="4DC247E1"/>
    <w:rsid w:val="4DFD4F82"/>
    <w:rsid w:val="4E0E2C9E"/>
    <w:rsid w:val="4E5A1A99"/>
    <w:rsid w:val="4E6301AA"/>
    <w:rsid w:val="4E703C3C"/>
    <w:rsid w:val="4E8C15C7"/>
    <w:rsid w:val="4EAD7325"/>
    <w:rsid w:val="4EE41C2E"/>
    <w:rsid w:val="4F147FCE"/>
    <w:rsid w:val="4F1560AE"/>
    <w:rsid w:val="4F267EE8"/>
    <w:rsid w:val="4F286C6E"/>
    <w:rsid w:val="4F396F09"/>
    <w:rsid w:val="4F411D97"/>
    <w:rsid w:val="4F4D3920"/>
    <w:rsid w:val="4F6512F6"/>
    <w:rsid w:val="4F89218B"/>
    <w:rsid w:val="4F8D5534"/>
    <w:rsid w:val="4F925019"/>
    <w:rsid w:val="500365D1"/>
    <w:rsid w:val="505450D7"/>
    <w:rsid w:val="50772081"/>
    <w:rsid w:val="50AE44EC"/>
    <w:rsid w:val="50CE2822"/>
    <w:rsid w:val="50D04016"/>
    <w:rsid w:val="50D5692A"/>
    <w:rsid w:val="50DC1B38"/>
    <w:rsid w:val="50ED3FD0"/>
    <w:rsid w:val="51E754ED"/>
    <w:rsid w:val="52121BB5"/>
    <w:rsid w:val="52501699"/>
    <w:rsid w:val="525B7A2A"/>
    <w:rsid w:val="525C54AC"/>
    <w:rsid w:val="526B5AC6"/>
    <w:rsid w:val="526E44CD"/>
    <w:rsid w:val="52B648C1"/>
    <w:rsid w:val="52C670DA"/>
    <w:rsid w:val="52D16BA6"/>
    <w:rsid w:val="52D82F2A"/>
    <w:rsid w:val="52DA15FD"/>
    <w:rsid w:val="52E5410B"/>
    <w:rsid w:val="530733C6"/>
    <w:rsid w:val="53275046"/>
    <w:rsid w:val="53427D28"/>
    <w:rsid w:val="53792400"/>
    <w:rsid w:val="537C3385"/>
    <w:rsid w:val="53A54549"/>
    <w:rsid w:val="53B15DDD"/>
    <w:rsid w:val="53BC416F"/>
    <w:rsid w:val="53C01210"/>
    <w:rsid w:val="53F43D78"/>
    <w:rsid w:val="54105DF7"/>
    <w:rsid w:val="54190C85"/>
    <w:rsid w:val="548A5AC1"/>
    <w:rsid w:val="54BF0B57"/>
    <w:rsid w:val="54DB3A8C"/>
    <w:rsid w:val="54E37454"/>
    <w:rsid w:val="551A1B2C"/>
    <w:rsid w:val="551E3DB6"/>
    <w:rsid w:val="55245CBF"/>
    <w:rsid w:val="553304D8"/>
    <w:rsid w:val="55AC109B"/>
    <w:rsid w:val="55F0088B"/>
    <w:rsid w:val="55FC7F21"/>
    <w:rsid w:val="561B4F52"/>
    <w:rsid w:val="562767E7"/>
    <w:rsid w:val="56574DB7"/>
    <w:rsid w:val="566E2FB6"/>
    <w:rsid w:val="56C02C5D"/>
    <w:rsid w:val="57485645"/>
    <w:rsid w:val="57561457"/>
    <w:rsid w:val="5757215D"/>
    <w:rsid w:val="577A2667"/>
    <w:rsid w:val="57A87BDC"/>
    <w:rsid w:val="58017371"/>
    <w:rsid w:val="58532F19"/>
    <w:rsid w:val="585E3E88"/>
    <w:rsid w:val="587A7F35"/>
    <w:rsid w:val="58851B49"/>
    <w:rsid w:val="588E49D7"/>
    <w:rsid w:val="589752E6"/>
    <w:rsid w:val="58C603B4"/>
    <w:rsid w:val="58F333FF"/>
    <w:rsid w:val="590F1AAD"/>
    <w:rsid w:val="59116EBF"/>
    <w:rsid w:val="59456704"/>
    <w:rsid w:val="597204CD"/>
    <w:rsid w:val="597A58D9"/>
    <w:rsid w:val="597B6BDE"/>
    <w:rsid w:val="598C1076"/>
    <w:rsid w:val="599C4B94"/>
    <w:rsid w:val="599D7A79"/>
    <w:rsid w:val="59A1101C"/>
    <w:rsid w:val="59F974AC"/>
    <w:rsid w:val="5A0E034B"/>
    <w:rsid w:val="5A105860"/>
    <w:rsid w:val="5A345068"/>
    <w:rsid w:val="5A4E1134"/>
    <w:rsid w:val="5A5752C7"/>
    <w:rsid w:val="5AA7634B"/>
    <w:rsid w:val="5B122177"/>
    <w:rsid w:val="5B247D38"/>
    <w:rsid w:val="5B405245"/>
    <w:rsid w:val="5B42334E"/>
    <w:rsid w:val="5B455FE5"/>
    <w:rsid w:val="5B5D6D73"/>
    <w:rsid w:val="5BFE2F47"/>
    <w:rsid w:val="5C212334"/>
    <w:rsid w:val="5C2A2C44"/>
    <w:rsid w:val="5C34586C"/>
    <w:rsid w:val="5C407366"/>
    <w:rsid w:val="5C641B24"/>
    <w:rsid w:val="5C730ABA"/>
    <w:rsid w:val="5C733038"/>
    <w:rsid w:val="5C871CD9"/>
    <w:rsid w:val="5C9D450F"/>
    <w:rsid w:val="5D0C57B5"/>
    <w:rsid w:val="5D0D6ABA"/>
    <w:rsid w:val="5D3543FB"/>
    <w:rsid w:val="5D3C3D86"/>
    <w:rsid w:val="5D4B33F2"/>
    <w:rsid w:val="5D502A26"/>
    <w:rsid w:val="5D5226A6"/>
    <w:rsid w:val="5D7209DD"/>
    <w:rsid w:val="5D8366F8"/>
    <w:rsid w:val="5D8772F7"/>
    <w:rsid w:val="5DA34A2F"/>
    <w:rsid w:val="5DC032B6"/>
    <w:rsid w:val="5DC44938"/>
    <w:rsid w:val="5DC8742A"/>
    <w:rsid w:val="5E136767"/>
    <w:rsid w:val="5E3C3929"/>
    <w:rsid w:val="5E4210B5"/>
    <w:rsid w:val="5E64706B"/>
    <w:rsid w:val="5E6E61A9"/>
    <w:rsid w:val="5EB400EF"/>
    <w:rsid w:val="5EB55B71"/>
    <w:rsid w:val="5EC16571"/>
    <w:rsid w:val="5EDB7FAF"/>
    <w:rsid w:val="5F2471FB"/>
    <w:rsid w:val="5F2922AC"/>
    <w:rsid w:val="5F2C3231"/>
    <w:rsid w:val="5F384AC5"/>
    <w:rsid w:val="5F451BDC"/>
    <w:rsid w:val="5F9F7CED"/>
    <w:rsid w:val="5FAB6D69"/>
    <w:rsid w:val="5FD15044"/>
    <w:rsid w:val="5FF42C7A"/>
    <w:rsid w:val="600503C7"/>
    <w:rsid w:val="60345679"/>
    <w:rsid w:val="604F208F"/>
    <w:rsid w:val="60636B31"/>
    <w:rsid w:val="609D3493"/>
    <w:rsid w:val="60A31B19"/>
    <w:rsid w:val="60A95105"/>
    <w:rsid w:val="60BB50D0"/>
    <w:rsid w:val="60E03B7C"/>
    <w:rsid w:val="6104413C"/>
    <w:rsid w:val="610750C1"/>
    <w:rsid w:val="612977F3"/>
    <w:rsid w:val="6171346B"/>
    <w:rsid w:val="61AA78B0"/>
    <w:rsid w:val="61AC338F"/>
    <w:rsid w:val="62007857"/>
    <w:rsid w:val="62554D62"/>
    <w:rsid w:val="62572464"/>
    <w:rsid w:val="62595967"/>
    <w:rsid w:val="62B75646"/>
    <w:rsid w:val="62EE3C5C"/>
    <w:rsid w:val="63D8165B"/>
    <w:rsid w:val="63F50C0B"/>
    <w:rsid w:val="648E5907"/>
    <w:rsid w:val="6510045E"/>
    <w:rsid w:val="65257580"/>
    <w:rsid w:val="65837118"/>
    <w:rsid w:val="6592268F"/>
    <w:rsid w:val="65D21007"/>
    <w:rsid w:val="65FF22E5"/>
    <w:rsid w:val="66426252"/>
    <w:rsid w:val="66937143"/>
    <w:rsid w:val="66AA0200"/>
    <w:rsid w:val="66D1483C"/>
    <w:rsid w:val="672A0ADA"/>
    <w:rsid w:val="675A1E0A"/>
    <w:rsid w:val="677D2756"/>
    <w:rsid w:val="67816B8F"/>
    <w:rsid w:val="679636D1"/>
    <w:rsid w:val="67A6391B"/>
    <w:rsid w:val="67AF422A"/>
    <w:rsid w:val="67BC5ABE"/>
    <w:rsid w:val="67E77C07"/>
    <w:rsid w:val="68281C6E"/>
    <w:rsid w:val="68347D07"/>
    <w:rsid w:val="686D58E2"/>
    <w:rsid w:val="687419EA"/>
    <w:rsid w:val="687C7414"/>
    <w:rsid w:val="689204FD"/>
    <w:rsid w:val="68B22B53"/>
    <w:rsid w:val="68B43AD8"/>
    <w:rsid w:val="68C66BAB"/>
    <w:rsid w:val="68C84CF7"/>
    <w:rsid w:val="68C86EF5"/>
    <w:rsid w:val="68D50789"/>
    <w:rsid w:val="68EA072F"/>
    <w:rsid w:val="68F87A44"/>
    <w:rsid w:val="69010354"/>
    <w:rsid w:val="691D2203"/>
    <w:rsid w:val="692D47C9"/>
    <w:rsid w:val="69503956"/>
    <w:rsid w:val="699B2AD1"/>
    <w:rsid w:val="69AA5692"/>
    <w:rsid w:val="69D87020"/>
    <w:rsid w:val="69F753E9"/>
    <w:rsid w:val="6A0960AB"/>
    <w:rsid w:val="6A2152D6"/>
    <w:rsid w:val="6A355188"/>
    <w:rsid w:val="6A507803"/>
    <w:rsid w:val="6A7D3663"/>
    <w:rsid w:val="6A922CF9"/>
    <w:rsid w:val="6A9B5EF7"/>
    <w:rsid w:val="6ABB660F"/>
    <w:rsid w:val="6ACC2E43"/>
    <w:rsid w:val="6AFF2481"/>
    <w:rsid w:val="6B185C7D"/>
    <w:rsid w:val="6B1B6445"/>
    <w:rsid w:val="6B421B88"/>
    <w:rsid w:val="6B631EBD"/>
    <w:rsid w:val="6C0321DC"/>
    <w:rsid w:val="6C0341C4"/>
    <w:rsid w:val="6C2079CF"/>
    <w:rsid w:val="6C3A04AE"/>
    <w:rsid w:val="6CB561E6"/>
    <w:rsid w:val="6D1055FB"/>
    <w:rsid w:val="6D151A83"/>
    <w:rsid w:val="6D2C16A8"/>
    <w:rsid w:val="6D2F00AE"/>
    <w:rsid w:val="6D8D20FD"/>
    <w:rsid w:val="6DAE4200"/>
    <w:rsid w:val="6DC7127D"/>
    <w:rsid w:val="6DF36EF3"/>
    <w:rsid w:val="6E086DEA"/>
    <w:rsid w:val="6E2056EF"/>
    <w:rsid w:val="6E2E3854"/>
    <w:rsid w:val="6E584699"/>
    <w:rsid w:val="6E6508B3"/>
    <w:rsid w:val="6E6F0A3A"/>
    <w:rsid w:val="6E7B00D0"/>
    <w:rsid w:val="6E923579"/>
    <w:rsid w:val="6ED86F96"/>
    <w:rsid w:val="6F2D5976"/>
    <w:rsid w:val="6F8B7727"/>
    <w:rsid w:val="6F942D9B"/>
    <w:rsid w:val="6FC17588"/>
    <w:rsid w:val="6FE075B7"/>
    <w:rsid w:val="6FEE2012"/>
    <w:rsid w:val="6FF23135"/>
    <w:rsid w:val="6FFE49C9"/>
    <w:rsid w:val="6FFF244B"/>
    <w:rsid w:val="705176E8"/>
    <w:rsid w:val="70CA0C1A"/>
    <w:rsid w:val="710806FF"/>
    <w:rsid w:val="712F47EA"/>
    <w:rsid w:val="713504CB"/>
    <w:rsid w:val="71B06F8F"/>
    <w:rsid w:val="71E91071"/>
    <w:rsid w:val="71EA6AF3"/>
    <w:rsid w:val="71FE5794"/>
    <w:rsid w:val="7232276A"/>
    <w:rsid w:val="72B077B6"/>
    <w:rsid w:val="72D771B7"/>
    <w:rsid w:val="72F24638"/>
    <w:rsid w:val="730579C3"/>
    <w:rsid w:val="732764FB"/>
    <w:rsid w:val="73491F32"/>
    <w:rsid w:val="734A1F2E"/>
    <w:rsid w:val="734C3D25"/>
    <w:rsid w:val="738E466E"/>
    <w:rsid w:val="739B64B9"/>
    <w:rsid w:val="73E05929"/>
    <w:rsid w:val="73E82D35"/>
    <w:rsid w:val="740A0CEC"/>
    <w:rsid w:val="740C7A72"/>
    <w:rsid w:val="74734E98"/>
    <w:rsid w:val="747351D5"/>
    <w:rsid w:val="747A406B"/>
    <w:rsid w:val="748773BC"/>
    <w:rsid w:val="748E25CA"/>
    <w:rsid w:val="74B62489"/>
    <w:rsid w:val="75275C40"/>
    <w:rsid w:val="75296EEB"/>
    <w:rsid w:val="752F304D"/>
    <w:rsid w:val="75472BD8"/>
    <w:rsid w:val="755E741F"/>
    <w:rsid w:val="75A40A8D"/>
    <w:rsid w:val="76050AC1"/>
    <w:rsid w:val="7618684D"/>
    <w:rsid w:val="76286AE8"/>
    <w:rsid w:val="76521EAA"/>
    <w:rsid w:val="76A34233"/>
    <w:rsid w:val="76BA05D5"/>
    <w:rsid w:val="76C123FB"/>
    <w:rsid w:val="76D55C89"/>
    <w:rsid w:val="76D67F05"/>
    <w:rsid w:val="77731088"/>
    <w:rsid w:val="777F44E9"/>
    <w:rsid w:val="778B2EAC"/>
    <w:rsid w:val="77946378"/>
    <w:rsid w:val="779F0A5A"/>
    <w:rsid w:val="77A03442"/>
    <w:rsid w:val="77A22AD1"/>
    <w:rsid w:val="77B030EB"/>
    <w:rsid w:val="77DB2A34"/>
    <w:rsid w:val="77E66DCA"/>
    <w:rsid w:val="77E90EE2"/>
    <w:rsid w:val="77FE53E9"/>
    <w:rsid w:val="780340CB"/>
    <w:rsid w:val="783201C2"/>
    <w:rsid w:val="78360DC6"/>
    <w:rsid w:val="784E74CE"/>
    <w:rsid w:val="788758AB"/>
    <w:rsid w:val="78A030CD"/>
    <w:rsid w:val="78D02FC1"/>
    <w:rsid w:val="78DB3516"/>
    <w:rsid w:val="78FF4092"/>
    <w:rsid w:val="79102556"/>
    <w:rsid w:val="79342270"/>
    <w:rsid w:val="79443502"/>
    <w:rsid w:val="79504D96"/>
    <w:rsid w:val="795A0F29"/>
    <w:rsid w:val="796E2148"/>
    <w:rsid w:val="79A10018"/>
    <w:rsid w:val="79DB6EF8"/>
    <w:rsid w:val="79F12E09"/>
    <w:rsid w:val="79F53325"/>
    <w:rsid w:val="7A6A7A61"/>
    <w:rsid w:val="7A993E33"/>
    <w:rsid w:val="7AAF2754"/>
    <w:rsid w:val="7B016CDB"/>
    <w:rsid w:val="7B135CFC"/>
    <w:rsid w:val="7B234C91"/>
    <w:rsid w:val="7B261499"/>
    <w:rsid w:val="7B615DFB"/>
    <w:rsid w:val="7B6B0909"/>
    <w:rsid w:val="7B6B418C"/>
    <w:rsid w:val="7B817E39"/>
    <w:rsid w:val="7B9F205C"/>
    <w:rsid w:val="7BBA0112"/>
    <w:rsid w:val="7C0D5F13"/>
    <w:rsid w:val="7C1977A8"/>
    <w:rsid w:val="7C484A74"/>
    <w:rsid w:val="7C5D6F97"/>
    <w:rsid w:val="7C823954"/>
    <w:rsid w:val="7C8D3A42"/>
    <w:rsid w:val="7C9B2DE4"/>
    <w:rsid w:val="7CAC20C0"/>
    <w:rsid w:val="7CF0780B"/>
    <w:rsid w:val="7D3149F1"/>
    <w:rsid w:val="7D420743"/>
    <w:rsid w:val="7D7F4AF0"/>
    <w:rsid w:val="7D91028E"/>
    <w:rsid w:val="7DD70A02"/>
    <w:rsid w:val="7DD86484"/>
    <w:rsid w:val="7DE7321B"/>
    <w:rsid w:val="7E034D49"/>
    <w:rsid w:val="7E261E06"/>
    <w:rsid w:val="7E2C5F0E"/>
    <w:rsid w:val="7E31018F"/>
    <w:rsid w:val="7E3F2705"/>
    <w:rsid w:val="7E4D6442"/>
    <w:rsid w:val="7E5A0FDB"/>
    <w:rsid w:val="7EC97091"/>
    <w:rsid w:val="7EFC2D63"/>
    <w:rsid w:val="7F126204"/>
    <w:rsid w:val="7F2464A6"/>
    <w:rsid w:val="7F867444"/>
    <w:rsid w:val="7FEB4BEA"/>
    <w:rsid w:val="7FFB4E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39" w:semiHidden="0" w:name="toc 4"/>
    <w:lsdException w:qFormat="1" w:unhideWhenUsed="0" w:uiPriority="0" w:semiHidden="0" w:name="toc 5"/>
    <w:lsdException w:unhideWhenUsed="0" w:uiPriority="39" w:semiHidden="0" w:name="toc 6"/>
    <w:lsdException w:unhideWhenUsed="0" w:uiPriority="39" w:semiHidden="0" w:name="toc 7"/>
    <w:lsdException w:unhideWhenUsed="0" w:uiPriority="39" w:semiHidden="0" w:name="toc 8"/>
    <w:lsdException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qFormat="1"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0"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0" w:semiHidden="0" w:name="Table Grid"/>
    <w:lsdException w:uiPriority="99" w:name="Table Theme"/>
    <w:lsdException w:qFormat="1" w:uiPriority="99"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Times New Roman" w:hAnsi="Times New Roman" w:eastAsia="宋体" w:cs="宋体"/>
      <w:sz w:val="28"/>
      <w:szCs w:val="24"/>
      <w:lang w:val="en-US" w:eastAsia="zh-CN" w:bidi="ar-SA"/>
    </w:rPr>
  </w:style>
  <w:style w:type="paragraph" w:styleId="3">
    <w:name w:val="heading 1"/>
    <w:basedOn w:val="4"/>
    <w:next w:val="1"/>
    <w:link w:val="74"/>
    <w:qFormat/>
    <w:uiPriority w:val="0"/>
    <w:pPr>
      <w:keepNext/>
      <w:keepLines/>
      <w:spacing w:before="340" w:after="330"/>
      <w:jc w:val="center"/>
      <w:outlineLvl w:val="0"/>
    </w:pPr>
    <w:rPr>
      <w:rFonts w:eastAsia="黑体"/>
      <w:b/>
      <w:bCs/>
      <w:kern w:val="44"/>
      <w:sz w:val="44"/>
      <w:szCs w:val="44"/>
    </w:rPr>
  </w:style>
  <w:style w:type="paragraph" w:styleId="5">
    <w:name w:val="heading 2"/>
    <w:basedOn w:val="6"/>
    <w:next w:val="1"/>
    <w:link w:val="75"/>
    <w:qFormat/>
    <w:uiPriority w:val="0"/>
    <w:pPr>
      <w:keepNext/>
      <w:keepLines/>
      <w:tabs>
        <w:tab w:val="left" w:pos="0"/>
        <w:tab w:val="center" w:pos="4153"/>
        <w:tab w:val="right" w:pos="8306"/>
      </w:tabs>
      <w:spacing w:before="260" w:after="260" w:line="500" w:lineRule="exact"/>
      <w:jc w:val="left"/>
      <w:outlineLvl w:val="1"/>
    </w:pPr>
    <w:rPr>
      <w:rFonts w:ascii="Times New Roman" w:hAnsi="Times New Roman" w:eastAsia="黑体"/>
      <w:b/>
      <w:bCs/>
      <w:color w:val="000000"/>
      <w:kern w:val="0"/>
      <w:sz w:val="36"/>
      <w:szCs w:val="36"/>
      <w:lang w:eastAsia="zh-CN"/>
    </w:rPr>
  </w:style>
  <w:style w:type="paragraph" w:styleId="9">
    <w:name w:val="heading 3"/>
    <w:basedOn w:val="10"/>
    <w:next w:val="1"/>
    <w:link w:val="76"/>
    <w:qFormat/>
    <w:uiPriority w:val="0"/>
    <w:pPr>
      <w:spacing w:before="120" w:after="24" w:afterLines="10" w:line="360" w:lineRule="auto"/>
      <w:ind w:left="0" w:firstLine="0" w:firstLineChars="0"/>
      <w:outlineLvl w:val="2"/>
    </w:pPr>
    <w:rPr>
      <w:rFonts w:eastAsia="宋体"/>
      <w:b/>
      <w:bCs/>
      <w:kern w:val="0"/>
      <w:sz w:val="32"/>
      <w:szCs w:val="32"/>
    </w:rPr>
  </w:style>
  <w:style w:type="paragraph" w:styleId="11">
    <w:name w:val="heading 4"/>
    <w:basedOn w:val="12"/>
    <w:next w:val="1"/>
    <w:link w:val="77"/>
    <w:qFormat/>
    <w:uiPriority w:val="0"/>
    <w:pPr>
      <w:keepNext/>
      <w:adjustRightInd w:val="0"/>
      <w:snapToGrid w:val="0"/>
      <w:spacing w:before="120" w:beforeLines="50" w:after="48" w:afterLines="20" w:line="360" w:lineRule="auto"/>
      <w:ind w:firstLine="0" w:firstLineChars="0"/>
      <w:jc w:val="left"/>
      <w:outlineLvl w:val="3"/>
    </w:pPr>
    <w:rPr>
      <w:rFonts w:eastAsia="黑体"/>
      <w:b/>
      <w:bCs/>
      <w:snapToGrid w:val="0"/>
      <w:color w:val="000000" w:themeColor="text1"/>
      <w:kern w:val="0"/>
      <w:szCs w:val="24"/>
      <w14:textFill>
        <w14:solidFill>
          <w14:schemeClr w14:val="tx1"/>
        </w14:solidFill>
      </w14:textFill>
    </w:rPr>
  </w:style>
  <w:style w:type="paragraph" w:styleId="15">
    <w:name w:val="heading 5"/>
    <w:basedOn w:val="1"/>
    <w:next w:val="1"/>
    <w:link w:val="78"/>
    <w:qFormat/>
    <w:uiPriority w:val="0"/>
    <w:pPr>
      <w:keepNext/>
      <w:outlineLvl w:val="4"/>
    </w:pPr>
    <w:rPr>
      <w:rFonts w:cs="Times New Roman"/>
      <w:b/>
      <w:bCs/>
      <w:kern w:val="2"/>
      <w:lang w:val="zh-CN"/>
    </w:rPr>
  </w:style>
  <w:style w:type="paragraph" w:styleId="16">
    <w:name w:val="heading 6"/>
    <w:basedOn w:val="1"/>
    <w:next w:val="17"/>
    <w:link w:val="80"/>
    <w:qFormat/>
    <w:uiPriority w:val="0"/>
    <w:pPr>
      <w:keepNext/>
      <w:keepLines/>
      <w:spacing w:before="240" w:after="64" w:line="320" w:lineRule="auto"/>
      <w:outlineLvl w:val="5"/>
    </w:pPr>
    <w:rPr>
      <w:rFonts w:ascii="Arial" w:hAnsi="Arial" w:eastAsia="黑体"/>
      <w:b/>
      <w:szCs w:val="20"/>
    </w:rPr>
  </w:style>
  <w:style w:type="paragraph" w:styleId="18">
    <w:name w:val="heading 7"/>
    <w:basedOn w:val="1"/>
    <w:next w:val="17"/>
    <w:link w:val="81"/>
    <w:qFormat/>
    <w:uiPriority w:val="0"/>
    <w:pPr>
      <w:keepNext/>
      <w:keepLines/>
      <w:spacing w:before="240" w:after="64" w:line="320" w:lineRule="auto"/>
      <w:outlineLvl w:val="6"/>
    </w:pPr>
    <w:rPr>
      <w:b/>
      <w:szCs w:val="20"/>
    </w:rPr>
  </w:style>
  <w:style w:type="paragraph" w:styleId="19">
    <w:name w:val="heading 8"/>
    <w:basedOn w:val="1"/>
    <w:next w:val="17"/>
    <w:link w:val="82"/>
    <w:qFormat/>
    <w:uiPriority w:val="0"/>
    <w:pPr>
      <w:keepNext/>
      <w:keepLines/>
      <w:spacing w:before="240" w:after="64" w:line="320" w:lineRule="auto"/>
      <w:outlineLvl w:val="7"/>
    </w:pPr>
    <w:rPr>
      <w:rFonts w:ascii="Arial" w:hAnsi="Arial" w:eastAsia="黑体"/>
      <w:szCs w:val="20"/>
    </w:rPr>
  </w:style>
  <w:style w:type="paragraph" w:styleId="20">
    <w:name w:val="heading 9"/>
    <w:basedOn w:val="1"/>
    <w:next w:val="17"/>
    <w:link w:val="83"/>
    <w:qFormat/>
    <w:uiPriority w:val="0"/>
    <w:pPr>
      <w:keepNext/>
      <w:keepLines/>
      <w:spacing w:before="240" w:after="64" w:line="320" w:lineRule="auto"/>
      <w:outlineLvl w:val="8"/>
    </w:pPr>
    <w:rPr>
      <w:rFonts w:ascii="Arial" w:hAnsi="Arial" w:eastAsia="黑体"/>
      <w:szCs w:val="20"/>
    </w:rPr>
  </w:style>
  <w:style w:type="character" w:default="1" w:styleId="62">
    <w:name w:val="Default Paragraph Font"/>
    <w:semiHidden/>
    <w:unhideWhenUsed/>
    <w:uiPriority w:val="1"/>
  </w:style>
  <w:style w:type="table" w:default="1" w:styleId="59">
    <w:name w:val="Normal Table"/>
    <w:semiHidden/>
    <w:unhideWhenUsed/>
    <w:qFormat/>
    <w:uiPriority w:val="99"/>
    <w:tblPr>
      <w:tblCellMar>
        <w:top w:w="0" w:type="dxa"/>
        <w:left w:w="108" w:type="dxa"/>
        <w:bottom w:w="0" w:type="dxa"/>
        <w:right w:w="108" w:type="dxa"/>
      </w:tblCellMar>
    </w:tblPr>
  </w:style>
  <w:style w:type="paragraph" w:styleId="2">
    <w:name w:val="macro"/>
    <w:link w:val="236"/>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line="500" w:lineRule="exact"/>
      <w:jc w:val="center"/>
    </w:pPr>
    <w:rPr>
      <w:rFonts w:ascii="Courier New" w:hAnsi="Courier New" w:eastAsia="宋体" w:cs="Courier New"/>
      <w:kern w:val="2"/>
      <w:sz w:val="24"/>
      <w:szCs w:val="24"/>
      <w:lang w:val="en-US" w:eastAsia="zh-CN" w:bidi="ar-SA"/>
    </w:rPr>
  </w:style>
  <w:style w:type="paragraph" w:customStyle="1" w:styleId="4">
    <w:name w:val="样式1"/>
    <w:basedOn w:val="1"/>
    <w:link w:val="172"/>
    <w:qFormat/>
    <w:uiPriority w:val="0"/>
    <w:pPr>
      <w:spacing w:line="500" w:lineRule="exact"/>
      <w:ind w:firstLine="560"/>
    </w:pPr>
    <w:rPr>
      <w:rFonts w:cs="Times New Roman"/>
      <w:snapToGrid w:val="0"/>
      <w:color w:val="000000"/>
      <w:szCs w:val="28"/>
      <w:lang w:val="zh-CN"/>
    </w:rPr>
  </w:style>
  <w:style w:type="paragraph" w:customStyle="1" w:styleId="6">
    <w:name w:val="样式3"/>
    <w:basedOn w:val="7"/>
    <w:link w:val="266"/>
    <w:qFormat/>
    <w:uiPriority w:val="0"/>
    <w:pPr>
      <w:pBdr>
        <w:top w:val="none" w:color="auto" w:sz="0" w:space="0"/>
        <w:bottom w:val="none" w:color="auto" w:sz="0" w:space="0"/>
      </w:pBdr>
      <w:tabs>
        <w:tab w:val="left" w:pos="0"/>
        <w:tab w:val="center" w:pos="4153"/>
        <w:tab w:val="right" w:pos="8306"/>
      </w:tabs>
      <w:snapToGrid/>
      <w:ind w:firstLine="0" w:firstLineChars="0"/>
      <w:jc w:val="center"/>
    </w:pPr>
    <w:rPr>
      <w:rFonts w:ascii="宋体" w:hAnsi="宋体"/>
      <w:sz w:val="24"/>
      <w:szCs w:val="24"/>
      <w:lang w:val="zh-CN"/>
    </w:rPr>
  </w:style>
  <w:style w:type="paragraph" w:customStyle="1" w:styleId="7">
    <w:name w:val="样式2"/>
    <w:basedOn w:val="8"/>
    <w:link w:val="218"/>
    <w:qFormat/>
    <w:uiPriority w:val="0"/>
    <w:pPr>
      <w:pBdr>
        <w:top w:val="thickThinSmallGap" w:color="auto" w:sz="18" w:space="1"/>
        <w:bottom w:val="single" w:color="auto" w:sz="6" w:space="3"/>
      </w:pBdr>
      <w:tabs>
        <w:tab w:val="center" w:pos="4153"/>
        <w:tab w:val="right" w:pos="8306"/>
      </w:tabs>
      <w:ind w:firstLine="450" w:firstLineChars="250"/>
      <w:jc w:val="both"/>
    </w:pPr>
    <w:rPr>
      <w:rFonts w:ascii="仿宋_GB2312" w:hAnsi="Verdana" w:eastAsia="仿宋_GB2312"/>
      <w:lang w:val="en-US" w:eastAsia="en-US"/>
    </w:rPr>
  </w:style>
  <w:style w:type="paragraph" w:styleId="8">
    <w:name w:val="header"/>
    <w:basedOn w:val="1"/>
    <w:link w:val="178"/>
    <w:qFormat/>
    <w:uiPriority w:val="0"/>
    <w:pPr>
      <w:pBdr>
        <w:bottom w:val="single" w:color="auto" w:sz="6" w:space="1"/>
      </w:pBdr>
      <w:tabs>
        <w:tab w:val="center" w:pos="4153"/>
        <w:tab w:val="right" w:pos="8306"/>
      </w:tabs>
      <w:jc w:val="center"/>
    </w:pPr>
    <w:rPr>
      <w:rFonts w:cs="Times New Roman"/>
      <w:kern w:val="2"/>
      <w:sz w:val="18"/>
      <w:szCs w:val="18"/>
      <w:lang w:val="zh-CN"/>
    </w:rPr>
  </w:style>
  <w:style w:type="paragraph" w:customStyle="1" w:styleId="10">
    <w:name w:val="样式4"/>
    <w:basedOn w:val="11"/>
    <w:qFormat/>
    <w:uiPriority w:val="0"/>
    <w:pPr>
      <w:spacing w:before="80" w:after="80" w:line="520" w:lineRule="exact"/>
      <w:ind w:left="420" w:firstLine="200" w:firstLineChars="200"/>
    </w:pPr>
    <w:rPr>
      <w:b w:val="0"/>
      <w:bCs w:val="0"/>
      <w:snapToGrid/>
      <w:kern w:val="24"/>
    </w:rPr>
  </w:style>
  <w:style w:type="paragraph" w:customStyle="1" w:styleId="12">
    <w:name w:val="样式10"/>
    <w:basedOn w:val="13"/>
    <w:qFormat/>
    <w:uiPriority w:val="0"/>
    <w:pPr>
      <w:widowControl w:val="0"/>
      <w:spacing w:line="520" w:lineRule="exact"/>
      <w:ind w:firstLine="600" w:firstLineChars="200"/>
      <w:jc w:val="both"/>
    </w:pPr>
    <w:rPr>
      <w:snapToGrid/>
      <w:spacing w:val="10"/>
      <w:kern w:val="2"/>
      <w:sz w:val="28"/>
      <w:szCs w:val="28"/>
      <w:u w:val="none"/>
    </w:rPr>
  </w:style>
  <w:style w:type="paragraph" w:customStyle="1" w:styleId="13">
    <w:name w:val="正文首行缩进1"/>
    <w:basedOn w:val="14"/>
    <w:link w:val="104"/>
    <w:qFormat/>
    <w:uiPriority w:val="0"/>
    <w:pPr>
      <w:ind w:firstLine="420" w:firstLineChars="100"/>
    </w:pPr>
    <w:rPr>
      <w:snapToGrid w:val="0"/>
      <w:lang w:val="zh-CN"/>
    </w:rPr>
  </w:style>
  <w:style w:type="paragraph" w:styleId="14">
    <w:name w:val="Body Text"/>
    <w:link w:val="89"/>
    <w:qFormat/>
    <w:uiPriority w:val="0"/>
    <w:pPr>
      <w:spacing w:line="360" w:lineRule="auto"/>
      <w:jc w:val="center"/>
    </w:pPr>
    <w:rPr>
      <w:rFonts w:ascii="Times New Roman" w:hAnsi="Times New Roman" w:eastAsia="宋体" w:cs="Times New Roman"/>
      <w:spacing w:val="20"/>
      <w:sz w:val="24"/>
      <w:u w:val="single"/>
      <w:lang w:val="en-US" w:eastAsia="zh-CN" w:bidi="ar-SA"/>
    </w:rPr>
  </w:style>
  <w:style w:type="paragraph" w:styleId="17">
    <w:name w:val="Normal Indent"/>
    <w:basedOn w:val="1"/>
    <w:link w:val="79"/>
    <w:qFormat/>
    <w:uiPriority w:val="0"/>
    <w:pPr>
      <w:ind w:firstLine="420"/>
    </w:pPr>
    <w:rPr>
      <w:rFonts w:cs="Times New Roman"/>
      <w:kern w:val="2"/>
      <w:sz w:val="21"/>
      <w:szCs w:val="20"/>
      <w:lang w:val="zh-CN"/>
    </w:rPr>
  </w:style>
  <w:style w:type="paragraph" w:styleId="21">
    <w:name w:val="toc 7"/>
    <w:basedOn w:val="1"/>
    <w:next w:val="1"/>
    <w:uiPriority w:val="39"/>
    <w:pPr>
      <w:adjustRightInd/>
      <w:ind w:left="1680" w:firstLine="0" w:firstLineChars="0"/>
      <w:jc w:val="left"/>
    </w:pPr>
    <w:rPr>
      <w:rFonts w:eastAsia="等线" w:cs="Times New Roman"/>
      <w:kern w:val="2"/>
      <w:sz w:val="18"/>
      <w:szCs w:val="18"/>
    </w:rPr>
  </w:style>
  <w:style w:type="paragraph" w:styleId="22">
    <w:name w:val="table of authorities"/>
    <w:basedOn w:val="1"/>
    <w:next w:val="1"/>
    <w:qFormat/>
    <w:uiPriority w:val="0"/>
    <w:pPr>
      <w:ind w:left="240" w:hanging="240"/>
    </w:pPr>
    <w:rPr>
      <w:rFonts w:ascii="Calibri" w:hAnsi="Calibri" w:cs="Calibri"/>
      <w:sz w:val="20"/>
      <w:szCs w:val="20"/>
    </w:rPr>
  </w:style>
  <w:style w:type="paragraph" w:styleId="23">
    <w:name w:val="Note Heading"/>
    <w:basedOn w:val="1"/>
    <w:qFormat/>
    <w:uiPriority w:val="0"/>
    <w:pPr>
      <w:spacing w:before="100" w:beforeAutospacing="1" w:after="100" w:afterAutospacing="1"/>
    </w:pPr>
    <w:rPr>
      <w:rFonts w:hint="eastAsia"/>
    </w:rPr>
  </w:style>
  <w:style w:type="paragraph" w:styleId="24">
    <w:name w:val="index 8"/>
    <w:basedOn w:val="1"/>
    <w:next w:val="1"/>
    <w:qFormat/>
    <w:uiPriority w:val="0"/>
    <w:pPr>
      <w:ind w:left="1680" w:hanging="210"/>
    </w:pPr>
    <w:rPr>
      <w:rFonts w:cs="Times New Roman"/>
      <w:kern w:val="2"/>
      <w:sz w:val="21"/>
    </w:rPr>
  </w:style>
  <w:style w:type="paragraph" w:styleId="25">
    <w:name w:val="caption"/>
    <w:basedOn w:val="1"/>
    <w:next w:val="1"/>
    <w:link w:val="711"/>
    <w:qFormat/>
    <w:uiPriority w:val="0"/>
    <w:pPr>
      <w:spacing w:line="480" w:lineRule="atLeast"/>
      <w:ind w:firstLine="567"/>
      <w:textAlignment w:val="baseline"/>
    </w:pPr>
    <w:rPr>
      <w:rFonts w:ascii="仿宋_GB2312" w:hAnsi="仿宋_GB2312" w:eastAsia="仿宋_GB2312"/>
      <w:b/>
      <w:bCs/>
      <w:color w:val="000000"/>
      <w:szCs w:val="28"/>
    </w:rPr>
  </w:style>
  <w:style w:type="paragraph" w:styleId="26">
    <w:name w:val="Document Map"/>
    <w:basedOn w:val="1"/>
    <w:link w:val="86"/>
    <w:qFormat/>
    <w:uiPriority w:val="0"/>
    <w:pPr>
      <w:shd w:val="clear" w:color="auto" w:fill="000080"/>
    </w:pPr>
    <w:rPr>
      <w:rFonts w:cs="Times New Roman"/>
      <w:kern w:val="2"/>
      <w:sz w:val="21"/>
      <w:lang w:val="zh-CN"/>
    </w:rPr>
  </w:style>
  <w:style w:type="paragraph" w:styleId="27">
    <w:name w:val="toa heading"/>
    <w:basedOn w:val="1"/>
    <w:next w:val="1"/>
    <w:qFormat/>
    <w:uiPriority w:val="0"/>
    <w:pPr>
      <w:spacing w:before="240" w:after="120"/>
      <w:jc w:val="center"/>
    </w:pPr>
    <w:rPr>
      <w:rFonts w:ascii="Calibri" w:hAnsi="Calibri" w:cs="Calibri"/>
      <w:smallCaps/>
      <w:sz w:val="22"/>
      <w:szCs w:val="22"/>
      <w:u w:val="single"/>
    </w:rPr>
  </w:style>
  <w:style w:type="paragraph" w:styleId="28">
    <w:name w:val="annotation text"/>
    <w:basedOn w:val="1"/>
    <w:link w:val="156"/>
    <w:qFormat/>
    <w:uiPriority w:val="0"/>
    <w:rPr>
      <w:rFonts w:cs="Times New Roman"/>
      <w:kern w:val="2"/>
      <w:sz w:val="21"/>
      <w:lang w:val="zh-CN"/>
    </w:rPr>
  </w:style>
  <w:style w:type="paragraph" w:styleId="29">
    <w:name w:val="Body Text 3"/>
    <w:basedOn w:val="1"/>
    <w:link w:val="230"/>
    <w:qFormat/>
    <w:uiPriority w:val="0"/>
    <w:rPr>
      <w:rFonts w:eastAsia="仿宋_GB2312"/>
      <w:spacing w:val="-20"/>
      <w:sz w:val="18"/>
    </w:rPr>
  </w:style>
  <w:style w:type="paragraph" w:styleId="30">
    <w:name w:val="Closing"/>
    <w:basedOn w:val="1"/>
    <w:link w:val="134"/>
    <w:qFormat/>
    <w:uiPriority w:val="0"/>
    <w:pPr>
      <w:ind w:left="100" w:leftChars="2100"/>
    </w:pPr>
    <w:rPr>
      <w:rFonts w:ascii="仿宋_GB2312" w:hAnsi="Verdana" w:eastAsia="仿宋_GB2312" w:cs="Times New Roman"/>
      <w:kern w:val="2"/>
      <w:sz w:val="21"/>
      <w:lang w:eastAsia="en-US"/>
    </w:rPr>
  </w:style>
  <w:style w:type="paragraph" w:styleId="31">
    <w:name w:val="Body Text Indent"/>
    <w:basedOn w:val="1"/>
    <w:link w:val="117"/>
    <w:qFormat/>
    <w:uiPriority w:val="0"/>
    <w:pPr>
      <w:spacing w:after="120"/>
      <w:ind w:left="420" w:leftChars="200"/>
    </w:pPr>
    <w:rPr>
      <w:rFonts w:cs="Times New Roman"/>
      <w:kern w:val="2"/>
      <w:sz w:val="21"/>
    </w:rPr>
  </w:style>
  <w:style w:type="paragraph" w:styleId="32">
    <w:name w:val="List 2"/>
    <w:basedOn w:val="1"/>
    <w:qFormat/>
    <w:uiPriority w:val="0"/>
    <w:pPr>
      <w:ind w:left="100" w:leftChars="200" w:hanging="200" w:hangingChars="200"/>
    </w:pPr>
    <w:rPr>
      <w:szCs w:val="20"/>
    </w:rPr>
  </w:style>
  <w:style w:type="paragraph" w:styleId="33">
    <w:name w:val="Block Text"/>
    <w:basedOn w:val="1"/>
    <w:qFormat/>
    <w:uiPriority w:val="0"/>
    <w:pPr>
      <w:suppressAutoHyphens/>
      <w:overflowPunct w:val="0"/>
      <w:topLinePunct/>
      <w:autoSpaceDE w:val="0"/>
      <w:autoSpaceDN w:val="0"/>
      <w:spacing w:line="336" w:lineRule="auto"/>
      <w:ind w:left="492" w:right="374" w:firstLine="570"/>
    </w:pPr>
    <w:rPr>
      <w:rFonts w:eastAsia="仿宋_GB2312"/>
      <w:color w:val="000000"/>
      <w:szCs w:val="20"/>
    </w:rPr>
  </w:style>
  <w:style w:type="paragraph" w:styleId="34">
    <w:name w:val="List Bullet 2"/>
    <w:basedOn w:val="1"/>
    <w:qFormat/>
    <w:uiPriority w:val="0"/>
    <w:pPr>
      <w:spacing w:line="500" w:lineRule="exact"/>
      <w:ind w:firstLine="211" w:firstLineChars="100"/>
      <w:jc w:val="center"/>
    </w:pPr>
    <w:rPr>
      <w:b/>
      <w:snapToGrid w:val="0"/>
      <w:color w:val="000000"/>
    </w:rPr>
  </w:style>
  <w:style w:type="paragraph" w:styleId="35">
    <w:name w:val="toc 5"/>
    <w:basedOn w:val="1"/>
    <w:next w:val="1"/>
    <w:qFormat/>
    <w:uiPriority w:val="0"/>
    <w:pPr>
      <w:adjustRightInd/>
      <w:ind w:left="1120" w:firstLine="0" w:firstLineChars="0"/>
      <w:jc w:val="left"/>
    </w:pPr>
    <w:rPr>
      <w:rFonts w:eastAsia="等线" w:cs="Times New Roman"/>
      <w:kern w:val="2"/>
      <w:sz w:val="18"/>
      <w:szCs w:val="18"/>
    </w:rPr>
  </w:style>
  <w:style w:type="paragraph" w:styleId="36">
    <w:name w:val="toc 3"/>
    <w:basedOn w:val="1"/>
    <w:next w:val="1"/>
    <w:qFormat/>
    <w:uiPriority w:val="39"/>
    <w:pPr>
      <w:ind w:left="400" w:leftChars="400" w:firstLine="0" w:firstLineChars="0"/>
    </w:pPr>
    <w:rPr>
      <w:sz w:val="24"/>
    </w:rPr>
  </w:style>
  <w:style w:type="paragraph" w:styleId="37">
    <w:name w:val="Plain Text"/>
    <w:basedOn w:val="1"/>
    <w:link w:val="206"/>
    <w:qFormat/>
    <w:uiPriority w:val="0"/>
    <w:rPr>
      <w:rFonts w:hAnsi="Courier New" w:cs="Courier New"/>
      <w:kern w:val="2"/>
      <w:sz w:val="21"/>
      <w:szCs w:val="21"/>
    </w:rPr>
  </w:style>
  <w:style w:type="paragraph" w:styleId="38">
    <w:name w:val="toc 8"/>
    <w:basedOn w:val="1"/>
    <w:next w:val="1"/>
    <w:uiPriority w:val="39"/>
    <w:pPr>
      <w:adjustRightInd/>
      <w:ind w:left="1960" w:firstLine="0" w:firstLineChars="0"/>
      <w:jc w:val="left"/>
    </w:pPr>
    <w:rPr>
      <w:rFonts w:eastAsia="等线" w:cs="Times New Roman"/>
      <w:kern w:val="2"/>
      <w:sz w:val="18"/>
      <w:szCs w:val="18"/>
    </w:rPr>
  </w:style>
  <w:style w:type="paragraph" w:styleId="39">
    <w:name w:val="Date"/>
    <w:basedOn w:val="1"/>
    <w:next w:val="1"/>
    <w:link w:val="198"/>
    <w:qFormat/>
    <w:uiPriority w:val="0"/>
    <w:rPr>
      <w:rFonts w:cs="Times New Roman"/>
      <w:kern w:val="2"/>
      <w:szCs w:val="20"/>
      <w:lang w:val="zh-CN"/>
    </w:rPr>
  </w:style>
  <w:style w:type="paragraph" w:styleId="40">
    <w:name w:val="Body Text Indent 2"/>
    <w:basedOn w:val="1"/>
    <w:link w:val="137"/>
    <w:qFormat/>
    <w:uiPriority w:val="0"/>
    <w:pPr>
      <w:spacing w:after="120" w:line="480" w:lineRule="auto"/>
      <w:ind w:left="420" w:leftChars="200"/>
    </w:pPr>
    <w:rPr>
      <w:rFonts w:cs="Times New Roman"/>
      <w:kern w:val="2"/>
      <w:sz w:val="21"/>
    </w:rPr>
  </w:style>
  <w:style w:type="paragraph" w:styleId="41">
    <w:name w:val="Balloon Text"/>
    <w:basedOn w:val="1"/>
    <w:link w:val="180"/>
    <w:qFormat/>
    <w:uiPriority w:val="0"/>
    <w:rPr>
      <w:rFonts w:cs="Times New Roman"/>
      <w:kern w:val="2"/>
      <w:sz w:val="18"/>
      <w:szCs w:val="18"/>
      <w:lang w:val="zh-CN"/>
    </w:rPr>
  </w:style>
  <w:style w:type="paragraph" w:styleId="42">
    <w:name w:val="footer"/>
    <w:basedOn w:val="1"/>
    <w:link w:val="177"/>
    <w:qFormat/>
    <w:uiPriority w:val="0"/>
    <w:pPr>
      <w:tabs>
        <w:tab w:val="center" w:pos="4153"/>
        <w:tab w:val="right" w:pos="8306"/>
      </w:tabs>
    </w:pPr>
    <w:rPr>
      <w:rFonts w:cs="Times New Roman"/>
      <w:kern w:val="2"/>
      <w:sz w:val="18"/>
      <w:szCs w:val="18"/>
      <w:lang w:val="zh-CN"/>
    </w:rPr>
  </w:style>
  <w:style w:type="paragraph" w:styleId="43">
    <w:name w:val="toc 1"/>
    <w:basedOn w:val="1"/>
    <w:next w:val="1"/>
    <w:qFormat/>
    <w:uiPriority w:val="39"/>
    <w:pPr>
      <w:ind w:firstLine="0" w:firstLineChars="0"/>
    </w:pPr>
    <w:rPr>
      <w:b/>
    </w:rPr>
  </w:style>
  <w:style w:type="paragraph" w:styleId="44">
    <w:name w:val="toc 4"/>
    <w:basedOn w:val="1"/>
    <w:next w:val="1"/>
    <w:uiPriority w:val="39"/>
    <w:pPr>
      <w:adjustRightInd/>
      <w:ind w:left="840" w:firstLine="0" w:firstLineChars="0"/>
      <w:jc w:val="left"/>
    </w:pPr>
    <w:rPr>
      <w:rFonts w:eastAsia="等线" w:cs="Times New Roman"/>
      <w:kern w:val="2"/>
      <w:sz w:val="18"/>
      <w:szCs w:val="18"/>
    </w:rPr>
  </w:style>
  <w:style w:type="paragraph" w:styleId="45">
    <w:name w:val="index heading"/>
    <w:basedOn w:val="1"/>
    <w:next w:val="46"/>
    <w:qFormat/>
    <w:uiPriority w:val="0"/>
  </w:style>
  <w:style w:type="paragraph" w:styleId="46">
    <w:name w:val="index 1"/>
    <w:basedOn w:val="1"/>
    <w:next w:val="1"/>
    <w:qFormat/>
    <w:uiPriority w:val="0"/>
  </w:style>
  <w:style w:type="paragraph" w:styleId="47">
    <w:name w:val="List"/>
    <w:basedOn w:val="1"/>
    <w:qFormat/>
    <w:uiPriority w:val="0"/>
    <w:pPr>
      <w:overflowPunct w:val="0"/>
      <w:autoSpaceDE w:val="0"/>
      <w:autoSpaceDN w:val="0"/>
      <w:jc w:val="center"/>
      <w:textAlignment w:val="baseline"/>
    </w:pPr>
    <w:rPr>
      <w:szCs w:val="20"/>
      <w:lang w:val="en-GB"/>
    </w:rPr>
  </w:style>
  <w:style w:type="paragraph" w:styleId="48">
    <w:name w:val="toc 6"/>
    <w:basedOn w:val="1"/>
    <w:next w:val="1"/>
    <w:uiPriority w:val="39"/>
    <w:pPr>
      <w:adjustRightInd/>
      <w:ind w:left="1400" w:firstLine="0" w:firstLineChars="0"/>
      <w:jc w:val="left"/>
    </w:pPr>
    <w:rPr>
      <w:rFonts w:eastAsia="等线" w:cs="Times New Roman"/>
      <w:kern w:val="2"/>
      <w:sz w:val="18"/>
      <w:szCs w:val="18"/>
    </w:rPr>
  </w:style>
  <w:style w:type="paragraph" w:styleId="49">
    <w:name w:val="Body Text Indent 3"/>
    <w:basedOn w:val="1"/>
    <w:link w:val="111"/>
    <w:qFormat/>
    <w:uiPriority w:val="0"/>
    <w:pPr>
      <w:spacing w:after="120"/>
      <w:ind w:left="420" w:leftChars="200"/>
    </w:pPr>
    <w:rPr>
      <w:rFonts w:cs="Times New Roman"/>
      <w:kern w:val="2"/>
      <w:sz w:val="16"/>
      <w:szCs w:val="16"/>
      <w:lang w:val="zh-CN"/>
    </w:rPr>
  </w:style>
  <w:style w:type="paragraph" w:styleId="50">
    <w:name w:val="table of figures"/>
    <w:basedOn w:val="1"/>
    <w:next w:val="1"/>
    <w:qFormat/>
    <w:uiPriority w:val="0"/>
    <w:pPr>
      <w:ind w:left="480" w:hanging="480"/>
    </w:pPr>
    <w:rPr>
      <w:rFonts w:ascii="Calibri" w:hAnsi="Calibri" w:cs="Calibri"/>
      <w:smallCaps/>
      <w:sz w:val="20"/>
      <w:szCs w:val="20"/>
    </w:rPr>
  </w:style>
  <w:style w:type="paragraph" w:styleId="51">
    <w:name w:val="toc 2"/>
    <w:basedOn w:val="1"/>
    <w:next w:val="1"/>
    <w:qFormat/>
    <w:uiPriority w:val="39"/>
    <w:pPr>
      <w:ind w:left="200" w:leftChars="200" w:firstLine="0" w:firstLineChars="0"/>
    </w:pPr>
  </w:style>
  <w:style w:type="paragraph" w:styleId="52">
    <w:name w:val="toc 9"/>
    <w:basedOn w:val="1"/>
    <w:next w:val="1"/>
    <w:uiPriority w:val="39"/>
    <w:pPr>
      <w:adjustRightInd/>
      <w:ind w:left="2240" w:firstLine="0" w:firstLineChars="0"/>
      <w:jc w:val="left"/>
    </w:pPr>
    <w:rPr>
      <w:rFonts w:eastAsia="等线" w:cs="Times New Roman"/>
      <w:kern w:val="2"/>
      <w:sz w:val="18"/>
      <w:szCs w:val="18"/>
    </w:rPr>
  </w:style>
  <w:style w:type="paragraph" w:styleId="53">
    <w:name w:val="Body Text 2"/>
    <w:basedOn w:val="1"/>
    <w:link w:val="232"/>
    <w:qFormat/>
    <w:uiPriority w:val="0"/>
    <w:rPr>
      <w:rFonts w:eastAsia="仿宋_GB2312"/>
    </w:rPr>
  </w:style>
  <w:style w:type="paragraph" w:styleId="54">
    <w:name w:val="HTML Preformatted"/>
    <w:basedOn w:val="1"/>
    <w:link w:val="231"/>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hAnsi="Courier New" w:eastAsia="黑体" w:cs="Times New Roman"/>
      <w:sz w:val="20"/>
      <w:szCs w:val="20"/>
      <w:lang w:val="zh-CN"/>
    </w:rPr>
  </w:style>
  <w:style w:type="paragraph" w:styleId="55">
    <w:name w:val="Normal (Web)"/>
    <w:basedOn w:val="1"/>
    <w:qFormat/>
    <w:uiPriority w:val="0"/>
    <w:rPr>
      <w:rFonts w:eastAsia="仿宋_GB2312"/>
    </w:rPr>
  </w:style>
  <w:style w:type="paragraph" w:styleId="56">
    <w:name w:val="Title"/>
    <w:basedOn w:val="1"/>
    <w:next w:val="13"/>
    <w:link w:val="144"/>
    <w:qFormat/>
    <w:uiPriority w:val="10"/>
    <w:pPr>
      <w:keepNext/>
      <w:keepLines/>
      <w:pageBreakBefore/>
      <w:spacing w:afterLines="50" w:line="520" w:lineRule="exact"/>
      <w:jc w:val="center"/>
      <w:outlineLvl w:val="0"/>
    </w:pPr>
    <w:rPr>
      <w:rFonts w:ascii="Arial" w:hAnsi="Arial" w:eastAsia="黑体" w:cs="Times New Roman"/>
      <w:spacing w:val="10"/>
      <w:kern w:val="30"/>
      <w:sz w:val="30"/>
      <w:szCs w:val="30"/>
      <w:lang w:val="zh-CN"/>
    </w:rPr>
  </w:style>
  <w:style w:type="paragraph" w:styleId="57">
    <w:name w:val="annotation subject"/>
    <w:basedOn w:val="28"/>
    <w:next w:val="28"/>
    <w:link w:val="226"/>
    <w:qFormat/>
    <w:uiPriority w:val="0"/>
    <w:rPr>
      <w:b/>
      <w:bCs/>
    </w:rPr>
  </w:style>
  <w:style w:type="paragraph" w:styleId="58">
    <w:name w:val="Body Text First Indent"/>
    <w:basedOn w:val="1"/>
    <w:link w:val="666"/>
    <w:uiPriority w:val="0"/>
    <w:pPr>
      <w:adjustRightInd/>
      <w:snapToGrid/>
      <w:spacing w:line="440" w:lineRule="atLeast"/>
      <w:ind w:firstLine="493" w:firstLineChars="0"/>
    </w:pPr>
    <w:rPr>
      <w:rFonts w:cs="Times New Roman"/>
      <w:spacing w:val="6"/>
      <w:w w:val="92"/>
      <w:kern w:val="24"/>
      <w:sz w:val="26"/>
      <w:szCs w:val="20"/>
    </w:rPr>
  </w:style>
  <w:style w:type="table" w:styleId="60">
    <w:name w:val="Table Grid"/>
    <w:basedOn w:val="59"/>
    <w:unhideWhenUsed/>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61">
    <w:name w:val="Table Professional"/>
    <w:basedOn w:val="59"/>
    <w:uiPriority w:val="0"/>
    <w:pPr>
      <w:widowControl w:val="0"/>
      <w:snapToGrid w:val="0"/>
      <w:spacing w:line="360" w:lineRule="auto"/>
      <w:jc w:val="both"/>
    </w:pPr>
    <w:rPr>
      <w:rFonts w:eastAsia="等线"/>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63">
    <w:name w:val="Strong"/>
    <w:qFormat/>
    <w:uiPriority w:val="0"/>
    <w:rPr>
      <w:b/>
      <w:bCs/>
    </w:rPr>
  </w:style>
  <w:style w:type="character" w:styleId="64">
    <w:name w:val="page number"/>
    <w:basedOn w:val="62"/>
    <w:qFormat/>
    <w:uiPriority w:val="0"/>
    <w:rPr>
      <w:rFonts w:ascii="仿宋_GB2312" w:hAnsi="Verdana" w:eastAsia="仿宋_GB2312"/>
      <w:color w:val="auto"/>
      <w:sz w:val="28"/>
      <w:szCs w:val="28"/>
      <w:lang w:val="en-US" w:eastAsia="en-US"/>
    </w:rPr>
  </w:style>
  <w:style w:type="character" w:styleId="65">
    <w:name w:val="FollowedHyperlink"/>
    <w:qFormat/>
    <w:uiPriority w:val="0"/>
    <w:rPr>
      <w:color w:val="800080"/>
      <w:u w:val="single"/>
    </w:rPr>
  </w:style>
  <w:style w:type="character" w:styleId="66">
    <w:name w:val="Emphasis"/>
    <w:qFormat/>
    <w:uiPriority w:val="0"/>
    <w:rPr>
      <w:i/>
      <w:iCs/>
    </w:rPr>
  </w:style>
  <w:style w:type="character" w:styleId="67">
    <w:name w:val="HTML Definition"/>
    <w:basedOn w:val="62"/>
    <w:uiPriority w:val="0"/>
    <w:rPr>
      <w:sz w:val="24"/>
    </w:rPr>
  </w:style>
  <w:style w:type="character" w:styleId="68">
    <w:name w:val="HTML Acronym"/>
    <w:basedOn w:val="62"/>
    <w:uiPriority w:val="0"/>
    <w:rPr>
      <w:sz w:val="24"/>
    </w:rPr>
  </w:style>
  <w:style w:type="character" w:styleId="69">
    <w:name w:val="HTML Variable"/>
    <w:basedOn w:val="62"/>
    <w:uiPriority w:val="0"/>
    <w:rPr>
      <w:sz w:val="24"/>
    </w:rPr>
  </w:style>
  <w:style w:type="character" w:styleId="70">
    <w:name w:val="Hyperlink"/>
    <w:qFormat/>
    <w:uiPriority w:val="0"/>
    <w:rPr>
      <w:color w:val="0000FF"/>
      <w:u w:val="single"/>
    </w:rPr>
  </w:style>
  <w:style w:type="character" w:styleId="71">
    <w:name w:val="HTML Code"/>
    <w:basedOn w:val="62"/>
    <w:uiPriority w:val="0"/>
    <w:rPr>
      <w:rFonts w:ascii="Courier New" w:hAnsi="Courier New"/>
      <w:sz w:val="20"/>
    </w:rPr>
  </w:style>
  <w:style w:type="character" w:styleId="72">
    <w:name w:val="annotation reference"/>
    <w:qFormat/>
    <w:uiPriority w:val="0"/>
    <w:rPr>
      <w:sz w:val="21"/>
      <w:szCs w:val="21"/>
    </w:rPr>
  </w:style>
  <w:style w:type="character" w:styleId="73">
    <w:name w:val="HTML Cite"/>
    <w:basedOn w:val="62"/>
    <w:uiPriority w:val="0"/>
    <w:rPr>
      <w:sz w:val="24"/>
    </w:rPr>
  </w:style>
  <w:style w:type="character" w:customStyle="1" w:styleId="74">
    <w:name w:val="标题 1 字符"/>
    <w:link w:val="3"/>
    <w:qFormat/>
    <w:uiPriority w:val="0"/>
    <w:rPr>
      <w:rFonts w:eastAsia="黑体"/>
      <w:b/>
      <w:bCs/>
      <w:snapToGrid w:val="0"/>
      <w:color w:val="000000"/>
      <w:kern w:val="44"/>
      <w:sz w:val="44"/>
      <w:szCs w:val="44"/>
      <w:lang w:val="zh-CN"/>
    </w:rPr>
  </w:style>
  <w:style w:type="character" w:customStyle="1" w:styleId="75">
    <w:name w:val="标题 2 字符"/>
    <w:link w:val="5"/>
    <w:qFormat/>
    <w:uiPriority w:val="0"/>
    <w:rPr>
      <w:rFonts w:eastAsia="黑体"/>
      <w:b/>
      <w:bCs/>
      <w:color w:val="000000"/>
      <w:sz w:val="36"/>
      <w:szCs w:val="36"/>
      <w:lang w:val="zh-CN"/>
    </w:rPr>
  </w:style>
  <w:style w:type="character" w:customStyle="1" w:styleId="76">
    <w:name w:val="标题 3 字符"/>
    <w:link w:val="9"/>
    <w:qFormat/>
    <w:uiPriority w:val="0"/>
    <w:rPr>
      <w:b/>
      <w:bCs/>
      <w:color w:val="000000"/>
      <w:spacing w:val="10"/>
      <w:sz w:val="32"/>
      <w:szCs w:val="32"/>
      <w:lang w:val="zh-CN"/>
    </w:rPr>
  </w:style>
  <w:style w:type="character" w:customStyle="1" w:styleId="77">
    <w:name w:val="标题 4 字符"/>
    <w:link w:val="11"/>
    <w:qFormat/>
    <w:uiPriority w:val="0"/>
    <w:rPr>
      <w:rFonts w:eastAsia="黑体"/>
      <w:b/>
      <w:bCs/>
      <w:snapToGrid w:val="0"/>
      <w:color w:val="000000" w:themeColor="text1"/>
      <w:spacing w:val="10"/>
      <w:sz w:val="28"/>
      <w:szCs w:val="24"/>
      <w:lang w:val="zh-CN"/>
      <w14:textFill>
        <w14:solidFill>
          <w14:schemeClr w14:val="tx1"/>
        </w14:solidFill>
      </w14:textFill>
    </w:rPr>
  </w:style>
  <w:style w:type="character" w:customStyle="1" w:styleId="78">
    <w:name w:val="标题 5 字符"/>
    <w:link w:val="15"/>
    <w:qFormat/>
    <w:uiPriority w:val="0"/>
    <w:rPr>
      <w:b/>
      <w:bCs/>
      <w:kern w:val="2"/>
      <w:sz w:val="28"/>
      <w:szCs w:val="24"/>
      <w:lang w:val="zh-CN"/>
    </w:rPr>
  </w:style>
  <w:style w:type="character" w:customStyle="1" w:styleId="79">
    <w:name w:val="正文缩进 字符"/>
    <w:link w:val="17"/>
    <w:qFormat/>
    <w:uiPriority w:val="0"/>
    <w:rPr>
      <w:rFonts w:ascii="宋体"/>
      <w:kern w:val="2"/>
      <w:sz w:val="21"/>
    </w:rPr>
  </w:style>
  <w:style w:type="character" w:customStyle="1" w:styleId="80">
    <w:name w:val="标题 6 字符"/>
    <w:link w:val="16"/>
    <w:qFormat/>
    <w:uiPriority w:val="0"/>
    <w:rPr>
      <w:rFonts w:ascii="Arial" w:hAnsi="Arial" w:eastAsia="黑体" w:cs="宋体"/>
      <w:b/>
      <w:color w:val="auto"/>
      <w:sz w:val="24"/>
      <w:szCs w:val="28"/>
      <w:lang w:val="en-US" w:eastAsia="en-US"/>
    </w:rPr>
  </w:style>
  <w:style w:type="character" w:customStyle="1" w:styleId="81">
    <w:name w:val="标题 7 字符"/>
    <w:link w:val="18"/>
    <w:qFormat/>
    <w:uiPriority w:val="0"/>
    <w:rPr>
      <w:rFonts w:ascii="宋体" w:hAnsi="宋体" w:eastAsia="仿宋_GB2312" w:cs="宋体"/>
      <w:b/>
      <w:color w:val="auto"/>
      <w:sz w:val="24"/>
      <w:szCs w:val="28"/>
      <w:lang w:val="en-US" w:eastAsia="en-US"/>
    </w:rPr>
  </w:style>
  <w:style w:type="character" w:customStyle="1" w:styleId="82">
    <w:name w:val="标题 8 字符"/>
    <w:link w:val="19"/>
    <w:qFormat/>
    <w:uiPriority w:val="0"/>
    <w:rPr>
      <w:rFonts w:ascii="Arial" w:hAnsi="Arial" w:eastAsia="黑体" w:cs="宋体"/>
      <w:color w:val="auto"/>
      <w:sz w:val="24"/>
      <w:szCs w:val="28"/>
      <w:lang w:val="en-US" w:eastAsia="en-US"/>
    </w:rPr>
  </w:style>
  <w:style w:type="character" w:customStyle="1" w:styleId="83">
    <w:name w:val="标题 9 字符"/>
    <w:link w:val="20"/>
    <w:qFormat/>
    <w:uiPriority w:val="0"/>
    <w:rPr>
      <w:rFonts w:ascii="Arial" w:hAnsi="Arial" w:eastAsia="黑体" w:cs="宋体"/>
      <w:color w:val="auto"/>
      <w:sz w:val="24"/>
      <w:szCs w:val="28"/>
      <w:lang w:val="en-US" w:eastAsia="en-US"/>
    </w:rPr>
  </w:style>
  <w:style w:type="character" w:customStyle="1" w:styleId="84">
    <w:name w:val="正文文本 (59)_"/>
    <w:link w:val="85"/>
    <w:qFormat/>
    <w:uiPriority w:val="0"/>
    <w:rPr>
      <w:rFonts w:ascii="MingLiU" w:hAnsi="MingLiU" w:eastAsia="MingLiU" w:cs="MingLiU"/>
      <w:b/>
      <w:bCs/>
      <w:spacing w:val="20"/>
      <w:sz w:val="22"/>
      <w:szCs w:val="22"/>
      <w:shd w:val="clear" w:color="auto" w:fill="FFFFFF"/>
      <w:lang w:eastAsia="en-US"/>
    </w:rPr>
  </w:style>
  <w:style w:type="paragraph" w:customStyle="1" w:styleId="85">
    <w:name w:val="正文文本 (59)"/>
    <w:basedOn w:val="1"/>
    <w:link w:val="84"/>
    <w:qFormat/>
    <w:uiPriority w:val="0"/>
    <w:pPr>
      <w:shd w:val="clear" w:color="auto" w:fill="FFFFFF"/>
      <w:spacing w:line="408" w:lineRule="exact"/>
      <w:jc w:val="distribute"/>
    </w:pPr>
    <w:rPr>
      <w:rFonts w:ascii="MingLiU" w:hAnsi="MingLiU" w:eastAsia="MingLiU" w:cs="Times New Roman"/>
      <w:b/>
      <w:bCs/>
      <w:spacing w:val="20"/>
      <w:sz w:val="22"/>
      <w:szCs w:val="22"/>
      <w:lang w:val="zh-CN" w:eastAsia="en-US"/>
    </w:rPr>
  </w:style>
  <w:style w:type="character" w:customStyle="1" w:styleId="86">
    <w:name w:val="文档结构图 字符"/>
    <w:link w:val="26"/>
    <w:qFormat/>
    <w:locked/>
    <w:uiPriority w:val="0"/>
    <w:rPr>
      <w:kern w:val="2"/>
      <w:sz w:val="21"/>
      <w:szCs w:val="24"/>
      <w:shd w:val="clear" w:color="auto" w:fill="000080"/>
    </w:rPr>
  </w:style>
  <w:style w:type="character" w:customStyle="1" w:styleId="87">
    <w:name w:val="正文文本 (2)_"/>
    <w:link w:val="88"/>
    <w:qFormat/>
    <w:uiPriority w:val="0"/>
    <w:rPr>
      <w:rFonts w:ascii="微软雅黑" w:hAnsi="微软雅黑" w:eastAsia="微软雅黑" w:cs="微软雅黑"/>
      <w:spacing w:val="40"/>
      <w:sz w:val="22"/>
      <w:szCs w:val="22"/>
      <w:shd w:val="clear" w:color="auto" w:fill="FFFFFF"/>
      <w:lang w:eastAsia="en-US"/>
    </w:rPr>
  </w:style>
  <w:style w:type="paragraph" w:customStyle="1" w:styleId="88">
    <w:name w:val="正文文本 (2)"/>
    <w:basedOn w:val="1"/>
    <w:link w:val="87"/>
    <w:qFormat/>
    <w:uiPriority w:val="0"/>
    <w:pPr>
      <w:shd w:val="clear" w:color="auto" w:fill="FFFFFF"/>
      <w:spacing w:after="1020" w:line="470" w:lineRule="exact"/>
      <w:jc w:val="distribute"/>
    </w:pPr>
    <w:rPr>
      <w:rFonts w:ascii="微软雅黑" w:hAnsi="微软雅黑" w:eastAsia="微软雅黑" w:cs="Times New Roman"/>
      <w:spacing w:val="40"/>
      <w:sz w:val="22"/>
      <w:szCs w:val="22"/>
      <w:lang w:val="zh-CN" w:eastAsia="en-US"/>
    </w:rPr>
  </w:style>
  <w:style w:type="character" w:customStyle="1" w:styleId="89">
    <w:name w:val="正文文本 字符"/>
    <w:link w:val="14"/>
    <w:qFormat/>
    <w:uiPriority w:val="0"/>
    <w:rPr>
      <w:spacing w:val="20"/>
      <w:sz w:val="24"/>
      <w:u w:val="single"/>
      <w:lang w:val="en-US" w:eastAsia="zh-CN" w:bidi="ar-SA"/>
    </w:rPr>
  </w:style>
  <w:style w:type="character" w:customStyle="1" w:styleId="90">
    <w:name w:val="表格文字 Char Char"/>
    <w:qFormat/>
    <w:uiPriority w:val="0"/>
    <w:rPr>
      <w:rFonts w:eastAsia="宋体"/>
      <w:kern w:val="24"/>
      <w:sz w:val="21"/>
      <w:szCs w:val="24"/>
      <w:lang w:val="en-US" w:eastAsia="zh-CN" w:bidi="ar-SA"/>
    </w:rPr>
  </w:style>
  <w:style w:type="character" w:customStyle="1" w:styleId="91">
    <w:name w:val="条 Char Char1"/>
    <w:qFormat/>
    <w:uiPriority w:val="0"/>
    <w:rPr>
      <w:rFonts w:ascii="Arial" w:hAnsi="Arial" w:eastAsia="黑体"/>
      <w:snapToGrid w:val="0"/>
      <w:color w:val="auto"/>
      <w:spacing w:val="10"/>
      <w:kern w:val="28"/>
      <w:sz w:val="28"/>
      <w:szCs w:val="28"/>
      <w:lang w:val="en-US" w:eastAsia="zh-CN" w:bidi="ar-SA"/>
    </w:rPr>
  </w:style>
  <w:style w:type="character" w:customStyle="1" w:styleId="92">
    <w:name w:val="navigation_last"/>
    <w:qFormat/>
    <w:uiPriority w:val="0"/>
    <w:rPr>
      <w:rFonts w:ascii="仿宋_GB2312" w:hAnsi="Verdana" w:eastAsia="仿宋_GB2312"/>
      <w:color w:val="auto"/>
      <w:sz w:val="28"/>
      <w:szCs w:val="28"/>
      <w:lang w:val="en-US" w:eastAsia="en-US"/>
    </w:rPr>
  </w:style>
  <w:style w:type="character" w:customStyle="1" w:styleId="93">
    <w:name w:val="标题03 Char2"/>
    <w:qFormat/>
    <w:uiPriority w:val="0"/>
    <w:rPr>
      <w:rFonts w:ascii="Arial" w:hAnsi="Arial" w:eastAsia="黑体"/>
      <w:snapToGrid w:val="0"/>
      <w:spacing w:val="10"/>
      <w:kern w:val="28"/>
      <w:sz w:val="28"/>
      <w:szCs w:val="28"/>
      <w:lang w:val="en-US" w:eastAsia="zh-CN" w:bidi="ar-SA"/>
    </w:rPr>
  </w:style>
  <w:style w:type="character" w:customStyle="1" w:styleId="94">
    <w:name w:val="apple-style-span"/>
    <w:basedOn w:val="62"/>
    <w:qFormat/>
    <w:uiPriority w:val="0"/>
    <w:rPr>
      <w:rFonts w:ascii="仿宋_GB2312" w:hAnsi="Verdana" w:eastAsia="仿宋_GB2312"/>
      <w:color w:val="auto"/>
      <w:sz w:val="28"/>
      <w:szCs w:val="28"/>
      <w:lang w:val="en-US" w:eastAsia="en-US"/>
    </w:rPr>
  </w:style>
  <w:style w:type="character" w:customStyle="1" w:styleId="95">
    <w:name w:val="标题 5 Char"/>
    <w:qFormat/>
    <w:locked/>
    <w:uiPriority w:val="0"/>
    <w:rPr>
      <w:rFonts w:ascii="Arial" w:hAnsi="Arial" w:eastAsia="黑体"/>
      <w:spacing w:val="10"/>
      <w:kern w:val="28"/>
      <w:sz w:val="28"/>
      <w:szCs w:val="28"/>
      <w:lang w:val="en-US" w:eastAsia="zh-CN" w:bidi="ar-SA"/>
    </w:rPr>
  </w:style>
  <w:style w:type="character" w:customStyle="1" w:styleId="96">
    <w:name w:val="表格文字居中 Char Char"/>
    <w:link w:val="97"/>
    <w:qFormat/>
    <w:uiPriority w:val="0"/>
    <w:rPr>
      <w:rFonts w:ascii="仿宋_GB2312" w:hAnsi="宋体" w:eastAsia="仿宋_GB2312"/>
      <w:color w:val="000000"/>
      <w:kern w:val="2"/>
      <w:sz w:val="21"/>
      <w:szCs w:val="21"/>
      <w:lang w:val="en-US" w:eastAsia="en-US"/>
    </w:rPr>
  </w:style>
  <w:style w:type="paragraph" w:customStyle="1" w:styleId="97">
    <w:name w:val="表格文字居中"/>
    <w:basedOn w:val="1"/>
    <w:link w:val="96"/>
    <w:qFormat/>
    <w:uiPriority w:val="0"/>
    <w:pPr>
      <w:spacing w:line="360" w:lineRule="exact"/>
      <w:jc w:val="center"/>
    </w:pPr>
    <w:rPr>
      <w:rFonts w:ascii="仿宋_GB2312" w:eastAsia="仿宋_GB2312" w:cs="Times New Roman"/>
      <w:color w:val="000000"/>
      <w:kern w:val="2"/>
      <w:sz w:val="21"/>
      <w:szCs w:val="21"/>
      <w:lang w:eastAsia="en-US"/>
    </w:rPr>
  </w:style>
  <w:style w:type="character" w:customStyle="1" w:styleId="98">
    <w:name w:val="ttitle1"/>
    <w:qFormat/>
    <w:uiPriority w:val="0"/>
    <w:rPr>
      <w:spacing w:val="120"/>
      <w:sz w:val="21"/>
      <w:szCs w:val="21"/>
    </w:rPr>
  </w:style>
  <w:style w:type="character" w:customStyle="1" w:styleId="99">
    <w:name w:val="样式 标题 1 + 宋体 小四 Char Char"/>
    <w:link w:val="100"/>
    <w:qFormat/>
    <w:uiPriority w:val="0"/>
    <w:rPr>
      <w:rFonts w:ascii="宋体" w:hAnsi="宋体"/>
      <w:b/>
      <w:bCs/>
      <w:kern w:val="44"/>
      <w:sz w:val="24"/>
      <w:szCs w:val="44"/>
    </w:rPr>
  </w:style>
  <w:style w:type="paragraph" w:customStyle="1" w:styleId="100">
    <w:name w:val="样式 标题 1 + 宋体 小四"/>
    <w:basedOn w:val="3"/>
    <w:link w:val="99"/>
    <w:qFormat/>
    <w:uiPriority w:val="0"/>
    <w:pPr>
      <w:spacing w:before="0" w:after="0" w:line="360" w:lineRule="auto"/>
      <w:textAlignment w:val="baseline"/>
    </w:pPr>
    <w:rPr>
      <w:rFonts w:ascii="宋体" w:hAnsi="宋体"/>
      <w:sz w:val="24"/>
    </w:rPr>
  </w:style>
  <w:style w:type="character" w:customStyle="1" w:styleId="101">
    <w:name w:val="digest1"/>
    <w:qFormat/>
    <w:uiPriority w:val="0"/>
    <w:rPr>
      <w:color w:val="393939"/>
      <w:sz w:val="18"/>
      <w:szCs w:val="18"/>
    </w:rPr>
  </w:style>
  <w:style w:type="character" w:customStyle="1" w:styleId="102">
    <w:name w:val="表后注释 Char"/>
    <w:link w:val="103"/>
    <w:qFormat/>
    <w:uiPriority w:val="0"/>
    <w:rPr>
      <w:spacing w:val="10"/>
      <w:kern w:val="24"/>
      <w:sz w:val="24"/>
      <w:szCs w:val="24"/>
    </w:rPr>
  </w:style>
  <w:style w:type="paragraph" w:customStyle="1" w:styleId="103">
    <w:name w:val="表后注释"/>
    <w:basedOn w:val="13"/>
    <w:next w:val="13"/>
    <w:link w:val="102"/>
    <w:qFormat/>
    <w:uiPriority w:val="0"/>
    <w:pPr>
      <w:widowControl w:val="0"/>
      <w:spacing w:line="400" w:lineRule="exact"/>
      <w:ind w:firstLine="200" w:firstLineChars="200"/>
      <w:jc w:val="both"/>
    </w:pPr>
    <w:rPr>
      <w:snapToGrid/>
      <w:spacing w:val="10"/>
      <w:kern w:val="24"/>
      <w:szCs w:val="24"/>
      <w:u w:val="none"/>
    </w:rPr>
  </w:style>
  <w:style w:type="character" w:customStyle="1" w:styleId="104">
    <w:name w:val="正文首行缩进 Char2"/>
    <w:link w:val="13"/>
    <w:qFormat/>
    <w:uiPriority w:val="0"/>
    <w:rPr>
      <w:snapToGrid w:val="0"/>
      <w:spacing w:val="20"/>
      <w:sz w:val="24"/>
      <w:u w:val="single"/>
    </w:rPr>
  </w:style>
  <w:style w:type="character" w:customStyle="1" w:styleId="105">
    <w:name w:val="表内容 Char"/>
    <w:link w:val="106"/>
    <w:qFormat/>
    <w:uiPriority w:val="0"/>
    <w:rPr>
      <w:snapToGrid w:val="0"/>
      <w:sz w:val="21"/>
      <w:szCs w:val="21"/>
      <w:lang w:val="en-US" w:eastAsia="zh-CN" w:bidi="ar-SA"/>
    </w:rPr>
  </w:style>
  <w:style w:type="paragraph" w:customStyle="1" w:styleId="106">
    <w:name w:val="表内容"/>
    <w:link w:val="105"/>
    <w:qFormat/>
    <w:uiPriority w:val="0"/>
    <w:pPr>
      <w:widowControl w:val="0"/>
      <w:adjustRightInd w:val="0"/>
      <w:snapToGrid w:val="0"/>
      <w:spacing w:line="360" w:lineRule="exact"/>
      <w:jc w:val="center"/>
      <w:textAlignment w:val="baseline"/>
    </w:pPr>
    <w:rPr>
      <w:rFonts w:ascii="Times New Roman" w:hAnsi="Times New Roman" w:eastAsia="宋体" w:cs="Times New Roman"/>
      <w:snapToGrid w:val="0"/>
      <w:sz w:val="21"/>
      <w:szCs w:val="21"/>
      <w:lang w:val="en-US" w:eastAsia="zh-CN" w:bidi="ar-SA"/>
    </w:rPr>
  </w:style>
  <w:style w:type="character" w:customStyle="1" w:styleId="107">
    <w:name w:val="正文文本 (2) + 间距 2 pt"/>
    <w:qFormat/>
    <w:uiPriority w:val="0"/>
    <w:rPr>
      <w:rFonts w:ascii="MingLiU" w:hAnsi="MingLiU" w:eastAsia="MingLiU" w:cs="MingLiU"/>
      <w:color w:val="000000"/>
      <w:spacing w:val="50"/>
      <w:w w:val="100"/>
      <w:position w:val="0"/>
      <w:sz w:val="22"/>
      <w:szCs w:val="22"/>
      <w:u w:val="none"/>
      <w:lang w:val="zh-CN" w:eastAsia="zh-CN" w:bidi="zh-CN"/>
    </w:rPr>
  </w:style>
  <w:style w:type="character" w:customStyle="1" w:styleId="108">
    <w:name w:val="正文文本 (2) + 间距 3 pt"/>
    <w:qFormat/>
    <w:uiPriority w:val="0"/>
    <w:rPr>
      <w:rFonts w:ascii="MingLiU" w:hAnsi="MingLiU" w:eastAsia="MingLiU" w:cs="MingLiU"/>
      <w:color w:val="000000"/>
      <w:spacing w:val="70"/>
      <w:w w:val="100"/>
      <w:position w:val="0"/>
      <w:sz w:val="22"/>
      <w:szCs w:val="22"/>
      <w:u w:val="none"/>
      <w:lang w:val="zh-CN" w:eastAsia="zh-CN" w:bidi="zh-CN"/>
    </w:rPr>
  </w:style>
  <w:style w:type="character" w:customStyle="1" w:styleId="109">
    <w:name w:val="文本框文字 Char"/>
    <w:link w:val="110"/>
    <w:qFormat/>
    <w:uiPriority w:val="0"/>
    <w:rPr>
      <w:kern w:val="21"/>
      <w:sz w:val="21"/>
      <w:szCs w:val="21"/>
    </w:rPr>
  </w:style>
  <w:style w:type="paragraph" w:customStyle="1" w:styleId="110">
    <w:name w:val="文本框文字"/>
    <w:basedOn w:val="1"/>
    <w:link w:val="109"/>
    <w:qFormat/>
    <w:uiPriority w:val="0"/>
    <w:pPr>
      <w:spacing w:line="300" w:lineRule="exact"/>
      <w:jc w:val="center"/>
    </w:pPr>
    <w:rPr>
      <w:rFonts w:cs="Times New Roman"/>
      <w:kern w:val="21"/>
      <w:sz w:val="21"/>
      <w:szCs w:val="21"/>
      <w:lang w:val="zh-CN"/>
    </w:rPr>
  </w:style>
  <w:style w:type="character" w:customStyle="1" w:styleId="111">
    <w:name w:val="正文文本缩进 3 字符"/>
    <w:link w:val="49"/>
    <w:qFormat/>
    <w:locked/>
    <w:uiPriority w:val="0"/>
    <w:rPr>
      <w:kern w:val="2"/>
      <w:sz w:val="16"/>
      <w:szCs w:val="16"/>
    </w:rPr>
  </w:style>
  <w:style w:type="character" w:customStyle="1" w:styleId="112">
    <w:name w:val="样式14 Char"/>
    <w:link w:val="113"/>
    <w:qFormat/>
    <w:uiPriority w:val="0"/>
    <w:rPr>
      <w:b/>
      <w:kern w:val="2"/>
      <w:sz w:val="28"/>
      <w:szCs w:val="28"/>
    </w:rPr>
  </w:style>
  <w:style w:type="paragraph" w:customStyle="1" w:styleId="113">
    <w:name w:val="样式14"/>
    <w:basedOn w:val="1"/>
    <w:link w:val="112"/>
    <w:qFormat/>
    <w:uiPriority w:val="0"/>
    <w:pPr>
      <w:tabs>
        <w:tab w:val="left" w:pos="567"/>
      </w:tabs>
      <w:ind w:left="567" w:hanging="567"/>
    </w:pPr>
    <w:rPr>
      <w:rFonts w:cs="Times New Roman"/>
      <w:b/>
      <w:kern w:val="2"/>
      <w:szCs w:val="28"/>
      <w:lang w:val="zh-CN"/>
    </w:rPr>
  </w:style>
  <w:style w:type="character" w:customStyle="1" w:styleId="114">
    <w:name w:val="icon2_11"/>
    <w:basedOn w:val="62"/>
    <w:qFormat/>
    <w:uiPriority w:val="0"/>
    <w:rPr>
      <w:rFonts w:ascii="仿宋_GB2312" w:hAnsi="Verdana" w:eastAsia="仿宋_GB2312"/>
      <w:color w:val="auto"/>
      <w:sz w:val="28"/>
      <w:szCs w:val="28"/>
      <w:lang w:val="en-US" w:eastAsia="en-US"/>
    </w:rPr>
  </w:style>
  <w:style w:type="character" w:customStyle="1" w:styleId="115">
    <w:name w:val="表格内字体 Char"/>
    <w:link w:val="116"/>
    <w:qFormat/>
    <w:locked/>
    <w:uiPriority w:val="0"/>
    <w:rPr>
      <w:rFonts w:ascii="宋体" w:hAnsi="宋体"/>
      <w:sz w:val="21"/>
      <w:szCs w:val="24"/>
    </w:rPr>
  </w:style>
  <w:style w:type="paragraph" w:customStyle="1" w:styleId="116">
    <w:name w:val="表格内字体"/>
    <w:basedOn w:val="1"/>
    <w:next w:val="1"/>
    <w:link w:val="115"/>
    <w:qFormat/>
    <w:uiPriority w:val="0"/>
    <w:rPr>
      <w:rFonts w:cs="Times New Roman"/>
      <w:sz w:val="21"/>
      <w:lang w:val="zh-CN"/>
    </w:rPr>
  </w:style>
  <w:style w:type="character" w:customStyle="1" w:styleId="117">
    <w:name w:val="正文文本缩进 字符"/>
    <w:link w:val="31"/>
    <w:qFormat/>
    <w:uiPriority w:val="0"/>
    <w:rPr>
      <w:rFonts w:eastAsia="宋体"/>
      <w:kern w:val="2"/>
      <w:sz w:val="21"/>
      <w:szCs w:val="24"/>
      <w:lang w:val="en-US" w:eastAsia="zh-CN" w:bidi="ar-SA"/>
    </w:rPr>
  </w:style>
  <w:style w:type="character" w:customStyle="1" w:styleId="118">
    <w:name w:val="文本框文字 Char1"/>
    <w:qFormat/>
    <w:uiPriority w:val="0"/>
    <w:rPr>
      <w:rFonts w:eastAsia="楷体_GB2312"/>
      <w:snapToGrid w:val="0"/>
      <w:kern w:val="21"/>
      <w:sz w:val="21"/>
      <w:szCs w:val="21"/>
      <w:lang w:val="en-US" w:eastAsia="zh-CN" w:bidi="ar-SA"/>
    </w:rPr>
  </w:style>
  <w:style w:type="character" w:customStyle="1" w:styleId="119">
    <w:name w:val="icon2"/>
    <w:qFormat/>
    <w:uiPriority w:val="0"/>
    <w:rPr>
      <w:rFonts w:ascii="仿宋_GB2312" w:hAnsi="Verdana" w:eastAsia="仿宋_GB2312"/>
      <w:color w:val="auto"/>
      <w:sz w:val="28"/>
      <w:szCs w:val="28"/>
      <w:shd w:val="clear" w:color="auto" w:fill="B3DAFF"/>
      <w:lang w:val="en-US" w:eastAsia="en-US"/>
    </w:rPr>
  </w:style>
  <w:style w:type="character" w:customStyle="1" w:styleId="120">
    <w:name w:val="正文A Char"/>
    <w:link w:val="121"/>
    <w:qFormat/>
    <w:uiPriority w:val="0"/>
    <w:rPr>
      <w:rFonts w:ascii="仿宋_GB2312" w:hAnsi="Verdana" w:eastAsia="仿宋_GB2312"/>
      <w:snapToGrid w:val="0"/>
      <w:color w:val="000000"/>
      <w:sz w:val="24"/>
      <w:szCs w:val="24"/>
      <w:lang w:val="en-US" w:eastAsia="en-US"/>
    </w:rPr>
  </w:style>
  <w:style w:type="paragraph" w:customStyle="1" w:styleId="121">
    <w:name w:val="正文A"/>
    <w:basedOn w:val="1"/>
    <w:link w:val="120"/>
    <w:qFormat/>
    <w:uiPriority w:val="0"/>
    <w:pPr>
      <w:spacing w:before="120" w:line="336" w:lineRule="auto"/>
      <w:ind w:firstLine="480"/>
    </w:pPr>
    <w:rPr>
      <w:rFonts w:ascii="仿宋_GB2312" w:hAnsi="Verdana" w:eastAsia="仿宋_GB2312" w:cs="Times New Roman"/>
      <w:snapToGrid w:val="0"/>
      <w:color w:val="000000"/>
      <w:lang w:eastAsia="en-US"/>
    </w:rPr>
  </w:style>
  <w:style w:type="character" w:customStyle="1" w:styleId="122">
    <w:name w:val="icon2_41"/>
    <w:basedOn w:val="62"/>
    <w:qFormat/>
    <w:uiPriority w:val="0"/>
    <w:rPr>
      <w:rFonts w:ascii="仿宋_GB2312" w:hAnsi="Verdana" w:eastAsia="仿宋_GB2312"/>
      <w:color w:val="auto"/>
      <w:sz w:val="28"/>
      <w:szCs w:val="28"/>
      <w:lang w:val="en-US" w:eastAsia="en-US"/>
    </w:rPr>
  </w:style>
  <w:style w:type="character" w:customStyle="1" w:styleId="123">
    <w:name w:val="表格 Char"/>
    <w:link w:val="124"/>
    <w:qFormat/>
    <w:uiPriority w:val="0"/>
    <w:rPr>
      <w:rFonts w:ascii="宋体" w:hAnsi="Verdana" w:eastAsia="仿宋_GB2312"/>
      <w:color w:val="auto"/>
      <w:kern w:val="2"/>
      <w:sz w:val="21"/>
      <w:szCs w:val="28"/>
      <w:lang w:val="en-US" w:eastAsia="en-US"/>
    </w:rPr>
  </w:style>
  <w:style w:type="paragraph" w:customStyle="1" w:styleId="124">
    <w:name w:val="表格"/>
    <w:basedOn w:val="1"/>
    <w:link w:val="123"/>
    <w:qFormat/>
    <w:uiPriority w:val="0"/>
    <w:pPr>
      <w:spacing w:before="50" w:after="50"/>
      <w:jc w:val="center"/>
    </w:pPr>
    <w:rPr>
      <w:rFonts w:hAnsi="Verdana" w:eastAsia="仿宋_GB2312" w:cs="Times New Roman"/>
      <w:kern w:val="2"/>
      <w:sz w:val="21"/>
      <w:szCs w:val="28"/>
      <w:lang w:eastAsia="en-US"/>
    </w:rPr>
  </w:style>
  <w:style w:type="character" w:customStyle="1" w:styleId="125">
    <w:name w:val="1.1标题 2 Char6"/>
    <w:qFormat/>
    <w:uiPriority w:val="0"/>
    <w:rPr>
      <w:rFonts w:ascii="Arial" w:hAnsi="Arial" w:eastAsia="黑体"/>
      <w:b/>
      <w:bCs/>
      <w:color w:val="auto"/>
      <w:kern w:val="2"/>
      <w:sz w:val="32"/>
      <w:szCs w:val="32"/>
      <w:lang w:val="en-US" w:eastAsia="en-US"/>
    </w:rPr>
  </w:style>
  <w:style w:type="character" w:customStyle="1" w:styleId="126">
    <w:name w:val="标题 2 Char1"/>
    <w:qFormat/>
    <w:uiPriority w:val="0"/>
    <w:rPr>
      <w:rFonts w:ascii="Arial" w:hAnsi="Arial" w:eastAsia="黑体"/>
      <w:snapToGrid w:val="0"/>
      <w:spacing w:val="10"/>
      <w:kern w:val="28"/>
      <w:sz w:val="28"/>
      <w:szCs w:val="28"/>
      <w:lang w:val="en-US" w:eastAsia="zh-CN" w:bidi="ar-SA"/>
    </w:rPr>
  </w:style>
  <w:style w:type="character" w:customStyle="1" w:styleId="127">
    <w:name w:val="正文专用 Char"/>
    <w:link w:val="128"/>
    <w:qFormat/>
    <w:uiPriority w:val="0"/>
    <w:rPr>
      <w:rFonts w:ascii="宋体" w:hAnsi="Verdana" w:eastAsia="仿宋_GB2312"/>
      <w:color w:val="auto"/>
      <w:kern w:val="2"/>
      <w:sz w:val="24"/>
      <w:szCs w:val="24"/>
    </w:rPr>
  </w:style>
  <w:style w:type="paragraph" w:customStyle="1" w:styleId="128">
    <w:name w:val="正文专用"/>
    <w:basedOn w:val="17"/>
    <w:link w:val="127"/>
    <w:qFormat/>
    <w:uiPriority w:val="0"/>
    <w:pPr>
      <w:tabs>
        <w:tab w:val="left" w:pos="770"/>
      </w:tabs>
      <w:ind w:left="238" w:right="100" w:rightChars="100" w:firstLine="200"/>
    </w:pPr>
    <w:rPr>
      <w:rFonts w:hAnsi="Verdana" w:eastAsia="仿宋_GB2312"/>
      <w:sz w:val="24"/>
      <w:szCs w:val="24"/>
    </w:rPr>
  </w:style>
  <w:style w:type="character" w:customStyle="1" w:styleId="129">
    <w:name w:val="正文文本缩进 Char1"/>
    <w:qFormat/>
    <w:uiPriority w:val="0"/>
    <w:rPr>
      <w:rFonts w:eastAsia="宋体"/>
      <w:snapToGrid w:val="0"/>
      <w:spacing w:val="10"/>
      <w:kern w:val="28"/>
      <w:sz w:val="28"/>
      <w:szCs w:val="28"/>
      <w:lang w:val="en-US" w:eastAsia="zh-CN" w:bidi="ar-SA"/>
    </w:rPr>
  </w:style>
  <w:style w:type="character" w:customStyle="1" w:styleId="130">
    <w:name w:val="表头 Char"/>
    <w:link w:val="131"/>
    <w:qFormat/>
    <w:uiPriority w:val="0"/>
    <w:rPr>
      <w:rFonts w:ascii="黑体" w:eastAsia="黑体"/>
      <w:spacing w:val="8"/>
      <w:kern w:val="21"/>
      <w:sz w:val="21"/>
    </w:rPr>
  </w:style>
  <w:style w:type="paragraph" w:customStyle="1" w:styleId="131">
    <w:name w:val="表头"/>
    <w:basedOn w:val="1"/>
    <w:link w:val="130"/>
    <w:qFormat/>
    <w:uiPriority w:val="0"/>
    <w:pPr>
      <w:keepNext/>
      <w:spacing w:before="120" w:after="60" w:line="400" w:lineRule="exact"/>
      <w:ind w:firstLine="493"/>
    </w:pPr>
    <w:rPr>
      <w:rFonts w:ascii="黑体" w:eastAsia="黑体" w:cs="Times New Roman"/>
      <w:spacing w:val="8"/>
      <w:kern w:val="21"/>
      <w:sz w:val="21"/>
      <w:szCs w:val="20"/>
      <w:lang w:val="zh-CN"/>
    </w:rPr>
  </w:style>
  <w:style w:type="character" w:customStyle="1" w:styleId="132">
    <w:name w:val="正文文本 (28) + 间距 2 pt"/>
    <w:qFormat/>
    <w:uiPriority w:val="0"/>
    <w:rPr>
      <w:rFonts w:ascii="微软雅黑" w:hAnsi="微软雅黑" w:eastAsia="微软雅黑" w:cs="微软雅黑"/>
      <w:color w:val="000000"/>
      <w:spacing w:val="40"/>
      <w:w w:val="100"/>
      <w:position w:val="0"/>
      <w:sz w:val="22"/>
      <w:szCs w:val="22"/>
      <w:u w:val="none"/>
      <w:lang w:val="zh-CN" w:eastAsia="zh-CN" w:bidi="zh-CN"/>
    </w:rPr>
  </w:style>
  <w:style w:type="character" w:customStyle="1" w:styleId="133">
    <w:name w:val="正文文字 Char"/>
    <w:qFormat/>
    <w:uiPriority w:val="0"/>
    <w:rPr>
      <w:rFonts w:eastAsia="宋体"/>
      <w:kern w:val="2"/>
      <w:sz w:val="21"/>
      <w:szCs w:val="24"/>
      <w:lang w:val="en-US" w:eastAsia="zh-CN" w:bidi="ar-SA"/>
    </w:rPr>
  </w:style>
  <w:style w:type="character" w:customStyle="1" w:styleId="134">
    <w:name w:val="结束语 字符"/>
    <w:link w:val="30"/>
    <w:qFormat/>
    <w:uiPriority w:val="0"/>
    <w:rPr>
      <w:rFonts w:ascii="仿宋_GB2312" w:hAnsi="Verdana" w:eastAsia="仿宋_GB2312"/>
      <w:color w:val="auto"/>
      <w:kern w:val="2"/>
      <w:sz w:val="21"/>
      <w:szCs w:val="24"/>
      <w:lang w:val="en-US" w:eastAsia="en-US"/>
    </w:rPr>
  </w:style>
  <w:style w:type="character" w:customStyle="1" w:styleId="135">
    <w:name w:val="zw1"/>
    <w:qFormat/>
    <w:uiPriority w:val="0"/>
    <w:rPr>
      <w:rFonts w:hint="eastAsia" w:ascii="宋体" w:hAnsi="宋体" w:eastAsia="宋体"/>
      <w:color w:val="auto"/>
      <w:sz w:val="22"/>
      <w:szCs w:val="22"/>
      <w:lang w:val="en-US" w:eastAsia="en-US"/>
    </w:rPr>
  </w:style>
  <w:style w:type="character" w:customStyle="1" w:styleId="136">
    <w:name w:val="正文首行缩进 Char Char2"/>
    <w:qFormat/>
    <w:uiPriority w:val="99"/>
    <w:rPr>
      <w:rFonts w:eastAsia="宋体"/>
      <w:spacing w:val="10"/>
      <w:kern w:val="28"/>
      <w:sz w:val="28"/>
      <w:szCs w:val="28"/>
      <w:lang w:val="en-US" w:eastAsia="zh-CN" w:bidi="ar-SA"/>
    </w:rPr>
  </w:style>
  <w:style w:type="character" w:customStyle="1" w:styleId="137">
    <w:name w:val="正文文本缩进 2 字符"/>
    <w:link w:val="40"/>
    <w:qFormat/>
    <w:uiPriority w:val="0"/>
    <w:rPr>
      <w:rFonts w:eastAsia="宋体"/>
      <w:kern w:val="2"/>
      <w:sz w:val="21"/>
      <w:szCs w:val="24"/>
      <w:lang w:val="en-US" w:eastAsia="zh-CN" w:bidi="ar-SA"/>
    </w:rPr>
  </w:style>
  <w:style w:type="character" w:customStyle="1" w:styleId="138">
    <w:name w:val="MY表格后的文字 Char"/>
    <w:link w:val="139"/>
    <w:qFormat/>
    <w:uiPriority w:val="0"/>
    <w:rPr>
      <w:rFonts w:ascii="宋体"/>
      <w:kern w:val="2"/>
      <w:sz w:val="28"/>
      <w:szCs w:val="28"/>
      <w:lang w:val="en-US" w:eastAsia="zh-CN" w:bidi="ar-SA"/>
    </w:rPr>
  </w:style>
  <w:style w:type="paragraph" w:customStyle="1" w:styleId="139">
    <w:name w:val="MY表格后的文字"/>
    <w:next w:val="1"/>
    <w:link w:val="138"/>
    <w:qFormat/>
    <w:uiPriority w:val="0"/>
    <w:pPr>
      <w:adjustRightInd w:val="0"/>
      <w:snapToGrid w:val="0"/>
      <w:spacing w:before="156" w:beforeLines="50" w:line="300" w:lineRule="auto"/>
      <w:ind w:firstLine="200" w:firstLineChars="200"/>
      <w:jc w:val="center"/>
    </w:pPr>
    <w:rPr>
      <w:rFonts w:ascii="宋体" w:hAnsi="Times New Roman" w:eastAsia="宋体" w:cs="Times New Roman"/>
      <w:kern w:val="2"/>
      <w:sz w:val="28"/>
      <w:szCs w:val="28"/>
      <w:lang w:val="en-US" w:eastAsia="zh-CN" w:bidi="ar-SA"/>
    </w:rPr>
  </w:style>
  <w:style w:type="character" w:customStyle="1" w:styleId="140">
    <w:name w:val="icon22"/>
    <w:basedOn w:val="62"/>
    <w:qFormat/>
    <w:uiPriority w:val="0"/>
    <w:rPr>
      <w:rFonts w:ascii="仿宋_GB2312" w:hAnsi="Verdana" w:eastAsia="仿宋_GB2312"/>
      <w:color w:val="auto"/>
      <w:sz w:val="28"/>
      <w:szCs w:val="28"/>
      <w:lang w:val="en-US" w:eastAsia="en-US"/>
    </w:rPr>
  </w:style>
  <w:style w:type="character" w:customStyle="1" w:styleId="141">
    <w:name w:val="Char Char3"/>
    <w:qFormat/>
    <w:uiPriority w:val="0"/>
    <w:rPr>
      <w:rFonts w:ascii="Arial" w:hAnsi="Arial" w:eastAsia="黑体"/>
      <w:snapToGrid w:val="0"/>
      <w:spacing w:val="10"/>
      <w:kern w:val="28"/>
      <w:sz w:val="28"/>
      <w:szCs w:val="28"/>
      <w:lang w:val="en-US" w:eastAsia="zh-CN" w:bidi="ar-SA"/>
    </w:rPr>
  </w:style>
  <w:style w:type="character" w:customStyle="1" w:styleId="142">
    <w:name w:val="wenzhang1"/>
    <w:qFormat/>
    <w:uiPriority w:val="0"/>
    <w:rPr>
      <w:sz w:val="18"/>
      <w:szCs w:val="18"/>
      <w:u w:val="none"/>
    </w:rPr>
  </w:style>
  <w:style w:type="character" w:customStyle="1" w:styleId="143">
    <w:name w:val="普通文字 Char Char"/>
    <w:qFormat/>
    <w:uiPriority w:val="0"/>
    <w:rPr>
      <w:rFonts w:ascii="宋体" w:hAnsi="Courier New" w:eastAsia="宋体"/>
      <w:color w:val="auto"/>
      <w:kern w:val="2"/>
      <w:sz w:val="28"/>
      <w:szCs w:val="28"/>
      <w:lang w:val="en-US" w:eastAsia="zh-CN" w:bidi="ar-SA"/>
    </w:rPr>
  </w:style>
  <w:style w:type="character" w:customStyle="1" w:styleId="144">
    <w:name w:val="标题 字符"/>
    <w:link w:val="56"/>
    <w:qFormat/>
    <w:uiPriority w:val="10"/>
    <w:rPr>
      <w:rFonts w:ascii="Arial" w:hAnsi="Arial" w:eastAsia="黑体"/>
      <w:spacing w:val="10"/>
      <w:kern w:val="30"/>
      <w:sz w:val="30"/>
      <w:szCs w:val="30"/>
    </w:rPr>
  </w:style>
  <w:style w:type="character" w:customStyle="1" w:styleId="145">
    <w:name w:val="表头一 Char Char"/>
    <w:link w:val="146"/>
    <w:qFormat/>
    <w:uiPriority w:val="0"/>
    <w:rPr>
      <w:rFonts w:ascii="Arial" w:hAnsi="Arial" w:eastAsia="仿宋_GB2312" w:cs="Arial"/>
      <w:b/>
      <w:bCs/>
      <w:color w:val="auto"/>
      <w:sz w:val="24"/>
      <w:szCs w:val="24"/>
      <w:lang w:val="en-US" w:eastAsia="en-US"/>
    </w:rPr>
  </w:style>
  <w:style w:type="paragraph" w:customStyle="1" w:styleId="146">
    <w:name w:val="表头一"/>
    <w:basedOn w:val="1"/>
    <w:link w:val="145"/>
    <w:qFormat/>
    <w:uiPriority w:val="0"/>
    <w:pPr>
      <w:autoSpaceDE w:val="0"/>
      <w:autoSpaceDN w:val="0"/>
      <w:spacing w:beforeLines="50"/>
      <w:jc w:val="center"/>
    </w:pPr>
    <w:rPr>
      <w:rFonts w:ascii="Arial" w:hAnsi="Arial" w:eastAsia="仿宋_GB2312" w:cs="Times New Roman"/>
      <w:b/>
      <w:bCs/>
      <w:lang w:eastAsia="en-US"/>
    </w:rPr>
  </w:style>
  <w:style w:type="character" w:customStyle="1" w:styleId="147">
    <w:name w:val="标题 4 Char2"/>
    <w:qFormat/>
    <w:uiPriority w:val="0"/>
    <w:rPr>
      <w:rFonts w:ascii="Arial" w:hAnsi="Arial" w:eastAsia="黑体"/>
      <w:snapToGrid w:val="0"/>
      <w:spacing w:val="10"/>
      <w:kern w:val="28"/>
      <w:sz w:val="28"/>
      <w:szCs w:val="28"/>
      <w:lang w:val="en-US" w:eastAsia="zh-CN" w:bidi="ar-SA"/>
    </w:rPr>
  </w:style>
  <w:style w:type="character" w:customStyle="1" w:styleId="148">
    <w:name w:val="页眉 字符"/>
    <w:qFormat/>
    <w:uiPriority w:val="99"/>
  </w:style>
  <w:style w:type="character" w:customStyle="1" w:styleId="149">
    <w:name w:val="Char Char"/>
    <w:qFormat/>
    <w:uiPriority w:val="0"/>
    <w:rPr>
      <w:rFonts w:eastAsia="宋体"/>
      <w:spacing w:val="10"/>
      <w:kern w:val="28"/>
      <w:sz w:val="28"/>
      <w:szCs w:val="28"/>
      <w:lang w:val="en-US" w:eastAsia="zh-CN" w:bidi="ar-SA"/>
    </w:rPr>
  </w:style>
  <w:style w:type="character" w:customStyle="1" w:styleId="150">
    <w:name w:val="apple-converted-space"/>
    <w:basedOn w:val="62"/>
    <w:qFormat/>
    <w:uiPriority w:val="0"/>
    <w:rPr>
      <w:rFonts w:ascii="仿宋_GB2312" w:hAnsi="Verdana" w:eastAsia="仿宋_GB2312"/>
      <w:color w:val="auto"/>
      <w:sz w:val="28"/>
      <w:szCs w:val="28"/>
      <w:lang w:val="en-US" w:eastAsia="en-US"/>
    </w:rPr>
  </w:style>
  <w:style w:type="character" w:customStyle="1" w:styleId="151">
    <w:name w:val="样式 (符号) 宋体 Char"/>
    <w:link w:val="152"/>
    <w:qFormat/>
    <w:uiPriority w:val="0"/>
    <w:rPr>
      <w:rFonts w:ascii="宋体" w:hAnsi="宋体"/>
      <w:kern w:val="2"/>
      <w:sz w:val="24"/>
    </w:rPr>
  </w:style>
  <w:style w:type="paragraph" w:customStyle="1" w:styleId="152">
    <w:name w:val="样式 (符号) 宋体"/>
    <w:basedOn w:val="1"/>
    <w:link w:val="151"/>
    <w:qFormat/>
    <w:uiPriority w:val="0"/>
    <w:pPr>
      <w:ind w:firstLine="480"/>
    </w:pPr>
    <w:rPr>
      <w:rFonts w:cs="Times New Roman"/>
      <w:kern w:val="2"/>
      <w:szCs w:val="20"/>
      <w:lang w:val="zh-CN"/>
    </w:rPr>
  </w:style>
  <w:style w:type="character" w:customStyle="1" w:styleId="153">
    <w:name w:val="icon2_31"/>
    <w:basedOn w:val="62"/>
    <w:qFormat/>
    <w:uiPriority w:val="0"/>
    <w:rPr>
      <w:rFonts w:ascii="仿宋_GB2312" w:hAnsi="Verdana" w:eastAsia="仿宋_GB2312"/>
      <w:color w:val="auto"/>
      <w:sz w:val="28"/>
      <w:szCs w:val="28"/>
      <w:lang w:val="en-US" w:eastAsia="en-US"/>
    </w:rPr>
  </w:style>
  <w:style w:type="character" w:customStyle="1" w:styleId="154">
    <w:name w:val="一级标题(章) Char1"/>
    <w:qFormat/>
    <w:uiPriority w:val="0"/>
    <w:rPr>
      <w:rFonts w:ascii="Arial" w:hAnsi="Arial" w:eastAsia="黑体"/>
      <w:snapToGrid w:val="0"/>
      <w:color w:val="auto"/>
      <w:spacing w:val="10"/>
      <w:kern w:val="28"/>
      <w:sz w:val="30"/>
      <w:szCs w:val="30"/>
      <w:lang w:val="en-US" w:eastAsia="zh-CN" w:bidi="ar-SA"/>
    </w:rPr>
  </w:style>
  <w:style w:type="character" w:customStyle="1" w:styleId="155">
    <w:name w:val="font41"/>
    <w:qFormat/>
    <w:uiPriority w:val="0"/>
    <w:rPr>
      <w:rFonts w:hint="default" w:ascii="Times New Roman" w:hAnsi="Times New Roman" w:eastAsia="仿宋_GB2312"/>
      <w:b/>
      <w:color w:val="000000"/>
      <w:sz w:val="24"/>
      <w:szCs w:val="28"/>
      <w:u w:val="none"/>
      <w:lang w:val="en-US" w:eastAsia="en-US"/>
    </w:rPr>
  </w:style>
  <w:style w:type="character" w:customStyle="1" w:styleId="156">
    <w:name w:val="批注文字 字符"/>
    <w:link w:val="28"/>
    <w:qFormat/>
    <w:locked/>
    <w:uiPriority w:val="0"/>
    <w:rPr>
      <w:kern w:val="2"/>
      <w:sz w:val="21"/>
      <w:szCs w:val="24"/>
    </w:rPr>
  </w:style>
  <w:style w:type="character" w:customStyle="1" w:styleId="157">
    <w:name w:val="正文文本 (59) + 9.5 pt"/>
    <w:qFormat/>
    <w:uiPriority w:val="0"/>
    <w:rPr>
      <w:rFonts w:ascii="MingLiU" w:hAnsi="MingLiU" w:eastAsia="MingLiU" w:cs="MingLiU"/>
      <w:b/>
      <w:bCs/>
      <w:color w:val="000000"/>
      <w:spacing w:val="30"/>
      <w:w w:val="100"/>
      <w:position w:val="0"/>
      <w:sz w:val="19"/>
      <w:szCs w:val="19"/>
      <w:u w:val="none"/>
      <w:lang w:val="zh-CN" w:eastAsia="zh-CN" w:bidi="zh-CN"/>
    </w:rPr>
  </w:style>
  <w:style w:type="character" w:customStyle="1" w:styleId="158">
    <w:name w:val="正文首行缩进 2 Char"/>
    <w:basedOn w:val="117"/>
    <w:link w:val="159"/>
    <w:qFormat/>
    <w:uiPriority w:val="0"/>
    <w:rPr>
      <w:rFonts w:eastAsia="宋体"/>
      <w:kern w:val="2"/>
      <w:sz w:val="21"/>
      <w:szCs w:val="24"/>
      <w:lang w:val="en-US" w:eastAsia="zh-CN" w:bidi="ar-SA"/>
    </w:rPr>
  </w:style>
  <w:style w:type="paragraph" w:customStyle="1" w:styleId="159">
    <w:name w:val="正文首行缩进 21"/>
    <w:basedOn w:val="31"/>
    <w:link w:val="158"/>
    <w:qFormat/>
    <w:uiPriority w:val="0"/>
    <w:pPr>
      <w:ind w:firstLine="420"/>
    </w:pPr>
  </w:style>
  <w:style w:type="character" w:customStyle="1" w:styleId="160">
    <w:name w:val="标题 5 Char Char Char Char Char Char Char Char"/>
    <w:qFormat/>
    <w:uiPriority w:val="0"/>
    <w:rPr>
      <w:rFonts w:ascii="Arial" w:hAnsi="Arial" w:eastAsia="黑体"/>
      <w:snapToGrid w:val="0"/>
      <w:spacing w:val="10"/>
      <w:kern w:val="28"/>
      <w:sz w:val="28"/>
      <w:szCs w:val="28"/>
      <w:lang w:val="en-US" w:eastAsia="zh-CN" w:bidi="ar-SA"/>
    </w:rPr>
  </w:style>
  <w:style w:type="character" w:customStyle="1" w:styleId="161">
    <w:name w:val="icon2_2"/>
    <w:basedOn w:val="62"/>
    <w:qFormat/>
    <w:uiPriority w:val="0"/>
    <w:rPr>
      <w:rFonts w:ascii="仿宋_GB2312" w:hAnsi="Verdana" w:eastAsia="仿宋_GB2312"/>
      <w:color w:val="auto"/>
      <w:sz w:val="28"/>
      <w:szCs w:val="28"/>
      <w:lang w:val="en-US" w:eastAsia="en-US"/>
    </w:rPr>
  </w:style>
  <w:style w:type="character" w:customStyle="1" w:styleId="162">
    <w:name w:val="正文 + 四号 Char"/>
    <w:qFormat/>
    <w:uiPriority w:val="0"/>
    <w:rPr>
      <w:rFonts w:ascii="仿宋_GB2312" w:hAnsi="Verdana" w:eastAsia="宋体"/>
      <w:color w:val="auto"/>
      <w:kern w:val="2"/>
      <w:sz w:val="28"/>
      <w:szCs w:val="28"/>
      <w:lang w:val="en-US" w:eastAsia="zh-CN" w:bidi="ar-SA"/>
    </w:rPr>
  </w:style>
  <w:style w:type="character" w:customStyle="1" w:styleId="163">
    <w:name w:val="正文6"/>
    <w:qFormat/>
    <w:uiPriority w:val="0"/>
    <w:rPr>
      <w:rFonts w:ascii="Times New Roman" w:hAnsi="Times New Roman" w:eastAsia="宋体"/>
      <w:sz w:val="28"/>
      <w:szCs w:val="28"/>
    </w:rPr>
  </w:style>
  <w:style w:type="character" w:customStyle="1" w:styleId="164">
    <w:name w:val="报告正文 Char"/>
    <w:link w:val="165"/>
    <w:qFormat/>
    <w:uiPriority w:val="0"/>
    <w:rPr>
      <w:rFonts w:ascii="宋体" w:hAnsi="宋体" w:cs="宋体"/>
      <w:sz w:val="28"/>
      <w:szCs w:val="24"/>
    </w:rPr>
  </w:style>
  <w:style w:type="paragraph" w:customStyle="1" w:styleId="165">
    <w:name w:val="报告正文"/>
    <w:basedOn w:val="1"/>
    <w:link w:val="164"/>
    <w:qFormat/>
    <w:uiPriority w:val="0"/>
    <w:pPr>
      <w:spacing w:line="300" w:lineRule="auto"/>
    </w:pPr>
    <w:rPr>
      <w:rFonts w:cs="Times New Roman"/>
      <w:lang w:val="zh-CN"/>
    </w:rPr>
  </w:style>
  <w:style w:type="character" w:customStyle="1" w:styleId="166">
    <w:name w:val="style2_title1"/>
    <w:qFormat/>
    <w:uiPriority w:val="0"/>
    <w:rPr>
      <w:b/>
      <w:bCs/>
      <w:sz w:val="30"/>
      <w:szCs w:val="30"/>
    </w:rPr>
  </w:style>
  <w:style w:type="character" w:customStyle="1" w:styleId="167">
    <w:name w:val="t_tag"/>
    <w:basedOn w:val="62"/>
    <w:qFormat/>
    <w:uiPriority w:val="0"/>
    <w:rPr>
      <w:rFonts w:ascii="仿宋_GB2312" w:hAnsi="Verdana" w:eastAsia="仿宋_GB2312"/>
      <w:color w:val="auto"/>
      <w:sz w:val="28"/>
      <w:szCs w:val="28"/>
      <w:lang w:val="en-US" w:eastAsia="en-US"/>
    </w:rPr>
  </w:style>
  <w:style w:type="character" w:customStyle="1" w:styleId="168">
    <w:name w:val="navigation_title"/>
    <w:qFormat/>
    <w:uiPriority w:val="0"/>
    <w:rPr>
      <w:rFonts w:ascii="仿宋_GB2312" w:hAnsi="Verdana" w:eastAsia="仿宋_GB2312"/>
      <w:color w:val="auto"/>
      <w:sz w:val="28"/>
      <w:szCs w:val="28"/>
      <w:lang w:val="en-US" w:eastAsia="en-US"/>
    </w:rPr>
  </w:style>
  <w:style w:type="character" w:customStyle="1" w:styleId="169">
    <w:name w:val="正文首行缩进 Char"/>
    <w:qFormat/>
    <w:uiPriority w:val="0"/>
    <w:rPr>
      <w:rFonts w:eastAsia="宋体"/>
      <w:spacing w:val="10"/>
      <w:kern w:val="28"/>
      <w:sz w:val="28"/>
      <w:szCs w:val="28"/>
      <w:lang w:val="en-US" w:eastAsia="zh-CN" w:bidi="ar-SA"/>
    </w:rPr>
  </w:style>
  <w:style w:type="character" w:customStyle="1" w:styleId="170">
    <w:name w:val="icon2_4"/>
    <w:basedOn w:val="62"/>
    <w:qFormat/>
    <w:uiPriority w:val="0"/>
    <w:rPr>
      <w:rFonts w:ascii="仿宋_GB2312" w:hAnsi="Verdana" w:eastAsia="仿宋_GB2312"/>
      <w:color w:val="auto"/>
      <w:sz w:val="28"/>
      <w:szCs w:val="28"/>
      <w:lang w:val="en-US" w:eastAsia="en-US"/>
    </w:rPr>
  </w:style>
  <w:style w:type="character" w:customStyle="1" w:styleId="171">
    <w:name w:val="条 Char Char"/>
    <w:qFormat/>
    <w:uiPriority w:val="0"/>
    <w:rPr>
      <w:rFonts w:hint="default" w:ascii="Arial" w:hAnsi="Arial" w:eastAsia="黑体" w:cs="Arial"/>
      <w:snapToGrid w:val="0"/>
      <w:spacing w:val="10"/>
      <w:kern w:val="28"/>
      <w:sz w:val="28"/>
      <w:szCs w:val="28"/>
      <w:lang w:val="en-US" w:eastAsia="zh-CN" w:bidi="ar-SA"/>
    </w:rPr>
  </w:style>
  <w:style w:type="character" w:customStyle="1" w:styleId="172">
    <w:name w:val="样式1 Char"/>
    <w:link w:val="4"/>
    <w:qFormat/>
    <w:uiPriority w:val="0"/>
    <w:rPr>
      <w:rFonts w:eastAsia="宋体"/>
      <w:snapToGrid w:val="0"/>
      <w:color w:val="000000"/>
      <w:sz w:val="28"/>
      <w:szCs w:val="28"/>
      <w:lang w:val="zh-CN" w:eastAsia="zh-CN" w:bidi="ar-SA"/>
    </w:rPr>
  </w:style>
  <w:style w:type="character" w:customStyle="1" w:styleId="173">
    <w:name w:val="马学海内容 Char"/>
    <w:link w:val="174"/>
    <w:qFormat/>
    <w:uiPriority w:val="0"/>
    <w:rPr>
      <w:rFonts w:ascii="新宋体" w:hAnsi="新宋体"/>
      <w:kern w:val="44"/>
      <w:sz w:val="24"/>
      <w:szCs w:val="24"/>
    </w:rPr>
  </w:style>
  <w:style w:type="paragraph" w:customStyle="1" w:styleId="174">
    <w:name w:val="马学海内容"/>
    <w:basedOn w:val="1"/>
    <w:link w:val="173"/>
    <w:qFormat/>
    <w:uiPriority w:val="0"/>
    <w:pPr>
      <w:tabs>
        <w:tab w:val="left" w:pos="5725"/>
        <w:tab w:val="left" w:pos="5880"/>
      </w:tabs>
    </w:pPr>
    <w:rPr>
      <w:rFonts w:ascii="新宋体" w:hAnsi="新宋体" w:cs="Times New Roman"/>
      <w:kern w:val="44"/>
      <w:lang w:val="zh-CN"/>
    </w:rPr>
  </w:style>
  <w:style w:type="character" w:customStyle="1" w:styleId="175">
    <w:name w:val="icon21"/>
    <w:basedOn w:val="62"/>
    <w:qFormat/>
    <w:uiPriority w:val="0"/>
    <w:rPr>
      <w:rFonts w:ascii="仿宋_GB2312" w:hAnsi="Verdana" w:eastAsia="仿宋_GB2312"/>
      <w:color w:val="auto"/>
      <w:sz w:val="28"/>
      <w:szCs w:val="28"/>
      <w:lang w:val="en-US" w:eastAsia="en-US"/>
    </w:rPr>
  </w:style>
  <w:style w:type="character" w:customStyle="1" w:styleId="176">
    <w:name w:val="表后注释 Char Char"/>
    <w:qFormat/>
    <w:uiPriority w:val="0"/>
    <w:rPr>
      <w:rFonts w:ascii="仿宋_GB2312" w:hAnsi="Verdana" w:eastAsia="宋体"/>
      <w:snapToGrid w:val="0"/>
      <w:color w:val="auto"/>
      <w:spacing w:val="10"/>
      <w:kern w:val="24"/>
      <w:sz w:val="24"/>
      <w:szCs w:val="24"/>
      <w:lang w:val="en-US" w:eastAsia="zh-CN" w:bidi="ar-SA"/>
    </w:rPr>
  </w:style>
  <w:style w:type="character" w:customStyle="1" w:styleId="177">
    <w:name w:val="页脚 字符1"/>
    <w:link w:val="42"/>
    <w:qFormat/>
    <w:locked/>
    <w:uiPriority w:val="99"/>
    <w:rPr>
      <w:kern w:val="2"/>
      <w:sz w:val="18"/>
      <w:szCs w:val="18"/>
    </w:rPr>
  </w:style>
  <w:style w:type="character" w:customStyle="1" w:styleId="178">
    <w:name w:val="页眉 字符1"/>
    <w:link w:val="8"/>
    <w:qFormat/>
    <w:locked/>
    <w:uiPriority w:val="99"/>
    <w:rPr>
      <w:kern w:val="2"/>
      <w:sz w:val="18"/>
      <w:szCs w:val="18"/>
    </w:rPr>
  </w:style>
  <w:style w:type="character" w:customStyle="1" w:styleId="179">
    <w:name w:val="样式 (符号) 宋体 Char Char"/>
    <w:qFormat/>
    <w:uiPriority w:val="0"/>
    <w:rPr>
      <w:rFonts w:ascii="宋体" w:hAnsi="宋体" w:eastAsia="宋体" w:cs="宋体"/>
      <w:kern w:val="2"/>
      <w:sz w:val="24"/>
      <w:lang w:val="en-US" w:eastAsia="zh-CN"/>
    </w:rPr>
  </w:style>
  <w:style w:type="character" w:customStyle="1" w:styleId="180">
    <w:name w:val="批注框文本 字符"/>
    <w:link w:val="41"/>
    <w:qFormat/>
    <w:locked/>
    <w:uiPriority w:val="0"/>
    <w:rPr>
      <w:kern w:val="2"/>
      <w:sz w:val="18"/>
      <w:szCs w:val="18"/>
    </w:rPr>
  </w:style>
  <w:style w:type="character" w:customStyle="1" w:styleId="181">
    <w:name w:val="标题 3 Char Char Char Char Char"/>
    <w:basedOn w:val="62"/>
    <w:qFormat/>
    <w:uiPriority w:val="0"/>
    <w:rPr>
      <w:rFonts w:ascii="仿宋_GB2312" w:hAnsi="Verdana" w:eastAsia="仿宋_GB2312"/>
      <w:color w:val="auto"/>
      <w:sz w:val="28"/>
      <w:szCs w:val="28"/>
      <w:lang w:val="en-US" w:eastAsia="en-US"/>
    </w:rPr>
  </w:style>
  <w:style w:type="character" w:customStyle="1" w:styleId="182">
    <w:name w:val="Char Char2"/>
    <w:qFormat/>
    <w:uiPriority w:val="0"/>
    <w:rPr>
      <w:rFonts w:ascii="Arial" w:hAnsi="Arial" w:eastAsia="黑体"/>
      <w:snapToGrid w:val="0"/>
      <w:spacing w:val="10"/>
      <w:kern w:val="28"/>
      <w:sz w:val="28"/>
      <w:szCs w:val="28"/>
      <w:lang w:val="en-US" w:eastAsia="zh-CN" w:bidi="ar-SA"/>
    </w:rPr>
  </w:style>
  <w:style w:type="character" w:customStyle="1" w:styleId="183">
    <w:name w:val="Char Char19"/>
    <w:qFormat/>
    <w:uiPriority w:val="0"/>
    <w:rPr>
      <w:rFonts w:ascii="宋体" w:hAnsi="Verdana" w:eastAsia="仿宋_GB2312"/>
      <w:color w:val="auto"/>
      <w:kern w:val="2"/>
      <w:sz w:val="24"/>
      <w:szCs w:val="28"/>
      <w:lang w:val="en-US" w:eastAsia="en-US"/>
    </w:rPr>
  </w:style>
  <w:style w:type="character" w:customStyle="1" w:styleId="184">
    <w:name w:val="标题 Char"/>
    <w:qFormat/>
    <w:uiPriority w:val="0"/>
    <w:rPr>
      <w:rFonts w:ascii="Cambria" w:hAnsi="Cambria" w:eastAsia="仿宋_GB2312" w:cs="Times New Roman"/>
      <w:b/>
      <w:bCs/>
      <w:color w:val="auto"/>
      <w:kern w:val="2"/>
      <w:sz w:val="32"/>
      <w:szCs w:val="32"/>
      <w:lang w:val="en-US" w:eastAsia="en-US"/>
    </w:rPr>
  </w:style>
  <w:style w:type="character" w:customStyle="1" w:styleId="185">
    <w:name w:val="正文文本 (2) + 9 pt"/>
    <w:qFormat/>
    <w:uiPriority w:val="0"/>
    <w:rPr>
      <w:rFonts w:ascii="微软雅黑" w:hAnsi="微软雅黑" w:eastAsia="微软雅黑" w:cs="微软雅黑"/>
      <w:color w:val="000000"/>
      <w:spacing w:val="40"/>
      <w:w w:val="100"/>
      <w:position w:val="0"/>
      <w:sz w:val="18"/>
      <w:szCs w:val="18"/>
      <w:u w:val="none"/>
      <w:lang w:val="zh-CN" w:eastAsia="zh-CN" w:bidi="zh-CN"/>
    </w:rPr>
  </w:style>
  <w:style w:type="character" w:customStyle="1" w:styleId="186">
    <w:name w:val="标题1"/>
    <w:basedOn w:val="62"/>
    <w:qFormat/>
    <w:uiPriority w:val="0"/>
    <w:rPr>
      <w:rFonts w:ascii="仿宋_GB2312" w:hAnsi="Verdana" w:eastAsia="仿宋_GB2312"/>
      <w:color w:val="auto"/>
      <w:sz w:val="28"/>
      <w:szCs w:val="28"/>
      <w:lang w:val="en-US" w:eastAsia="en-US"/>
    </w:rPr>
  </w:style>
  <w:style w:type="character" w:customStyle="1" w:styleId="187">
    <w:name w:val="正文文本 (51) + 间距 0 pt"/>
    <w:qFormat/>
    <w:uiPriority w:val="0"/>
    <w:rPr>
      <w:rFonts w:ascii="微软雅黑" w:hAnsi="微软雅黑" w:eastAsia="微软雅黑" w:cs="微软雅黑"/>
      <w:color w:val="000000"/>
      <w:spacing w:val="0"/>
      <w:w w:val="100"/>
      <w:position w:val="0"/>
      <w:sz w:val="22"/>
      <w:szCs w:val="22"/>
      <w:u w:val="none"/>
      <w:lang w:val="en-US" w:eastAsia="en-US" w:bidi="en-US"/>
    </w:rPr>
  </w:style>
  <w:style w:type="character" w:customStyle="1" w:styleId="188">
    <w:name w:val="表头 Char1"/>
    <w:qFormat/>
    <w:uiPriority w:val="0"/>
    <w:rPr>
      <w:rFonts w:ascii="Arial" w:hAnsi="Arial" w:eastAsia="黑体"/>
      <w:snapToGrid w:val="0"/>
      <w:spacing w:val="10"/>
      <w:kern w:val="24"/>
      <w:sz w:val="24"/>
      <w:szCs w:val="24"/>
      <w:lang w:val="en-US" w:eastAsia="zh-CN" w:bidi="ar-SA"/>
    </w:rPr>
  </w:style>
  <w:style w:type="character" w:customStyle="1" w:styleId="189">
    <w:name w:val="表格文字 Char1"/>
    <w:qFormat/>
    <w:uiPriority w:val="0"/>
    <w:rPr>
      <w:rFonts w:eastAsia="宋体"/>
      <w:kern w:val="24"/>
      <w:sz w:val="24"/>
      <w:szCs w:val="24"/>
      <w:lang w:val="en-US" w:eastAsia="zh-CN" w:bidi="ar-SA"/>
    </w:rPr>
  </w:style>
  <w:style w:type="character" w:customStyle="1" w:styleId="190">
    <w:name w:val="icon2_0"/>
    <w:basedOn w:val="62"/>
    <w:qFormat/>
    <w:uiPriority w:val="0"/>
    <w:rPr>
      <w:rFonts w:ascii="仿宋_GB2312" w:hAnsi="Verdana" w:eastAsia="仿宋_GB2312"/>
      <w:color w:val="auto"/>
      <w:sz w:val="28"/>
      <w:szCs w:val="28"/>
      <w:lang w:val="en-US" w:eastAsia="en-US"/>
    </w:rPr>
  </w:style>
  <w:style w:type="character" w:customStyle="1" w:styleId="191">
    <w:name w:val="正文（首行缩进两字） Char Char7"/>
    <w:qFormat/>
    <w:uiPriority w:val="0"/>
    <w:rPr>
      <w:rFonts w:ascii="仿宋_GB2312" w:hAnsi="Verdana" w:eastAsia="宋体"/>
      <w:color w:val="auto"/>
      <w:kern w:val="2"/>
      <w:sz w:val="21"/>
      <w:szCs w:val="24"/>
      <w:lang w:val="en-US" w:eastAsia="zh-CN" w:bidi="ar-SA"/>
    </w:rPr>
  </w:style>
  <w:style w:type="character" w:customStyle="1" w:styleId="192">
    <w:name w:val="icon2_21"/>
    <w:basedOn w:val="62"/>
    <w:qFormat/>
    <w:uiPriority w:val="0"/>
    <w:rPr>
      <w:rFonts w:ascii="仿宋_GB2312" w:hAnsi="Verdana" w:eastAsia="仿宋_GB2312"/>
      <w:color w:val="auto"/>
      <w:sz w:val="28"/>
      <w:szCs w:val="28"/>
      <w:lang w:val="en-US" w:eastAsia="en-US"/>
    </w:rPr>
  </w:style>
  <w:style w:type="character" w:customStyle="1" w:styleId="193">
    <w:name w:val="标题 4 Char1"/>
    <w:qFormat/>
    <w:uiPriority w:val="0"/>
    <w:rPr>
      <w:rFonts w:ascii="Arial" w:hAnsi="Arial" w:eastAsia="黑体"/>
      <w:snapToGrid w:val="0"/>
      <w:spacing w:val="10"/>
      <w:kern w:val="28"/>
      <w:sz w:val="28"/>
      <w:szCs w:val="28"/>
      <w:lang w:val="en-US" w:eastAsia="zh-CN" w:bidi="ar-SA"/>
    </w:rPr>
  </w:style>
  <w:style w:type="character" w:customStyle="1" w:styleId="194">
    <w:name w:val="t_blue_01"/>
    <w:basedOn w:val="62"/>
    <w:qFormat/>
    <w:uiPriority w:val="0"/>
    <w:rPr>
      <w:rFonts w:ascii="仿宋_GB2312" w:hAnsi="Verdana" w:eastAsia="仿宋_GB2312"/>
      <w:color w:val="auto"/>
      <w:sz w:val="28"/>
      <w:szCs w:val="28"/>
      <w:lang w:val="en-US" w:eastAsia="en-US"/>
    </w:rPr>
  </w:style>
  <w:style w:type="character" w:customStyle="1" w:styleId="195">
    <w:name w:val="正文文本 (2) + 间距 0 pt"/>
    <w:qFormat/>
    <w:uiPriority w:val="0"/>
    <w:rPr>
      <w:rFonts w:ascii="MingLiU" w:hAnsi="MingLiU" w:eastAsia="MingLiU" w:cs="MingLiU"/>
      <w:color w:val="000000"/>
      <w:spacing w:val="0"/>
      <w:w w:val="100"/>
      <w:position w:val="0"/>
      <w:sz w:val="22"/>
      <w:szCs w:val="22"/>
      <w:u w:val="none"/>
      <w:lang w:val="zh-CN" w:eastAsia="zh-CN" w:bidi="zh-CN"/>
    </w:rPr>
  </w:style>
  <w:style w:type="character" w:customStyle="1" w:styleId="196">
    <w:name w:val="正文首行缩进 Char Char Char"/>
    <w:qFormat/>
    <w:uiPriority w:val="0"/>
    <w:rPr>
      <w:rFonts w:eastAsia="宋体"/>
      <w:spacing w:val="10"/>
      <w:kern w:val="28"/>
      <w:sz w:val="28"/>
      <w:szCs w:val="28"/>
      <w:lang w:val="en-US" w:eastAsia="zh-CN" w:bidi="ar-SA"/>
    </w:rPr>
  </w:style>
  <w:style w:type="character" w:customStyle="1" w:styleId="197">
    <w:name w:val="正文文本 (28) + 间距 3 pt"/>
    <w:qFormat/>
    <w:uiPriority w:val="0"/>
    <w:rPr>
      <w:rFonts w:ascii="微软雅黑" w:hAnsi="微软雅黑" w:eastAsia="微软雅黑" w:cs="微软雅黑"/>
      <w:color w:val="000000"/>
      <w:spacing w:val="70"/>
      <w:w w:val="100"/>
      <w:position w:val="0"/>
      <w:sz w:val="22"/>
      <w:szCs w:val="22"/>
      <w:u w:val="none"/>
      <w:lang w:val="zh-CN" w:eastAsia="zh-CN" w:bidi="zh-CN"/>
    </w:rPr>
  </w:style>
  <w:style w:type="character" w:customStyle="1" w:styleId="198">
    <w:name w:val="日期 字符"/>
    <w:link w:val="39"/>
    <w:qFormat/>
    <w:locked/>
    <w:uiPriority w:val="0"/>
    <w:rPr>
      <w:rFonts w:ascii="宋体"/>
      <w:kern w:val="2"/>
      <w:sz w:val="24"/>
    </w:rPr>
  </w:style>
  <w:style w:type="character" w:customStyle="1" w:styleId="199">
    <w:name w:val="表格内部格式111111 Char"/>
    <w:link w:val="200"/>
    <w:qFormat/>
    <w:uiPriority w:val="0"/>
    <w:rPr>
      <w:rFonts w:ascii="仿宋_GB2312" w:hAnsi="Verdana" w:eastAsia="仿宋_GB2312"/>
      <w:snapToGrid w:val="0"/>
      <w:color w:val="auto"/>
      <w:sz w:val="21"/>
      <w:szCs w:val="28"/>
      <w:lang w:val="en-GB" w:eastAsia="en-US"/>
    </w:rPr>
  </w:style>
  <w:style w:type="paragraph" w:customStyle="1" w:styleId="200">
    <w:name w:val="表格内部格式111111"/>
    <w:basedOn w:val="1"/>
    <w:link w:val="199"/>
    <w:qFormat/>
    <w:uiPriority w:val="0"/>
    <w:pPr>
      <w:jc w:val="center"/>
    </w:pPr>
    <w:rPr>
      <w:rFonts w:ascii="仿宋_GB2312" w:hAnsi="Verdana" w:eastAsia="仿宋_GB2312" w:cs="Times New Roman"/>
      <w:snapToGrid w:val="0"/>
      <w:sz w:val="21"/>
      <w:szCs w:val="28"/>
      <w:lang w:val="en-GB" w:eastAsia="en-US"/>
    </w:rPr>
  </w:style>
  <w:style w:type="character" w:customStyle="1" w:styleId="201">
    <w:name w:val="纯文本 Char"/>
    <w:qFormat/>
    <w:uiPriority w:val="0"/>
    <w:rPr>
      <w:rFonts w:ascii="宋体" w:hAnsi="Courier New" w:eastAsia="宋体"/>
      <w:kern w:val="2"/>
      <w:sz w:val="21"/>
      <w:szCs w:val="21"/>
      <w:lang w:val="en-US" w:eastAsia="zh-CN" w:bidi="ar-SA"/>
    </w:rPr>
  </w:style>
  <w:style w:type="character" w:customStyle="1" w:styleId="202">
    <w:name w:val="xxq Char"/>
    <w:link w:val="203"/>
    <w:qFormat/>
    <w:uiPriority w:val="0"/>
    <w:rPr>
      <w:rFonts w:hAnsi="宋体"/>
      <w:snapToGrid w:val="0"/>
      <w:sz w:val="24"/>
      <w:szCs w:val="24"/>
    </w:rPr>
  </w:style>
  <w:style w:type="paragraph" w:customStyle="1" w:styleId="203">
    <w:name w:val="xxq"/>
    <w:basedOn w:val="17"/>
    <w:link w:val="202"/>
    <w:qFormat/>
    <w:uiPriority w:val="0"/>
    <w:pPr>
      <w:spacing w:beforeLines="50"/>
      <w:ind w:firstLine="424"/>
    </w:pPr>
    <w:rPr>
      <w:rFonts w:hAnsi="宋体"/>
      <w:snapToGrid w:val="0"/>
      <w:kern w:val="0"/>
      <w:sz w:val="24"/>
      <w:szCs w:val="24"/>
    </w:rPr>
  </w:style>
  <w:style w:type="character" w:customStyle="1" w:styleId="204">
    <w:name w:val="lbjs1"/>
    <w:qFormat/>
    <w:uiPriority w:val="0"/>
    <w:rPr>
      <w:spacing w:val="30"/>
      <w:sz w:val="18"/>
      <w:szCs w:val="18"/>
    </w:rPr>
  </w:style>
  <w:style w:type="character" w:customStyle="1" w:styleId="205">
    <w:name w:val="textcontents"/>
    <w:basedOn w:val="62"/>
    <w:qFormat/>
    <w:uiPriority w:val="0"/>
    <w:rPr>
      <w:rFonts w:ascii="仿宋_GB2312" w:hAnsi="Verdana" w:eastAsia="仿宋_GB2312"/>
      <w:color w:val="auto"/>
      <w:sz w:val="28"/>
      <w:szCs w:val="28"/>
      <w:lang w:val="en-US" w:eastAsia="en-US"/>
    </w:rPr>
  </w:style>
  <w:style w:type="character" w:customStyle="1" w:styleId="206">
    <w:name w:val="纯文本 字符"/>
    <w:link w:val="37"/>
    <w:qFormat/>
    <w:uiPriority w:val="0"/>
    <w:rPr>
      <w:rFonts w:ascii="宋体" w:hAnsi="Courier New" w:eastAsia="宋体" w:cs="Courier New"/>
      <w:kern w:val="2"/>
      <w:sz w:val="21"/>
      <w:szCs w:val="21"/>
      <w:lang w:val="en-US" w:eastAsia="zh-CN" w:bidi="ar-SA"/>
    </w:rPr>
  </w:style>
  <w:style w:type="character" w:customStyle="1" w:styleId="207">
    <w:name w:val="表头 Char Char"/>
    <w:qFormat/>
    <w:uiPriority w:val="0"/>
    <w:rPr>
      <w:rFonts w:ascii="Arial" w:hAnsi="Arial" w:eastAsia="黑体"/>
      <w:snapToGrid w:val="0"/>
      <w:color w:val="auto"/>
      <w:spacing w:val="10"/>
      <w:kern w:val="24"/>
      <w:sz w:val="24"/>
      <w:szCs w:val="24"/>
      <w:lang w:val="en-US" w:eastAsia="zh-CN" w:bidi="ar-SA"/>
    </w:rPr>
  </w:style>
  <w:style w:type="character" w:customStyle="1" w:styleId="208">
    <w:name w:val="icon2_3"/>
    <w:basedOn w:val="62"/>
    <w:qFormat/>
    <w:uiPriority w:val="0"/>
    <w:rPr>
      <w:rFonts w:ascii="仿宋_GB2312" w:hAnsi="Verdana" w:eastAsia="仿宋_GB2312"/>
      <w:color w:val="auto"/>
      <w:sz w:val="28"/>
      <w:szCs w:val="28"/>
      <w:lang w:val="en-US" w:eastAsia="en-US"/>
    </w:rPr>
  </w:style>
  <w:style w:type="character" w:customStyle="1" w:styleId="209">
    <w:name w:val="正式文字 Char2"/>
    <w:link w:val="210"/>
    <w:qFormat/>
    <w:uiPriority w:val="0"/>
    <w:rPr>
      <w:rFonts w:ascii="宋体" w:hAnsi="宋体" w:eastAsia="仿宋_GB2312"/>
      <w:b/>
      <w:color w:val="000000"/>
      <w:kern w:val="2"/>
      <w:sz w:val="24"/>
      <w:szCs w:val="28"/>
      <w:lang w:val="en-US" w:eastAsia="en-US"/>
    </w:rPr>
  </w:style>
  <w:style w:type="paragraph" w:customStyle="1" w:styleId="210">
    <w:name w:val="正式文字"/>
    <w:basedOn w:val="1"/>
    <w:link w:val="209"/>
    <w:qFormat/>
    <w:uiPriority w:val="0"/>
    <w:rPr>
      <w:rFonts w:eastAsia="仿宋_GB2312" w:cs="Times New Roman"/>
      <w:b/>
      <w:color w:val="000000"/>
      <w:kern w:val="2"/>
      <w:szCs w:val="28"/>
      <w:lang w:eastAsia="en-US"/>
    </w:rPr>
  </w:style>
  <w:style w:type="character" w:customStyle="1" w:styleId="211">
    <w:name w:val="icon2_1"/>
    <w:basedOn w:val="62"/>
    <w:qFormat/>
    <w:uiPriority w:val="0"/>
    <w:rPr>
      <w:rFonts w:ascii="仿宋_GB2312" w:hAnsi="Verdana" w:eastAsia="仿宋_GB2312"/>
      <w:color w:val="auto"/>
      <w:sz w:val="28"/>
      <w:szCs w:val="28"/>
      <w:lang w:val="en-US" w:eastAsia="en-US"/>
    </w:rPr>
  </w:style>
  <w:style w:type="character" w:customStyle="1" w:styleId="212">
    <w:name w:val="样式 四号 Char"/>
    <w:link w:val="213"/>
    <w:qFormat/>
    <w:uiPriority w:val="0"/>
    <w:rPr>
      <w:rFonts w:ascii="宋体"/>
      <w:kern w:val="2"/>
      <w:sz w:val="24"/>
      <w:szCs w:val="24"/>
    </w:rPr>
  </w:style>
  <w:style w:type="paragraph" w:customStyle="1" w:styleId="213">
    <w:name w:val="样式 四号"/>
    <w:basedOn w:val="1"/>
    <w:link w:val="212"/>
    <w:qFormat/>
    <w:uiPriority w:val="0"/>
    <w:pPr>
      <w:autoSpaceDE w:val="0"/>
      <w:autoSpaceDN w:val="0"/>
      <w:ind w:firstLine="420" w:firstLineChars="175"/>
    </w:pPr>
    <w:rPr>
      <w:rFonts w:cs="Times New Roman"/>
      <w:kern w:val="2"/>
      <w:lang w:val="zh-CN"/>
    </w:rPr>
  </w:style>
  <w:style w:type="character" w:customStyle="1" w:styleId="214">
    <w:name w:val="MY报告正文 Char"/>
    <w:link w:val="215"/>
    <w:qFormat/>
    <w:uiPriority w:val="0"/>
    <w:rPr>
      <w:rFonts w:ascii="宋体" w:eastAsia="Times New Roman"/>
      <w:kern w:val="2"/>
      <w:sz w:val="28"/>
      <w:szCs w:val="28"/>
      <w:lang w:val="en-US" w:eastAsia="zh-CN" w:bidi="ar-SA"/>
    </w:rPr>
  </w:style>
  <w:style w:type="paragraph" w:customStyle="1" w:styleId="215">
    <w:name w:val="MY报告正文"/>
    <w:link w:val="214"/>
    <w:qFormat/>
    <w:uiPriority w:val="0"/>
    <w:pPr>
      <w:widowControl w:val="0"/>
      <w:adjustRightInd w:val="0"/>
      <w:snapToGrid w:val="0"/>
      <w:spacing w:line="300" w:lineRule="auto"/>
      <w:ind w:firstLine="200" w:firstLineChars="200"/>
      <w:jc w:val="center"/>
    </w:pPr>
    <w:rPr>
      <w:rFonts w:ascii="宋体" w:hAnsi="Times New Roman" w:eastAsia="Times New Roman" w:cs="Times New Roman"/>
      <w:kern w:val="2"/>
      <w:sz w:val="28"/>
      <w:szCs w:val="28"/>
      <w:lang w:val="en-US" w:eastAsia="zh-CN" w:bidi="ar-SA"/>
    </w:rPr>
  </w:style>
  <w:style w:type="character" w:customStyle="1" w:styleId="216">
    <w:name w:val="表格文字 Char"/>
    <w:link w:val="217"/>
    <w:qFormat/>
    <w:uiPriority w:val="0"/>
    <w:rPr>
      <w:rFonts w:ascii="仿宋_GB2312" w:hAnsi="Arial Black" w:eastAsia="仿宋_GB2312"/>
      <w:kern w:val="44"/>
      <w:sz w:val="24"/>
    </w:rPr>
  </w:style>
  <w:style w:type="paragraph" w:customStyle="1" w:styleId="217">
    <w:name w:val="表格文字"/>
    <w:basedOn w:val="1"/>
    <w:link w:val="216"/>
    <w:qFormat/>
    <w:uiPriority w:val="0"/>
    <w:pPr>
      <w:tabs>
        <w:tab w:val="left" w:pos="360"/>
      </w:tabs>
      <w:jc w:val="center"/>
    </w:pPr>
    <w:rPr>
      <w:rFonts w:ascii="仿宋_GB2312" w:hAnsi="Arial Black" w:eastAsia="仿宋_GB2312" w:cs="Times New Roman"/>
      <w:kern w:val="44"/>
      <w:szCs w:val="20"/>
      <w:lang w:val="zh-CN"/>
    </w:rPr>
  </w:style>
  <w:style w:type="character" w:customStyle="1" w:styleId="218">
    <w:name w:val="样式2 Char"/>
    <w:link w:val="7"/>
    <w:qFormat/>
    <w:uiPriority w:val="0"/>
    <w:rPr>
      <w:rFonts w:ascii="仿宋_GB2312" w:hAnsi="Verdana" w:eastAsia="仿宋_GB2312"/>
      <w:color w:val="auto"/>
      <w:kern w:val="2"/>
      <w:sz w:val="18"/>
      <w:szCs w:val="18"/>
      <w:lang w:val="en-US" w:eastAsia="en-US"/>
    </w:rPr>
  </w:style>
  <w:style w:type="character" w:customStyle="1" w:styleId="219">
    <w:name w:val="正文文本 (2) + AngsanaUPC"/>
    <w:qFormat/>
    <w:uiPriority w:val="0"/>
    <w:rPr>
      <w:rFonts w:ascii="AngsanaUPC" w:hAnsi="AngsanaUPC" w:eastAsia="AngsanaUPC" w:cs="AngsanaUPC"/>
      <w:color w:val="000000"/>
      <w:spacing w:val="0"/>
      <w:w w:val="100"/>
      <w:position w:val="0"/>
      <w:sz w:val="34"/>
      <w:szCs w:val="34"/>
      <w:u w:val="none"/>
      <w:lang w:val="en-US" w:eastAsia="en-US" w:bidi="en-US"/>
    </w:rPr>
  </w:style>
  <w:style w:type="character" w:customStyle="1" w:styleId="220">
    <w:name w:val="标题 3 Char1"/>
    <w:qFormat/>
    <w:uiPriority w:val="0"/>
    <w:rPr>
      <w:rFonts w:ascii="Arial" w:hAnsi="Arial" w:eastAsia="黑体"/>
      <w:snapToGrid w:val="0"/>
      <w:spacing w:val="10"/>
      <w:kern w:val="28"/>
      <w:sz w:val="28"/>
      <w:szCs w:val="28"/>
      <w:lang w:val="en-US" w:eastAsia="zh-CN" w:bidi="ar-SA"/>
    </w:rPr>
  </w:style>
  <w:style w:type="character" w:customStyle="1" w:styleId="221">
    <w:name w:val="样式 (西文) 黑体 (中文) 黑体 五号 字符缩放: 97% 字距调整五号"/>
    <w:qFormat/>
    <w:uiPriority w:val="0"/>
    <w:rPr>
      <w:rFonts w:ascii="Times New Roman" w:hAnsi="Times New Roman" w:eastAsia="宋体"/>
      <w:color w:val="auto"/>
      <w:w w:val="97"/>
      <w:kern w:val="21"/>
      <w:sz w:val="21"/>
      <w:szCs w:val="21"/>
    </w:rPr>
  </w:style>
  <w:style w:type="character" w:customStyle="1" w:styleId="222">
    <w:name w:val="icon2_01"/>
    <w:basedOn w:val="62"/>
    <w:qFormat/>
    <w:uiPriority w:val="0"/>
    <w:rPr>
      <w:rFonts w:ascii="仿宋_GB2312" w:hAnsi="Verdana" w:eastAsia="仿宋_GB2312"/>
      <w:color w:val="auto"/>
      <w:sz w:val="28"/>
      <w:szCs w:val="28"/>
      <w:lang w:val="en-US" w:eastAsia="en-US"/>
    </w:rPr>
  </w:style>
  <w:style w:type="paragraph" w:customStyle="1" w:styleId="223">
    <w:name w:val="目录 71"/>
    <w:basedOn w:val="1"/>
    <w:next w:val="1"/>
    <w:qFormat/>
    <w:uiPriority w:val="39"/>
    <w:pPr>
      <w:ind w:left="1440"/>
    </w:pPr>
    <w:rPr>
      <w:rFonts w:ascii="Calibri" w:hAnsi="Calibri" w:cs="Calibri"/>
      <w:sz w:val="18"/>
      <w:szCs w:val="18"/>
    </w:rPr>
  </w:style>
  <w:style w:type="paragraph" w:customStyle="1" w:styleId="224">
    <w:name w:val="目录 31"/>
    <w:basedOn w:val="1"/>
    <w:next w:val="1"/>
    <w:qFormat/>
    <w:uiPriority w:val="39"/>
    <w:pPr>
      <w:spacing w:before="30" w:beforeLines="30" w:after="30" w:afterLines="30"/>
      <w:ind w:left="482"/>
    </w:pPr>
    <w:rPr>
      <w:rFonts w:cs="Calibri"/>
      <w:iCs/>
      <w:sz w:val="20"/>
      <w:szCs w:val="20"/>
    </w:rPr>
  </w:style>
  <w:style w:type="paragraph" w:customStyle="1" w:styleId="225">
    <w:name w:val="目录 91"/>
    <w:basedOn w:val="1"/>
    <w:next w:val="1"/>
    <w:qFormat/>
    <w:uiPriority w:val="39"/>
    <w:pPr>
      <w:ind w:left="1920"/>
    </w:pPr>
    <w:rPr>
      <w:rFonts w:ascii="Calibri" w:hAnsi="Calibri" w:cs="Calibri"/>
      <w:sz w:val="18"/>
      <w:szCs w:val="18"/>
    </w:rPr>
  </w:style>
  <w:style w:type="character" w:customStyle="1" w:styleId="226">
    <w:name w:val="批注主题 字符"/>
    <w:link w:val="57"/>
    <w:qFormat/>
    <w:uiPriority w:val="0"/>
    <w:rPr>
      <w:b/>
      <w:bCs/>
      <w:kern w:val="2"/>
      <w:sz w:val="21"/>
      <w:szCs w:val="24"/>
      <w:lang w:val="zh-CN" w:eastAsia="zh-CN"/>
    </w:rPr>
  </w:style>
  <w:style w:type="paragraph" w:customStyle="1" w:styleId="227">
    <w:name w:val="目录 21"/>
    <w:basedOn w:val="1"/>
    <w:next w:val="1"/>
    <w:qFormat/>
    <w:uiPriority w:val="39"/>
    <w:pPr>
      <w:spacing w:before="50" w:beforeLines="50" w:after="50" w:afterLines="50"/>
      <w:ind w:left="238"/>
    </w:pPr>
    <w:rPr>
      <w:rFonts w:cs="Calibri"/>
      <w:smallCaps/>
      <w:sz w:val="20"/>
      <w:szCs w:val="20"/>
    </w:rPr>
  </w:style>
  <w:style w:type="paragraph" w:customStyle="1" w:styleId="228">
    <w:name w:val="目录 41"/>
    <w:basedOn w:val="1"/>
    <w:next w:val="1"/>
    <w:qFormat/>
    <w:uiPriority w:val="39"/>
    <w:pPr>
      <w:ind w:left="720"/>
    </w:pPr>
    <w:rPr>
      <w:rFonts w:ascii="Calibri" w:hAnsi="Calibri" w:cs="Calibri"/>
      <w:sz w:val="18"/>
      <w:szCs w:val="18"/>
    </w:rPr>
  </w:style>
  <w:style w:type="paragraph" w:customStyle="1" w:styleId="229">
    <w:name w:val="目录 81"/>
    <w:basedOn w:val="1"/>
    <w:next w:val="1"/>
    <w:qFormat/>
    <w:uiPriority w:val="39"/>
    <w:pPr>
      <w:ind w:left="1680"/>
    </w:pPr>
    <w:rPr>
      <w:rFonts w:ascii="Calibri" w:hAnsi="Calibri" w:cs="Calibri"/>
      <w:sz w:val="18"/>
      <w:szCs w:val="18"/>
    </w:rPr>
  </w:style>
  <w:style w:type="character" w:customStyle="1" w:styleId="230">
    <w:name w:val="正文文本 3 字符"/>
    <w:link w:val="29"/>
    <w:qFormat/>
    <w:uiPriority w:val="0"/>
    <w:rPr>
      <w:rFonts w:ascii="宋体" w:hAnsi="宋体" w:eastAsia="仿宋_GB2312" w:cs="宋体"/>
      <w:color w:val="auto"/>
      <w:spacing w:val="-20"/>
      <w:sz w:val="18"/>
      <w:szCs w:val="24"/>
      <w:lang w:val="en-US" w:eastAsia="en-US"/>
    </w:rPr>
  </w:style>
  <w:style w:type="character" w:customStyle="1" w:styleId="231">
    <w:name w:val="HTML 预设格式 字符"/>
    <w:link w:val="54"/>
    <w:qFormat/>
    <w:uiPriority w:val="99"/>
    <w:rPr>
      <w:rFonts w:ascii="黑体" w:hAnsi="Courier New" w:eastAsia="黑体" w:cs="Courier New"/>
    </w:rPr>
  </w:style>
  <w:style w:type="character" w:customStyle="1" w:styleId="232">
    <w:name w:val="正文文本 2 字符"/>
    <w:link w:val="53"/>
    <w:qFormat/>
    <w:uiPriority w:val="0"/>
    <w:rPr>
      <w:rFonts w:ascii="宋体" w:hAnsi="宋体" w:eastAsia="仿宋_GB2312" w:cs="宋体"/>
      <w:color w:val="auto"/>
      <w:sz w:val="24"/>
      <w:szCs w:val="24"/>
      <w:lang w:val="en-US" w:eastAsia="en-US"/>
    </w:rPr>
  </w:style>
  <w:style w:type="paragraph" w:customStyle="1" w:styleId="233">
    <w:name w:val="目录 61"/>
    <w:basedOn w:val="1"/>
    <w:next w:val="1"/>
    <w:qFormat/>
    <w:uiPriority w:val="39"/>
    <w:pPr>
      <w:ind w:left="1200"/>
    </w:pPr>
    <w:rPr>
      <w:rFonts w:ascii="Calibri" w:hAnsi="Calibri" w:cs="Calibri"/>
      <w:sz w:val="18"/>
      <w:szCs w:val="18"/>
    </w:rPr>
  </w:style>
  <w:style w:type="paragraph" w:customStyle="1" w:styleId="234">
    <w:name w:val="目录 11"/>
    <w:basedOn w:val="1"/>
    <w:next w:val="1"/>
    <w:qFormat/>
    <w:uiPriority w:val="39"/>
    <w:pPr>
      <w:spacing w:before="120" w:after="120"/>
    </w:pPr>
    <w:rPr>
      <w:rFonts w:cs="Calibri"/>
      <w:b/>
      <w:bCs/>
      <w:caps/>
      <w:szCs w:val="20"/>
    </w:rPr>
  </w:style>
  <w:style w:type="paragraph" w:customStyle="1" w:styleId="235">
    <w:name w:val="目录 51"/>
    <w:basedOn w:val="1"/>
    <w:next w:val="1"/>
    <w:qFormat/>
    <w:uiPriority w:val="39"/>
    <w:pPr>
      <w:ind w:left="960"/>
    </w:pPr>
    <w:rPr>
      <w:rFonts w:ascii="Calibri" w:hAnsi="Calibri" w:cs="Calibri"/>
      <w:sz w:val="18"/>
      <w:szCs w:val="18"/>
    </w:rPr>
  </w:style>
  <w:style w:type="character" w:customStyle="1" w:styleId="236">
    <w:name w:val="宏文本 字符"/>
    <w:link w:val="2"/>
    <w:qFormat/>
    <w:uiPriority w:val="0"/>
    <w:rPr>
      <w:rFonts w:ascii="Courier New" w:hAnsi="Courier New" w:eastAsia="仿宋_GB2312" w:cs="Courier New"/>
      <w:color w:val="auto"/>
      <w:kern w:val="2"/>
      <w:sz w:val="24"/>
      <w:szCs w:val="24"/>
      <w:lang w:val="en-US" w:eastAsia="zh-CN" w:bidi="ar-SA"/>
    </w:rPr>
  </w:style>
  <w:style w:type="paragraph" w:customStyle="1" w:styleId="237">
    <w:name w:val="标准书脚_奇数页"/>
    <w:qFormat/>
    <w:uiPriority w:val="0"/>
    <w:pPr>
      <w:spacing w:before="120" w:line="500" w:lineRule="exact"/>
      <w:jc w:val="right"/>
    </w:pPr>
    <w:rPr>
      <w:rFonts w:ascii="Times New Roman" w:hAnsi="Times New Roman" w:eastAsia="宋体" w:cs="Times New Roman"/>
      <w:sz w:val="18"/>
      <w:lang w:val="en-US" w:eastAsia="zh-CN" w:bidi="ar-SA"/>
    </w:rPr>
  </w:style>
  <w:style w:type="paragraph" w:customStyle="1" w:styleId="238">
    <w:name w:val="样式 标题 2节标题 1.1h2l22nd levelTitre22Header 2节节标题一级节名标题2..."/>
    <w:basedOn w:val="5"/>
    <w:qFormat/>
    <w:uiPriority w:val="0"/>
    <w:pPr>
      <w:widowControl/>
      <w:spacing w:before="156" w:after="156" w:line="360" w:lineRule="auto"/>
    </w:pPr>
    <w:rPr>
      <w:rFonts w:ascii="仿宋_GB2312" w:hAnsi="宋体" w:eastAsia="仿宋_GB2312" w:cs="宋体"/>
      <w:b w:val="0"/>
      <w:bCs w:val="0"/>
      <w:szCs w:val="28"/>
    </w:rPr>
  </w:style>
  <w:style w:type="paragraph" w:customStyle="1" w:styleId="239">
    <w:name w:val="说明书正文"/>
    <w:basedOn w:val="1"/>
    <w:qFormat/>
    <w:uiPriority w:val="0"/>
    <w:pPr>
      <w:spacing w:line="520" w:lineRule="exact"/>
    </w:pPr>
    <w:rPr>
      <w:rFonts w:ascii="Trebuchet MS" w:hAnsi="Trebuchet MS"/>
    </w:rPr>
  </w:style>
  <w:style w:type="paragraph" w:customStyle="1" w:styleId="240">
    <w:name w:val="列出段落"/>
    <w:basedOn w:val="1"/>
    <w:link w:val="644"/>
    <w:qFormat/>
    <w:uiPriority w:val="34"/>
    <w:pPr>
      <w:ind w:firstLine="420"/>
    </w:pPr>
  </w:style>
  <w:style w:type="paragraph" w:customStyle="1" w:styleId="241">
    <w:name w:val="样式 表格文字 + 左侧:  2.12 厘米"/>
    <w:basedOn w:val="217"/>
    <w:next w:val="159"/>
    <w:qFormat/>
    <w:uiPriority w:val="0"/>
    <w:pPr>
      <w:tabs>
        <w:tab w:val="clear" w:pos="360"/>
      </w:tabs>
      <w:spacing w:line="400" w:lineRule="exact"/>
      <w:jc w:val="both"/>
    </w:pPr>
    <w:rPr>
      <w:rFonts w:ascii="Times New Roman" w:hAnsi="Times New Roman" w:eastAsia="宋体" w:cs="宋体"/>
      <w:snapToGrid w:val="0"/>
      <w:spacing w:val="10"/>
      <w:kern w:val="24"/>
    </w:rPr>
  </w:style>
  <w:style w:type="paragraph" w:customStyle="1" w:styleId="242">
    <w:name w:val="样式 标题 3 + 首行缩进:  2 字符"/>
    <w:basedOn w:val="9"/>
    <w:qFormat/>
    <w:uiPriority w:val="0"/>
    <w:pPr>
      <w:spacing w:line="520" w:lineRule="exact"/>
      <w:ind w:firstLine="569" w:firstLineChars="200"/>
    </w:pPr>
    <w:rPr>
      <w:rFonts w:ascii="Arial" w:hAnsi="Arial" w:eastAsia="黑体" w:cs="宋体"/>
      <w:w w:val="95"/>
      <w:kern w:val="24"/>
      <w:szCs w:val="20"/>
    </w:rPr>
  </w:style>
  <w:style w:type="paragraph" w:customStyle="1" w:styleId="243">
    <w:name w:val="xl3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FF"/>
    </w:rPr>
  </w:style>
  <w:style w:type="paragraph" w:customStyle="1" w:styleId="244">
    <w:name w:val="bigbold"/>
    <w:basedOn w:val="1"/>
    <w:qFormat/>
    <w:uiPriority w:val="0"/>
    <w:pPr>
      <w:spacing w:before="100" w:beforeAutospacing="1" w:after="100" w:afterAutospacing="1"/>
    </w:pPr>
    <w:rPr>
      <w:rFonts w:hint="eastAsia"/>
    </w:rPr>
  </w:style>
  <w:style w:type="paragraph" w:customStyle="1" w:styleId="245">
    <w:name w:val="封面三"/>
    <w:basedOn w:val="1"/>
    <w:qFormat/>
    <w:uiPriority w:val="0"/>
    <w:pPr>
      <w:spacing w:line="700" w:lineRule="exact"/>
      <w:jc w:val="center"/>
    </w:pPr>
    <w:rPr>
      <w:b/>
      <w:spacing w:val="10"/>
      <w:w w:val="80"/>
      <w:kern w:val="28"/>
      <w:sz w:val="32"/>
      <w:szCs w:val="32"/>
    </w:rPr>
  </w:style>
  <w:style w:type="paragraph" w:customStyle="1" w:styleId="246">
    <w:name w:val="pra"/>
    <w:basedOn w:val="1"/>
    <w:qFormat/>
    <w:uiPriority w:val="0"/>
    <w:pPr>
      <w:spacing w:before="90" w:after="90"/>
      <w:ind w:left="120" w:right="120" w:firstLine="420"/>
    </w:pPr>
    <w:rPr>
      <w:color w:val="333333"/>
      <w:szCs w:val="21"/>
    </w:rPr>
  </w:style>
  <w:style w:type="paragraph" w:customStyle="1" w:styleId="247">
    <w:name w:val="MTDisplayEquation"/>
    <w:basedOn w:val="1"/>
    <w:next w:val="1"/>
    <w:qFormat/>
    <w:uiPriority w:val="0"/>
    <w:pPr>
      <w:tabs>
        <w:tab w:val="center" w:pos="4160"/>
        <w:tab w:val="right" w:pos="8300"/>
      </w:tabs>
    </w:pPr>
    <w:rPr>
      <w:snapToGrid w:val="0"/>
    </w:rPr>
  </w:style>
  <w:style w:type="paragraph" w:customStyle="1" w:styleId="248">
    <w:name w:val="xl6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18"/>
      <w:szCs w:val="18"/>
    </w:rPr>
  </w:style>
  <w:style w:type="paragraph" w:customStyle="1" w:styleId="249">
    <w:name w:val="CM170"/>
    <w:basedOn w:val="250"/>
    <w:next w:val="250"/>
    <w:qFormat/>
    <w:uiPriority w:val="0"/>
    <w:pPr>
      <w:spacing w:after="157" w:line="240" w:lineRule="auto"/>
      <w:jc w:val="left"/>
    </w:pPr>
    <w:rPr>
      <w:rFonts w:ascii="黑体" w:eastAsia="黑体" w:cs="Times New Roman"/>
      <w:color w:val="auto"/>
    </w:rPr>
  </w:style>
  <w:style w:type="paragraph" w:customStyle="1" w:styleId="250">
    <w:name w:val="Default"/>
    <w:qFormat/>
    <w:uiPriority w:val="99"/>
    <w:pPr>
      <w:widowControl w:val="0"/>
      <w:autoSpaceDE w:val="0"/>
      <w:autoSpaceDN w:val="0"/>
      <w:adjustRightInd w:val="0"/>
      <w:spacing w:line="500" w:lineRule="exact"/>
      <w:jc w:val="center"/>
    </w:pPr>
    <w:rPr>
      <w:rFonts w:ascii="Sim Sun" w:hAnsi="Times New Roman" w:eastAsia="Sim Sun" w:cs="Sim Sun"/>
      <w:color w:val="000000"/>
      <w:sz w:val="24"/>
      <w:szCs w:val="24"/>
      <w:lang w:val="en-US" w:eastAsia="zh-CN" w:bidi="ar-SA"/>
    </w:rPr>
  </w:style>
  <w:style w:type="paragraph" w:customStyle="1" w:styleId="251">
    <w:name w:val="ZL-正文"/>
    <w:basedOn w:val="14"/>
    <w:qFormat/>
    <w:uiPriority w:val="0"/>
    <w:pPr>
      <w:widowControl w:val="0"/>
      <w:ind w:firstLine="200" w:firstLineChars="200"/>
      <w:jc w:val="both"/>
    </w:pPr>
    <w:rPr>
      <w:rFonts w:eastAsia="楷体_GB2312"/>
      <w:snapToGrid w:val="0"/>
      <w:spacing w:val="0"/>
      <w:kern w:val="2"/>
      <w:sz w:val="22"/>
      <w:szCs w:val="22"/>
      <w:u w:val="none"/>
    </w:rPr>
  </w:style>
  <w:style w:type="paragraph" w:customStyle="1" w:styleId="252">
    <w:name w:val="xl6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sz w:val="18"/>
      <w:szCs w:val="18"/>
    </w:rPr>
  </w:style>
  <w:style w:type="paragraph" w:customStyle="1" w:styleId="253">
    <w:name w:val="Char Char Char Char"/>
    <w:basedOn w:val="1"/>
    <w:qFormat/>
    <w:uiPriority w:val="0"/>
    <w:pPr>
      <w:spacing w:after="160" w:line="240" w:lineRule="exact"/>
      <w:textAlignment w:val="baseline"/>
    </w:pPr>
    <w:rPr>
      <w:rFonts w:ascii="Arial" w:hAnsi="Arial" w:eastAsia="Times New Roman" w:cs="Verdana"/>
      <w:b/>
      <w:lang w:eastAsia="en-US"/>
    </w:rPr>
  </w:style>
  <w:style w:type="paragraph" w:customStyle="1" w:styleId="254">
    <w:name w:val="样式一"/>
    <w:qFormat/>
    <w:uiPriority w:val="0"/>
    <w:pPr>
      <w:snapToGrid w:val="0"/>
      <w:spacing w:line="360" w:lineRule="auto"/>
      <w:ind w:left="240" w:leftChars="100" w:right="240" w:rightChars="100" w:firstLine="480" w:firstLineChars="200"/>
      <w:jc w:val="center"/>
      <w:textAlignment w:val="baseline"/>
    </w:pPr>
    <w:rPr>
      <w:rFonts w:ascii="Times New Roman" w:hAnsi="Times New Roman" w:eastAsia="宋体" w:cs="Times New Roman"/>
      <w:color w:val="000000"/>
      <w:szCs w:val="24"/>
      <w:lang w:val="en-US" w:eastAsia="zh-CN" w:bidi="ar-SA"/>
    </w:rPr>
  </w:style>
  <w:style w:type="paragraph" w:customStyle="1" w:styleId="255">
    <w:name w:val="样式 样式 宋体 四号 首行缩进:  0.99 厘米 行距: 多倍行距 1.25 字行 + Times New Roman"/>
    <w:basedOn w:val="1"/>
    <w:qFormat/>
    <w:uiPriority w:val="0"/>
    <w:pPr>
      <w:spacing w:line="300" w:lineRule="auto"/>
      <w:ind w:firstLine="561"/>
    </w:pPr>
    <w:rPr>
      <w:szCs w:val="28"/>
    </w:rPr>
  </w:style>
  <w:style w:type="paragraph" w:customStyle="1" w:styleId="256">
    <w:name w:val="CM153"/>
    <w:basedOn w:val="250"/>
    <w:next w:val="250"/>
    <w:qFormat/>
    <w:uiPriority w:val="0"/>
    <w:pPr>
      <w:spacing w:after="258" w:line="240" w:lineRule="auto"/>
      <w:jc w:val="left"/>
    </w:pPr>
    <w:rPr>
      <w:rFonts w:ascii="黑体" w:eastAsia="黑体" w:cs="Times New Roman"/>
      <w:color w:val="auto"/>
    </w:rPr>
  </w:style>
  <w:style w:type="paragraph" w:customStyle="1" w:styleId="257">
    <w:name w:val="道化学表"/>
    <w:basedOn w:val="1"/>
    <w:qFormat/>
    <w:uiPriority w:val="0"/>
    <w:rPr>
      <w:kern w:val="24"/>
      <w:szCs w:val="20"/>
    </w:rPr>
  </w:style>
  <w:style w:type="paragraph" w:customStyle="1" w:styleId="258">
    <w:name w:val="能力-标题2"/>
    <w:next w:val="259"/>
    <w:qFormat/>
    <w:uiPriority w:val="0"/>
    <w:pPr>
      <w:numPr>
        <w:ilvl w:val="1"/>
        <w:numId w:val="1"/>
      </w:numPr>
      <w:spacing w:line="360" w:lineRule="auto"/>
      <w:ind w:left="425" w:hanging="425"/>
      <w:jc w:val="center"/>
      <w:outlineLvl w:val="1"/>
    </w:pPr>
    <w:rPr>
      <w:rFonts w:ascii="Times New Roman" w:hAnsi="Times New Roman" w:eastAsia="宋体" w:cs="Times New Roman"/>
      <w:b/>
      <w:kern w:val="2"/>
      <w:sz w:val="24"/>
      <w:szCs w:val="22"/>
      <w:lang w:val="en-US" w:eastAsia="zh-CN" w:bidi="ar-SA"/>
    </w:rPr>
  </w:style>
  <w:style w:type="paragraph" w:customStyle="1" w:styleId="259">
    <w:name w:val="能力-正文"/>
    <w:basedOn w:val="1"/>
    <w:qFormat/>
    <w:uiPriority w:val="0"/>
    <w:rPr>
      <w:szCs w:val="22"/>
    </w:rPr>
  </w:style>
  <w:style w:type="paragraph" w:customStyle="1" w:styleId="260">
    <w:name w:val="- 页码 -"/>
    <w:qFormat/>
    <w:uiPriority w:val="0"/>
    <w:pPr>
      <w:widowControl w:val="0"/>
      <w:spacing w:line="500" w:lineRule="exact"/>
      <w:jc w:val="both"/>
    </w:pPr>
    <w:rPr>
      <w:rFonts w:ascii="Times New Roman" w:hAnsi="Times New Roman" w:eastAsia="宋体" w:cs="Times New Roman"/>
      <w:kern w:val="2"/>
      <w:sz w:val="21"/>
      <w:szCs w:val="24"/>
      <w:lang w:val="en-US" w:eastAsia="zh-CN" w:bidi="ar-SA"/>
    </w:rPr>
  </w:style>
  <w:style w:type="paragraph" w:customStyle="1" w:styleId="261">
    <w:name w:val="正文 + 首行缩进"/>
    <w:basedOn w:val="1"/>
    <w:qFormat/>
    <w:uiPriority w:val="0"/>
    <w:pPr>
      <w:spacing w:line="500" w:lineRule="exact"/>
      <w:ind w:firstLine="560"/>
    </w:pPr>
    <w:rPr>
      <w:szCs w:val="28"/>
    </w:rPr>
  </w:style>
  <w:style w:type="paragraph" w:customStyle="1" w:styleId="262">
    <w:name w:val="CM119"/>
    <w:basedOn w:val="250"/>
    <w:next w:val="250"/>
    <w:qFormat/>
    <w:uiPriority w:val="0"/>
    <w:pPr>
      <w:spacing w:after="148" w:line="240" w:lineRule="auto"/>
      <w:jc w:val="left"/>
    </w:pPr>
    <w:rPr>
      <w:rFonts w:ascii="黑体" w:eastAsia="黑体" w:cs="Times New Roman"/>
      <w:color w:val="auto"/>
    </w:rPr>
  </w:style>
  <w:style w:type="paragraph" w:customStyle="1" w:styleId="263">
    <w:name w:val="CM15"/>
    <w:basedOn w:val="250"/>
    <w:next w:val="250"/>
    <w:qFormat/>
    <w:uiPriority w:val="0"/>
    <w:pPr>
      <w:spacing w:line="391" w:lineRule="atLeast"/>
      <w:jc w:val="left"/>
    </w:pPr>
    <w:rPr>
      <w:rFonts w:ascii="黑体" w:eastAsia="黑体" w:cs="Times New Roman"/>
      <w:color w:val="auto"/>
    </w:rPr>
  </w:style>
  <w:style w:type="paragraph" w:customStyle="1" w:styleId="264">
    <w:name w:val="自然条件"/>
    <w:basedOn w:val="13"/>
    <w:qFormat/>
    <w:uiPriority w:val="0"/>
    <w:pPr>
      <w:widowControl w:val="0"/>
      <w:tabs>
        <w:tab w:val="left" w:pos="5879"/>
      </w:tabs>
      <w:spacing w:line="480" w:lineRule="exact"/>
      <w:ind w:firstLine="520" w:firstLineChars="200"/>
      <w:jc w:val="both"/>
    </w:pPr>
    <w:rPr>
      <w:snapToGrid/>
      <w:spacing w:val="10"/>
      <w:kern w:val="24"/>
      <w:szCs w:val="24"/>
      <w:u w:val="none"/>
    </w:rPr>
  </w:style>
  <w:style w:type="paragraph" w:customStyle="1" w:styleId="265">
    <w:name w:val="xl4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Arial Unicode MS"/>
      <w:color w:val="0000FF"/>
      <w:sz w:val="20"/>
      <w:szCs w:val="20"/>
    </w:rPr>
  </w:style>
  <w:style w:type="character" w:customStyle="1" w:styleId="266">
    <w:name w:val="样式3 Char"/>
    <w:link w:val="6"/>
    <w:qFormat/>
    <w:uiPriority w:val="0"/>
    <w:rPr>
      <w:rFonts w:ascii="宋体" w:hAnsi="宋体" w:eastAsia="仿宋_GB2312"/>
      <w:kern w:val="2"/>
      <w:sz w:val="24"/>
      <w:szCs w:val="24"/>
      <w:lang w:eastAsia="en-US"/>
    </w:rPr>
  </w:style>
  <w:style w:type="paragraph" w:customStyle="1" w:styleId="267">
    <w:name w:val="标准书眉_奇数页"/>
    <w:next w:val="1"/>
    <w:qFormat/>
    <w:uiPriority w:val="0"/>
    <w:pPr>
      <w:tabs>
        <w:tab w:val="center" w:pos="4154"/>
        <w:tab w:val="right" w:pos="8306"/>
      </w:tabs>
      <w:spacing w:after="120" w:line="500" w:lineRule="exact"/>
      <w:jc w:val="right"/>
    </w:pPr>
    <w:rPr>
      <w:rFonts w:ascii="Times New Roman" w:hAnsi="Times New Roman" w:eastAsia="宋体" w:cs="Times New Roman"/>
      <w:sz w:val="21"/>
      <w:lang w:val="en-US" w:eastAsia="zh-CN" w:bidi="ar-SA"/>
    </w:rPr>
  </w:style>
  <w:style w:type="paragraph" w:customStyle="1" w:styleId="268">
    <w:name w:val="Char Char1 Char Char"/>
    <w:basedOn w:val="9"/>
    <w:qFormat/>
    <w:uiPriority w:val="0"/>
    <w:pPr>
      <w:tabs>
        <w:tab w:val="left" w:pos="851"/>
        <w:tab w:val="left" w:pos="900"/>
      </w:tabs>
      <w:ind w:left="542" w:leftChars="-12" w:firstLine="200" w:firstLineChars="200"/>
    </w:pPr>
    <w:rPr>
      <w:rFonts w:eastAsia="黑体"/>
      <w:b w:val="0"/>
      <w:bCs w:val="0"/>
      <w:sz w:val="24"/>
      <w:szCs w:val="24"/>
    </w:rPr>
  </w:style>
  <w:style w:type="paragraph" w:customStyle="1" w:styleId="269">
    <w:name w:val="样式5"/>
    <w:basedOn w:val="11"/>
    <w:qFormat/>
    <w:uiPriority w:val="0"/>
    <w:pPr>
      <w:spacing w:before="80" w:after="80" w:line="520" w:lineRule="exact"/>
      <w:ind w:left="420" w:firstLine="200" w:firstLineChars="200"/>
    </w:pPr>
    <w:rPr>
      <w:b w:val="0"/>
      <w:bCs w:val="0"/>
      <w:snapToGrid/>
      <w:kern w:val="24"/>
    </w:rPr>
  </w:style>
  <w:style w:type="paragraph" w:customStyle="1" w:styleId="270">
    <w:name w:val="xl4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271">
    <w:name w:val="xl5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18"/>
      <w:szCs w:val="18"/>
    </w:rPr>
  </w:style>
  <w:style w:type="paragraph" w:customStyle="1" w:styleId="272">
    <w:name w:val="节名"/>
    <w:basedOn w:val="1"/>
    <w:qFormat/>
    <w:uiPriority w:val="0"/>
    <w:pPr>
      <w:jc w:val="center"/>
    </w:pPr>
    <w:rPr>
      <w:color w:val="000000"/>
      <w:szCs w:val="21"/>
    </w:rPr>
  </w:style>
  <w:style w:type="paragraph" w:customStyle="1" w:styleId="273">
    <w:name w:val="样式8"/>
    <w:basedOn w:val="11"/>
    <w:qFormat/>
    <w:uiPriority w:val="0"/>
    <w:pPr>
      <w:spacing w:before="80" w:after="80" w:line="520" w:lineRule="exact"/>
      <w:ind w:left="420" w:firstLine="200" w:firstLineChars="200"/>
    </w:pPr>
    <w:rPr>
      <w:b w:val="0"/>
      <w:bCs w:val="0"/>
      <w:snapToGrid/>
      <w:kern w:val="24"/>
    </w:rPr>
  </w:style>
  <w:style w:type="paragraph" w:customStyle="1" w:styleId="274">
    <w:name w:val="xl25"/>
    <w:basedOn w:val="1"/>
    <w:qFormat/>
    <w:uiPriority w:val="0"/>
    <w:pPr>
      <w:spacing w:before="100" w:beforeAutospacing="1" w:after="100" w:afterAutospacing="1"/>
      <w:textAlignment w:val="center"/>
    </w:pPr>
    <w:rPr>
      <w:rFonts w:ascii="Arial Unicode MS" w:hAnsi="Arial Unicode MS" w:eastAsia="Arial Unicode MS"/>
      <w:color w:val="0000FF"/>
    </w:rPr>
  </w:style>
  <w:style w:type="paragraph" w:customStyle="1" w:styleId="275">
    <w:name w:val="能力-标题4"/>
    <w:next w:val="259"/>
    <w:qFormat/>
    <w:uiPriority w:val="0"/>
    <w:pPr>
      <w:spacing w:line="360" w:lineRule="auto"/>
      <w:jc w:val="center"/>
      <w:outlineLvl w:val="3"/>
    </w:pPr>
    <w:rPr>
      <w:rFonts w:ascii="Times New Roman" w:hAnsi="Times New Roman" w:eastAsia="宋体" w:cs="Times New Roman"/>
      <w:b/>
      <w:kern w:val="2"/>
      <w:sz w:val="24"/>
      <w:szCs w:val="22"/>
      <w:lang w:val="en-US" w:eastAsia="zh-CN" w:bidi="ar-SA"/>
    </w:rPr>
  </w:style>
  <w:style w:type="paragraph" w:customStyle="1" w:styleId="276">
    <w:name w:val="xl75"/>
    <w:basedOn w:val="1"/>
    <w:qFormat/>
    <w:uiPriority w:val="0"/>
    <w:pPr>
      <w:pBdr>
        <w:left w:val="single" w:color="auto" w:sz="4" w:space="0"/>
        <w:bottom w:val="single" w:color="auto" w:sz="4" w:space="0"/>
      </w:pBdr>
      <w:spacing w:before="100" w:beforeAutospacing="1" w:after="100" w:afterAutospacing="1"/>
      <w:textAlignment w:val="center"/>
    </w:pPr>
    <w:rPr>
      <w:b/>
      <w:bCs/>
      <w:sz w:val="32"/>
      <w:szCs w:val="32"/>
    </w:rPr>
  </w:style>
  <w:style w:type="paragraph" w:customStyle="1" w:styleId="277">
    <w:name w:val="xl3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FF"/>
    </w:rPr>
  </w:style>
  <w:style w:type="paragraph" w:customStyle="1" w:styleId="278">
    <w:name w:val="CM89"/>
    <w:basedOn w:val="250"/>
    <w:next w:val="250"/>
    <w:qFormat/>
    <w:uiPriority w:val="0"/>
    <w:pPr>
      <w:spacing w:line="556" w:lineRule="atLeast"/>
      <w:jc w:val="left"/>
    </w:pPr>
    <w:rPr>
      <w:rFonts w:ascii="黑体" w:eastAsia="黑体" w:cs="Times New Roman"/>
      <w:color w:val="auto"/>
    </w:rPr>
  </w:style>
  <w:style w:type="paragraph" w:customStyle="1" w:styleId="279">
    <w:name w:val="xl3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ascii="Arial Unicode MS" w:hAnsi="Arial Unicode MS" w:eastAsia="Arial Unicode MS"/>
      <w:color w:val="0000FF"/>
      <w:sz w:val="20"/>
      <w:szCs w:val="20"/>
    </w:rPr>
  </w:style>
  <w:style w:type="paragraph" w:customStyle="1" w:styleId="280">
    <w:name w:val="Char"/>
    <w:basedOn w:val="1"/>
    <w:qFormat/>
    <w:uiPriority w:val="0"/>
    <w:pPr>
      <w:spacing w:after="160" w:line="240" w:lineRule="exact"/>
    </w:pPr>
    <w:rPr>
      <w:rFonts w:ascii="Arial" w:hAnsi="Arial" w:eastAsia="Times New Roman" w:cs="Verdana"/>
      <w:b/>
      <w:lang w:eastAsia="en-US"/>
    </w:rPr>
  </w:style>
  <w:style w:type="paragraph" w:customStyle="1" w:styleId="281">
    <w:name w:val="Char Char3 Char Char"/>
    <w:basedOn w:val="1"/>
    <w:qFormat/>
    <w:uiPriority w:val="0"/>
    <w:pPr>
      <w:spacing w:after="160" w:line="240" w:lineRule="exact"/>
    </w:pPr>
    <w:rPr>
      <w:rFonts w:ascii="Verdana" w:hAnsi="Verdana"/>
      <w:sz w:val="20"/>
      <w:szCs w:val="20"/>
      <w:lang w:eastAsia="en-US"/>
    </w:rPr>
  </w:style>
  <w:style w:type="paragraph" w:customStyle="1" w:styleId="282">
    <w:name w:val="CM64"/>
    <w:basedOn w:val="250"/>
    <w:next w:val="250"/>
    <w:qFormat/>
    <w:uiPriority w:val="0"/>
    <w:pPr>
      <w:spacing w:line="520" w:lineRule="atLeast"/>
      <w:jc w:val="left"/>
    </w:pPr>
    <w:rPr>
      <w:rFonts w:ascii="黑体" w:eastAsia="黑体" w:cs="Times New Roman"/>
      <w:color w:val="auto"/>
    </w:rPr>
  </w:style>
  <w:style w:type="paragraph" w:customStyle="1" w:styleId="283">
    <w:name w:val="目录1"/>
    <w:basedOn w:val="1"/>
    <w:next w:val="1"/>
    <w:qFormat/>
    <w:uiPriority w:val="0"/>
    <w:pPr>
      <w:spacing w:before="50" w:after="50" w:line="400" w:lineRule="exact"/>
    </w:pPr>
    <w:rPr>
      <w:rFonts w:ascii="Arial" w:hAnsi="Arial" w:eastAsia="黑体"/>
      <w:spacing w:val="10"/>
      <w:w w:val="90"/>
      <w:kern w:val="21"/>
      <w:szCs w:val="20"/>
    </w:rPr>
  </w:style>
  <w:style w:type="paragraph" w:customStyle="1" w:styleId="284">
    <w:name w:val="样式18"/>
    <w:basedOn w:val="1"/>
    <w:qFormat/>
    <w:uiPriority w:val="0"/>
    <w:pPr>
      <w:spacing w:line="560" w:lineRule="exact"/>
      <w:ind w:firstLine="560"/>
    </w:pPr>
    <w:rPr>
      <w:color w:val="000000"/>
    </w:rPr>
  </w:style>
  <w:style w:type="paragraph" w:customStyle="1" w:styleId="285">
    <w:name w:val="样式 标题 2 + 两端对齐 首行缩进:  2 字符"/>
    <w:basedOn w:val="5"/>
    <w:qFormat/>
    <w:uiPriority w:val="0"/>
    <w:pPr>
      <w:snapToGrid w:val="0"/>
      <w:spacing w:before="120" w:after="120" w:line="480" w:lineRule="exact"/>
      <w:ind w:firstLine="569" w:firstLineChars="200"/>
    </w:pPr>
    <w:rPr>
      <w:rFonts w:cs="宋体"/>
      <w:b w:val="0"/>
      <w:bCs w:val="0"/>
      <w:snapToGrid w:val="0"/>
      <w:spacing w:val="10"/>
      <w:kern w:val="28"/>
      <w:sz w:val="28"/>
      <w:szCs w:val="20"/>
    </w:rPr>
  </w:style>
  <w:style w:type="paragraph" w:customStyle="1" w:styleId="286">
    <w:name w:val="font5"/>
    <w:basedOn w:val="1"/>
    <w:qFormat/>
    <w:uiPriority w:val="0"/>
    <w:pPr>
      <w:spacing w:before="100" w:beforeAutospacing="1" w:after="100" w:afterAutospacing="1"/>
    </w:pPr>
    <w:rPr>
      <w:rFonts w:hint="eastAsia"/>
      <w:sz w:val="18"/>
      <w:szCs w:val="18"/>
    </w:rPr>
  </w:style>
  <w:style w:type="paragraph" w:customStyle="1" w:styleId="287">
    <w:name w:val="方框"/>
    <w:basedOn w:val="1"/>
    <w:qFormat/>
    <w:uiPriority w:val="0"/>
    <w:pPr>
      <w:spacing w:line="240" w:lineRule="atLeast"/>
    </w:pPr>
    <w:rPr>
      <w:szCs w:val="20"/>
    </w:rPr>
  </w:style>
  <w:style w:type="paragraph" w:customStyle="1" w:styleId="288">
    <w:name w:val="Body Text 22"/>
    <w:basedOn w:val="1"/>
    <w:qFormat/>
    <w:uiPriority w:val="0"/>
    <w:pPr>
      <w:wordWrap w:val="0"/>
      <w:overflowPunct w:val="0"/>
      <w:autoSpaceDE w:val="0"/>
      <w:autoSpaceDN w:val="0"/>
      <w:spacing w:line="480" w:lineRule="exact"/>
      <w:ind w:firstLine="600"/>
      <w:textAlignment w:val="baseline"/>
    </w:pPr>
    <w:rPr>
      <w:color w:val="000000"/>
      <w:szCs w:val="28"/>
    </w:rPr>
  </w:style>
  <w:style w:type="paragraph" w:customStyle="1" w:styleId="289">
    <w:name w:val="修订1"/>
    <w:qFormat/>
    <w:uiPriority w:val="99"/>
    <w:pPr>
      <w:spacing w:line="500" w:lineRule="exact"/>
      <w:jc w:val="center"/>
    </w:pPr>
    <w:rPr>
      <w:rFonts w:ascii="Times New Roman" w:hAnsi="Times New Roman" w:eastAsia="宋体" w:cs="Times New Roman"/>
      <w:kern w:val="2"/>
      <w:sz w:val="21"/>
      <w:szCs w:val="24"/>
      <w:lang w:val="en-US" w:eastAsia="zh-CN" w:bidi="ar-SA"/>
    </w:rPr>
  </w:style>
  <w:style w:type="paragraph" w:customStyle="1" w:styleId="290">
    <w:name w:val="CM4"/>
    <w:basedOn w:val="250"/>
    <w:next w:val="250"/>
    <w:qFormat/>
    <w:uiPriority w:val="0"/>
    <w:pPr>
      <w:spacing w:line="443" w:lineRule="atLeast"/>
      <w:jc w:val="left"/>
    </w:pPr>
    <w:rPr>
      <w:rFonts w:ascii="黑体" w:eastAsia="黑体" w:cs="Times New Roman"/>
      <w:color w:val="auto"/>
    </w:rPr>
  </w:style>
  <w:style w:type="paragraph" w:customStyle="1" w:styleId="291">
    <w:name w:val="封面标准号1"/>
    <w:qFormat/>
    <w:uiPriority w:val="0"/>
    <w:pPr>
      <w:widowControl w:val="0"/>
      <w:kinsoku w:val="0"/>
      <w:overflowPunct w:val="0"/>
      <w:autoSpaceDE w:val="0"/>
      <w:autoSpaceDN w:val="0"/>
      <w:spacing w:before="308" w:line="500" w:lineRule="exact"/>
      <w:jc w:val="right"/>
      <w:textAlignment w:val="center"/>
    </w:pPr>
    <w:rPr>
      <w:rFonts w:ascii="Times New Roman" w:hAnsi="Times New Roman" w:eastAsia="宋体" w:cs="Times New Roman"/>
      <w:sz w:val="28"/>
      <w:lang w:val="en-US" w:eastAsia="zh-CN" w:bidi="ar-SA"/>
    </w:rPr>
  </w:style>
  <w:style w:type="paragraph" w:customStyle="1" w:styleId="292">
    <w:name w:val="样式 标题 3条标题1.1.13h33rd levelH3l3CT + (中文) 仿宋_GB2312 非加粗"/>
    <w:basedOn w:val="9"/>
    <w:qFormat/>
    <w:uiPriority w:val="0"/>
    <w:pPr>
      <w:widowControl/>
      <w:tabs>
        <w:tab w:val="left" w:pos="1260"/>
      </w:tabs>
      <w:ind w:left="540"/>
    </w:pPr>
    <w:rPr>
      <w:rFonts w:ascii="仿宋_GB2312" w:eastAsia="仿宋_GB2312"/>
      <w:b w:val="0"/>
      <w:bCs w:val="0"/>
      <w:szCs w:val="20"/>
    </w:rPr>
  </w:style>
  <w:style w:type="paragraph" w:customStyle="1" w:styleId="293">
    <w:name w:val="表格内容"/>
    <w:basedOn w:val="1"/>
    <w:link w:val="294"/>
    <w:qFormat/>
    <w:uiPriority w:val="0"/>
    <w:pPr>
      <w:overflowPunct w:val="0"/>
      <w:spacing w:before="40" w:after="60" w:line="200" w:lineRule="atLeast"/>
      <w:textAlignment w:val="baseline"/>
    </w:pPr>
    <w:rPr>
      <w:rFonts w:ascii="Arial" w:hAnsi="Arial" w:eastAsia="仿宋_GB2312"/>
      <w:szCs w:val="20"/>
    </w:rPr>
  </w:style>
  <w:style w:type="character" w:customStyle="1" w:styleId="294">
    <w:name w:val="表格内容 Char"/>
    <w:link w:val="293"/>
    <w:qFormat/>
    <w:uiPriority w:val="0"/>
    <w:rPr>
      <w:rFonts w:ascii="Arial" w:hAnsi="Arial" w:eastAsia="仿宋_GB2312" w:cs="宋体"/>
      <w:color w:val="auto"/>
      <w:sz w:val="24"/>
      <w:szCs w:val="28"/>
      <w:lang w:val="en-US" w:eastAsia="zh-CN"/>
    </w:rPr>
  </w:style>
  <w:style w:type="paragraph" w:customStyle="1" w:styleId="295">
    <w:name w:val="样式 (西文) Arial 五号 居中 首行缩进:  2 字符"/>
    <w:basedOn w:val="1"/>
    <w:qFormat/>
    <w:uiPriority w:val="0"/>
    <w:pPr>
      <w:spacing w:line="400" w:lineRule="exact"/>
      <w:ind w:firstLine="460"/>
      <w:jc w:val="center"/>
    </w:pPr>
    <w:rPr>
      <w:snapToGrid w:val="0"/>
      <w:spacing w:val="10"/>
      <w:kern w:val="24"/>
      <w:szCs w:val="21"/>
    </w:rPr>
  </w:style>
  <w:style w:type="paragraph" w:customStyle="1" w:styleId="296">
    <w:name w:val="样式 首行缩进:  0.85 厘米"/>
    <w:basedOn w:val="1"/>
    <w:qFormat/>
    <w:uiPriority w:val="0"/>
    <w:pPr>
      <w:spacing w:line="400" w:lineRule="exact"/>
      <w:ind w:firstLine="561"/>
    </w:pPr>
    <w:rPr>
      <w:szCs w:val="20"/>
    </w:rPr>
  </w:style>
  <w:style w:type="paragraph" w:customStyle="1" w:styleId="297">
    <w:name w:val="juzhong"/>
    <w:basedOn w:val="1"/>
    <w:qFormat/>
    <w:uiPriority w:val="0"/>
    <w:rPr>
      <w:color w:val="000000"/>
    </w:rPr>
  </w:style>
  <w:style w:type="paragraph" w:customStyle="1" w:styleId="298">
    <w:name w:val="CM70"/>
    <w:basedOn w:val="250"/>
    <w:next w:val="250"/>
    <w:qFormat/>
    <w:uiPriority w:val="0"/>
    <w:pPr>
      <w:spacing w:line="396" w:lineRule="atLeast"/>
      <w:jc w:val="left"/>
    </w:pPr>
    <w:rPr>
      <w:rFonts w:ascii="黑体" w:eastAsia="黑体" w:cs="Times New Roman"/>
      <w:color w:val="auto"/>
    </w:rPr>
  </w:style>
  <w:style w:type="paragraph" w:customStyle="1" w:styleId="299">
    <w:name w:val="Char Char1"/>
    <w:basedOn w:val="1"/>
    <w:qFormat/>
    <w:uiPriority w:val="0"/>
  </w:style>
  <w:style w:type="paragraph" w:customStyle="1" w:styleId="300">
    <w:name w:val="Char1 Char Char Char"/>
    <w:basedOn w:val="1"/>
    <w:qFormat/>
    <w:uiPriority w:val="0"/>
  </w:style>
  <w:style w:type="paragraph" w:customStyle="1" w:styleId="301">
    <w:name w:val="能力-标题5"/>
    <w:basedOn w:val="275"/>
    <w:next w:val="259"/>
    <w:qFormat/>
    <w:uiPriority w:val="0"/>
    <w:pPr>
      <w:ind w:left="425" w:hanging="425"/>
      <w:outlineLvl w:val="4"/>
    </w:pPr>
  </w:style>
  <w:style w:type="paragraph" w:customStyle="1" w:styleId="302">
    <w:name w:val="xl35"/>
    <w:basedOn w:val="1"/>
    <w:qFormat/>
    <w:uiPriority w:val="0"/>
    <w:pPr>
      <w:pBdr>
        <w:top w:val="single" w:color="auto" w:sz="4" w:space="0"/>
        <w:left w:val="single" w:color="auto" w:sz="4" w:space="20"/>
        <w:bottom w:val="single" w:color="auto" w:sz="4" w:space="0"/>
        <w:right w:val="single" w:color="auto" w:sz="4" w:space="0"/>
      </w:pBdr>
      <w:spacing w:before="100" w:beforeAutospacing="1" w:after="100" w:afterAutospacing="1"/>
      <w:ind w:firstLine="100" w:firstLineChars="100"/>
      <w:textAlignment w:val="center"/>
    </w:pPr>
    <w:rPr>
      <w:rFonts w:eastAsia="Arial Unicode MS"/>
      <w:color w:val="0000FF"/>
      <w:sz w:val="20"/>
      <w:szCs w:val="20"/>
    </w:rPr>
  </w:style>
  <w:style w:type="paragraph" w:customStyle="1" w:styleId="303">
    <w:name w:val="封面标准名称"/>
    <w:qFormat/>
    <w:uiPriority w:val="0"/>
    <w:pPr>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304">
    <w:name w:val="CM54"/>
    <w:basedOn w:val="250"/>
    <w:next w:val="250"/>
    <w:qFormat/>
    <w:uiPriority w:val="0"/>
    <w:pPr>
      <w:spacing w:line="631" w:lineRule="atLeast"/>
      <w:jc w:val="left"/>
    </w:pPr>
    <w:rPr>
      <w:rFonts w:ascii="黑体" w:eastAsia="黑体" w:cs="Times New Roman"/>
      <w:color w:val="auto"/>
    </w:rPr>
  </w:style>
  <w:style w:type="paragraph" w:customStyle="1" w:styleId="305">
    <w:name w:val="CM9"/>
    <w:basedOn w:val="250"/>
    <w:next w:val="250"/>
    <w:qFormat/>
    <w:uiPriority w:val="0"/>
    <w:pPr>
      <w:spacing w:line="396" w:lineRule="atLeast"/>
      <w:jc w:val="left"/>
    </w:pPr>
    <w:rPr>
      <w:rFonts w:ascii="黑体" w:eastAsia="黑体" w:cs="Times New Roman"/>
      <w:color w:val="auto"/>
    </w:rPr>
  </w:style>
  <w:style w:type="paragraph" w:customStyle="1" w:styleId="306">
    <w:name w:val="样式 标题 4 + (符号) 宋体 小四 非加粗 两端对齐 Char Char Char"/>
    <w:basedOn w:val="1"/>
    <w:qFormat/>
    <w:uiPriority w:val="0"/>
    <w:pPr>
      <w:tabs>
        <w:tab w:val="left" w:pos="425"/>
      </w:tabs>
      <w:ind w:left="360" w:hanging="360"/>
    </w:pPr>
    <w:rPr>
      <w:szCs w:val="21"/>
    </w:rPr>
  </w:style>
  <w:style w:type="paragraph" w:customStyle="1" w:styleId="307">
    <w:name w:val="表格内部"/>
    <w:basedOn w:val="1"/>
    <w:qFormat/>
    <w:uiPriority w:val="0"/>
    <w:pPr>
      <w:spacing w:line="240" w:lineRule="atLeast"/>
      <w:jc w:val="center"/>
      <w:textAlignment w:val="baseline"/>
    </w:pPr>
    <w:rPr>
      <w:rFonts w:ascii="Arial" w:hAnsi="Arial" w:eastAsia="仿宋_GB2312" w:cs="Arial"/>
      <w:szCs w:val="20"/>
    </w:rPr>
  </w:style>
  <w:style w:type="paragraph" w:customStyle="1" w:styleId="308">
    <w:name w:val="xl67"/>
    <w:basedOn w:val="1"/>
    <w:qFormat/>
    <w:uiPriority w:val="0"/>
    <w:pPr>
      <w:pBdr>
        <w:top w:val="single" w:color="auto" w:sz="4" w:space="0"/>
        <w:left w:val="single" w:color="auto" w:sz="4" w:space="0"/>
      </w:pBdr>
      <w:spacing w:before="100" w:beforeAutospacing="1" w:after="100" w:afterAutospacing="1"/>
      <w:textAlignment w:val="center"/>
    </w:pPr>
    <w:rPr>
      <w:b/>
      <w:bCs/>
      <w:sz w:val="32"/>
      <w:szCs w:val="32"/>
    </w:rPr>
  </w:style>
  <w:style w:type="paragraph" w:customStyle="1" w:styleId="309">
    <w:name w:val="xl5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sz w:val="20"/>
      <w:szCs w:val="20"/>
    </w:rPr>
  </w:style>
  <w:style w:type="paragraph" w:customStyle="1" w:styleId="310">
    <w:name w:val="CM128"/>
    <w:basedOn w:val="250"/>
    <w:next w:val="250"/>
    <w:qFormat/>
    <w:uiPriority w:val="0"/>
    <w:pPr>
      <w:spacing w:after="320" w:line="240" w:lineRule="auto"/>
      <w:jc w:val="left"/>
    </w:pPr>
    <w:rPr>
      <w:rFonts w:ascii="黑体" w:eastAsia="黑体" w:cs="Times New Roman"/>
      <w:color w:val="auto"/>
    </w:rPr>
  </w:style>
  <w:style w:type="paragraph" w:customStyle="1" w:styleId="311">
    <w:name w:val="CM7"/>
    <w:basedOn w:val="250"/>
    <w:next w:val="250"/>
    <w:qFormat/>
    <w:uiPriority w:val="0"/>
    <w:pPr>
      <w:spacing w:line="476" w:lineRule="atLeast"/>
      <w:jc w:val="left"/>
    </w:pPr>
    <w:rPr>
      <w:rFonts w:ascii="黑体" w:eastAsia="黑体" w:cs="Times New Roman"/>
      <w:color w:val="auto"/>
    </w:rPr>
  </w:style>
  <w:style w:type="paragraph" w:customStyle="1" w:styleId="312">
    <w:name w:val="标题 1 宋体 三号 Char Char"/>
    <w:basedOn w:val="3"/>
    <w:qFormat/>
    <w:uiPriority w:val="0"/>
    <w:pPr>
      <w:tabs>
        <w:tab w:val="left" w:pos="360"/>
      </w:tabs>
      <w:spacing w:line="360" w:lineRule="auto"/>
    </w:pPr>
    <w:rPr>
      <w:rFonts w:ascii="宋体" w:hAnsi="宋体"/>
      <w:sz w:val="32"/>
    </w:rPr>
  </w:style>
  <w:style w:type="paragraph" w:customStyle="1" w:styleId="313">
    <w:name w:val="xl47"/>
    <w:basedOn w:val="1"/>
    <w:qFormat/>
    <w:uiPriority w:val="0"/>
    <w:pPr>
      <w:pBdr>
        <w:bottom w:val="single" w:color="auto" w:sz="4" w:space="0"/>
        <w:right w:val="single" w:color="auto" w:sz="4" w:space="0"/>
      </w:pBdr>
      <w:spacing w:before="100" w:beforeAutospacing="1" w:after="100" w:afterAutospacing="1"/>
      <w:jc w:val="center"/>
    </w:pPr>
    <w:rPr>
      <w:rFonts w:hint="eastAsia"/>
      <w:szCs w:val="21"/>
    </w:rPr>
  </w:style>
  <w:style w:type="paragraph" w:customStyle="1" w:styleId="314">
    <w:name w:val="xl80"/>
    <w:basedOn w:val="1"/>
    <w:qFormat/>
    <w:uiPriority w:val="0"/>
    <w:pPr>
      <w:pBdr>
        <w:left w:val="single" w:color="auto" w:sz="4" w:space="0"/>
        <w:right w:val="single" w:color="auto" w:sz="4" w:space="0"/>
      </w:pBdr>
      <w:spacing w:before="100" w:beforeAutospacing="1" w:after="100" w:afterAutospacing="1"/>
      <w:jc w:val="center"/>
      <w:textAlignment w:val="center"/>
    </w:pPr>
    <w:rPr>
      <w:sz w:val="18"/>
      <w:szCs w:val="18"/>
    </w:rPr>
  </w:style>
  <w:style w:type="paragraph" w:customStyle="1" w:styleId="315">
    <w:name w:val="CM74"/>
    <w:basedOn w:val="250"/>
    <w:next w:val="250"/>
    <w:qFormat/>
    <w:uiPriority w:val="0"/>
    <w:pPr>
      <w:spacing w:after="470" w:line="240" w:lineRule="auto"/>
      <w:jc w:val="left"/>
    </w:pPr>
    <w:rPr>
      <w:rFonts w:ascii="Times New Roman" w:eastAsia="宋体" w:cs="Times New Roman"/>
      <w:color w:val="auto"/>
    </w:rPr>
  </w:style>
  <w:style w:type="paragraph" w:customStyle="1" w:styleId="316">
    <w:name w:val="标准正文B"/>
    <w:basedOn w:val="1"/>
    <w:qFormat/>
    <w:uiPriority w:val="0"/>
  </w:style>
  <w:style w:type="paragraph" w:customStyle="1" w:styleId="317">
    <w:name w:val="样式 xj4 + 首行缩进:  2 字符"/>
    <w:basedOn w:val="318"/>
    <w:qFormat/>
    <w:uiPriority w:val="0"/>
    <w:pPr>
      <w:ind w:firstLine="480"/>
    </w:pPr>
    <w:rPr>
      <w:szCs w:val="20"/>
    </w:rPr>
  </w:style>
  <w:style w:type="paragraph" w:customStyle="1" w:styleId="318">
    <w:name w:val="xj4"/>
    <w:basedOn w:val="1"/>
    <w:qFormat/>
    <w:uiPriority w:val="0"/>
    <w:rPr>
      <w:szCs w:val="28"/>
    </w:rPr>
  </w:style>
  <w:style w:type="paragraph" w:customStyle="1" w:styleId="319">
    <w:name w:val="图"/>
    <w:basedOn w:val="17"/>
    <w:next w:val="1"/>
    <w:qFormat/>
    <w:uiPriority w:val="0"/>
    <w:pPr>
      <w:spacing w:line="360" w:lineRule="exact"/>
      <w:ind w:firstLine="0"/>
      <w:jc w:val="center"/>
    </w:pPr>
    <w:rPr>
      <w:szCs w:val="24"/>
    </w:rPr>
  </w:style>
  <w:style w:type="paragraph" w:customStyle="1" w:styleId="320">
    <w:name w:val="Char Char Char"/>
    <w:basedOn w:val="1"/>
    <w:next w:val="2"/>
    <w:qFormat/>
    <w:uiPriority w:val="0"/>
    <w:rPr>
      <w:szCs w:val="28"/>
    </w:rPr>
  </w:style>
  <w:style w:type="paragraph" w:customStyle="1" w:styleId="321">
    <w:name w:val="Char11"/>
    <w:basedOn w:val="1"/>
    <w:link w:val="322"/>
    <w:qFormat/>
    <w:uiPriority w:val="0"/>
    <w:pPr>
      <w:spacing w:after="160" w:line="240" w:lineRule="exact"/>
      <w:textAlignment w:val="baseline"/>
    </w:pPr>
    <w:rPr>
      <w:rFonts w:ascii="Arial" w:hAnsi="Arial" w:eastAsia="Times New Roman" w:cs="Times New Roman"/>
      <w:b/>
      <w:lang w:val="zh-CN" w:eastAsia="en-US"/>
    </w:rPr>
  </w:style>
  <w:style w:type="character" w:customStyle="1" w:styleId="322">
    <w:name w:val="Char Char48"/>
    <w:link w:val="321"/>
    <w:qFormat/>
    <w:uiPriority w:val="0"/>
    <w:rPr>
      <w:rFonts w:ascii="Arial" w:hAnsi="Arial" w:eastAsia="Times New Roman" w:cs="Verdana"/>
      <w:b/>
      <w:sz w:val="24"/>
      <w:szCs w:val="24"/>
      <w:lang w:eastAsia="en-US"/>
    </w:rPr>
  </w:style>
  <w:style w:type="paragraph" w:customStyle="1" w:styleId="323">
    <w:name w:val="xl5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sz w:val="20"/>
      <w:szCs w:val="20"/>
    </w:rPr>
  </w:style>
  <w:style w:type="paragraph" w:customStyle="1" w:styleId="324">
    <w:name w:val="京唐秦正文2"/>
    <w:basedOn w:val="1"/>
    <w:next w:val="1"/>
    <w:qFormat/>
    <w:uiPriority w:val="0"/>
    <w:pPr>
      <w:tabs>
        <w:tab w:val="left" w:pos="700"/>
      </w:tabs>
      <w:spacing w:beforeLines="50"/>
      <w:ind w:firstLine="424"/>
    </w:pPr>
    <w:rPr>
      <w:bCs/>
      <w:lang w:eastAsia="en-US"/>
    </w:rPr>
  </w:style>
  <w:style w:type="paragraph" w:customStyle="1" w:styleId="325">
    <w:name w:val="公式"/>
    <w:basedOn w:val="1"/>
    <w:next w:val="1"/>
    <w:qFormat/>
    <w:uiPriority w:val="0"/>
    <w:pPr>
      <w:spacing w:line="400" w:lineRule="exact"/>
      <w:jc w:val="center"/>
    </w:pPr>
    <w:rPr>
      <w:kern w:val="24"/>
    </w:rPr>
  </w:style>
  <w:style w:type="paragraph" w:customStyle="1" w:styleId="326">
    <w:name w:val="纯文本1"/>
    <w:basedOn w:val="1"/>
    <w:qFormat/>
    <w:uiPriority w:val="0"/>
    <w:pPr>
      <w:textAlignment w:val="baseline"/>
    </w:pPr>
    <w:rPr>
      <w:rFonts w:hAnsi="Courier New"/>
      <w:szCs w:val="20"/>
    </w:rPr>
  </w:style>
  <w:style w:type="paragraph" w:customStyle="1" w:styleId="327">
    <w:name w:val="标题 11"/>
    <w:basedOn w:val="1"/>
    <w:qFormat/>
    <w:uiPriority w:val="1"/>
    <w:pPr>
      <w:autoSpaceDE w:val="0"/>
      <w:autoSpaceDN w:val="0"/>
      <w:outlineLvl w:val="0"/>
    </w:pPr>
    <w:rPr>
      <w:sz w:val="36"/>
      <w:szCs w:val="36"/>
    </w:rPr>
  </w:style>
  <w:style w:type="paragraph" w:customStyle="1" w:styleId="328">
    <w:name w:val="样式 样式 首行缩进:  2 字符 + 首行缩进:  1.06 厘米"/>
    <w:basedOn w:val="1"/>
    <w:qFormat/>
    <w:uiPriority w:val="0"/>
    <w:pPr>
      <w:spacing w:line="520" w:lineRule="exact"/>
      <w:ind w:firstLine="601"/>
    </w:pPr>
    <w:rPr>
      <w:snapToGrid w:val="0"/>
      <w:spacing w:val="10"/>
      <w:kern w:val="24"/>
      <w:szCs w:val="20"/>
    </w:rPr>
  </w:style>
  <w:style w:type="paragraph" w:customStyle="1" w:styleId="329">
    <w:name w:val="标题5"/>
    <w:basedOn w:val="1"/>
    <w:qFormat/>
    <w:uiPriority w:val="0"/>
    <w:pPr>
      <w:outlineLvl w:val="2"/>
    </w:pPr>
    <w:rPr>
      <w:rFonts w:ascii="黑体" w:eastAsia="黑体"/>
      <w:b/>
    </w:rPr>
  </w:style>
  <w:style w:type="paragraph" w:customStyle="1" w:styleId="330">
    <w:name w:val="font13"/>
    <w:basedOn w:val="1"/>
    <w:qFormat/>
    <w:uiPriority w:val="0"/>
    <w:pPr>
      <w:spacing w:before="100" w:beforeAutospacing="1" w:after="100" w:afterAutospacing="1"/>
    </w:pPr>
    <w:rPr>
      <w:rFonts w:eastAsia="Arial Unicode MS"/>
      <w:b/>
      <w:bCs/>
      <w:color w:val="0000FF"/>
      <w:sz w:val="48"/>
      <w:szCs w:val="48"/>
    </w:rPr>
  </w:style>
  <w:style w:type="paragraph" w:customStyle="1" w:styleId="331">
    <w:name w:val="能力-标题3"/>
    <w:next w:val="259"/>
    <w:qFormat/>
    <w:uiPriority w:val="0"/>
    <w:pPr>
      <w:numPr>
        <w:ilvl w:val="2"/>
        <w:numId w:val="2"/>
      </w:numPr>
      <w:spacing w:line="360" w:lineRule="auto"/>
      <w:jc w:val="center"/>
      <w:outlineLvl w:val="2"/>
    </w:pPr>
    <w:rPr>
      <w:rFonts w:ascii="Times New Roman" w:hAnsi="Times New Roman" w:eastAsia="宋体" w:cs="Times New Roman"/>
      <w:b/>
      <w:kern w:val="2"/>
      <w:sz w:val="24"/>
      <w:szCs w:val="22"/>
      <w:lang w:val="en-US" w:eastAsia="zh-CN" w:bidi="ar-SA"/>
    </w:rPr>
  </w:style>
  <w:style w:type="paragraph" w:customStyle="1" w:styleId="332">
    <w:name w:val="c"/>
    <w:qFormat/>
    <w:uiPriority w:val="0"/>
    <w:pPr>
      <w:widowControl w:val="0"/>
      <w:autoSpaceDE w:val="0"/>
      <w:autoSpaceDN w:val="0"/>
      <w:adjustRightInd w:val="0"/>
      <w:jc w:val="both"/>
    </w:pPr>
    <w:rPr>
      <w:rFonts w:ascii="Arial" w:hAnsi="Arial" w:eastAsia="宋体" w:cs="Times New Roman"/>
      <w:sz w:val="24"/>
      <w:szCs w:val="24"/>
      <w:lang w:val="en-US" w:eastAsia="zh-CN" w:bidi="ar-SA"/>
    </w:rPr>
  </w:style>
  <w:style w:type="paragraph" w:customStyle="1" w:styleId="333">
    <w:name w:val="font12"/>
    <w:basedOn w:val="1"/>
    <w:qFormat/>
    <w:uiPriority w:val="0"/>
    <w:pPr>
      <w:spacing w:before="100" w:beforeAutospacing="1" w:after="100" w:afterAutospacing="1"/>
    </w:pPr>
    <w:rPr>
      <w:rFonts w:hint="eastAsia"/>
      <w:color w:val="0000FF"/>
      <w:sz w:val="20"/>
      <w:szCs w:val="20"/>
    </w:rPr>
  </w:style>
  <w:style w:type="paragraph" w:customStyle="1" w:styleId="334">
    <w:name w:val="CM85"/>
    <w:basedOn w:val="250"/>
    <w:next w:val="250"/>
    <w:qFormat/>
    <w:uiPriority w:val="0"/>
    <w:pPr>
      <w:spacing w:line="396" w:lineRule="atLeast"/>
      <w:jc w:val="left"/>
    </w:pPr>
    <w:rPr>
      <w:rFonts w:ascii="黑体" w:eastAsia="黑体" w:cs="Times New Roman"/>
      <w:color w:val="auto"/>
    </w:rPr>
  </w:style>
  <w:style w:type="paragraph" w:customStyle="1" w:styleId="335">
    <w:name w:val="样式 (西文) Arial (中文) 黑体 小四 红色 段前: 5 磅 段后: 5 磅 行距: 1.5 倍行距"/>
    <w:basedOn w:val="1"/>
    <w:qFormat/>
    <w:uiPriority w:val="0"/>
    <w:pPr>
      <w:spacing w:line="480" w:lineRule="auto"/>
      <w:ind w:right="-120" w:rightChars="-57"/>
    </w:pPr>
    <w:rPr>
      <w:rFonts w:ascii="Arial" w:hAnsi="Arial" w:eastAsia="黑体"/>
      <w:szCs w:val="20"/>
    </w:rPr>
  </w:style>
  <w:style w:type="paragraph" w:customStyle="1" w:styleId="336">
    <w:name w:val="font10"/>
    <w:basedOn w:val="1"/>
    <w:qFormat/>
    <w:uiPriority w:val="0"/>
    <w:pPr>
      <w:spacing w:before="100" w:beforeAutospacing="1" w:after="100" w:afterAutospacing="1"/>
    </w:pPr>
    <w:rPr>
      <w:rFonts w:eastAsia="Arial Unicode MS"/>
      <w:color w:val="0000FF"/>
      <w:sz w:val="20"/>
      <w:szCs w:val="20"/>
    </w:rPr>
  </w:style>
  <w:style w:type="paragraph" w:customStyle="1" w:styleId="337">
    <w:name w:val="CM60"/>
    <w:basedOn w:val="250"/>
    <w:next w:val="250"/>
    <w:qFormat/>
    <w:uiPriority w:val="0"/>
    <w:pPr>
      <w:spacing w:line="240" w:lineRule="auto"/>
      <w:jc w:val="left"/>
    </w:pPr>
    <w:rPr>
      <w:rFonts w:ascii="黑体" w:eastAsia="黑体" w:cs="Times New Roman"/>
      <w:color w:val="auto"/>
    </w:rPr>
  </w:style>
  <w:style w:type="paragraph" w:customStyle="1" w:styleId="338">
    <w:name w:val="1"/>
    <w:basedOn w:val="1"/>
    <w:next w:val="37"/>
    <w:qFormat/>
    <w:uiPriority w:val="0"/>
    <w:rPr>
      <w:rFonts w:hAnsi="Courier New"/>
      <w:szCs w:val="20"/>
    </w:rPr>
  </w:style>
  <w:style w:type="paragraph" w:customStyle="1" w:styleId="339">
    <w:name w:val="xl73"/>
    <w:basedOn w:val="1"/>
    <w:qFormat/>
    <w:uiPriority w:val="0"/>
    <w:pPr>
      <w:pBdr>
        <w:left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40">
    <w:name w:val="表格标题"/>
    <w:basedOn w:val="1"/>
    <w:next w:val="293"/>
    <w:qFormat/>
    <w:uiPriority w:val="0"/>
    <w:pPr>
      <w:keepNext/>
      <w:overflowPunct w:val="0"/>
      <w:spacing w:before="360" w:after="120" w:line="480" w:lineRule="exact"/>
      <w:jc w:val="center"/>
      <w:textAlignment w:val="baseline"/>
    </w:pPr>
    <w:rPr>
      <w:rFonts w:ascii="Arial" w:hAnsi="Arial" w:eastAsia="黑体"/>
      <w:szCs w:val="20"/>
    </w:rPr>
  </w:style>
  <w:style w:type="paragraph" w:customStyle="1" w:styleId="341">
    <w:name w:val="CM10"/>
    <w:basedOn w:val="250"/>
    <w:next w:val="250"/>
    <w:qFormat/>
    <w:uiPriority w:val="0"/>
    <w:pPr>
      <w:spacing w:line="393" w:lineRule="atLeast"/>
      <w:jc w:val="left"/>
    </w:pPr>
    <w:rPr>
      <w:rFonts w:ascii="黑体" w:eastAsia="黑体" w:cs="Times New Roman"/>
      <w:color w:val="auto"/>
    </w:rPr>
  </w:style>
  <w:style w:type="paragraph" w:customStyle="1" w:styleId="342">
    <w:name w:val="_Style 2"/>
    <w:basedOn w:val="11"/>
    <w:qFormat/>
    <w:uiPriority w:val="0"/>
    <w:pPr>
      <w:tabs>
        <w:tab w:val="left" w:pos="405"/>
      </w:tabs>
      <w:textAlignment w:val="baseline"/>
    </w:pPr>
    <w:rPr>
      <w:rFonts w:eastAsia="宋体"/>
      <w:b w:val="0"/>
      <w:bCs w:val="0"/>
      <w:sz w:val="32"/>
    </w:rPr>
  </w:style>
  <w:style w:type="paragraph" w:customStyle="1" w:styleId="343">
    <w:name w:val="能力-表格正文"/>
    <w:basedOn w:val="259"/>
    <w:qFormat/>
    <w:uiPriority w:val="0"/>
    <w:pPr>
      <w:spacing w:line="240" w:lineRule="auto"/>
      <w:ind w:firstLine="0" w:firstLineChars="0"/>
      <w:jc w:val="center"/>
    </w:pPr>
    <w:rPr>
      <w:sz w:val="21"/>
    </w:rPr>
  </w:style>
  <w:style w:type="paragraph" w:customStyle="1" w:styleId="344">
    <w:name w:val="xl74"/>
    <w:basedOn w:val="1"/>
    <w:qFormat/>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45">
    <w:name w:val="xl77"/>
    <w:basedOn w:val="1"/>
    <w:qFormat/>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sz w:val="18"/>
      <w:szCs w:val="18"/>
    </w:rPr>
  </w:style>
  <w:style w:type="paragraph" w:customStyle="1" w:styleId="346">
    <w:name w:val="xl4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b/>
      <w:bCs/>
      <w:sz w:val="18"/>
      <w:szCs w:val="18"/>
    </w:rPr>
  </w:style>
  <w:style w:type="paragraph" w:customStyle="1" w:styleId="347">
    <w:name w:val="Char2 Char Char Char Char Char Char"/>
    <w:basedOn w:val="1"/>
    <w:qFormat/>
    <w:uiPriority w:val="0"/>
    <w:pPr>
      <w:autoSpaceDE w:val="0"/>
      <w:autoSpaceDN w:val="0"/>
      <w:spacing w:before="50" w:after="50"/>
      <w:ind w:firstLine="560"/>
    </w:pPr>
    <w:rPr>
      <w:rFonts w:eastAsia="仿宋_GB2312"/>
      <w:color w:val="000000"/>
    </w:rPr>
  </w:style>
  <w:style w:type="paragraph" w:customStyle="1" w:styleId="348">
    <w:name w:val="CM53"/>
    <w:basedOn w:val="250"/>
    <w:next w:val="250"/>
    <w:qFormat/>
    <w:uiPriority w:val="0"/>
    <w:pPr>
      <w:spacing w:line="631" w:lineRule="atLeast"/>
      <w:jc w:val="left"/>
    </w:pPr>
    <w:rPr>
      <w:rFonts w:ascii="黑体" w:eastAsia="黑体" w:cs="Times New Roman"/>
      <w:color w:val="auto"/>
    </w:rPr>
  </w:style>
  <w:style w:type="paragraph" w:customStyle="1" w:styleId="349">
    <w:name w:val="CM39"/>
    <w:basedOn w:val="250"/>
    <w:next w:val="250"/>
    <w:qFormat/>
    <w:uiPriority w:val="0"/>
    <w:pPr>
      <w:spacing w:line="426" w:lineRule="atLeast"/>
      <w:jc w:val="left"/>
    </w:pPr>
    <w:rPr>
      <w:rFonts w:ascii="黑体" w:eastAsia="黑体" w:cs="Times New Roman"/>
      <w:color w:val="auto"/>
    </w:rPr>
  </w:style>
  <w:style w:type="paragraph" w:customStyle="1" w:styleId="350">
    <w:name w:val="Char Char Char Char Char Char"/>
    <w:basedOn w:val="1"/>
    <w:next w:val="2"/>
    <w:qFormat/>
    <w:uiPriority w:val="0"/>
    <w:rPr>
      <w:szCs w:val="28"/>
    </w:rPr>
  </w:style>
  <w:style w:type="paragraph" w:customStyle="1" w:styleId="351">
    <w:name w:val="xl4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52">
    <w:name w:val="xl4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32"/>
      <w:szCs w:val="32"/>
    </w:rPr>
  </w:style>
  <w:style w:type="paragraph" w:customStyle="1" w:styleId="353">
    <w:name w:val="xl76"/>
    <w:basedOn w:val="1"/>
    <w:qFormat/>
    <w:uiPriority w:val="0"/>
    <w:pPr>
      <w:pBdr>
        <w:bottom w:val="single" w:color="auto" w:sz="4" w:space="0"/>
        <w:right w:val="single" w:color="auto" w:sz="4" w:space="0"/>
      </w:pBdr>
      <w:spacing w:before="100" w:beforeAutospacing="1" w:after="100" w:afterAutospacing="1"/>
      <w:textAlignment w:val="center"/>
    </w:pPr>
    <w:rPr>
      <w:b/>
      <w:bCs/>
      <w:sz w:val="32"/>
      <w:szCs w:val="32"/>
    </w:rPr>
  </w:style>
  <w:style w:type="paragraph" w:customStyle="1" w:styleId="354">
    <w:name w:val="Char Char Char Char Char Char Char Char Char Char"/>
    <w:basedOn w:val="1"/>
    <w:qFormat/>
    <w:uiPriority w:val="0"/>
    <w:rPr>
      <w:szCs w:val="21"/>
    </w:rPr>
  </w:style>
  <w:style w:type="paragraph" w:customStyle="1" w:styleId="355">
    <w:name w:val="CM165"/>
    <w:basedOn w:val="250"/>
    <w:next w:val="250"/>
    <w:qFormat/>
    <w:uiPriority w:val="0"/>
    <w:pPr>
      <w:spacing w:after="160" w:line="240" w:lineRule="auto"/>
      <w:jc w:val="left"/>
    </w:pPr>
    <w:rPr>
      <w:rFonts w:ascii="黑体" w:eastAsia="黑体" w:cs="Times New Roman"/>
      <w:color w:val="auto"/>
    </w:rPr>
  </w:style>
  <w:style w:type="paragraph" w:customStyle="1" w:styleId="356">
    <w:name w:val="正文文本缩进 31"/>
    <w:basedOn w:val="1"/>
    <w:qFormat/>
    <w:uiPriority w:val="0"/>
    <w:pPr>
      <w:spacing w:line="300" w:lineRule="auto"/>
      <w:ind w:firstLine="560"/>
    </w:pPr>
  </w:style>
  <w:style w:type="paragraph" w:customStyle="1" w:styleId="357">
    <w:name w:val="xl4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sz w:val="18"/>
      <w:szCs w:val="18"/>
    </w:rPr>
  </w:style>
  <w:style w:type="paragraph" w:customStyle="1" w:styleId="358">
    <w:name w:val="Plain Text1"/>
    <w:basedOn w:val="1"/>
    <w:qFormat/>
    <w:uiPriority w:val="0"/>
    <w:pPr>
      <w:textAlignment w:val="baseline"/>
    </w:pPr>
    <w:rPr>
      <w:rFonts w:hAnsi="Courier New"/>
    </w:rPr>
  </w:style>
  <w:style w:type="paragraph" w:customStyle="1" w:styleId="359">
    <w:name w:val="普通2"/>
    <w:basedOn w:val="1"/>
    <w:qFormat/>
    <w:uiPriority w:val="0"/>
    <w:pPr>
      <w:autoSpaceDE w:val="0"/>
      <w:autoSpaceDN w:val="0"/>
      <w:spacing w:line="360" w:lineRule="exact"/>
      <w:ind w:left="618"/>
    </w:pPr>
    <w:rPr>
      <w:snapToGrid w:val="0"/>
    </w:rPr>
  </w:style>
  <w:style w:type="paragraph" w:customStyle="1" w:styleId="360">
    <w:name w:val="CM81"/>
    <w:basedOn w:val="250"/>
    <w:next w:val="250"/>
    <w:qFormat/>
    <w:uiPriority w:val="0"/>
    <w:pPr>
      <w:spacing w:line="553" w:lineRule="atLeast"/>
      <w:jc w:val="left"/>
    </w:pPr>
    <w:rPr>
      <w:rFonts w:ascii="黑体" w:eastAsia="黑体" w:cs="Times New Roman"/>
      <w:color w:val="auto"/>
    </w:rPr>
  </w:style>
  <w:style w:type="paragraph" w:customStyle="1" w:styleId="361">
    <w:name w:val="Char1"/>
    <w:basedOn w:val="1"/>
    <w:qFormat/>
    <w:uiPriority w:val="0"/>
    <w:rPr>
      <w:szCs w:val="20"/>
    </w:rPr>
  </w:style>
  <w:style w:type="paragraph" w:customStyle="1" w:styleId="362">
    <w:name w:val="xl6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2"/>
      <w:szCs w:val="22"/>
    </w:rPr>
  </w:style>
  <w:style w:type="paragraph" w:customStyle="1" w:styleId="363">
    <w:name w:val="_Style 8"/>
    <w:basedOn w:val="1"/>
    <w:qFormat/>
    <w:uiPriority w:val="0"/>
    <w:pPr>
      <w:spacing w:after="160" w:line="240" w:lineRule="exact"/>
    </w:pPr>
    <w:rPr>
      <w:rFonts w:ascii="仿宋_GB2312" w:hAnsi="Verdana" w:eastAsia="仿宋_GB2312"/>
      <w:szCs w:val="28"/>
      <w:lang w:eastAsia="en-US"/>
    </w:rPr>
  </w:style>
  <w:style w:type="paragraph" w:customStyle="1" w:styleId="364">
    <w:name w:val="小表中"/>
    <w:basedOn w:val="1"/>
    <w:qFormat/>
    <w:uiPriority w:val="0"/>
    <w:rPr>
      <w:szCs w:val="21"/>
    </w:rPr>
  </w:style>
  <w:style w:type="paragraph" w:customStyle="1" w:styleId="365">
    <w:name w:val="CM159"/>
    <w:basedOn w:val="250"/>
    <w:next w:val="250"/>
    <w:qFormat/>
    <w:uiPriority w:val="0"/>
    <w:pPr>
      <w:spacing w:after="440" w:line="240" w:lineRule="auto"/>
      <w:jc w:val="left"/>
    </w:pPr>
    <w:rPr>
      <w:rFonts w:ascii="黑体" w:eastAsia="黑体" w:cs="Times New Roman"/>
      <w:color w:val="auto"/>
    </w:rPr>
  </w:style>
  <w:style w:type="paragraph" w:customStyle="1" w:styleId="366">
    <w:name w:val="font9"/>
    <w:basedOn w:val="1"/>
    <w:qFormat/>
    <w:uiPriority w:val="0"/>
    <w:pPr>
      <w:spacing w:before="100" w:beforeAutospacing="1" w:after="100" w:afterAutospacing="1"/>
    </w:pPr>
    <w:rPr>
      <w:rFonts w:eastAsia="Arial Unicode MS"/>
      <w:color w:val="0000FF"/>
    </w:rPr>
  </w:style>
  <w:style w:type="paragraph" w:customStyle="1" w:styleId="367">
    <w:name w:val="xl28"/>
    <w:basedOn w:val="1"/>
    <w:qFormat/>
    <w:uiPriority w:val="0"/>
    <w:pPr>
      <w:spacing w:before="100" w:beforeAutospacing="1" w:after="100" w:afterAutospacing="1"/>
      <w:ind w:firstLine="100" w:firstLineChars="100"/>
      <w:textAlignment w:val="center"/>
    </w:pPr>
    <w:rPr>
      <w:rFonts w:ascii="Arial Unicode MS" w:hAnsi="Arial Unicode MS" w:eastAsia="Arial Unicode MS"/>
      <w:b/>
      <w:bCs/>
      <w:color w:val="0000FF"/>
      <w:sz w:val="20"/>
      <w:szCs w:val="20"/>
    </w:rPr>
  </w:style>
  <w:style w:type="paragraph" w:customStyle="1" w:styleId="368">
    <w:name w:val="xl38"/>
    <w:basedOn w:val="1"/>
    <w:qFormat/>
    <w:uiPriority w:val="0"/>
    <w:pPr>
      <w:pBdr>
        <w:top w:val="single" w:color="auto" w:sz="4" w:space="0"/>
        <w:left w:val="single" w:color="auto" w:sz="4" w:space="20"/>
        <w:bottom w:val="single" w:color="auto" w:sz="4" w:space="0"/>
        <w:right w:val="single" w:color="auto" w:sz="4" w:space="0"/>
      </w:pBdr>
      <w:spacing w:before="100" w:beforeAutospacing="1" w:after="100" w:afterAutospacing="1"/>
      <w:ind w:firstLine="100" w:firstLineChars="100"/>
      <w:textAlignment w:val="center"/>
    </w:pPr>
    <w:rPr>
      <w:rFonts w:ascii="Arial Unicode MS" w:hAnsi="Arial Unicode MS" w:eastAsia="Arial Unicode MS"/>
      <w:color w:val="0000FF"/>
      <w:sz w:val="20"/>
      <w:szCs w:val="20"/>
    </w:rPr>
  </w:style>
  <w:style w:type="paragraph" w:customStyle="1" w:styleId="369">
    <w:name w:val="3"/>
    <w:basedOn w:val="1"/>
    <w:next w:val="37"/>
    <w:qFormat/>
    <w:uiPriority w:val="0"/>
    <w:rPr>
      <w:rFonts w:hAnsi="Courier New"/>
      <w:szCs w:val="20"/>
    </w:rPr>
  </w:style>
  <w:style w:type="paragraph" w:customStyle="1" w:styleId="370">
    <w:name w:val="表名"/>
    <w:qFormat/>
    <w:uiPriority w:val="0"/>
    <w:pPr>
      <w:widowControl w:val="0"/>
      <w:adjustRightInd w:val="0"/>
      <w:snapToGrid w:val="0"/>
      <w:spacing w:after="120"/>
      <w:ind w:left="284" w:right="284"/>
      <w:jc w:val="center"/>
      <w:textAlignment w:val="baseline"/>
    </w:pPr>
    <w:rPr>
      <w:rFonts w:ascii="Times New Roman" w:hAnsi="Times New Roman" w:eastAsia="黑体" w:cs="Times New Roman"/>
      <w:sz w:val="24"/>
      <w:lang w:val="en-US" w:eastAsia="zh-CN" w:bidi="ar-SA"/>
    </w:rPr>
  </w:style>
  <w:style w:type="paragraph" w:customStyle="1" w:styleId="371">
    <w:name w:val="表格文字2"/>
    <w:basedOn w:val="1"/>
    <w:qFormat/>
    <w:uiPriority w:val="0"/>
    <w:pPr>
      <w:spacing w:line="420" w:lineRule="exact"/>
      <w:jc w:val="center"/>
    </w:pPr>
    <w:rPr>
      <w:snapToGrid w:val="0"/>
      <w:spacing w:val="6"/>
      <w:kern w:val="24"/>
    </w:rPr>
  </w:style>
  <w:style w:type="paragraph" w:customStyle="1" w:styleId="372">
    <w:name w:val="xl4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u w:val="single"/>
    </w:rPr>
  </w:style>
  <w:style w:type="paragraph" w:customStyle="1" w:styleId="373">
    <w:name w:val="a9"/>
    <w:basedOn w:val="1"/>
    <w:qFormat/>
    <w:uiPriority w:val="0"/>
    <w:pPr>
      <w:spacing w:before="100" w:beforeAutospacing="1" w:after="100" w:afterAutospacing="1"/>
    </w:pPr>
    <w:rPr>
      <w:color w:val="000000"/>
    </w:rPr>
  </w:style>
  <w:style w:type="paragraph" w:customStyle="1" w:styleId="374">
    <w:name w:val="xl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18"/>
      <w:szCs w:val="18"/>
    </w:rPr>
  </w:style>
  <w:style w:type="paragraph" w:customStyle="1" w:styleId="375">
    <w:name w:val="CM5"/>
    <w:basedOn w:val="250"/>
    <w:next w:val="250"/>
    <w:qFormat/>
    <w:uiPriority w:val="0"/>
    <w:pPr>
      <w:spacing w:line="533" w:lineRule="atLeast"/>
      <w:jc w:val="left"/>
    </w:pPr>
    <w:rPr>
      <w:rFonts w:ascii="黑体" w:eastAsia="黑体" w:cs="Times New Roman"/>
      <w:color w:val="auto"/>
    </w:rPr>
  </w:style>
  <w:style w:type="paragraph" w:customStyle="1" w:styleId="376">
    <w:name w:val="CM13"/>
    <w:basedOn w:val="250"/>
    <w:next w:val="250"/>
    <w:qFormat/>
    <w:uiPriority w:val="0"/>
    <w:pPr>
      <w:spacing w:line="391" w:lineRule="atLeast"/>
      <w:jc w:val="left"/>
    </w:pPr>
    <w:rPr>
      <w:rFonts w:ascii="黑体" w:eastAsia="黑体" w:cs="Times New Roman"/>
      <w:color w:val="auto"/>
    </w:rPr>
  </w:style>
  <w:style w:type="paragraph" w:customStyle="1" w:styleId="377">
    <w:name w:val="Char Char Char Char Char Char Char Char Char Char Char Char Char Char Char Char"/>
    <w:basedOn w:val="1"/>
    <w:qFormat/>
    <w:uiPriority w:val="0"/>
  </w:style>
  <w:style w:type="paragraph" w:customStyle="1" w:styleId="378">
    <w:name w:val="正文文字缩进3"/>
    <w:basedOn w:val="1"/>
    <w:qFormat/>
    <w:uiPriority w:val="0"/>
    <w:pPr>
      <w:spacing w:line="440" w:lineRule="atLeast"/>
      <w:ind w:left="1372" w:firstLine="408"/>
    </w:pPr>
    <w:rPr>
      <w:spacing w:val="10"/>
      <w:kern w:val="24"/>
      <w:szCs w:val="20"/>
    </w:rPr>
  </w:style>
  <w:style w:type="paragraph" w:customStyle="1" w:styleId="379">
    <w:name w:val="font8"/>
    <w:basedOn w:val="1"/>
    <w:qFormat/>
    <w:uiPriority w:val="0"/>
    <w:pPr>
      <w:spacing w:before="100" w:beforeAutospacing="1" w:after="100" w:afterAutospacing="1"/>
    </w:pPr>
    <w:rPr>
      <w:rFonts w:hint="eastAsia"/>
      <w:color w:val="0000FF"/>
      <w:sz w:val="20"/>
      <w:szCs w:val="20"/>
    </w:rPr>
  </w:style>
  <w:style w:type="paragraph" w:customStyle="1" w:styleId="380">
    <w:name w:val="内容"/>
    <w:basedOn w:val="1"/>
    <w:qFormat/>
    <w:uiPriority w:val="0"/>
    <w:pPr>
      <w:tabs>
        <w:tab w:val="left" w:pos="5725"/>
        <w:tab w:val="left" w:pos="5880"/>
      </w:tabs>
      <w:spacing w:line="500" w:lineRule="exact"/>
      <w:ind w:right="240"/>
      <w:jc w:val="center"/>
    </w:pPr>
    <w:rPr>
      <w:snapToGrid w:val="0"/>
      <w:kern w:val="44"/>
    </w:rPr>
  </w:style>
  <w:style w:type="paragraph" w:customStyle="1" w:styleId="381">
    <w:name w:val="dow表"/>
    <w:basedOn w:val="1"/>
    <w:qFormat/>
    <w:uiPriority w:val="0"/>
    <w:pPr>
      <w:spacing w:line="350" w:lineRule="exact"/>
    </w:pPr>
    <w:rPr>
      <w:rFonts w:ascii="黑体" w:eastAsia="黑体"/>
      <w:w w:val="97"/>
      <w:kern w:val="21"/>
    </w:rPr>
  </w:style>
  <w:style w:type="paragraph" w:customStyle="1" w:styleId="382">
    <w:name w:val="font7"/>
    <w:basedOn w:val="1"/>
    <w:qFormat/>
    <w:uiPriority w:val="0"/>
    <w:pPr>
      <w:spacing w:before="100" w:beforeAutospacing="1" w:after="100" w:afterAutospacing="1"/>
    </w:pPr>
    <w:rPr>
      <w:rFonts w:hint="eastAsia"/>
      <w:color w:val="0000FF"/>
    </w:rPr>
  </w:style>
  <w:style w:type="paragraph" w:customStyle="1" w:styleId="383">
    <w:name w:val="9点"/>
    <w:basedOn w:val="1"/>
    <w:qFormat/>
    <w:uiPriority w:val="0"/>
    <w:rPr>
      <w:szCs w:val="21"/>
    </w:rPr>
  </w:style>
  <w:style w:type="paragraph" w:customStyle="1" w:styleId="384">
    <w:name w:val="样式6"/>
    <w:basedOn w:val="11"/>
    <w:qFormat/>
    <w:uiPriority w:val="0"/>
    <w:pPr>
      <w:spacing w:before="80" w:after="80" w:line="520" w:lineRule="exact"/>
      <w:ind w:left="420" w:firstLine="200" w:firstLineChars="200"/>
    </w:pPr>
    <w:rPr>
      <w:b w:val="0"/>
      <w:bCs w:val="0"/>
      <w:snapToGrid/>
      <w:kern w:val="24"/>
    </w:rPr>
  </w:style>
  <w:style w:type="paragraph" w:customStyle="1" w:styleId="385">
    <w:name w:val="xl3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olor w:val="0000FF"/>
      <w:sz w:val="20"/>
      <w:szCs w:val="20"/>
    </w:rPr>
  </w:style>
  <w:style w:type="paragraph" w:customStyle="1" w:styleId="386">
    <w:name w:val="xl5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sz w:val="20"/>
      <w:szCs w:val="20"/>
    </w:rPr>
  </w:style>
  <w:style w:type="paragraph" w:customStyle="1" w:styleId="387">
    <w:name w:val="xl29"/>
    <w:basedOn w:val="1"/>
    <w:qFormat/>
    <w:uiPriority w:val="0"/>
    <w:pPr>
      <w:spacing w:before="100" w:beforeAutospacing="1" w:after="100" w:afterAutospacing="1"/>
      <w:jc w:val="center"/>
      <w:textAlignment w:val="center"/>
    </w:pPr>
    <w:rPr>
      <w:rFonts w:ascii="Arial Unicode MS" w:hAnsi="Arial Unicode MS" w:eastAsia="Arial Unicode MS"/>
      <w:color w:val="0000FF"/>
      <w:sz w:val="20"/>
      <w:szCs w:val="20"/>
    </w:rPr>
  </w:style>
  <w:style w:type="paragraph" w:customStyle="1" w:styleId="388">
    <w:name w:val="样式9"/>
    <w:basedOn w:val="11"/>
    <w:qFormat/>
    <w:uiPriority w:val="0"/>
    <w:pPr>
      <w:spacing w:before="80" w:after="80" w:line="520" w:lineRule="exact"/>
      <w:ind w:left="420" w:firstLine="200" w:firstLineChars="200"/>
    </w:pPr>
    <w:rPr>
      <w:b w:val="0"/>
      <w:bCs w:val="0"/>
      <w:snapToGrid/>
      <w:kern w:val="24"/>
    </w:rPr>
  </w:style>
  <w:style w:type="paragraph" w:customStyle="1" w:styleId="389">
    <w:name w:val="xl31"/>
    <w:basedOn w:val="1"/>
    <w:qFormat/>
    <w:uiPriority w:val="0"/>
    <w:pPr>
      <w:pBdr>
        <w:top w:val="single" w:color="auto" w:sz="4" w:space="0"/>
        <w:left w:val="single" w:color="auto" w:sz="4" w:space="20"/>
        <w:bottom w:val="single" w:color="auto" w:sz="4" w:space="0"/>
        <w:right w:val="single" w:color="auto" w:sz="4" w:space="0"/>
      </w:pBdr>
      <w:spacing w:before="100" w:beforeAutospacing="1" w:after="100" w:afterAutospacing="1"/>
      <w:ind w:firstLine="100" w:firstLineChars="100"/>
      <w:textAlignment w:val="center"/>
    </w:pPr>
    <w:rPr>
      <w:rFonts w:ascii="Arial Unicode MS" w:hAnsi="Arial Unicode MS" w:eastAsia="Arial Unicode MS"/>
      <w:color w:val="0000FF"/>
    </w:rPr>
  </w:style>
  <w:style w:type="paragraph" w:customStyle="1" w:styleId="390">
    <w:name w:val="正文3"/>
    <w:basedOn w:val="1"/>
    <w:link w:val="391"/>
    <w:qFormat/>
    <w:uiPriority w:val="0"/>
    <w:pPr>
      <w:spacing w:line="500" w:lineRule="exact"/>
      <w:ind w:firstLine="560"/>
    </w:pPr>
    <w:rPr>
      <w:szCs w:val="28"/>
    </w:rPr>
  </w:style>
  <w:style w:type="character" w:customStyle="1" w:styleId="391">
    <w:name w:val="正文3 Char"/>
    <w:link w:val="390"/>
    <w:qFormat/>
    <w:uiPriority w:val="0"/>
    <w:rPr>
      <w:rFonts w:ascii="宋体" w:hAnsi="宋体" w:eastAsia="仿宋_GB2312" w:cs="宋体"/>
      <w:color w:val="auto"/>
      <w:sz w:val="28"/>
      <w:szCs w:val="28"/>
      <w:lang w:val="en-US" w:eastAsia="en-US"/>
    </w:rPr>
  </w:style>
  <w:style w:type="paragraph" w:customStyle="1" w:styleId="392">
    <w:name w:val="1.1.1"/>
    <w:basedOn w:val="1"/>
    <w:qFormat/>
    <w:uiPriority w:val="0"/>
    <w:pPr>
      <w:textAlignment w:val="baseline"/>
    </w:pPr>
    <w:rPr>
      <w:spacing w:val="10"/>
    </w:rPr>
  </w:style>
  <w:style w:type="paragraph" w:customStyle="1" w:styleId="393">
    <w:name w:val="CM162"/>
    <w:basedOn w:val="250"/>
    <w:next w:val="250"/>
    <w:qFormat/>
    <w:uiPriority w:val="0"/>
    <w:pPr>
      <w:spacing w:after="253" w:line="240" w:lineRule="auto"/>
      <w:jc w:val="left"/>
    </w:pPr>
    <w:rPr>
      <w:rFonts w:ascii="黑体" w:eastAsia="黑体" w:cs="Times New Roman"/>
      <w:color w:val="auto"/>
    </w:rPr>
  </w:style>
  <w:style w:type="paragraph" w:customStyle="1" w:styleId="394">
    <w:name w:val="xl24"/>
    <w:basedOn w:val="1"/>
    <w:qFormat/>
    <w:uiPriority w:val="0"/>
    <w:pPr>
      <w:spacing w:before="100" w:beforeAutospacing="1" w:after="100" w:afterAutospacing="1"/>
      <w:textAlignment w:val="center"/>
    </w:pPr>
    <w:rPr>
      <w:rFonts w:ascii="Arial Unicode MS" w:hAnsi="Arial Unicode MS" w:eastAsia="Arial Unicode MS"/>
      <w:b/>
      <w:bCs/>
      <w:color w:val="0000FF"/>
      <w:sz w:val="48"/>
      <w:szCs w:val="48"/>
    </w:rPr>
  </w:style>
  <w:style w:type="paragraph" w:customStyle="1" w:styleId="395">
    <w:name w:val="0"/>
    <w:basedOn w:val="1"/>
    <w:qFormat/>
    <w:uiPriority w:val="0"/>
    <w:pPr>
      <w:spacing w:line="365" w:lineRule="atLeast"/>
      <w:ind w:left="1"/>
      <w:textAlignment w:val="bottom"/>
    </w:pPr>
    <w:rPr>
      <w:sz w:val="20"/>
      <w:szCs w:val="20"/>
    </w:rPr>
  </w:style>
  <w:style w:type="paragraph" w:customStyle="1" w:styleId="396">
    <w:name w:val="CM14"/>
    <w:basedOn w:val="250"/>
    <w:next w:val="250"/>
    <w:qFormat/>
    <w:uiPriority w:val="0"/>
    <w:pPr>
      <w:spacing w:line="468" w:lineRule="atLeast"/>
      <w:jc w:val="left"/>
    </w:pPr>
    <w:rPr>
      <w:rFonts w:ascii="Times New Roman" w:eastAsia="宋体" w:cs="Times New Roman"/>
      <w:color w:val="auto"/>
    </w:rPr>
  </w:style>
  <w:style w:type="paragraph" w:customStyle="1" w:styleId="397">
    <w:name w:val="表格文字1"/>
    <w:basedOn w:val="1"/>
    <w:qFormat/>
    <w:uiPriority w:val="0"/>
    <w:pPr>
      <w:spacing w:line="380" w:lineRule="exact"/>
      <w:jc w:val="center"/>
    </w:pPr>
    <w:rPr>
      <w:snapToGrid w:val="0"/>
      <w:spacing w:val="10"/>
      <w:kern w:val="21"/>
      <w:szCs w:val="20"/>
    </w:rPr>
  </w:style>
  <w:style w:type="paragraph" w:customStyle="1" w:styleId="398">
    <w:name w:val="xl69"/>
    <w:basedOn w:val="1"/>
    <w:qFormat/>
    <w:uiPriority w:val="0"/>
    <w:pPr>
      <w:pBdr>
        <w:top w:val="single" w:color="auto" w:sz="4" w:space="0"/>
        <w:left w:val="single" w:color="auto" w:sz="4" w:space="0"/>
        <w:bottom w:val="single" w:color="auto" w:sz="4" w:space="0"/>
      </w:pBdr>
      <w:spacing w:before="100" w:beforeAutospacing="1" w:after="100" w:afterAutospacing="1"/>
      <w:textAlignment w:val="center"/>
    </w:pPr>
    <w:rPr>
      <w:b/>
      <w:bCs/>
      <w:sz w:val="32"/>
      <w:szCs w:val="32"/>
    </w:rPr>
  </w:style>
  <w:style w:type="paragraph" w:customStyle="1" w:styleId="399">
    <w:name w:val="图标示"/>
    <w:basedOn w:val="103"/>
    <w:qFormat/>
    <w:uiPriority w:val="0"/>
    <w:pPr>
      <w:ind w:firstLine="520"/>
      <w:jc w:val="center"/>
    </w:pPr>
  </w:style>
  <w:style w:type="paragraph" w:customStyle="1" w:styleId="400">
    <w:name w:val="Char Char4 Char Char"/>
    <w:basedOn w:val="1"/>
    <w:qFormat/>
    <w:uiPriority w:val="0"/>
    <w:rPr>
      <w:szCs w:val="21"/>
    </w:rPr>
  </w:style>
  <w:style w:type="paragraph" w:customStyle="1" w:styleId="401">
    <w:name w:val="font6"/>
    <w:basedOn w:val="1"/>
    <w:qFormat/>
    <w:uiPriority w:val="0"/>
    <w:pPr>
      <w:spacing w:before="100" w:beforeAutospacing="1" w:after="100" w:afterAutospacing="1"/>
    </w:pPr>
    <w:rPr>
      <w:rFonts w:hint="eastAsia"/>
      <w:b/>
      <w:bCs/>
      <w:color w:val="0000FF"/>
      <w:sz w:val="48"/>
      <w:szCs w:val="48"/>
    </w:rPr>
  </w:style>
  <w:style w:type="paragraph" w:customStyle="1" w:styleId="402">
    <w:name w:val="xl78"/>
    <w:basedOn w:val="1"/>
    <w:qFormat/>
    <w:uiPriority w:val="0"/>
    <w:pPr>
      <w:pBdr>
        <w:left w:val="single" w:color="auto" w:sz="4" w:space="0"/>
        <w:right w:val="single" w:color="auto" w:sz="4" w:space="0"/>
      </w:pBdr>
      <w:spacing w:before="100" w:beforeAutospacing="1" w:after="100" w:afterAutospacing="1"/>
      <w:jc w:val="center"/>
      <w:textAlignment w:val="center"/>
    </w:pPr>
    <w:rPr>
      <w:sz w:val="18"/>
      <w:szCs w:val="18"/>
    </w:rPr>
  </w:style>
  <w:style w:type="paragraph" w:customStyle="1" w:styleId="403">
    <w:name w:val="表格文字3"/>
    <w:basedOn w:val="217"/>
    <w:qFormat/>
    <w:uiPriority w:val="0"/>
    <w:pPr>
      <w:tabs>
        <w:tab w:val="clear" w:pos="360"/>
      </w:tabs>
      <w:spacing w:line="340" w:lineRule="exact"/>
    </w:pPr>
    <w:rPr>
      <w:rFonts w:ascii="Times New Roman" w:hAnsi="Times New Roman" w:eastAsia="宋体" w:cs="宋体"/>
      <w:spacing w:val="10"/>
      <w:kern w:val="24"/>
      <w:sz w:val="21"/>
    </w:rPr>
  </w:style>
  <w:style w:type="paragraph" w:customStyle="1" w:styleId="404">
    <w:name w:val="Char Char Char1 Char Char Char Char Char Char Char Char Char Char"/>
    <w:basedOn w:val="1"/>
    <w:qFormat/>
    <w:uiPriority w:val="0"/>
  </w:style>
  <w:style w:type="paragraph" w:customStyle="1" w:styleId="405">
    <w:name w:val="xl6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sz w:val="18"/>
      <w:szCs w:val="18"/>
    </w:rPr>
  </w:style>
  <w:style w:type="paragraph" w:customStyle="1" w:styleId="406">
    <w:name w:val="font11"/>
    <w:basedOn w:val="1"/>
    <w:qFormat/>
    <w:uiPriority w:val="0"/>
    <w:pPr>
      <w:spacing w:before="100" w:beforeAutospacing="1" w:after="100" w:afterAutospacing="1"/>
    </w:pPr>
    <w:rPr>
      <w:rFonts w:eastAsia="Arial Unicode MS"/>
      <w:color w:val="0000FF"/>
      <w:sz w:val="20"/>
      <w:szCs w:val="20"/>
    </w:rPr>
  </w:style>
  <w:style w:type="paragraph" w:customStyle="1" w:styleId="407">
    <w:name w:val="样式 标题 2 + 宋体 居中"/>
    <w:basedOn w:val="1"/>
    <w:qFormat/>
    <w:uiPriority w:val="0"/>
    <w:pPr>
      <w:tabs>
        <w:tab w:val="left" w:pos="2446"/>
      </w:tabs>
      <w:ind w:left="2446"/>
    </w:pPr>
    <w:rPr>
      <w:szCs w:val="21"/>
    </w:rPr>
  </w:style>
  <w:style w:type="paragraph" w:customStyle="1" w:styleId="408">
    <w:name w:val="正文1"/>
    <w:basedOn w:val="1"/>
    <w:link w:val="409"/>
    <w:qFormat/>
    <w:uiPriority w:val="0"/>
    <w:rPr>
      <w:rFonts w:cs="Times New Roman"/>
      <w:snapToGrid w:val="0"/>
      <w:lang w:val="zh-CN"/>
    </w:rPr>
  </w:style>
  <w:style w:type="character" w:customStyle="1" w:styleId="409">
    <w:name w:val="正文 Char"/>
    <w:link w:val="408"/>
    <w:qFormat/>
    <w:uiPriority w:val="0"/>
    <w:rPr>
      <w:rFonts w:ascii="宋体" w:hAnsi="宋体" w:cs="宋体"/>
      <w:snapToGrid w:val="0"/>
      <w:sz w:val="24"/>
      <w:szCs w:val="24"/>
    </w:rPr>
  </w:style>
  <w:style w:type="paragraph" w:customStyle="1" w:styleId="410">
    <w:name w:val="Char Char Char Char Char Char Char"/>
    <w:basedOn w:val="1"/>
    <w:qFormat/>
    <w:uiPriority w:val="0"/>
    <w:pPr>
      <w:spacing w:after="160" w:line="240" w:lineRule="exact"/>
    </w:pPr>
    <w:rPr>
      <w:rFonts w:ascii="Verdana" w:hAnsi="Verdana" w:eastAsia="仿宋_GB2312"/>
      <w:szCs w:val="20"/>
      <w:lang w:eastAsia="en-US"/>
    </w:rPr>
  </w:style>
  <w:style w:type="paragraph" w:customStyle="1" w:styleId="411">
    <w:name w:val="正文文字缩进1"/>
    <w:basedOn w:val="31"/>
    <w:next w:val="13"/>
    <w:qFormat/>
    <w:uiPriority w:val="0"/>
    <w:pPr>
      <w:spacing w:after="0" w:line="520" w:lineRule="exact"/>
      <w:ind w:left="987" w:leftChars="0" w:firstLine="624"/>
    </w:pPr>
    <w:rPr>
      <w:snapToGrid w:val="0"/>
      <w:spacing w:val="10"/>
      <w:kern w:val="24"/>
      <w:sz w:val="28"/>
      <w:szCs w:val="20"/>
    </w:rPr>
  </w:style>
  <w:style w:type="paragraph" w:customStyle="1" w:styleId="412">
    <w:name w:val="BIG BOLD"/>
    <w:basedOn w:val="1"/>
    <w:qFormat/>
    <w:uiPriority w:val="0"/>
    <w:pPr>
      <w:tabs>
        <w:tab w:val="left" w:leader="underscore" w:pos="1134"/>
      </w:tabs>
    </w:pPr>
    <w:rPr>
      <w:szCs w:val="20"/>
    </w:rPr>
  </w:style>
  <w:style w:type="paragraph" w:customStyle="1" w:styleId="413">
    <w:name w:val="xl70"/>
    <w:basedOn w:val="1"/>
    <w:qFormat/>
    <w:uiPriority w:val="0"/>
    <w:pPr>
      <w:pBdr>
        <w:top w:val="single" w:color="auto" w:sz="4" w:space="0"/>
        <w:bottom w:val="single" w:color="auto" w:sz="4" w:space="0"/>
        <w:right w:val="single" w:color="auto" w:sz="4" w:space="0"/>
      </w:pBdr>
      <w:spacing w:before="100" w:beforeAutospacing="1" w:after="100" w:afterAutospacing="1"/>
      <w:textAlignment w:val="center"/>
    </w:pPr>
    <w:rPr>
      <w:b/>
      <w:bCs/>
      <w:sz w:val="32"/>
      <w:szCs w:val="32"/>
    </w:rPr>
  </w:style>
  <w:style w:type="paragraph" w:customStyle="1" w:styleId="414">
    <w:name w:val="CM121"/>
    <w:basedOn w:val="250"/>
    <w:next w:val="250"/>
    <w:qFormat/>
    <w:uiPriority w:val="0"/>
    <w:pPr>
      <w:spacing w:after="98" w:line="240" w:lineRule="auto"/>
      <w:jc w:val="left"/>
    </w:pPr>
    <w:rPr>
      <w:rFonts w:ascii="黑体" w:eastAsia="黑体" w:cs="Times New Roman"/>
      <w:color w:val="auto"/>
    </w:rPr>
  </w:style>
  <w:style w:type="paragraph" w:customStyle="1" w:styleId="415">
    <w:name w:val="CM154"/>
    <w:basedOn w:val="250"/>
    <w:next w:val="250"/>
    <w:qFormat/>
    <w:uiPriority w:val="0"/>
    <w:pPr>
      <w:spacing w:after="90" w:line="240" w:lineRule="auto"/>
      <w:jc w:val="left"/>
    </w:pPr>
    <w:rPr>
      <w:rFonts w:ascii="黑体" w:eastAsia="黑体" w:cs="Times New Roman"/>
      <w:color w:val="auto"/>
    </w:rPr>
  </w:style>
  <w:style w:type="paragraph" w:customStyle="1" w:styleId="416">
    <w:name w:val="样式 标题 3 + 段后: 0 磅 行距: 1.5 倍行距1"/>
    <w:basedOn w:val="1"/>
    <w:qFormat/>
    <w:uiPriority w:val="0"/>
    <w:pPr>
      <w:tabs>
        <w:tab w:val="left" w:pos="709"/>
      </w:tabs>
      <w:ind w:left="709" w:hanging="709"/>
    </w:pPr>
    <w:rPr>
      <w:szCs w:val="21"/>
    </w:rPr>
  </w:style>
  <w:style w:type="paragraph" w:customStyle="1" w:styleId="417">
    <w:name w:val="Char Char Char Char Char Char Char Char"/>
    <w:basedOn w:val="1"/>
    <w:qFormat/>
    <w:uiPriority w:val="0"/>
    <w:pPr>
      <w:spacing w:after="160" w:line="240" w:lineRule="exact"/>
    </w:pPr>
    <w:rPr>
      <w:rFonts w:ascii="Verdana" w:hAnsi="Verdana"/>
      <w:sz w:val="20"/>
      <w:szCs w:val="20"/>
      <w:lang w:eastAsia="en-US"/>
    </w:rPr>
  </w:style>
  <w:style w:type="paragraph" w:customStyle="1" w:styleId="418">
    <w:name w:val="正文文字缩进2"/>
    <w:basedOn w:val="411"/>
    <w:next w:val="13"/>
    <w:qFormat/>
    <w:uiPriority w:val="0"/>
    <w:pPr>
      <w:ind w:left="1480"/>
    </w:pPr>
  </w:style>
  <w:style w:type="paragraph" w:customStyle="1" w:styleId="419">
    <w:name w:val="xl5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sz w:val="20"/>
      <w:szCs w:val="20"/>
    </w:rPr>
  </w:style>
  <w:style w:type="paragraph" w:customStyle="1" w:styleId="420">
    <w:name w:val="表"/>
    <w:basedOn w:val="1"/>
    <w:qFormat/>
    <w:uiPriority w:val="0"/>
    <w:pPr>
      <w:spacing w:line="300" w:lineRule="auto"/>
    </w:pPr>
    <w:rPr>
      <w:rFonts w:eastAsia="仿宋_GB2312"/>
      <w:bCs/>
    </w:rPr>
  </w:style>
  <w:style w:type="paragraph" w:customStyle="1" w:styleId="421">
    <w:name w:val="样式 行距: 固定值 25 磅"/>
    <w:basedOn w:val="1"/>
    <w:qFormat/>
    <w:uiPriority w:val="0"/>
    <w:pPr>
      <w:ind w:firstLine="600"/>
    </w:pPr>
    <w:rPr>
      <w:spacing w:val="10"/>
      <w:kern w:val="28"/>
      <w:szCs w:val="28"/>
    </w:rPr>
  </w:style>
  <w:style w:type="paragraph" w:customStyle="1" w:styleId="422">
    <w:name w:val="序号2"/>
    <w:link w:val="659"/>
    <w:qFormat/>
    <w:uiPriority w:val="0"/>
    <w:pPr>
      <w:spacing w:line="500" w:lineRule="exact"/>
      <w:jc w:val="center"/>
    </w:pPr>
    <w:rPr>
      <w:rFonts w:ascii="Times New Roman" w:hAnsi="Times New Roman" w:eastAsia="宋体" w:cs="Times New Roman"/>
      <w:kern w:val="2"/>
      <w:sz w:val="28"/>
      <w:szCs w:val="24"/>
      <w:lang w:val="en-US" w:eastAsia="zh-CN" w:bidi="ar-SA"/>
    </w:rPr>
  </w:style>
  <w:style w:type="paragraph" w:customStyle="1" w:styleId="423">
    <w:name w:val="xl68"/>
    <w:basedOn w:val="1"/>
    <w:qFormat/>
    <w:uiPriority w:val="0"/>
    <w:pPr>
      <w:pBdr>
        <w:top w:val="single" w:color="auto" w:sz="4" w:space="0"/>
        <w:right w:val="single" w:color="auto" w:sz="4" w:space="0"/>
      </w:pBdr>
      <w:spacing w:before="100" w:beforeAutospacing="1" w:after="100" w:afterAutospacing="1"/>
      <w:textAlignment w:val="center"/>
    </w:pPr>
    <w:rPr>
      <w:b/>
      <w:bCs/>
      <w:sz w:val="32"/>
      <w:szCs w:val="32"/>
    </w:rPr>
  </w:style>
  <w:style w:type="paragraph" w:customStyle="1" w:styleId="424">
    <w:name w:val="font0"/>
    <w:basedOn w:val="1"/>
    <w:qFormat/>
    <w:uiPriority w:val="0"/>
    <w:pPr>
      <w:spacing w:before="100" w:beforeAutospacing="1" w:after="100" w:afterAutospacing="1"/>
    </w:pPr>
    <w:rPr>
      <w:rFonts w:hint="eastAsia"/>
    </w:rPr>
  </w:style>
  <w:style w:type="paragraph" w:customStyle="1" w:styleId="425">
    <w:name w:val="默认段落字体 Para Char Char Char1 Char Char Char Char"/>
    <w:basedOn w:val="1"/>
    <w:qFormat/>
    <w:locked/>
    <w:uiPriority w:val="0"/>
    <w:rPr>
      <w:rFonts w:eastAsia="方正仿宋简体"/>
      <w:color w:val="000000"/>
      <w:szCs w:val="32"/>
    </w:rPr>
  </w:style>
  <w:style w:type="paragraph" w:customStyle="1" w:styleId="426">
    <w:name w:val="表内文字"/>
    <w:basedOn w:val="1"/>
    <w:qFormat/>
    <w:uiPriority w:val="0"/>
    <w:pPr>
      <w:jc w:val="center"/>
    </w:pPr>
    <w:rPr>
      <w:szCs w:val="20"/>
    </w:rPr>
  </w:style>
  <w:style w:type="paragraph" w:customStyle="1" w:styleId="427">
    <w:name w:val="样式7"/>
    <w:basedOn w:val="11"/>
    <w:qFormat/>
    <w:uiPriority w:val="0"/>
    <w:pPr>
      <w:spacing w:before="80" w:after="80" w:line="520" w:lineRule="exact"/>
      <w:ind w:left="420" w:firstLine="200" w:firstLineChars="200"/>
    </w:pPr>
    <w:rPr>
      <w:b w:val="0"/>
      <w:bCs w:val="0"/>
      <w:snapToGrid/>
      <w:kern w:val="24"/>
    </w:rPr>
  </w:style>
  <w:style w:type="paragraph" w:customStyle="1" w:styleId="428">
    <w:name w:val="xl71"/>
    <w:basedOn w:val="1"/>
    <w:qFormat/>
    <w:uiPriority w:val="0"/>
    <w:pPr>
      <w:pBdr>
        <w:top w:val="single" w:color="auto" w:sz="4" w:space="0"/>
      </w:pBdr>
      <w:spacing w:before="100" w:beforeAutospacing="1" w:after="100" w:afterAutospacing="1"/>
      <w:textAlignment w:val="center"/>
    </w:pPr>
    <w:rPr>
      <w:b/>
      <w:bCs/>
      <w:sz w:val="32"/>
      <w:szCs w:val="32"/>
    </w:rPr>
  </w:style>
  <w:style w:type="paragraph" w:customStyle="1" w:styleId="429">
    <w:name w:val="xl4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430">
    <w:name w:val="样式13"/>
    <w:basedOn w:val="1"/>
    <w:qFormat/>
    <w:uiPriority w:val="0"/>
    <w:pPr>
      <w:tabs>
        <w:tab w:val="left" w:pos="1080"/>
      </w:tabs>
      <w:ind w:left="425" w:hanging="425"/>
    </w:pPr>
    <w:rPr>
      <w:szCs w:val="21"/>
    </w:rPr>
  </w:style>
  <w:style w:type="paragraph" w:customStyle="1" w:styleId="431">
    <w:name w:val="ÕýÎÄ"/>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zh-CN" w:bidi="ar-SA"/>
    </w:rPr>
  </w:style>
  <w:style w:type="paragraph" w:customStyle="1" w:styleId="432">
    <w:name w:val="xl26"/>
    <w:basedOn w:val="1"/>
    <w:qFormat/>
    <w:uiPriority w:val="0"/>
    <w:pPr>
      <w:spacing w:before="100" w:beforeAutospacing="1" w:after="100" w:afterAutospacing="1"/>
    </w:pPr>
    <w:rPr>
      <w:rFonts w:ascii="Arial Unicode MS" w:hAnsi="Arial Unicode MS" w:eastAsia="Arial Unicode MS"/>
      <w:color w:val="0000FF"/>
    </w:rPr>
  </w:style>
  <w:style w:type="paragraph" w:customStyle="1" w:styleId="433">
    <w:name w:val="xl5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color w:val="000000"/>
      <w:sz w:val="20"/>
      <w:szCs w:val="20"/>
    </w:rPr>
  </w:style>
  <w:style w:type="paragraph" w:customStyle="1" w:styleId="434">
    <w:name w:val="CM40"/>
    <w:basedOn w:val="250"/>
    <w:next w:val="250"/>
    <w:qFormat/>
    <w:uiPriority w:val="0"/>
    <w:pPr>
      <w:spacing w:line="476" w:lineRule="atLeast"/>
      <w:jc w:val="left"/>
    </w:pPr>
    <w:rPr>
      <w:rFonts w:ascii="黑体" w:eastAsia="黑体" w:cs="Times New Roman"/>
      <w:color w:val="auto"/>
    </w:rPr>
  </w:style>
  <w:style w:type="paragraph" w:customStyle="1" w:styleId="435">
    <w:name w:val="xl6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18"/>
      <w:szCs w:val="18"/>
    </w:rPr>
  </w:style>
  <w:style w:type="paragraph" w:customStyle="1" w:styleId="436">
    <w:name w:val="WPS Plain"/>
    <w:qFormat/>
    <w:uiPriority w:val="0"/>
    <w:pPr>
      <w:spacing w:line="500" w:lineRule="exact"/>
      <w:jc w:val="center"/>
    </w:pPr>
    <w:rPr>
      <w:rFonts w:ascii="Times New Roman" w:hAnsi="Times New Roman" w:eastAsia="宋体" w:cs="Times New Roman"/>
      <w:lang w:val="en-US" w:eastAsia="zh-CN" w:bidi="ar-SA"/>
    </w:rPr>
  </w:style>
  <w:style w:type="paragraph" w:customStyle="1" w:styleId="437">
    <w:name w:val="标准"/>
    <w:basedOn w:val="1"/>
    <w:qFormat/>
    <w:uiPriority w:val="0"/>
    <w:pPr>
      <w:tabs>
        <w:tab w:val="left" w:pos="720"/>
      </w:tabs>
      <w:spacing w:line="312" w:lineRule="atLeast"/>
      <w:textAlignment w:val="baseline"/>
    </w:pPr>
    <w:rPr>
      <w:szCs w:val="20"/>
    </w:rPr>
  </w:style>
  <w:style w:type="paragraph" w:customStyle="1" w:styleId="438">
    <w:name w:val="Char2"/>
    <w:basedOn w:val="3"/>
    <w:next w:val="3"/>
    <w:qFormat/>
    <w:uiPriority w:val="0"/>
    <w:pPr>
      <w:keepNext w:val="0"/>
      <w:keepLines w:val="0"/>
      <w:tabs>
        <w:tab w:val="left" w:pos="700"/>
      </w:tabs>
      <w:spacing w:before="0" w:after="0" w:line="300" w:lineRule="auto"/>
    </w:pPr>
    <w:rPr>
      <w:rFonts w:ascii="仿宋_GB2312" w:hAnsi="Verdana" w:eastAsia="仿宋_GB2312"/>
      <w:snapToGrid/>
      <w:kern w:val="0"/>
      <w:sz w:val="28"/>
      <w:szCs w:val="28"/>
      <w:lang w:eastAsia="en-US"/>
    </w:rPr>
  </w:style>
  <w:style w:type="paragraph" w:customStyle="1" w:styleId="439">
    <w:name w:val="h1"/>
    <w:basedOn w:val="1"/>
    <w:qFormat/>
    <w:uiPriority w:val="0"/>
    <w:pPr>
      <w:spacing w:before="100" w:beforeAutospacing="1" w:after="100" w:afterAutospacing="1" w:line="400" w:lineRule="atLeast"/>
    </w:pPr>
    <w:rPr>
      <w:color w:val="000000"/>
      <w:spacing w:val="10"/>
      <w:sz w:val="18"/>
      <w:szCs w:val="18"/>
    </w:rPr>
  </w:style>
  <w:style w:type="paragraph" w:customStyle="1" w:styleId="440">
    <w:name w:val="xl3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eastAsia="Arial Unicode MS"/>
      <w:color w:val="0000FF"/>
      <w:sz w:val="20"/>
      <w:szCs w:val="20"/>
    </w:rPr>
  </w:style>
  <w:style w:type="paragraph" w:customStyle="1" w:styleId="441">
    <w:name w:val="样式 表头 + 段前: 6 磅"/>
    <w:basedOn w:val="131"/>
    <w:qFormat/>
    <w:uiPriority w:val="0"/>
    <w:pPr>
      <w:keepNext w:val="0"/>
      <w:spacing w:after="0" w:line="360" w:lineRule="auto"/>
      <w:ind w:firstLine="425"/>
      <w:textAlignment w:val="baseline"/>
    </w:pPr>
    <w:rPr>
      <w:rFonts w:ascii="Times New Roman" w:cs="宋体"/>
      <w:snapToGrid w:val="0"/>
      <w:spacing w:val="0"/>
      <w:kern w:val="0"/>
      <w:sz w:val="24"/>
      <w:szCs w:val="24"/>
    </w:rPr>
  </w:style>
  <w:style w:type="paragraph" w:customStyle="1" w:styleId="442">
    <w:name w:val="xl3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eastAsia="Arial Unicode MS"/>
      <w:color w:val="0000FF"/>
      <w:sz w:val="20"/>
      <w:szCs w:val="20"/>
    </w:rPr>
  </w:style>
  <w:style w:type="paragraph" w:customStyle="1" w:styleId="443">
    <w:name w:val="样式 宋体 首行缩进:  1.11 厘米"/>
    <w:basedOn w:val="1"/>
    <w:qFormat/>
    <w:uiPriority w:val="0"/>
    <w:pPr>
      <w:spacing w:line="600" w:lineRule="exact"/>
      <w:ind w:firstLine="629"/>
    </w:pPr>
    <w:rPr>
      <w:szCs w:val="20"/>
    </w:rPr>
  </w:style>
  <w:style w:type="paragraph" w:customStyle="1" w:styleId="444">
    <w:name w:val="CM18"/>
    <w:basedOn w:val="250"/>
    <w:next w:val="250"/>
    <w:qFormat/>
    <w:uiPriority w:val="0"/>
    <w:pPr>
      <w:spacing w:line="391" w:lineRule="atLeast"/>
      <w:jc w:val="left"/>
    </w:pPr>
    <w:rPr>
      <w:rFonts w:ascii="黑体" w:eastAsia="黑体" w:cs="Times New Roman"/>
      <w:color w:val="auto"/>
    </w:rPr>
  </w:style>
  <w:style w:type="paragraph" w:customStyle="1" w:styleId="445">
    <w:name w:val="Char Char Char Char Char Char Char1"/>
    <w:basedOn w:val="1"/>
    <w:qFormat/>
    <w:uiPriority w:val="0"/>
    <w:pPr>
      <w:spacing w:after="160" w:line="240" w:lineRule="exact"/>
    </w:pPr>
    <w:rPr>
      <w:sz w:val="20"/>
      <w:szCs w:val="20"/>
      <w:lang w:eastAsia="en-US"/>
    </w:rPr>
  </w:style>
  <w:style w:type="paragraph" w:customStyle="1" w:styleId="446">
    <w:name w:val="样式 标题 4 + 首行缩进:  2 字符"/>
    <w:basedOn w:val="11"/>
    <w:qFormat/>
    <w:uiPriority w:val="0"/>
    <w:pPr>
      <w:spacing w:before="80" w:after="80" w:line="520" w:lineRule="exact"/>
      <w:ind w:firstLine="569" w:firstLineChars="200"/>
    </w:pPr>
    <w:rPr>
      <w:rFonts w:cs="宋体"/>
      <w:snapToGrid/>
      <w:kern w:val="24"/>
      <w:szCs w:val="20"/>
    </w:rPr>
  </w:style>
  <w:style w:type="paragraph" w:customStyle="1" w:styleId="447">
    <w:name w:val="xl3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rFonts w:eastAsia="Arial Unicode MS"/>
      <w:color w:val="0000FF"/>
      <w:sz w:val="20"/>
      <w:szCs w:val="20"/>
    </w:rPr>
  </w:style>
  <w:style w:type="paragraph" w:customStyle="1" w:styleId="448">
    <w:name w:val="CM84"/>
    <w:basedOn w:val="250"/>
    <w:next w:val="250"/>
    <w:qFormat/>
    <w:uiPriority w:val="0"/>
    <w:pPr>
      <w:spacing w:line="556" w:lineRule="atLeast"/>
      <w:jc w:val="left"/>
    </w:pPr>
    <w:rPr>
      <w:rFonts w:ascii="黑体" w:eastAsia="黑体" w:cs="Times New Roman"/>
      <w:color w:val="auto"/>
    </w:rPr>
  </w:style>
  <w:style w:type="paragraph" w:customStyle="1" w:styleId="449">
    <w:name w:val="表格文字1-小4居中"/>
    <w:basedOn w:val="1"/>
    <w:qFormat/>
    <w:uiPriority w:val="0"/>
    <w:pPr>
      <w:jc w:val="center"/>
    </w:pPr>
    <w:rPr>
      <w:szCs w:val="21"/>
    </w:rPr>
  </w:style>
  <w:style w:type="paragraph" w:customStyle="1" w:styleId="450">
    <w:name w:val="二级标题"/>
    <w:basedOn w:val="1"/>
    <w:next w:val="1"/>
    <w:qFormat/>
    <w:uiPriority w:val="0"/>
    <w:pPr>
      <w:keepNext/>
      <w:spacing w:before="240" w:after="240" w:line="312" w:lineRule="atLeast"/>
      <w:jc w:val="center"/>
      <w:textAlignment w:val="baseline"/>
    </w:pPr>
    <w:rPr>
      <w:szCs w:val="20"/>
    </w:rPr>
  </w:style>
  <w:style w:type="paragraph" w:customStyle="1" w:styleId="451">
    <w:name w:val="CM171"/>
    <w:basedOn w:val="250"/>
    <w:next w:val="250"/>
    <w:qFormat/>
    <w:uiPriority w:val="0"/>
    <w:pPr>
      <w:spacing w:after="82" w:line="240" w:lineRule="auto"/>
      <w:jc w:val="left"/>
    </w:pPr>
    <w:rPr>
      <w:rFonts w:ascii="黑体" w:eastAsia="黑体" w:cs="Times New Roman"/>
      <w:color w:val="auto"/>
    </w:rPr>
  </w:style>
  <w:style w:type="paragraph" w:customStyle="1" w:styleId="452">
    <w:name w:val="封面1"/>
    <w:basedOn w:val="1"/>
    <w:qFormat/>
    <w:uiPriority w:val="0"/>
    <w:pPr>
      <w:spacing w:line="420" w:lineRule="auto"/>
      <w:jc w:val="center"/>
    </w:pPr>
    <w:rPr>
      <w:rFonts w:eastAsia="楷体_GB2312"/>
      <w:b/>
      <w:snapToGrid w:val="0"/>
      <w:spacing w:val="10"/>
      <w:kern w:val="22"/>
      <w:sz w:val="44"/>
      <w:szCs w:val="44"/>
    </w:rPr>
  </w:style>
  <w:style w:type="paragraph" w:customStyle="1" w:styleId="453">
    <w:name w:val="Char Char Char Char11"/>
    <w:basedOn w:val="1"/>
    <w:qFormat/>
    <w:uiPriority w:val="0"/>
    <w:rPr>
      <w:szCs w:val="21"/>
    </w:rPr>
  </w:style>
  <w:style w:type="paragraph" w:customStyle="1" w:styleId="454">
    <w:name w:val="说明书标题"/>
    <w:basedOn w:val="239"/>
    <w:next w:val="239"/>
    <w:qFormat/>
    <w:uiPriority w:val="0"/>
    <w:pPr>
      <w:tabs>
        <w:tab w:val="left" w:pos="210"/>
        <w:tab w:val="left" w:pos="360"/>
      </w:tabs>
      <w:ind w:left="227" w:hanging="227" w:firstLineChars="0"/>
    </w:pPr>
    <w:rPr>
      <w:rFonts w:eastAsia="黑体"/>
      <w:szCs w:val="20"/>
    </w:rPr>
  </w:style>
  <w:style w:type="paragraph" w:customStyle="1" w:styleId="455">
    <w:name w:val="xl6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b/>
      <w:bCs/>
      <w:sz w:val="18"/>
      <w:szCs w:val="18"/>
    </w:rPr>
  </w:style>
  <w:style w:type="paragraph" w:customStyle="1" w:styleId="456">
    <w:name w:val="CM21"/>
    <w:basedOn w:val="250"/>
    <w:next w:val="250"/>
    <w:qFormat/>
    <w:uiPriority w:val="0"/>
    <w:pPr>
      <w:spacing w:line="468" w:lineRule="atLeast"/>
      <w:jc w:val="left"/>
    </w:pPr>
    <w:rPr>
      <w:rFonts w:ascii="Times New Roman" w:eastAsia="宋体" w:cs="Times New Roman"/>
      <w:color w:val="auto"/>
    </w:rPr>
  </w:style>
  <w:style w:type="paragraph" w:customStyle="1" w:styleId="457">
    <w:name w:val="WJ正文"/>
    <w:basedOn w:val="1"/>
    <w:qFormat/>
    <w:uiPriority w:val="0"/>
  </w:style>
  <w:style w:type="paragraph" w:customStyle="1" w:styleId="458">
    <w:name w:val="p0"/>
    <w:basedOn w:val="1"/>
    <w:qFormat/>
    <w:uiPriority w:val="0"/>
    <w:pPr>
      <w:spacing w:before="100" w:beforeAutospacing="1" w:after="100" w:afterAutospacing="1"/>
    </w:pPr>
  </w:style>
  <w:style w:type="paragraph" w:customStyle="1" w:styleId="459">
    <w:name w:val="图表名"/>
    <w:basedOn w:val="1"/>
    <w:link w:val="460"/>
    <w:qFormat/>
    <w:uiPriority w:val="0"/>
    <w:pPr>
      <w:tabs>
        <w:tab w:val="left" w:pos="377"/>
      </w:tabs>
      <w:spacing w:line="340" w:lineRule="exact"/>
      <w:jc w:val="center"/>
    </w:pPr>
    <w:rPr>
      <w:b/>
      <w:bCs/>
      <w:szCs w:val="20"/>
    </w:rPr>
  </w:style>
  <w:style w:type="character" w:customStyle="1" w:styleId="460">
    <w:name w:val="图表名 Char"/>
    <w:link w:val="459"/>
    <w:qFormat/>
    <w:uiPriority w:val="0"/>
    <w:rPr>
      <w:rFonts w:ascii="宋体" w:hAnsi="宋体" w:eastAsia="仿宋_GB2312" w:cs="宋体"/>
      <w:b/>
      <w:bCs/>
      <w:color w:val="auto"/>
      <w:sz w:val="24"/>
      <w:szCs w:val="28"/>
      <w:lang w:val="en-US" w:eastAsia="en-US"/>
    </w:rPr>
  </w:style>
  <w:style w:type="paragraph" w:customStyle="1" w:styleId="461">
    <w:name w:val="xl79"/>
    <w:basedOn w:val="1"/>
    <w:qFormat/>
    <w:uiPriority w:val="0"/>
    <w:pPr>
      <w:pBdr>
        <w:left w:val="single" w:color="auto" w:sz="4" w:space="0"/>
        <w:bottom w:val="single" w:color="auto" w:sz="4" w:space="0"/>
        <w:right w:val="single" w:color="auto" w:sz="4" w:space="0"/>
      </w:pBdr>
      <w:spacing w:before="100" w:beforeAutospacing="1" w:after="100" w:afterAutospacing="1"/>
      <w:jc w:val="center"/>
      <w:textAlignment w:val="center"/>
    </w:pPr>
    <w:rPr>
      <w:sz w:val="18"/>
      <w:szCs w:val="18"/>
    </w:rPr>
  </w:style>
  <w:style w:type="paragraph" w:customStyle="1" w:styleId="462">
    <w:name w:val="标题3"/>
    <w:basedOn w:val="1"/>
    <w:qFormat/>
    <w:uiPriority w:val="0"/>
    <w:pPr>
      <w:spacing w:line="720" w:lineRule="auto"/>
      <w:jc w:val="center"/>
      <w:outlineLvl w:val="0"/>
    </w:pPr>
    <w:rPr>
      <w:b/>
      <w:bCs/>
      <w:sz w:val="32"/>
    </w:rPr>
  </w:style>
  <w:style w:type="paragraph" w:customStyle="1" w:styleId="463">
    <w:name w:val="普通(网站)1"/>
    <w:basedOn w:val="1"/>
    <w:qFormat/>
    <w:uiPriority w:val="0"/>
    <w:pPr>
      <w:spacing w:before="100" w:beforeAutospacing="1" w:after="100" w:afterAutospacing="1"/>
    </w:pPr>
  </w:style>
  <w:style w:type="paragraph" w:customStyle="1" w:styleId="464">
    <w:name w:val="机构名称"/>
    <w:basedOn w:val="1"/>
    <w:qFormat/>
    <w:uiPriority w:val="0"/>
    <w:pPr>
      <w:spacing w:line="700" w:lineRule="exact"/>
      <w:jc w:val="center"/>
    </w:pPr>
    <w:rPr>
      <w:rFonts w:eastAsia="楷体_GB2312"/>
      <w:b/>
      <w:snapToGrid w:val="0"/>
      <w:spacing w:val="10"/>
      <w:kern w:val="22"/>
      <w:sz w:val="44"/>
      <w:szCs w:val="44"/>
    </w:rPr>
  </w:style>
  <w:style w:type="paragraph" w:customStyle="1" w:styleId="465">
    <w:name w:val="样式 表内容 + 行距: 单倍行距"/>
    <w:basedOn w:val="106"/>
    <w:qFormat/>
    <w:uiPriority w:val="0"/>
    <w:pPr>
      <w:spacing w:line="240" w:lineRule="auto"/>
    </w:pPr>
    <w:rPr>
      <w:rFonts w:cs="宋体"/>
    </w:rPr>
  </w:style>
  <w:style w:type="paragraph" w:customStyle="1" w:styleId="466">
    <w:name w:val="样式 首行缩进:  2 字符"/>
    <w:basedOn w:val="1"/>
    <w:qFormat/>
    <w:uiPriority w:val="0"/>
    <w:pPr>
      <w:keepNext/>
      <w:spacing w:line="520" w:lineRule="exact"/>
    </w:pPr>
    <w:rPr>
      <w:snapToGrid w:val="0"/>
      <w:spacing w:val="10"/>
      <w:kern w:val="24"/>
      <w:szCs w:val="20"/>
    </w:rPr>
  </w:style>
  <w:style w:type="paragraph" w:customStyle="1" w:styleId="467">
    <w:name w:val="行1"/>
    <w:basedOn w:val="1"/>
    <w:qFormat/>
    <w:uiPriority w:val="0"/>
    <w:pPr>
      <w:tabs>
        <w:tab w:val="right" w:pos="8160"/>
      </w:tabs>
      <w:spacing w:line="240" w:lineRule="atLeast"/>
      <w:ind w:left="958"/>
      <w:textAlignment w:val="baseline"/>
    </w:pPr>
    <w:rPr>
      <w:szCs w:val="20"/>
    </w:rPr>
  </w:style>
  <w:style w:type="paragraph" w:customStyle="1" w:styleId="468">
    <w:name w:val="Table Paragraph"/>
    <w:basedOn w:val="1"/>
    <w:qFormat/>
    <w:uiPriority w:val="1"/>
    <w:rPr>
      <w:rFonts w:ascii="Calibri" w:hAnsi="Calibri" w:cs="Times New Roman"/>
      <w:sz w:val="22"/>
      <w:szCs w:val="22"/>
      <w:lang w:eastAsia="en-US"/>
    </w:rPr>
  </w:style>
  <w:style w:type="paragraph" w:customStyle="1" w:styleId="469">
    <w:name w:val="封面二"/>
    <w:basedOn w:val="1"/>
    <w:qFormat/>
    <w:uiPriority w:val="0"/>
    <w:pPr>
      <w:spacing w:line="520" w:lineRule="exact"/>
      <w:jc w:val="center"/>
    </w:pPr>
    <w:rPr>
      <w:rFonts w:ascii="黑体" w:eastAsia="黑体"/>
      <w:b/>
      <w:spacing w:val="10"/>
      <w:kern w:val="28"/>
      <w:sz w:val="52"/>
      <w:szCs w:val="52"/>
    </w:rPr>
  </w:style>
  <w:style w:type="paragraph" w:customStyle="1" w:styleId="470">
    <w:name w:val="xl4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18"/>
      <w:szCs w:val="18"/>
    </w:rPr>
  </w:style>
  <w:style w:type="paragraph" w:customStyle="1" w:styleId="471">
    <w:name w:val="cjh"/>
    <w:basedOn w:val="1"/>
    <w:next w:val="1"/>
    <w:qFormat/>
    <w:uiPriority w:val="0"/>
    <w:pPr>
      <w:keepLines/>
      <w:suppressLineNumbers/>
      <w:suppressAutoHyphens/>
      <w:jc w:val="center"/>
      <w:outlineLvl w:val="0"/>
    </w:pPr>
    <w:rPr>
      <w:rFonts w:hint="eastAsia"/>
      <w:kern w:val="24"/>
      <w:szCs w:val="20"/>
    </w:rPr>
  </w:style>
  <w:style w:type="paragraph" w:customStyle="1" w:styleId="472">
    <w:name w:val="能力-标题1"/>
    <w:next w:val="259"/>
    <w:qFormat/>
    <w:uiPriority w:val="0"/>
    <w:pPr>
      <w:numPr>
        <w:ilvl w:val="0"/>
        <w:numId w:val="1"/>
      </w:numPr>
      <w:spacing w:line="360" w:lineRule="auto"/>
      <w:ind w:left="425" w:hanging="425"/>
      <w:jc w:val="center"/>
      <w:outlineLvl w:val="0"/>
    </w:pPr>
    <w:rPr>
      <w:rFonts w:ascii="Times New Roman" w:hAnsi="Times New Roman" w:eastAsia="宋体" w:cs="Times New Roman"/>
      <w:b/>
      <w:kern w:val="2"/>
      <w:sz w:val="28"/>
      <w:szCs w:val="22"/>
      <w:lang w:val="en-US" w:eastAsia="zh-CN" w:bidi="ar-SA"/>
    </w:rPr>
  </w:style>
  <w:style w:type="paragraph" w:customStyle="1" w:styleId="473">
    <w:name w:val="xl5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sz w:val="20"/>
      <w:szCs w:val="20"/>
    </w:rPr>
  </w:style>
  <w:style w:type="paragraph" w:customStyle="1" w:styleId="474">
    <w:name w:val="CM125"/>
    <w:basedOn w:val="250"/>
    <w:next w:val="250"/>
    <w:qFormat/>
    <w:uiPriority w:val="0"/>
    <w:pPr>
      <w:spacing w:after="92" w:line="240" w:lineRule="auto"/>
      <w:jc w:val="left"/>
    </w:pPr>
    <w:rPr>
      <w:rFonts w:ascii="黑体" w:eastAsia="黑体" w:cs="Times New Roman"/>
      <w:color w:val="auto"/>
    </w:rPr>
  </w:style>
  <w:style w:type="paragraph" w:customStyle="1" w:styleId="475">
    <w:name w:val="CM152"/>
    <w:basedOn w:val="250"/>
    <w:next w:val="250"/>
    <w:qFormat/>
    <w:uiPriority w:val="0"/>
    <w:pPr>
      <w:spacing w:after="163" w:line="240" w:lineRule="auto"/>
      <w:jc w:val="left"/>
    </w:pPr>
    <w:rPr>
      <w:rFonts w:ascii="黑体" w:eastAsia="黑体" w:cs="Times New Roman"/>
      <w:color w:val="auto"/>
    </w:rPr>
  </w:style>
  <w:style w:type="paragraph" w:customStyle="1" w:styleId="476">
    <w:name w:val="Char Char Char1"/>
    <w:basedOn w:val="1"/>
    <w:next w:val="2"/>
    <w:qFormat/>
    <w:uiPriority w:val="0"/>
    <w:rPr>
      <w:szCs w:val="28"/>
    </w:rPr>
  </w:style>
  <w:style w:type="paragraph" w:customStyle="1" w:styleId="477">
    <w:name w:val="CM126"/>
    <w:basedOn w:val="250"/>
    <w:next w:val="250"/>
    <w:qFormat/>
    <w:uiPriority w:val="0"/>
    <w:pPr>
      <w:spacing w:after="157" w:line="240" w:lineRule="auto"/>
      <w:jc w:val="left"/>
    </w:pPr>
    <w:rPr>
      <w:rFonts w:ascii="黑体" w:eastAsia="黑体" w:cs="Times New Roman"/>
      <w:color w:val="auto"/>
    </w:rPr>
  </w:style>
  <w:style w:type="paragraph" w:customStyle="1" w:styleId="478">
    <w:name w:val="CM11"/>
    <w:basedOn w:val="250"/>
    <w:next w:val="250"/>
    <w:qFormat/>
    <w:uiPriority w:val="0"/>
    <w:pPr>
      <w:spacing w:line="391" w:lineRule="atLeast"/>
      <w:jc w:val="left"/>
    </w:pPr>
    <w:rPr>
      <w:rFonts w:ascii="黑体" w:eastAsia="黑体" w:cs="Times New Roman"/>
      <w:color w:val="auto"/>
    </w:rPr>
  </w:style>
  <w:style w:type="paragraph" w:customStyle="1" w:styleId="479">
    <w:name w:val="列表1"/>
    <w:basedOn w:val="47"/>
    <w:qFormat/>
    <w:uiPriority w:val="0"/>
    <w:pPr>
      <w:tabs>
        <w:tab w:val="left" w:pos="5940"/>
      </w:tabs>
      <w:overflowPunct/>
      <w:autoSpaceDE/>
      <w:autoSpaceDN/>
      <w:textAlignment w:val="auto"/>
    </w:pPr>
    <w:rPr>
      <w:kern w:val="2"/>
      <w:sz w:val="32"/>
      <w:lang w:val="en-US"/>
    </w:rPr>
  </w:style>
  <w:style w:type="paragraph" w:customStyle="1" w:styleId="480">
    <w:name w:val="标题4"/>
    <w:basedOn w:val="1"/>
    <w:qFormat/>
    <w:uiPriority w:val="0"/>
    <w:pPr>
      <w:spacing w:afterLines="20" w:line="500" w:lineRule="atLeast"/>
    </w:pPr>
    <w:rPr>
      <w:rFonts w:ascii="Arial" w:hAnsi="Arial" w:eastAsia="仿宋_GB2312" w:cs="Arial"/>
    </w:rPr>
  </w:style>
  <w:style w:type="paragraph" w:customStyle="1" w:styleId="481">
    <w:name w:val="xl72"/>
    <w:basedOn w:val="1"/>
    <w:qFormat/>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482">
    <w:name w:val="CM20"/>
    <w:basedOn w:val="250"/>
    <w:next w:val="250"/>
    <w:qFormat/>
    <w:uiPriority w:val="0"/>
    <w:pPr>
      <w:spacing w:line="466" w:lineRule="atLeast"/>
      <w:jc w:val="left"/>
    </w:pPr>
    <w:rPr>
      <w:rFonts w:ascii="黑体" w:eastAsia="黑体" w:cs="Times New Roman"/>
      <w:color w:val="auto"/>
    </w:rPr>
  </w:style>
  <w:style w:type="paragraph" w:customStyle="1" w:styleId="483">
    <w:name w:val="CM36"/>
    <w:basedOn w:val="250"/>
    <w:next w:val="250"/>
    <w:qFormat/>
    <w:uiPriority w:val="0"/>
    <w:pPr>
      <w:spacing w:line="391" w:lineRule="atLeast"/>
      <w:jc w:val="left"/>
    </w:pPr>
    <w:rPr>
      <w:rFonts w:ascii="黑体" w:eastAsia="黑体" w:cs="Times New Roman"/>
      <w:color w:val="auto"/>
    </w:rPr>
  </w:style>
  <w:style w:type="paragraph" w:customStyle="1" w:styleId="484">
    <w:name w:val="char"/>
    <w:basedOn w:val="1"/>
    <w:qFormat/>
    <w:uiPriority w:val="0"/>
    <w:pPr>
      <w:spacing w:before="156" w:beforeLines="50" w:line="360" w:lineRule="exact"/>
      <w:ind w:firstLine="482"/>
    </w:pPr>
    <w:rPr>
      <w:b/>
      <w:color w:val="000000"/>
    </w:rPr>
  </w:style>
  <w:style w:type="paragraph" w:customStyle="1" w:styleId="485">
    <w:name w:val="表标题"/>
    <w:basedOn w:val="124"/>
    <w:qFormat/>
    <w:uiPriority w:val="0"/>
    <w:pPr>
      <w:spacing w:before="0" w:after="0" w:line="300" w:lineRule="auto"/>
    </w:pPr>
    <w:rPr>
      <w:rFonts w:eastAsia="黑体"/>
      <w:sz w:val="24"/>
    </w:rPr>
  </w:style>
  <w:style w:type="paragraph" w:customStyle="1" w:styleId="486">
    <w:name w:val="CM163"/>
    <w:basedOn w:val="250"/>
    <w:next w:val="250"/>
    <w:qFormat/>
    <w:uiPriority w:val="0"/>
    <w:pPr>
      <w:spacing w:after="85" w:line="240" w:lineRule="auto"/>
      <w:jc w:val="left"/>
    </w:pPr>
    <w:rPr>
      <w:rFonts w:ascii="黑体" w:eastAsia="黑体" w:cs="Times New Roman"/>
      <w:color w:val="auto"/>
    </w:rPr>
  </w:style>
  <w:style w:type="paragraph" w:customStyle="1" w:styleId="487">
    <w:name w:val="xl5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sz w:val="20"/>
      <w:szCs w:val="20"/>
    </w:rPr>
  </w:style>
  <w:style w:type="paragraph" w:customStyle="1" w:styleId="488">
    <w:name w:val="项目号"/>
    <w:basedOn w:val="1"/>
    <w:qFormat/>
    <w:uiPriority w:val="0"/>
    <w:pPr>
      <w:keepNext/>
      <w:spacing w:beforeLines="50" w:line="300" w:lineRule="auto"/>
      <w:jc w:val="center"/>
    </w:pPr>
    <w:rPr>
      <w:sz w:val="32"/>
      <w:szCs w:val="20"/>
    </w:rPr>
  </w:style>
  <w:style w:type="paragraph" w:customStyle="1" w:styleId="489">
    <w:name w:val="CM82"/>
    <w:basedOn w:val="250"/>
    <w:next w:val="250"/>
    <w:qFormat/>
    <w:uiPriority w:val="0"/>
    <w:pPr>
      <w:spacing w:line="636" w:lineRule="atLeast"/>
      <w:jc w:val="left"/>
    </w:pPr>
    <w:rPr>
      <w:rFonts w:ascii="黑体" w:eastAsia="黑体" w:cs="Times New Roman"/>
      <w:color w:val="auto"/>
    </w:rPr>
  </w:style>
  <w:style w:type="paragraph" w:customStyle="1" w:styleId="490">
    <w:name w:val="xl5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sz w:val="20"/>
      <w:szCs w:val="20"/>
    </w:rPr>
  </w:style>
  <w:style w:type="paragraph" w:customStyle="1" w:styleId="491">
    <w:name w:val="小表右"/>
    <w:basedOn w:val="1"/>
    <w:qFormat/>
    <w:uiPriority w:val="0"/>
    <w:pPr>
      <w:keepNext/>
      <w:spacing w:line="240" w:lineRule="atLeast"/>
      <w:ind w:right="84" w:rightChars="30"/>
      <w:jc w:val="right"/>
    </w:pPr>
    <w:rPr>
      <w:szCs w:val="22"/>
    </w:rPr>
  </w:style>
  <w:style w:type="paragraph" w:customStyle="1" w:styleId="492">
    <w:name w:val="CM178"/>
    <w:basedOn w:val="250"/>
    <w:next w:val="250"/>
    <w:qFormat/>
    <w:uiPriority w:val="0"/>
    <w:pPr>
      <w:spacing w:after="432" w:line="240" w:lineRule="auto"/>
      <w:jc w:val="left"/>
    </w:pPr>
    <w:rPr>
      <w:rFonts w:ascii="黑体" w:eastAsia="黑体" w:cs="Times New Roman"/>
      <w:color w:val="auto"/>
    </w:rPr>
  </w:style>
  <w:style w:type="paragraph" w:customStyle="1" w:styleId="493">
    <w:name w:val="表格1"/>
    <w:qFormat/>
    <w:uiPriority w:val="0"/>
    <w:pPr>
      <w:adjustRightInd w:val="0"/>
      <w:spacing w:line="360" w:lineRule="auto"/>
      <w:jc w:val="center"/>
      <w:textAlignment w:val="center"/>
    </w:pPr>
    <w:rPr>
      <w:rFonts w:ascii="Times New Roman" w:hAnsi="Times New Roman" w:eastAsia="宋体" w:cs="Times New Roman"/>
      <w:sz w:val="21"/>
      <w:lang w:val="en-US" w:eastAsia="zh-CN" w:bidi="ar-SA"/>
    </w:rPr>
  </w:style>
  <w:style w:type="paragraph" w:customStyle="1" w:styleId="494">
    <w:name w:val="样式 标题 2节2 +"/>
    <w:basedOn w:val="5"/>
    <w:qFormat/>
    <w:uiPriority w:val="0"/>
    <w:pPr>
      <w:keepNext w:val="0"/>
      <w:snapToGrid w:val="0"/>
      <w:spacing w:before="0" w:after="0" w:line="300" w:lineRule="auto"/>
    </w:pPr>
    <w:rPr>
      <w:rFonts w:ascii="黑体" w:hAnsi="宋体"/>
      <w:b w:val="0"/>
      <w:snapToGrid w:val="0"/>
      <w:sz w:val="28"/>
      <w:szCs w:val="28"/>
    </w:rPr>
  </w:style>
  <w:style w:type="paragraph" w:customStyle="1" w:styleId="495">
    <w:name w:val="CM164"/>
    <w:basedOn w:val="250"/>
    <w:next w:val="250"/>
    <w:qFormat/>
    <w:uiPriority w:val="0"/>
    <w:pPr>
      <w:spacing w:after="267" w:line="240" w:lineRule="auto"/>
      <w:jc w:val="left"/>
    </w:pPr>
    <w:rPr>
      <w:rFonts w:ascii="黑体" w:eastAsia="黑体" w:cs="Times New Roman"/>
      <w:color w:val="auto"/>
    </w:rPr>
  </w:style>
  <w:style w:type="paragraph" w:customStyle="1" w:styleId="496">
    <w:name w:val="xl5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0"/>
      <w:szCs w:val="20"/>
    </w:rPr>
  </w:style>
  <w:style w:type="paragraph" w:customStyle="1" w:styleId="497">
    <w:name w:val="CM161"/>
    <w:basedOn w:val="250"/>
    <w:next w:val="250"/>
    <w:qFormat/>
    <w:uiPriority w:val="0"/>
    <w:pPr>
      <w:spacing w:after="155" w:line="240" w:lineRule="auto"/>
      <w:jc w:val="left"/>
    </w:pPr>
    <w:rPr>
      <w:rFonts w:ascii="黑体" w:eastAsia="黑体" w:cs="Times New Roman"/>
      <w:color w:val="auto"/>
    </w:rPr>
  </w:style>
  <w:style w:type="paragraph" w:customStyle="1" w:styleId="498">
    <w:name w:val="样式 MY报告正文 + 小四 首行缩进:  2 字符 行距: 1.5 倍行距"/>
    <w:basedOn w:val="1"/>
    <w:qFormat/>
    <w:uiPriority w:val="0"/>
    <w:rPr>
      <w:szCs w:val="20"/>
    </w:rPr>
  </w:style>
  <w:style w:type="paragraph" w:customStyle="1" w:styleId="499">
    <w:name w:val="节标题1"/>
    <w:basedOn w:val="1"/>
    <w:qFormat/>
    <w:uiPriority w:val="0"/>
    <w:pPr>
      <w:spacing w:line="700" w:lineRule="exact"/>
      <w:outlineLvl w:val="2"/>
    </w:pPr>
    <w:rPr>
      <w:rFonts w:ascii="Arial" w:hAnsi="Arial" w:eastAsia="仿宋_GB2312"/>
      <w:b/>
      <w:szCs w:val="20"/>
    </w:rPr>
  </w:style>
  <w:style w:type="paragraph" w:customStyle="1" w:styleId="500">
    <w:name w:val="默认段落字体 Para Char Char Char Char Char Char Char Char Char Char Char Char Char Char Char Char Char Char Char"/>
    <w:basedOn w:val="9"/>
    <w:qFormat/>
    <w:uiPriority w:val="0"/>
    <w:pPr>
      <w:tabs>
        <w:tab w:val="left" w:pos="851"/>
        <w:tab w:val="left" w:pos="900"/>
      </w:tabs>
      <w:ind w:left="542" w:leftChars="-12" w:firstLine="200" w:firstLineChars="200"/>
    </w:pPr>
    <w:rPr>
      <w:rFonts w:eastAsia="黑体"/>
      <w:b w:val="0"/>
      <w:bCs w:val="0"/>
      <w:sz w:val="24"/>
      <w:szCs w:val="24"/>
    </w:rPr>
  </w:style>
  <w:style w:type="paragraph" w:customStyle="1" w:styleId="501">
    <w:name w:val="xl27"/>
    <w:basedOn w:val="1"/>
    <w:qFormat/>
    <w:uiPriority w:val="0"/>
    <w:pPr>
      <w:spacing w:before="100" w:beforeAutospacing="1" w:after="100" w:afterAutospacing="1"/>
      <w:jc w:val="center"/>
      <w:textAlignment w:val="center"/>
    </w:pPr>
    <w:rPr>
      <w:rFonts w:ascii="Arial Unicode MS" w:hAnsi="Arial Unicode MS" w:eastAsia="Arial Unicode MS"/>
      <w:b/>
      <w:bCs/>
      <w:color w:val="0000FF"/>
      <w:sz w:val="20"/>
      <w:szCs w:val="20"/>
    </w:rPr>
  </w:style>
  <w:style w:type="table" w:customStyle="1" w:styleId="502">
    <w:name w:val="Table Normal"/>
    <w:unhideWhenUsed/>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character" w:customStyle="1" w:styleId="503">
    <w:name w:val="1表格头 字符"/>
    <w:link w:val="504"/>
    <w:qFormat/>
    <w:uiPriority w:val="0"/>
    <w:rPr>
      <w:b/>
      <w:bCs/>
      <w:sz w:val="24"/>
      <w:szCs w:val="21"/>
    </w:rPr>
  </w:style>
  <w:style w:type="paragraph" w:customStyle="1" w:styleId="504">
    <w:name w:val="1表格头"/>
    <w:next w:val="1"/>
    <w:link w:val="503"/>
    <w:qFormat/>
    <w:uiPriority w:val="0"/>
    <w:pPr>
      <w:adjustRightInd w:val="0"/>
      <w:snapToGrid w:val="0"/>
      <w:spacing w:before="72" w:beforeLines="30" w:after="72" w:afterLines="30"/>
      <w:jc w:val="center"/>
      <w:outlineLvl w:val="6"/>
    </w:pPr>
    <w:rPr>
      <w:rFonts w:ascii="Times New Roman" w:hAnsi="Times New Roman" w:eastAsia="宋体" w:cs="Times New Roman"/>
      <w:b/>
      <w:bCs/>
      <w:sz w:val="24"/>
      <w:szCs w:val="21"/>
      <w:lang w:val="en-US" w:eastAsia="zh-CN" w:bidi="ar-SA"/>
    </w:rPr>
  </w:style>
  <w:style w:type="character" w:customStyle="1" w:styleId="505">
    <w:name w:val="表左 Char"/>
    <w:link w:val="506"/>
    <w:qFormat/>
    <w:uiPriority w:val="0"/>
    <w:rPr>
      <w:rFonts w:ascii="宋体" w:hAnsi="宋体" w:cs="Arial"/>
      <w:color w:val="000000"/>
      <w:sz w:val="21"/>
      <w:szCs w:val="21"/>
      <w:lang w:val="en-US" w:eastAsia="zh-CN" w:bidi="ar-SA"/>
    </w:rPr>
  </w:style>
  <w:style w:type="paragraph" w:customStyle="1" w:styleId="506">
    <w:name w:val="表左"/>
    <w:link w:val="505"/>
    <w:qFormat/>
    <w:uiPriority w:val="0"/>
    <w:pPr>
      <w:autoSpaceDE w:val="0"/>
      <w:autoSpaceDN w:val="0"/>
      <w:adjustRightInd w:val="0"/>
    </w:pPr>
    <w:rPr>
      <w:rFonts w:ascii="宋体" w:hAnsi="宋体" w:eastAsia="宋体" w:cs="Arial"/>
      <w:color w:val="000000"/>
      <w:sz w:val="21"/>
      <w:szCs w:val="21"/>
      <w:lang w:val="en-US" w:eastAsia="zh-CN" w:bidi="ar-SA"/>
    </w:rPr>
  </w:style>
  <w:style w:type="character" w:customStyle="1" w:styleId="507">
    <w:name w:val="未处理的提及1"/>
    <w:semiHidden/>
    <w:unhideWhenUsed/>
    <w:qFormat/>
    <w:uiPriority w:val="99"/>
    <w:rPr>
      <w:rFonts w:ascii="仿宋_GB2312" w:hAnsi="Verdana" w:eastAsia="仿宋_GB2312"/>
      <w:color w:val="808080"/>
      <w:sz w:val="28"/>
      <w:szCs w:val="28"/>
      <w:shd w:val="clear" w:color="auto" w:fill="E6E6E6"/>
      <w:lang w:val="en-US" w:eastAsia="en-US"/>
    </w:rPr>
  </w:style>
  <w:style w:type="character" w:customStyle="1" w:styleId="508">
    <w:name w:val="t表格文字居中 Char"/>
    <w:link w:val="509"/>
    <w:qFormat/>
    <w:uiPriority w:val="0"/>
    <w:rPr>
      <w:sz w:val="21"/>
      <w:szCs w:val="21"/>
    </w:rPr>
  </w:style>
  <w:style w:type="paragraph" w:customStyle="1" w:styleId="509">
    <w:name w:val="t表格文字居中"/>
    <w:link w:val="508"/>
    <w:qFormat/>
    <w:uiPriority w:val="0"/>
    <w:pPr>
      <w:widowControl w:val="0"/>
      <w:overflowPunct w:val="0"/>
      <w:topLinePunct/>
      <w:autoSpaceDE w:val="0"/>
      <w:autoSpaceDN w:val="0"/>
      <w:adjustRightInd w:val="0"/>
      <w:snapToGrid w:val="0"/>
      <w:spacing w:before="20" w:beforeLines="20" w:after="20" w:afterLines="20"/>
      <w:jc w:val="center"/>
      <w:textAlignment w:val="center"/>
    </w:pPr>
    <w:rPr>
      <w:rFonts w:ascii="Times New Roman" w:hAnsi="Times New Roman" w:eastAsia="宋体" w:cs="Times New Roman"/>
      <w:sz w:val="21"/>
      <w:szCs w:val="21"/>
      <w:lang w:val="en-US" w:eastAsia="zh-CN" w:bidi="ar-SA"/>
    </w:rPr>
  </w:style>
  <w:style w:type="character" w:customStyle="1" w:styleId="510">
    <w:name w:val="标题 2 Char Char"/>
    <w:qFormat/>
    <w:uiPriority w:val="0"/>
    <w:rPr>
      <w:rFonts w:eastAsia="黑体"/>
      <w:bCs/>
      <w:kern w:val="2"/>
      <w:sz w:val="28"/>
      <w:szCs w:val="32"/>
      <w:lang w:val="en-US" w:eastAsia="zh-CN" w:bidi="ar-SA"/>
    </w:rPr>
  </w:style>
  <w:style w:type="paragraph" w:customStyle="1" w:styleId="511">
    <w:name w:val="条标题（科宏）"/>
    <w:next w:val="1"/>
    <w:qFormat/>
    <w:uiPriority w:val="0"/>
    <w:pPr>
      <w:widowControl w:val="0"/>
      <w:spacing w:line="360" w:lineRule="auto"/>
      <w:ind w:left="426"/>
      <w:jc w:val="both"/>
      <w:outlineLvl w:val="2"/>
    </w:pPr>
    <w:rPr>
      <w:rFonts w:ascii="Arial" w:hAnsi="Arial" w:eastAsia="宋体" w:cs="Times New Roman"/>
      <w:b/>
      <w:sz w:val="24"/>
      <w:szCs w:val="24"/>
      <w:lang w:val="en-US" w:eastAsia="zh-CN" w:bidi="ar-SA"/>
    </w:rPr>
  </w:style>
  <w:style w:type="character" w:customStyle="1" w:styleId="512">
    <w:name w:val="正文（首行缩进两字） Char"/>
    <w:link w:val="513"/>
    <w:qFormat/>
    <w:uiPriority w:val="0"/>
    <w:rPr>
      <w:sz w:val="24"/>
      <w:szCs w:val="24"/>
    </w:rPr>
  </w:style>
  <w:style w:type="paragraph" w:customStyle="1" w:styleId="513">
    <w:name w:val="正文（首行缩进两字）"/>
    <w:basedOn w:val="1"/>
    <w:link w:val="512"/>
    <w:qFormat/>
    <w:uiPriority w:val="0"/>
    <w:pPr>
      <w:tabs>
        <w:tab w:val="left" w:pos="840"/>
        <w:tab w:val="right" w:leader="dot" w:pos="8820"/>
      </w:tabs>
      <w:autoSpaceDE w:val="0"/>
      <w:autoSpaceDN w:val="0"/>
      <w:textAlignment w:val="center"/>
    </w:pPr>
    <w:rPr>
      <w:rFonts w:cs="Times New Roman"/>
      <w:lang w:val="zh-CN"/>
    </w:rPr>
  </w:style>
  <w:style w:type="character" w:customStyle="1" w:styleId="514">
    <w:name w:val="章3 Char"/>
    <w:link w:val="515"/>
    <w:qFormat/>
    <w:uiPriority w:val="0"/>
    <w:rPr>
      <w:rFonts w:ascii="Arial" w:hAnsi="Arial" w:cs="Arial"/>
      <w:b/>
      <w:bCs/>
      <w:kern w:val="2"/>
      <w:sz w:val="24"/>
      <w:szCs w:val="24"/>
      <w:lang w:val="en-US" w:eastAsia="zh-CN" w:bidi="ar-SA"/>
    </w:rPr>
  </w:style>
  <w:style w:type="paragraph" w:customStyle="1" w:styleId="515">
    <w:name w:val="章3"/>
    <w:link w:val="514"/>
    <w:qFormat/>
    <w:uiPriority w:val="0"/>
    <w:pPr>
      <w:autoSpaceDE w:val="0"/>
      <w:autoSpaceDN w:val="0"/>
      <w:adjustRightInd w:val="0"/>
      <w:snapToGrid w:val="0"/>
      <w:spacing w:beforeLines="50" w:line="360" w:lineRule="auto"/>
      <w:outlineLvl w:val="2"/>
    </w:pPr>
    <w:rPr>
      <w:rFonts w:ascii="Arial" w:hAnsi="Arial" w:eastAsia="宋体" w:cs="Arial"/>
      <w:b/>
      <w:bCs/>
      <w:kern w:val="2"/>
      <w:sz w:val="24"/>
      <w:szCs w:val="24"/>
      <w:lang w:val="en-US" w:eastAsia="zh-CN" w:bidi="ar-SA"/>
    </w:rPr>
  </w:style>
  <w:style w:type="character" w:customStyle="1" w:styleId="516">
    <w:name w:val="章2 Char"/>
    <w:link w:val="517"/>
    <w:qFormat/>
    <w:uiPriority w:val="0"/>
    <w:rPr>
      <w:rFonts w:ascii="Arial" w:hAnsi="Arial"/>
      <w:b/>
      <w:bCs/>
      <w:kern w:val="2"/>
      <w:sz w:val="24"/>
      <w:szCs w:val="21"/>
      <w:lang w:val="en-US" w:eastAsia="zh-CN" w:bidi="ar-SA"/>
    </w:rPr>
  </w:style>
  <w:style w:type="paragraph" w:customStyle="1" w:styleId="517">
    <w:name w:val="章2"/>
    <w:link w:val="516"/>
    <w:qFormat/>
    <w:uiPriority w:val="0"/>
    <w:pPr>
      <w:spacing w:before="50" w:after="50" w:line="360" w:lineRule="auto"/>
      <w:jc w:val="center"/>
      <w:outlineLvl w:val="0"/>
    </w:pPr>
    <w:rPr>
      <w:rFonts w:ascii="Arial" w:hAnsi="Arial" w:eastAsia="宋体" w:cs="Times New Roman"/>
      <w:b/>
      <w:bCs/>
      <w:kern w:val="2"/>
      <w:sz w:val="24"/>
      <w:szCs w:val="21"/>
      <w:lang w:val="en-US" w:eastAsia="zh-CN" w:bidi="ar-SA"/>
    </w:rPr>
  </w:style>
  <w:style w:type="paragraph" w:customStyle="1" w:styleId="518">
    <w:name w:val="1-5"/>
    <w:qFormat/>
    <w:uiPriority w:val="0"/>
    <w:pPr>
      <w:keepNext/>
      <w:spacing w:line="360" w:lineRule="auto"/>
      <w:ind w:left="113" w:right="113"/>
      <w:jc w:val="center"/>
    </w:pPr>
    <w:rPr>
      <w:rFonts w:ascii="Arial" w:hAnsi="Arial" w:eastAsia="宋体" w:cs="Times New Roman"/>
      <w:kern w:val="2"/>
      <w:sz w:val="24"/>
      <w:szCs w:val="24"/>
      <w:lang w:val="en-US" w:eastAsia="zh-CN" w:bidi="ar-SA"/>
    </w:rPr>
  </w:style>
  <w:style w:type="paragraph" w:customStyle="1" w:styleId="519">
    <w:name w:val="1-51"/>
    <w:qFormat/>
    <w:uiPriority w:val="0"/>
    <w:pPr>
      <w:jc w:val="center"/>
    </w:pPr>
    <w:rPr>
      <w:rFonts w:ascii="Arial" w:hAnsi="Arial" w:eastAsia="宋体" w:cs="Times New Roman"/>
      <w:kern w:val="2"/>
      <w:sz w:val="21"/>
      <w:szCs w:val="24"/>
      <w:lang w:val="en-US" w:eastAsia="zh-CN" w:bidi="ar-SA"/>
    </w:rPr>
  </w:style>
  <w:style w:type="paragraph" w:customStyle="1" w:styleId="520">
    <w:name w:val="1-4"/>
    <w:qFormat/>
    <w:uiPriority w:val="0"/>
    <w:pPr>
      <w:spacing w:line="360" w:lineRule="auto"/>
      <w:ind w:left="113" w:right="113" w:firstLine="200" w:firstLineChars="200"/>
    </w:pPr>
    <w:rPr>
      <w:rFonts w:ascii="Arial" w:hAnsi="Arial" w:eastAsia="宋体" w:cs="Times New Roman"/>
      <w:kern w:val="2"/>
      <w:sz w:val="24"/>
      <w:szCs w:val="24"/>
      <w:lang w:val="en-US" w:eastAsia="zh-CN" w:bidi="ar-SA"/>
    </w:rPr>
  </w:style>
  <w:style w:type="paragraph" w:customStyle="1" w:styleId="521">
    <w:name w:val="1-6"/>
    <w:qFormat/>
    <w:uiPriority w:val="0"/>
    <w:pPr>
      <w:jc w:val="center"/>
    </w:pPr>
    <w:rPr>
      <w:rFonts w:ascii="Arial" w:hAnsi="Arial" w:eastAsia="宋体" w:cs="Arial"/>
      <w:kern w:val="2"/>
      <w:sz w:val="21"/>
      <w:szCs w:val="24"/>
      <w:lang w:val="en-US" w:eastAsia="zh-CN" w:bidi="ar-SA"/>
    </w:rPr>
  </w:style>
  <w:style w:type="character" w:customStyle="1" w:styleId="522">
    <w:name w:val="款正文（科宏） Char"/>
    <w:link w:val="523"/>
    <w:qFormat/>
    <w:uiPriority w:val="0"/>
    <w:rPr>
      <w:rFonts w:ascii="Arial" w:hAnsi="Arial" w:eastAsia="仿宋_GB2312"/>
      <w:sz w:val="28"/>
      <w:lang w:val="en-US" w:eastAsia="zh-CN" w:bidi="ar-SA"/>
    </w:rPr>
  </w:style>
  <w:style w:type="paragraph" w:customStyle="1" w:styleId="523">
    <w:name w:val="款正文（科宏）"/>
    <w:next w:val="1"/>
    <w:link w:val="522"/>
    <w:qFormat/>
    <w:uiPriority w:val="0"/>
    <w:pPr>
      <w:widowControl w:val="0"/>
      <w:tabs>
        <w:tab w:val="left" w:pos="927"/>
      </w:tabs>
      <w:spacing w:line="360" w:lineRule="auto"/>
      <w:ind w:firstLine="567"/>
      <w:jc w:val="both"/>
    </w:pPr>
    <w:rPr>
      <w:rFonts w:ascii="Arial" w:hAnsi="Arial" w:eastAsia="仿宋_GB2312" w:cs="Times New Roman"/>
      <w:sz w:val="28"/>
      <w:lang w:val="en-US" w:eastAsia="zh-CN" w:bidi="ar-SA"/>
    </w:rPr>
  </w:style>
  <w:style w:type="paragraph" w:styleId="524">
    <w:name w:val="No Spacing"/>
    <w:link w:val="525"/>
    <w:qFormat/>
    <w:uiPriority w:val="0"/>
    <w:pPr>
      <w:tabs>
        <w:tab w:val="left" w:pos="5400"/>
      </w:tabs>
      <w:adjustRightInd w:val="0"/>
      <w:snapToGrid w:val="0"/>
      <w:jc w:val="both"/>
      <w:outlineLvl w:val="8"/>
    </w:pPr>
    <w:rPr>
      <w:rFonts w:ascii="Arial" w:hAnsi="宋体" w:eastAsia="宋体" w:cs="Times New Roman"/>
      <w:bCs/>
      <w:spacing w:val="-8"/>
      <w:sz w:val="24"/>
      <w:szCs w:val="21"/>
      <w:lang w:val="en-US" w:eastAsia="zh-CN" w:bidi="ar-SA"/>
    </w:rPr>
  </w:style>
  <w:style w:type="character" w:customStyle="1" w:styleId="525">
    <w:name w:val="无间隔 字符"/>
    <w:link w:val="524"/>
    <w:qFormat/>
    <w:uiPriority w:val="0"/>
    <w:rPr>
      <w:rFonts w:ascii="Arial" w:hAnsi="宋体"/>
      <w:bCs/>
      <w:spacing w:val="-8"/>
      <w:sz w:val="24"/>
      <w:szCs w:val="21"/>
      <w:lang w:bidi="ar-SA"/>
    </w:rPr>
  </w:style>
  <w:style w:type="character" w:customStyle="1" w:styleId="526">
    <w:name w:val="HTML 预设格式 Char"/>
    <w:qFormat/>
    <w:uiPriority w:val="0"/>
    <w:rPr>
      <w:rFonts w:ascii="Courier New" w:hAnsi="Courier New" w:eastAsia="宋体" w:cs="Times New Roman"/>
      <w:color w:val="auto"/>
      <w:kern w:val="0"/>
      <w:sz w:val="20"/>
      <w:szCs w:val="20"/>
      <w:lang w:val="en-US" w:eastAsia="en-US"/>
    </w:rPr>
  </w:style>
  <w:style w:type="paragraph" w:customStyle="1" w:styleId="527">
    <w:name w:val="附件封面1"/>
    <w:basedOn w:val="1"/>
    <w:next w:val="1"/>
    <w:qFormat/>
    <w:uiPriority w:val="0"/>
    <w:pPr>
      <w:outlineLvl w:val="1"/>
    </w:pPr>
    <w:rPr>
      <w:rFonts w:cs="Times New Roman"/>
      <w:b/>
      <w:kern w:val="2"/>
      <w:szCs w:val="21"/>
    </w:rPr>
  </w:style>
  <w:style w:type="paragraph" w:customStyle="1" w:styleId="528">
    <w:name w:val="列出段落1"/>
    <w:basedOn w:val="1"/>
    <w:qFormat/>
    <w:uiPriority w:val="0"/>
    <w:pPr>
      <w:ind w:firstLine="420"/>
    </w:pPr>
    <w:rPr>
      <w:rFonts w:ascii="Calibri" w:hAnsi="Calibri" w:cs="黑体"/>
      <w:kern w:val="2"/>
      <w:sz w:val="21"/>
      <w:szCs w:val="22"/>
    </w:rPr>
  </w:style>
  <w:style w:type="paragraph" w:customStyle="1" w:styleId="529">
    <w:name w:val="首行缩进"/>
    <w:basedOn w:val="1"/>
    <w:link w:val="530"/>
    <w:qFormat/>
    <w:uiPriority w:val="0"/>
    <w:pPr>
      <w:ind w:firstLine="482"/>
    </w:pPr>
    <w:rPr>
      <w:rFonts w:cs="Times New Roman"/>
      <w:kern w:val="2"/>
      <w:lang w:val="zh-CN"/>
    </w:rPr>
  </w:style>
  <w:style w:type="character" w:customStyle="1" w:styleId="530">
    <w:name w:val="首行缩进 Char"/>
    <w:link w:val="529"/>
    <w:qFormat/>
    <w:uiPriority w:val="0"/>
    <w:rPr>
      <w:rFonts w:ascii="宋体"/>
      <w:kern w:val="2"/>
      <w:sz w:val="28"/>
      <w:szCs w:val="24"/>
    </w:rPr>
  </w:style>
  <w:style w:type="paragraph" w:customStyle="1" w:styleId="531">
    <w:name w:val="表1表2"/>
    <w:basedOn w:val="1"/>
    <w:qFormat/>
    <w:uiPriority w:val="0"/>
    <w:pPr>
      <w:autoSpaceDE w:val="0"/>
      <w:autoSpaceDN w:val="0"/>
      <w:jc w:val="center"/>
      <w:textAlignment w:val="center"/>
    </w:pPr>
    <w:rPr>
      <w:rFonts w:cs="Times New Roman"/>
      <w:sz w:val="21"/>
    </w:rPr>
  </w:style>
  <w:style w:type="paragraph" w:customStyle="1" w:styleId="532">
    <w:name w:val="小节标题"/>
    <w:basedOn w:val="1"/>
    <w:next w:val="1"/>
    <w:qFormat/>
    <w:uiPriority w:val="0"/>
    <w:pPr>
      <w:spacing w:before="175" w:after="102" w:line="351" w:lineRule="atLeast"/>
    </w:pPr>
    <w:rPr>
      <w:rFonts w:eastAsia="黑体" w:cs="Times New Roman"/>
      <w:color w:val="000000"/>
      <w:szCs w:val="20"/>
      <w:u w:color="000000"/>
    </w:rPr>
  </w:style>
  <w:style w:type="paragraph" w:customStyle="1" w:styleId="533">
    <w:name w:val="reader-word-layer"/>
    <w:basedOn w:val="1"/>
    <w:qFormat/>
    <w:uiPriority w:val="0"/>
    <w:pPr>
      <w:spacing w:before="100" w:beforeAutospacing="1" w:after="100" w:afterAutospacing="1"/>
    </w:pPr>
  </w:style>
  <w:style w:type="paragraph" w:customStyle="1" w:styleId="534">
    <w:name w:val="默认段落字体 Para Char Char Char Char"/>
    <w:basedOn w:val="1"/>
    <w:qFormat/>
    <w:uiPriority w:val="0"/>
    <w:rPr>
      <w:rFonts w:eastAsia="黑体"/>
    </w:rPr>
  </w:style>
  <w:style w:type="paragraph" w:customStyle="1" w:styleId="535">
    <w:name w:val="默认段落字体 Para Char Char Char Char Char Char Char Char Char1 Char Char Char Char Char Char Char"/>
    <w:basedOn w:val="26"/>
    <w:qFormat/>
    <w:uiPriority w:val="0"/>
    <w:rPr>
      <w:rFonts w:ascii="Tahoma" w:hAnsi="Tahoma" w:cs="Tahoma"/>
      <w:sz w:val="28"/>
      <w:lang w:val="en-US"/>
    </w:rPr>
  </w:style>
  <w:style w:type="paragraph" w:customStyle="1" w:styleId="536">
    <w:name w:val="样式 标题 3 + 首行缩进:  2 字符1"/>
    <w:basedOn w:val="9"/>
    <w:qFormat/>
    <w:uiPriority w:val="0"/>
    <w:pPr>
      <w:ind w:firstLine="200" w:firstLineChars="200"/>
    </w:pPr>
    <w:rPr>
      <w:rFonts w:ascii="黑体" w:hAnsi="Calibri" w:eastAsia="黑体" w:cs="宋体"/>
      <w:b w:val="0"/>
      <w:bCs w:val="0"/>
      <w:szCs w:val="20"/>
    </w:rPr>
  </w:style>
  <w:style w:type="paragraph" w:customStyle="1" w:styleId="537">
    <w:name w:val="正文文本 21"/>
    <w:basedOn w:val="1"/>
    <w:qFormat/>
    <w:uiPriority w:val="0"/>
    <w:pPr>
      <w:spacing w:line="500" w:lineRule="exact"/>
      <w:jc w:val="center"/>
    </w:pPr>
    <w:rPr>
      <w:rFonts w:cs="Times New Roman"/>
      <w:sz w:val="20"/>
    </w:rPr>
  </w:style>
  <w:style w:type="paragraph" w:customStyle="1" w:styleId="538">
    <w:name w:val="2909F619802848F09E01365C32F34654"/>
    <w:qFormat/>
    <w:uiPriority w:val="0"/>
    <w:pPr>
      <w:spacing w:after="200" w:line="276" w:lineRule="auto"/>
    </w:pPr>
    <w:rPr>
      <w:rFonts w:ascii="Calibri" w:hAnsi="Calibri" w:eastAsia="宋体" w:cs="Times New Roman"/>
      <w:sz w:val="22"/>
      <w:szCs w:val="22"/>
      <w:lang w:val="en-US" w:eastAsia="zh-CN" w:bidi="ar-SA"/>
    </w:rPr>
  </w:style>
  <w:style w:type="paragraph" w:customStyle="1" w:styleId="539">
    <w:name w:val="样式 宋体 四号"/>
    <w:basedOn w:val="1"/>
    <w:qFormat/>
    <w:uiPriority w:val="0"/>
    <w:pPr>
      <w:ind w:firstLine="560"/>
    </w:pPr>
    <w:rPr>
      <w:kern w:val="2"/>
      <w:szCs w:val="20"/>
    </w:rPr>
  </w:style>
  <w:style w:type="paragraph" w:customStyle="1" w:styleId="540">
    <w:name w:val="列出段落2"/>
    <w:basedOn w:val="1"/>
    <w:qFormat/>
    <w:uiPriority w:val="34"/>
    <w:pPr>
      <w:ind w:firstLine="420"/>
    </w:pPr>
    <w:rPr>
      <w:rFonts w:ascii="Calibri" w:hAnsi="Calibri" w:cs="黑体"/>
      <w:kern w:val="2"/>
      <w:sz w:val="21"/>
      <w:szCs w:val="22"/>
    </w:rPr>
  </w:style>
  <w:style w:type="paragraph" w:customStyle="1" w:styleId="541">
    <w:name w:val="TOC 标题2"/>
    <w:basedOn w:val="3"/>
    <w:next w:val="1"/>
    <w:unhideWhenUsed/>
    <w:qFormat/>
    <w:uiPriority w:val="39"/>
    <w:pPr>
      <w:spacing w:before="480" w:after="0" w:line="276" w:lineRule="auto"/>
      <w:outlineLvl w:val="9"/>
    </w:pPr>
    <w:rPr>
      <w:rFonts w:ascii="Cambria" w:hAnsi="Cambria" w:cs="黑体"/>
      <w:color w:val="365F90"/>
      <w:kern w:val="0"/>
      <w:sz w:val="28"/>
      <w:szCs w:val="28"/>
    </w:rPr>
  </w:style>
  <w:style w:type="paragraph" w:customStyle="1" w:styleId="542">
    <w:name w:val="填表4小单倍行距"/>
    <w:basedOn w:val="1"/>
    <w:link w:val="684"/>
    <w:qFormat/>
    <w:uiPriority w:val="0"/>
    <w:rPr>
      <w:kern w:val="2"/>
      <w:szCs w:val="20"/>
    </w:rPr>
  </w:style>
  <w:style w:type="paragraph" w:customStyle="1" w:styleId="543">
    <w:name w:val="填表4小中单倍行距"/>
    <w:basedOn w:val="1"/>
    <w:link w:val="710"/>
    <w:qFormat/>
    <w:uiPriority w:val="0"/>
    <w:pPr>
      <w:jc w:val="center"/>
    </w:pPr>
    <w:rPr>
      <w:kern w:val="2"/>
      <w:szCs w:val="20"/>
    </w:rPr>
  </w:style>
  <w:style w:type="character" w:customStyle="1" w:styleId="544">
    <w:name w:val="表格文字 Char Char1"/>
    <w:qFormat/>
    <w:uiPriority w:val="0"/>
    <w:rPr>
      <w:rFonts w:ascii="新宋体" w:hAnsi="新宋体" w:eastAsia="新宋体"/>
      <w:color w:val="auto"/>
      <w:kern w:val="2"/>
      <w:sz w:val="28"/>
      <w:szCs w:val="30"/>
      <w:lang w:val="en-US" w:eastAsia="zh-CN" w:bidi="ar-SA"/>
    </w:rPr>
  </w:style>
  <w:style w:type="character" w:customStyle="1" w:styleId="545">
    <w:name w:val="正文1 Char"/>
    <w:qFormat/>
    <w:uiPriority w:val="0"/>
    <w:rPr>
      <w:rFonts w:ascii="Arial Narrow" w:hAnsi="Arial Narrow" w:eastAsia="宋体" w:cs="宋体"/>
      <w:color w:val="000000"/>
      <w:kern w:val="10"/>
      <w:sz w:val="28"/>
      <w:szCs w:val="28"/>
      <w:lang w:val="en-US" w:eastAsia="zh-CN" w:bidi="ar-SA"/>
    </w:rPr>
  </w:style>
  <w:style w:type="character" w:customStyle="1" w:styleId="546">
    <w:name w:val="p21"/>
    <w:qFormat/>
    <w:uiPriority w:val="0"/>
    <w:rPr>
      <w:rFonts w:ascii="仿宋_GB2312" w:hAnsi="Verdana" w:eastAsia="仿宋_GB2312"/>
      <w:color w:val="auto"/>
      <w:sz w:val="18"/>
      <w:szCs w:val="18"/>
      <w:lang w:val="en-US" w:eastAsia="en-US"/>
    </w:rPr>
  </w:style>
  <w:style w:type="character" w:customStyle="1" w:styleId="547">
    <w:name w:val="f3"/>
    <w:basedOn w:val="62"/>
    <w:qFormat/>
    <w:uiPriority w:val="0"/>
    <w:rPr>
      <w:rFonts w:ascii="仿宋_GB2312" w:hAnsi="Verdana" w:eastAsia="仿宋_GB2312"/>
      <w:color w:val="auto"/>
      <w:sz w:val="28"/>
      <w:szCs w:val="28"/>
      <w:lang w:val="en-US" w:eastAsia="en-US"/>
    </w:rPr>
  </w:style>
  <w:style w:type="character" w:customStyle="1" w:styleId="548">
    <w:name w:val="unnamed11"/>
    <w:basedOn w:val="62"/>
    <w:qFormat/>
    <w:uiPriority w:val="0"/>
    <w:rPr>
      <w:rFonts w:ascii="仿宋_GB2312" w:hAnsi="Verdana" w:eastAsia="仿宋_GB2312"/>
      <w:color w:val="auto"/>
      <w:sz w:val="28"/>
      <w:szCs w:val="28"/>
      <w:lang w:val="en-US" w:eastAsia="en-US"/>
    </w:rPr>
  </w:style>
  <w:style w:type="character" w:customStyle="1" w:styleId="549">
    <w:name w:val="标题 3 Char Char"/>
    <w:qFormat/>
    <w:uiPriority w:val="0"/>
    <w:rPr>
      <w:rFonts w:ascii="仿宋_GB2312" w:hAnsi="Verdana" w:eastAsia="宋体"/>
      <w:b/>
      <w:bCs/>
      <w:color w:val="auto"/>
      <w:kern w:val="2"/>
      <w:sz w:val="28"/>
      <w:szCs w:val="32"/>
      <w:lang w:val="en-US" w:eastAsia="zh-CN" w:bidi="ar-SA"/>
    </w:rPr>
  </w:style>
  <w:style w:type="character" w:customStyle="1" w:styleId="550">
    <w:name w:val="article1"/>
    <w:qFormat/>
    <w:uiPriority w:val="0"/>
    <w:rPr>
      <w:rFonts w:ascii="仿宋_GB2312" w:hAnsi="Verdana" w:eastAsia="仿宋_GB2312"/>
      <w:b/>
      <w:bCs/>
      <w:smallCaps/>
      <w:color w:val="FF0000"/>
      <w:sz w:val="43"/>
      <w:szCs w:val="43"/>
      <w:lang w:val="en-US" w:eastAsia="en-US"/>
    </w:rPr>
  </w:style>
  <w:style w:type="character" w:customStyle="1" w:styleId="551">
    <w:name w:val="标题 2 Char1 Char Char Char"/>
    <w:qFormat/>
    <w:uiPriority w:val="0"/>
    <w:rPr>
      <w:rFonts w:ascii="Arial" w:hAnsi="Arial" w:eastAsia="黑体"/>
      <w:b/>
      <w:bCs/>
      <w:color w:val="auto"/>
      <w:kern w:val="2"/>
      <w:sz w:val="32"/>
      <w:szCs w:val="32"/>
      <w:lang w:val="en-US" w:eastAsia="zh-CN" w:bidi="ar-SA"/>
    </w:rPr>
  </w:style>
  <w:style w:type="character" w:customStyle="1" w:styleId="552">
    <w:name w:val="标题 2 Char Char Char Char3"/>
    <w:qFormat/>
    <w:uiPriority w:val="0"/>
    <w:rPr>
      <w:rFonts w:ascii="Arial" w:hAnsi="Arial" w:eastAsia="黑体"/>
      <w:b/>
      <w:bCs/>
      <w:color w:val="auto"/>
      <w:kern w:val="2"/>
      <w:sz w:val="32"/>
      <w:szCs w:val="32"/>
      <w:lang w:val="en-US" w:eastAsia="zh-CN" w:bidi="ar-SA"/>
    </w:rPr>
  </w:style>
  <w:style w:type="character" w:customStyle="1" w:styleId="553">
    <w:name w:val="Char Char12"/>
    <w:qFormat/>
    <w:uiPriority w:val="0"/>
    <w:rPr>
      <w:rFonts w:ascii="Arial" w:hAnsi="Arial" w:eastAsia="黑体"/>
      <w:b/>
      <w:bCs/>
      <w:color w:val="auto"/>
      <w:kern w:val="2"/>
      <w:sz w:val="28"/>
      <w:szCs w:val="28"/>
      <w:lang w:val="en-US" w:eastAsia="zh-CN" w:bidi="ar-SA"/>
    </w:rPr>
  </w:style>
  <w:style w:type="character" w:customStyle="1" w:styleId="554">
    <w:name w:val="Footer Char"/>
    <w:qFormat/>
    <w:uiPriority w:val="0"/>
    <w:rPr>
      <w:rFonts w:ascii="仿宋_GB2312" w:hAnsi="Verdana" w:eastAsia="宋体" w:cs="Times New Roman"/>
      <w:color w:val="auto"/>
      <w:kern w:val="2"/>
      <w:sz w:val="18"/>
      <w:szCs w:val="18"/>
      <w:lang w:val="en-US" w:eastAsia="zh-CN" w:bidi="ar-SA"/>
    </w:rPr>
  </w:style>
  <w:style w:type="character" w:customStyle="1" w:styleId="555">
    <w:name w:val="标书正文格式 Char"/>
    <w:link w:val="556"/>
    <w:qFormat/>
    <w:uiPriority w:val="0"/>
    <w:rPr>
      <w:rFonts w:ascii="Calibri" w:hAnsi="Calibri" w:eastAsia="仿宋_GB2312"/>
      <w:color w:val="auto"/>
      <w:sz w:val="30"/>
      <w:szCs w:val="24"/>
      <w:lang w:val="en-US" w:eastAsia="zh-CN" w:bidi="ar-SA"/>
    </w:rPr>
  </w:style>
  <w:style w:type="paragraph" w:customStyle="1" w:styleId="556">
    <w:name w:val="标书正文格式"/>
    <w:link w:val="555"/>
    <w:qFormat/>
    <w:uiPriority w:val="0"/>
    <w:pPr>
      <w:spacing w:after="200" w:line="360" w:lineRule="auto"/>
      <w:ind w:firstLine="200" w:firstLineChars="200"/>
    </w:pPr>
    <w:rPr>
      <w:rFonts w:ascii="Calibri" w:hAnsi="Calibri" w:eastAsia="仿宋_GB2312" w:cs="Times New Roman"/>
      <w:sz w:val="30"/>
      <w:szCs w:val="24"/>
      <w:lang w:val="en-US" w:eastAsia="zh-CN" w:bidi="ar-SA"/>
    </w:rPr>
  </w:style>
  <w:style w:type="character" w:customStyle="1" w:styleId="557">
    <w:name w:val="Char Char13"/>
    <w:qFormat/>
    <w:uiPriority w:val="0"/>
    <w:rPr>
      <w:rFonts w:ascii="仿宋_GB2312" w:hAnsi="Verdana" w:eastAsia="宋体"/>
      <w:color w:val="auto"/>
      <w:kern w:val="2"/>
      <w:sz w:val="28"/>
      <w:szCs w:val="28"/>
      <w:lang w:val="en-US" w:eastAsia="zh-CN" w:bidi="ar-SA"/>
    </w:rPr>
  </w:style>
  <w:style w:type="character" w:customStyle="1" w:styleId="558">
    <w:name w:val="样式 宋体 小四1"/>
    <w:qFormat/>
    <w:uiPriority w:val="0"/>
    <w:rPr>
      <w:rFonts w:ascii="宋体" w:hAnsi="宋体" w:eastAsia="宋体"/>
      <w:color w:val="auto"/>
      <w:kern w:val="28"/>
      <w:sz w:val="28"/>
      <w:szCs w:val="28"/>
      <w:lang w:val="en-US" w:eastAsia="en-US"/>
    </w:rPr>
  </w:style>
  <w:style w:type="character" w:customStyle="1" w:styleId="559">
    <w:name w:val="首钢正文样式 Char"/>
    <w:link w:val="560"/>
    <w:qFormat/>
    <w:uiPriority w:val="0"/>
    <w:rPr>
      <w:rFonts w:ascii="宋体" w:hAnsi="宋体" w:eastAsia="仿宋_GB2312"/>
      <w:bCs/>
      <w:color w:val="auto"/>
      <w:sz w:val="24"/>
      <w:szCs w:val="24"/>
      <w:lang w:val="en-US" w:eastAsia="en-US"/>
    </w:rPr>
  </w:style>
  <w:style w:type="paragraph" w:customStyle="1" w:styleId="560">
    <w:name w:val="首钢正文样式"/>
    <w:basedOn w:val="1"/>
    <w:link w:val="559"/>
    <w:qFormat/>
    <w:uiPriority w:val="0"/>
    <w:pPr>
      <w:ind w:firstLine="480"/>
    </w:pPr>
    <w:rPr>
      <w:rFonts w:cs="Times New Roman"/>
      <w:bCs/>
    </w:rPr>
  </w:style>
  <w:style w:type="character" w:customStyle="1" w:styleId="561">
    <w:name w:val="Char Char10"/>
    <w:qFormat/>
    <w:uiPriority w:val="0"/>
    <w:rPr>
      <w:rFonts w:ascii="仿宋_GB2312" w:hAnsi="Verdana" w:eastAsia="宋体"/>
      <w:color w:val="auto"/>
      <w:kern w:val="2"/>
      <w:sz w:val="21"/>
      <w:szCs w:val="24"/>
      <w:lang w:val="en-US" w:eastAsia="zh-CN" w:bidi="ar-SA"/>
    </w:rPr>
  </w:style>
  <w:style w:type="character" w:customStyle="1" w:styleId="562">
    <w:name w:val="样式 5 + 首行缩进:  2 字符 Char"/>
    <w:link w:val="563"/>
    <w:qFormat/>
    <w:uiPriority w:val="0"/>
    <w:rPr>
      <w:rFonts w:ascii="楷体_GB2312" w:hAnsi="宋体" w:eastAsia="楷体_GB2312" w:cs="宋体"/>
      <w:color w:val="000000"/>
      <w:spacing w:val="-2"/>
      <w:sz w:val="30"/>
      <w:szCs w:val="30"/>
      <w:lang w:val="en-US" w:eastAsia="en-US"/>
    </w:rPr>
  </w:style>
  <w:style w:type="paragraph" w:customStyle="1" w:styleId="563">
    <w:name w:val="样式 5 + 首行缩进:  2 字符"/>
    <w:basedOn w:val="1"/>
    <w:link w:val="562"/>
    <w:qFormat/>
    <w:uiPriority w:val="0"/>
    <w:pPr>
      <w:ind w:firstLine="592"/>
    </w:pPr>
    <w:rPr>
      <w:rFonts w:ascii="楷体_GB2312" w:eastAsia="楷体_GB2312"/>
      <w:color w:val="000000"/>
      <w:spacing w:val="-2"/>
      <w:sz w:val="30"/>
      <w:szCs w:val="30"/>
    </w:rPr>
  </w:style>
  <w:style w:type="character" w:customStyle="1" w:styleId="564">
    <w:name w:val="Char Char5"/>
    <w:qFormat/>
    <w:uiPriority w:val="0"/>
    <w:rPr>
      <w:rFonts w:ascii="Times New Roman" w:hAnsi="Times New Roman" w:eastAsia="宋体" w:cs="Times New Roman"/>
      <w:color w:val="auto"/>
      <w:sz w:val="28"/>
      <w:szCs w:val="24"/>
      <w:lang w:val="en-US" w:eastAsia="en-US"/>
    </w:rPr>
  </w:style>
  <w:style w:type="character" w:customStyle="1" w:styleId="565">
    <w:name w:val="f2001"/>
    <w:qFormat/>
    <w:uiPriority w:val="0"/>
    <w:rPr>
      <w:rFonts w:hint="default" w:ascii="Times New Roman" w:hAnsi="Times New Roman" w:cs="Times New Roman"/>
    </w:rPr>
  </w:style>
  <w:style w:type="character" w:customStyle="1" w:styleId="566">
    <w:name w:val="正文（首行缩进两字） Char Char Char3"/>
    <w:qFormat/>
    <w:uiPriority w:val="0"/>
    <w:rPr>
      <w:rFonts w:ascii="Arial" w:hAnsi="Arial" w:eastAsia="仿宋_GB2312"/>
      <w:sz w:val="24"/>
      <w:lang w:val="en-US" w:eastAsia="zh-CN" w:bidi="ar-SA"/>
    </w:rPr>
  </w:style>
  <w:style w:type="character" w:customStyle="1" w:styleId="567">
    <w:name w:val="图表说明 Char3"/>
    <w:qFormat/>
    <w:uiPriority w:val="0"/>
    <w:rPr>
      <w:rFonts w:ascii="宋体" w:hAnsi="Courier New" w:eastAsia="仿宋_GB2312"/>
      <w:kern w:val="2"/>
      <w:sz w:val="28"/>
      <w:lang w:val="en-US" w:eastAsia="zh-CN" w:bidi="ar-SA"/>
    </w:rPr>
  </w:style>
  <w:style w:type="paragraph" w:customStyle="1" w:styleId="568">
    <w:name w:val="msonospacing"/>
    <w:qFormat/>
    <w:uiPriority w:val="0"/>
    <w:pPr>
      <w:widowControl w:val="0"/>
      <w:jc w:val="both"/>
    </w:pPr>
    <w:rPr>
      <w:rFonts w:ascii="Calibri" w:hAnsi="Calibri" w:eastAsia="宋体" w:cs="Times New Roman"/>
      <w:kern w:val="2"/>
      <w:sz w:val="21"/>
      <w:szCs w:val="22"/>
      <w:lang w:val="en-US" w:eastAsia="zh-CN" w:bidi="ar-SA"/>
    </w:rPr>
  </w:style>
  <w:style w:type="paragraph" w:customStyle="1" w:styleId="569">
    <w:name w:val="表文字"/>
    <w:next w:val="1"/>
    <w:qFormat/>
    <w:uiPriority w:val="0"/>
    <w:pPr>
      <w:spacing w:line="360" w:lineRule="auto"/>
      <w:jc w:val="center"/>
    </w:pPr>
    <w:rPr>
      <w:rFonts w:ascii="Arial" w:hAnsi="Arial" w:eastAsia="宋体" w:cs="Times New Roman"/>
      <w:sz w:val="21"/>
      <w:lang w:val="en-US" w:eastAsia="zh-CN" w:bidi="ar-SA"/>
    </w:rPr>
  </w:style>
  <w:style w:type="paragraph" w:customStyle="1" w:styleId="570">
    <w:name w:val="普通文字"/>
    <w:basedOn w:val="1"/>
    <w:qFormat/>
    <w:uiPriority w:val="0"/>
    <w:pPr>
      <w:spacing w:line="408" w:lineRule="auto"/>
      <w:ind w:left="1"/>
    </w:pPr>
    <w:rPr>
      <w:rFonts w:cs="Times New Roman"/>
      <w:color w:val="000000"/>
      <w:sz w:val="21"/>
      <w:szCs w:val="20"/>
    </w:rPr>
  </w:style>
  <w:style w:type="paragraph" w:customStyle="1" w:styleId="571">
    <w:name w:val="aa"/>
    <w:basedOn w:val="1"/>
    <w:qFormat/>
    <w:uiPriority w:val="0"/>
    <w:pPr>
      <w:spacing w:before="100" w:beforeAutospacing="1" w:after="100" w:afterAutospacing="1"/>
    </w:pPr>
  </w:style>
  <w:style w:type="paragraph" w:customStyle="1" w:styleId="572">
    <w:name w:val="Char Char Char Char Char Char Char Char Char Char Char Char Char Char Char Char Char Char1 Char Char Char Char Char Char Char Char Char Char Char Char Char Char Char Char Char Char Char Char Char Char Char Char Char"/>
    <w:basedOn w:val="1"/>
    <w:qFormat/>
    <w:uiPriority w:val="0"/>
    <w:rPr>
      <w:rFonts w:cs="Times New Roman"/>
      <w:kern w:val="2"/>
    </w:rPr>
  </w:style>
  <w:style w:type="paragraph" w:customStyle="1" w:styleId="573">
    <w:name w:val="xl86"/>
    <w:basedOn w:val="1"/>
    <w:qFormat/>
    <w:uiPriority w:val="0"/>
    <w:pPr>
      <w:pBdr>
        <w:left w:val="single" w:color="auto" w:sz="4" w:space="0"/>
        <w:right w:val="single" w:color="auto" w:sz="4" w:space="0"/>
      </w:pBdr>
      <w:spacing w:before="100" w:beforeAutospacing="1" w:after="100" w:afterAutospacing="1"/>
      <w:jc w:val="center"/>
      <w:textAlignment w:val="center"/>
    </w:pPr>
    <w:rPr>
      <w:rFonts w:hint="eastAsia" w:cs="Times New Roman"/>
    </w:rPr>
  </w:style>
  <w:style w:type="paragraph" w:customStyle="1" w:styleId="574">
    <w:name w:val="正文2"/>
    <w:basedOn w:val="1"/>
    <w:qFormat/>
    <w:uiPriority w:val="0"/>
    <w:pPr>
      <w:spacing w:line="500" w:lineRule="exact"/>
      <w:ind w:firstLine="560"/>
    </w:pPr>
    <w:rPr>
      <w:rFonts w:ascii="Calibri" w:hAnsi="Calibri"/>
      <w:kern w:val="2"/>
      <w:szCs w:val="28"/>
    </w:rPr>
  </w:style>
  <w:style w:type="paragraph" w:customStyle="1" w:styleId="575">
    <w:name w:val="表内序号"/>
    <w:basedOn w:val="1"/>
    <w:qFormat/>
    <w:uiPriority w:val="0"/>
    <w:pPr>
      <w:tabs>
        <w:tab w:val="left" w:pos="360"/>
      </w:tabs>
      <w:ind w:left="113" w:hanging="113"/>
    </w:pPr>
    <w:rPr>
      <w:rFonts w:cs="Times New Roman"/>
      <w:szCs w:val="20"/>
    </w:rPr>
  </w:style>
  <w:style w:type="paragraph" w:customStyle="1" w:styleId="576">
    <w:name w:val="前言、引言标题"/>
    <w:next w:val="1"/>
    <w:qFormat/>
    <w:uiPriority w:val="0"/>
    <w:pPr>
      <w:shd w:val="clear" w:color="FFFFFF" w:fill="FFFFFF"/>
      <w:tabs>
        <w:tab w:val="left" w:pos="360"/>
      </w:tabs>
      <w:spacing w:before="640" w:after="560"/>
      <w:ind w:left="1280" w:hanging="720"/>
      <w:jc w:val="center"/>
      <w:outlineLvl w:val="0"/>
    </w:pPr>
    <w:rPr>
      <w:rFonts w:ascii="黑体" w:hAnsi="Times New Roman" w:eastAsia="黑体" w:cs="Times New Roman"/>
      <w:sz w:val="32"/>
      <w:lang w:val="en-US" w:eastAsia="zh-CN" w:bidi="ar-SA"/>
    </w:rPr>
  </w:style>
  <w:style w:type="paragraph" w:customStyle="1" w:styleId="577">
    <w:name w:val="纯文本11"/>
    <w:basedOn w:val="1"/>
    <w:qFormat/>
    <w:uiPriority w:val="0"/>
    <w:pPr>
      <w:textAlignment w:val="baseline"/>
    </w:pPr>
    <w:rPr>
      <w:rFonts w:hAnsi="Courier New" w:cs="Times New Roman"/>
      <w:kern w:val="2"/>
      <w:sz w:val="21"/>
      <w:szCs w:val="20"/>
    </w:rPr>
  </w:style>
  <w:style w:type="paragraph" w:customStyle="1" w:styleId="578">
    <w:name w:val="表格03"/>
    <w:basedOn w:val="1"/>
    <w:qFormat/>
    <w:uiPriority w:val="0"/>
    <w:pPr>
      <w:spacing w:before="60" w:after="60" w:line="400" w:lineRule="exact"/>
      <w:jc w:val="center"/>
    </w:pPr>
    <w:rPr>
      <w:rFonts w:cs="Times New Roman"/>
      <w:kern w:val="2"/>
      <w:sz w:val="21"/>
      <w:szCs w:val="21"/>
    </w:rPr>
  </w:style>
  <w:style w:type="paragraph" w:customStyle="1" w:styleId="579">
    <w:name w:val="3级标题"/>
    <w:basedOn w:val="1"/>
    <w:qFormat/>
    <w:uiPriority w:val="0"/>
    <w:rPr>
      <w:rFonts w:eastAsia="黑体" w:cs="Times New Roman"/>
      <w:kern w:val="2"/>
    </w:rPr>
  </w:style>
  <w:style w:type="paragraph" w:customStyle="1" w:styleId="580">
    <w:name w:val="章标题"/>
    <w:next w:val="9"/>
    <w:qFormat/>
    <w:uiPriority w:val="0"/>
    <w:pPr>
      <w:tabs>
        <w:tab w:val="left" w:pos="360"/>
      </w:tabs>
      <w:spacing w:beforeLines="50" w:afterLines="50"/>
      <w:ind w:left="1400" w:hanging="420"/>
      <w:jc w:val="both"/>
      <w:outlineLvl w:val="1"/>
    </w:pPr>
    <w:rPr>
      <w:rFonts w:ascii="黑体" w:hAnsi="Times New Roman" w:eastAsia="黑体" w:cs="Times New Roman"/>
      <w:sz w:val="21"/>
      <w:lang w:val="en-US" w:eastAsia="zh-CN" w:bidi="ar-SA"/>
    </w:rPr>
  </w:style>
  <w:style w:type="paragraph" w:customStyle="1" w:styleId="581">
    <w:name w:val="一级条标题"/>
    <w:basedOn w:val="580"/>
    <w:next w:val="9"/>
    <w:qFormat/>
    <w:uiPriority w:val="0"/>
    <w:pPr>
      <w:spacing w:beforeLines="0" w:afterLines="0"/>
      <w:outlineLvl w:val="2"/>
    </w:pPr>
  </w:style>
  <w:style w:type="paragraph" w:customStyle="1" w:styleId="582">
    <w:name w:val="font14"/>
    <w:basedOn w:val="1"/>
    <w:qFormat/>
    <w:uiPriority w:val="0"/>
    <w:pPr>
      <w:spacing w:before="100" w:beforeAutospacing="1" w:after="100" w:afterAutospacing="1"/>
    </w:pPr>
    <w:rPr>
      <w:rFonts w:cs="Times New Roman"/>
    </w:rPr>
  </w:style>
  <w:style w:type="paragraph" w:customStyle="1" w:styleId="583">
    <w:name w:val="二级条标题"/>
    <w:basedOn w:val="581"/>
    <w:next w:val="9"/>
    <w:qFormat/>
    <w:uiPriority w:val="0"/>
    <w:pPr>
      <w:outlineLvl w:val="3"/>
    </w:pPr>
  </w:style>
  <w:style w:type="paragraph" w:customStyle="1" w:styleId="584">
    <w:name w:val="三级条标题"/>
    <w:basedOn w:val="583"/>
    <w:next w:val="9"/>
    <w:qFormat/>
    <w:uiPriority w:val="0"/>
    <w:pPr>
      <w:outlineLvl w:val="4"/>
    </w:pPr>
  </w:style>
  <w:style w:type="paragraph" w:customStyle="1" w:styleId="585">
    <w:name w:val="四级条标题"/>
    <w:basedOn w:val="584"/>
    <w:next w:val="9"/>
    <w:qFormat/>
    <w:uiPriority w:val="0"/>
    <w:pPr>
      <w:outlineLvl w:val="5"/>
    </w:pPr>
  </w:style>
  <w:style w:type="paragraph" w:customStyle="1" w:styleId="586">
    <w:name w:val="五级条标题"/>
    <w:basedOn w:val="585"/>
    <w:next w:val="9"/>
    <w:qFormat/>
    <w:uiPriority w:val="0"/>
    <w:pPr>
      <w:outlineLvl w:val="6"/>
    </w:pPr>
  </w:style>
  <w:style w:type="paragraph" w:customStyle="1" w:styleId="587">
    <w:name w:val="正文1 Char Char Char"/>
    <w:basedOn w:val="1"/>
    <w:qFormat/>
    <w:uiPriority w:val="0"/>
    <w:pPr>
      <w:tabs>
        <w:tab w:val="left" w:pos="5327"/>
        <w:tab w:val="left" w:pos="6326"/>
        <w:tab w:val="left" w:pos="7230"/>
        <w:tab w:val="left" w:pos="9301"/>
      </w:tabs>
      <w:autoSpaceDE w:val="0"/>
      <w:autoSpaceDN w:val="0"/>
      <w:spacing w:line="600" w:lineRule="exact"/>
    </w:pPr>
    <w:rPr>
      <w:rFonts w:ascii="Arial Narrow" w:hAnsi="Arial Narrow" w:eastAsia="仿宋_GB2312" w:cs="Times New Roman"/>
      <w:color w:val="000000"/>
      <w:kern w:val="10"/>
      <w:szCs w:val="28"/>
    </w:rPr>
  </w:style>
  <w:style w:type="paragraph" w:customStyle="1" w:styleId="588">
    <w:name w:val="样式 正文缩进 + 居中 首行缩进:  0 厘米"/>
    <w:basedOn w:val="17"/>
    <w:qFormat/>
    <w:uiPriority w:val="0"/>
    <w:pPr>
      <w:spacing w:beforeLines="30"/>
      <w:ind w:firstLine="0"/>
      <w:jc w:val="center"/>
    </w:pPr>
    <w:rPr>
      <w:rFonts w:ascii="Calibri" w:hAnsi="Calibri"/>
      <w:szCs w:val="22"/>
      <w:lang w:val="en-US"/>
    </w:rPr>
  </w:style>
  <w:style w:type="paragraph" w:customStyle="1" w:styleId="589">
    <w:name w:val="表文"/>
    <w:basedOn w:val="1"/>
    <w:qFormat/>
    <w:uiPriority w:val="0"/>
    <w:pPr>
      <w:spacing w:line="300" w:lineRule="exact"/>
    </w:pPr>
    <w:rPr>
      <w:rFonts w:cs="Times New Roman"/>
      <w:kern w:val="2"/>
      <w:sz w:val="18"/>
    </w:rPr>
  </w:style>
  <w:style w:type="paragraph" w:customStyle="1" w:styleId="590">
    <w:name w:val="CM113"/>
    <w:basedOn w:val="250"/>
    <w:next w:val="250"/>
    <w:qFormat/>
    <w:uiPriority w:val="0"/>
    <w:pPr>
      <w:spacing w:after="303" w:line="240" w:lineRule="auto"/>
      <w:jc w:val="left"/>
    </w:pPr>
    <w:rPr>
      <w:rFonts w:ascii="宋体" w:hAnsi="Calibri" w:eastAsia="宋体" w:cs="Times New Roman"/>
      <w:color w:val="auto"/>
    </w:rPr>
  </w:style>
  <w:style w:type="paragraph" w:customStyle="1" w:styleId="591">
    <w:name w:val="文本一"/>
    <w:basedOn w:val="14"/>
    <w:qFormat/>
    <w:uiPriority w:val="0"/>
    <w:pPr>
      <w:widowControl w:val="0"/>
      <w:ind w:firstLine="200" w:firstLineChars="200"/>
      <w:jc w:val="both"/>
    </w:pPr>
    <w:rPr>
      <w:rFonts w:eastAsia="仿宋_GB2312"/>
      <w:spacing w:val="0"/>
      <w:kern w:val="2"/>
      <w:szCs w:val="24"/>
      <w:u w:val="none"/>
    </w:rPr>
  </w:style>
  <w:style w:type="paragraph" w:customStyle="1" w:styleId="592">
    <w:name w:val="科宏表格文字"/>
    <w:basedOn w:val="1"/>
    <w:qFormat/>
    <w:uiPriority w:val="0"/>
    <w:pPr>
      <w:jc w:val="center"/>
    </w:pPr>
    <w:rPr>
      <w:rFonts w:ascii="Arial" w:hAnsi="Arial" w:eastAsia="仿宋_GB2312" w:cs="Arial"/>
      <w:color w:val="FF0000"/>
      <w:kern w:val="2"/>
    </w:rPr>
  </w:style>
  <w:style w:type="paragraph" w:customStyle="1" w:styleId="593">
    <w:name w:val="表格文字（科宏）"/>
    <w:basedOn w:val="594"/>
    <w:qFormat/>
    <w:uiPriority w:val="0"/>
    <w:pPr>
      <w:widowControl/>
      <w:spacing w:line="240" w:lineRule="auto"/>
      <w:ind w:firstLine="0" w:firstLineChars="0"/>
      <w:jc w:val="center"/>
    </w:pPr>
    <w:rPr>
      <w:sz w:val="21"/>
    </w:rPr>
  </w:style>
  <w:style w:type="paragraph" w:customStyle="1" w:styleId="594">
    <w:name w:val="正文（科宏）"/>
    <w:qFormat/>
    <w:uiPriority w:val="0"/>
    <w:pPr>
      <w:widowControl w:val="0"/>
      <w:spacing w:line="360" w:lineRule="auto"/>
      <w:ind w:firstLine="200" w:firstLineChars="200"/>
      <w:jc w:val="both"/>
    </w:pPr>
    <w:rPr>
      <w:rFonts w:ascii="Arial" w:hAnsi="Arial" w:eastAsia="仿宋_GB2312" w:cs="Times New Roman"/>
      <w:sz w:val="28"/>
      <w:lang w:val="en-US" w:eastAsia="zh-CN" w:bidi="ar-SA"/>
    </w:rPr>
  </w:style>
  <w:style w:type="paragraph" w:customStyle="1" w:styleId="595">
    <w:name w:val="样式 标题 2 + 宋体 三号 黑色 段前: 0 磅 行距: 1.5 倍行距"/>
    <w:basedOn w:val="5"/>
    <w:qFormat/>
    <w:uiPriority w:val="0"/>
    <w:pPr>
      <w:spacing w:beforeLines="150" w:afterLines="50" w:line="360" w:lineRule="auto"/>
    </w:pPr>
    <w:rPr>
      <w:rFonts w:ascii="宋体" w:hAnsi="宋体" w:eastAsia="宋体" w:cs="宋体"/>
      <w:sz w:val="30"/>
      <w:szCs w:val="30"/>
      <w:lang w:bidi="en-US"/>
    </w:rPr>
  </w:style>
  <w:style w:type="paragraph" w:customStyle="1" w:styleId="596">
    <w:name w:val="xl81"/>
    <w:basedOn w:val="1"/>
    <w:qFormat/>
    <w:uiPriority w:val="0"/>
    <w:pPr>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hint="eastAsia" w:cs="Times New Roman"/>
    </w:rPr>
  </w:style>
  <w:style w:type="paragraph" w:customStyle="1" w:styleId="597">
    <w:name w:val="xl82"/>
    <w:basedOn w:val="1"/>
    <w:qFormat/>
    <w:uiPriority w:val="0"/>
    <w:pPr>
      <w:pBdr>
        <w:top w:val="single" w:color="auto" w:sz="4" w:space="0"/>
        <w:left w:val="single" w:color="auto" w:sz="4" w:space="0"/>
        <w:bottom w:val="single" w:color="auto" w:sz="8" w:space="0"/>
        <w:right w:val="single" w:color="auto" w:sz="4" w:space="0"/>
      </w:pBdr>
      <w:spacing w:before="100" w:beforeAutospacing="1" w:after="100" w:afterAutospacing="1"/>
      <w:textAlignment w:val="center"/>
    </w:pPr>
    <w:rPr>
      <w:rFonts w:cs="Times New Roman"/>
    </w:rPr>
  </w:style>
  <w:style w:type="paragraph" w:customStyle="1" w:styleId="598">
    <w:name w:val="xl83"/>
    <w:basedOn w:val="1"/>
    <w:qFormat/>
    <w:uiPriority w:val="0"/>
    <w:pPr>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cs="Times New Roman"/>
    </w:rPr>
  </w:style>
  <w:style w:type="paragraph" w:customStyle="1" w:styleId="599">
    <w:name w:val="xl84"/>
    <w:basedOn w:val="1"/>
    <w:qFormat/>
    <w:uiPriority w:val="0"/>
    <w:pPr>
      <w:pBdr>
        <w:left w:val="single" w:color="auto" w:sz="8" w:space="0"/>
        <w:right w:val="single" w:color="auto" w:sz="4" w:space="0"/>
      </w:pBdr>
      <w:spacing w:before="100" w:beforeAutospacing="1" w:after="100" w:afterAutospacing="1"/>
      <w:jc w:val="center"/>
      <w:textAlignment w:val="center"/>
    </w:pPr>
    <w:rPr>
      <w:rFonts w:cs="Times New Roman"/>
    </w:rPr>
  </w:style>
  <w:style w:type="paragraph" w:customStyle="1" w:styleId="600">
    <w:name w:val="xl85"/>
    <w:basedOn w:val="1"/>
    <w:qFormat/>
    <w:uiPriority w:val="0"/>
    <w:pPr>
      <w:pBdr>
        <w:left w:val="single" w:color="auto" w:sz="4" w:space="0"/>
        <w:right w:val="single" w:color="auto" w:sz="4" w:space="0"/>
      </w:pBdr>
      <w:spacing w:before="100" w:beforeAutospacing="1" w:after="100" w:afterAutospacing="1"/>
      <w:textAlignment w:val="center"/>
    </w:pPr>
    <w:rPr>
      <w:rFonts w:cs="Times New Roman"/>
    </w:rPr>
  </w:style>
  <w:style w:type="paragraph" w:customStyle="1" w:styleId="601">
    <w:name w:val="xl87"/>
    <w:basedOn w:val="1"/>
    <w:qFormat/>
    <w:uiPriority w:val="0"/>
    <w:pPr>
      <w:pBdr>
        <w:left w:val="single" w:color="auto" w:sz="4" w:space="0"/>
        <w:right w:val="single" w:color="auto" w:sz="4" w:space="0"/>
      </w:pBdr>
      <w:spacing w:before="100" w:beforeAutospacing="1" w:after="100" w:afterAutospacing="1"/>
      <w:jc w:val="center"/>
      <w:textAlignment w:val="center"/>
    </w:pPr>
    <w:rPr>
      <w:rFonts w:cs="Times New Roman"/>
    </w:rPr>
  </w:style>
  <w:style w:type="paragraph" w:customStyle="1" w:styleId="602">
    <w:name w:val="xl88"/>
    <w:basedOn w:val="1"/>
    <w:qFormat/>
    <w:uiPriority w:val="0"/>
    <w:pPr>
      <w:pBdr>
        <w:left w:val="single" w:color="auto" w:sz="4" w:space="0"/>
        <w:right w:val="single" w:color="auto" w:sz="8" w:space="0"/>
      </w:pBdr>
      <w:spacing w:before="100" w:beforeAutospacing="1" w:after="100" w:afterAutospacing="1"/>
      <w:jc w:val="center"/>
      <w:textAlignment w:val="center"/>
    </w:pPr>
    <w:rPr>
      <w:rFonts w:hint="eastAsia" w:cs="Times New Roman"/>
    </w:rPr>
  </w:style>
  <w:style w:type="paragraph" w:customStyle="1" w:styleId="603">
    <w:name w:val="xl89"/>
    <w:basedOn w:val="1"/>
    <w:qFormat/>
    <w:uiPriority w:val="0"/>
    <w:pPr>
      <w:spacing w:before="100" w:beforeAutospacing="1" w:after="100" w:afterAutospacing="1"/>
      <w:jc w:val="center"/>
      <w:textAlignment w:val="top"/>
    </w:pPr>
    <w:rPr>
      <w:rFonts w:hint="eastAsia" w:cs="Times New Roman"/>
      <w:b/>
      <w:bCs/>
      <w:sz w:val="32"/>
      <w:szCs w:val="32"/>
    </w:rPr>
  </w:style>
  <w:style w:type="paragraph" w:customStyle="1" w:styleId="604">
    <w:name w:val="样式 标题 2 + 小四"/>
    <w:basedOn w:val="3"/>
    <w:qFormat/>
    <w:uiPriority w:val="0"/>
    <w:pPr>
      <w:jc w:val="both"/>
    </w:pPr>
    <w:rPr>
      <w:sz w:val="24"/>
    </w:rPr>
  </w:style>
  <w:style w:type="paragraph" w:customStyle="1" w:styleId="605">
    <w:name w:val="xl90"/>
    <w:basedOn w:val="1"/>
    <w:qFormat/>
    <w:uiPriority w:val="0"/>
    <w:pPr>
      <w:pBdr>
        <w:left w:val="single" w:color="auto" w:sz="4" w:space="0"/>
        <w:right w:val="single" w:color="auto" w:sz="8" w:space="0"/>
      </w:pBdr>
      <w:spacing w:before="100" w:beforeAutospacing="1" w:after="100" w:afterAutospacing="1"/>
      <w:jc w:val="center"/>
      <w:textAlignment w:val="center"/>
    </w:pPr>
    <w:rPr>
      <w:rFonts w:hint="eastAsia" w:cs="Times New Roman"/>
    </w:rPr>
  </w:style>
  <w:style w:type="paragraph" w:customStyle="1" w:styleId="606">
    <w:name w:val="xl91"/>
    <w:basedOn w:val="1"/>
    <w:qFormat/>
    <w:uiPriority w:val="0"/>
    <w:pPr>
      <w:spacing w:before="100" w:beforeAutospacing="1" w:after="100" w:afterAutospacing="1"/>
      <w:jc w:val="center"/>
      <w:textAlignment w:val="top"/>
    </w:pPr>
    <w:rPr>
      <w:rFonts w:hint="eastAsia" w:cs="Times New Roman"/>
      <w:b/>
      <w:bCs/>
      <w:sz w:val="32"/>
      <w:szCs w:val="32"/>
    </w:rPr>
  </w:style>
  <w:style w:type="paragraph" w:customStyle="1" w:styleId="607">
    <w:name w:val="标格标题"/>
    <w:basedOn w:val="217"/>
    <w:next w:val="217"/>
    <w:qFormat/>
    <w:uiPriority w:val="0"/>
    <w:pPr>
      <w:tabs>
        <w:tab w:val="clear" w:pos="360"/>
      </w:tabs>
    </w:pPr>
    <w:rPr>
      <w:rFonts w:ascii="Times New Roman" w:hAnsi="Times New Roman" w:eastAsia="宋体"/>
      <w:b/>
      <w:kern w:val="2"/>
      <w:sz w:val="21"/>
      <w:szCs w:val="21"/>
      <w:lang w:val="en-US"/>
    </w:rPr>
  </w:style>
  <w:style w:type="paragraph" w:customStyle="1" w:styleId="608">
    <w:name w:val="方框图文字"/>
    <w:basedOn w:val="1"/>
    <w:qFormat/>
    <w:uiPriority w:val="0"/>
    <w:pPr>
      <w:spacing w:line="0" w:lineRule="atLeast"/>
      <w:jc w:val="center"/>
    </w:pPr>
    <w:rPr>
      <w:rFonts w:cs="Times New Roman"/>
      <w:kern w:val="2"/>
      <w:sz w:val="15"/>
      <w:szCs w:val="21"/>
    </w:rPr>
  </w:style>
  <w:style w:type="paragraph" w:customStyle="1" w:styleId="609">
    <w:name w:val="样式 正文首行缩进正文首行缩进 Char + 段前: 0.5 行"/>
    <w:basedOn w:val="13"/>
    <w:qFormat/>
    <w:uiPriority w:val="0"/>
    <w:pPr>
      <w:widowControl w:val="0"/>
      <w:spacing w:beforeLines="50" w:line="240" w:lineRule="auto"/>
      <w:ind w:firstLine="567" w:firstLineChars="0"/>
      <w:jc w:val="both"/>
    </w:pPr>
    <w:rPr>
      <w:rFonts w:ascii="Calibri" w:hAnsi="Calibri" w:cs="宋体"/>
      <w:snapToGrid/>
      <w:spacing w:val="0"/>
      <w:kern w:val="2"/>
      <w:u w:val="none"/>
      <w:lang w:val="en-US"/>
    </w:rPr>
  </w:style>
  <w:style w:type="paragraph" w:customStyle="1" w:styleId="610">
    <w:name w:val="样式 正文首行缩进 + 首行缩进:  2 字符"/>
    <w:basedOn w:val="13"/>
    <w:qFormat/>
    <w:uiPriority w:val="0"/>
    <w:pPr>
      <w:widowControl w:val="0"/>
      <w:spacing w:after="120"/>
      <w:ind w:firstLine="432" w:firstLineChars="200"/>
      <w:jc w:val="both"/>
    </w:pPr>
    <w:rPr>
      <w:rFonts w:ascii="宋体" w:hAnsi="宋体" w:cs="宋体"/>
      <w:snapToGrid/>
      <w:color w:val="000000"/>
      <w:spacing w:val="0"/>
      <w:kern w:val="2"/>
      <w:sz w:val="28"/>
      <w:u w:val="none"/>
      <w:lang w:val="en-US"/>
    </w:rPr>
  </w:style>
  <w:style w:type="paragraph" w:customStyle="1" w:styleId="611">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612">
    <w:name w:val="无悬挂正文5号"/>
    <w:basedOn w:val="1"/>
    <w:qFormat/>
    <w:uiPriority w:val="0"/>
    <w:pPr>
      <w:jc w:val="center"/>
      <w:textAlignment w:val="baseline"/>
    </w:pPr>
    <w:rPr>
      <w:rFonts w:cs="Times New Roman"/>
      <w:kern w:val="2"/>
      <w:sz w:val="21"/>
      <w:szCs w:val="20"/>
    </w:rPr>
  </w:style>
  <w:style w:type="paragraph" w:customStyle="1" w:styleId="613">
    <w:name w:val="样式 标题 1 + 黑体 小二 加粗 首行缩进:  0 厘米 行距: 1.5 倍行距1"/>
    <w:basedOn w:val="3"/>
    <w:qFormat/>
    <w:uiPriority w:val="0"/>
    <w:pPr>
      <w:keepLines w:val="0"/>
      <w:pageBreakBefore/>
      <w:spacing w:before="0" w:after="0" w:line="360" w:lineRule="auto"/>
      <w:ind w:firstLine="2628" w:firstLineChars="595"/>
      <w:jc w:val="both"/>
      <w:textAlignment w:val="baseline"/>
    </w:pPr>
    <w:rPr>
      <w:rFonts w:ascii="宋体"/>
      <w:kern w:val="2"/>
    </w:rPr>
  </w:style>
  <w:style w:type="paragraph" w:customStyle="1" w:styleId="614">
    <w:name w:val="Char Char Char Char Char Char1"/>
    <w:basedOn w:val="1"/>
    <w:next w:val="2"/>
    <w:qFormat/>
    <w:uiPriority w:val="0"/>
    <w:rPr>
      <w:rFonts w:cs="Times New Roman"/>
      <w:kern w:val="2"/>
      <w:szCs w:val="28"/>
    </w:rPr>
  </w:style>
  <w:style w:type="paragraph" w:customStyle="1" w:styleId="615">
    <w:name w:val="Char Char7 Char"/>
    <w:basedOn w:val="1"/>
    <w:qFormat/>
    <w:uiPriority w:val="0"/>
    <w:pPr>
      <w:spacing w:after="160" w:line="240" w:lineRule="exact"/>
    </w:pPr>
    <w:rPr>
      <w:rFonts w:ascii="Arial" w:hAnsi="Arial" w:eastAsia="Times New Roman" w:cs="Verdana"/>
      <w:b/>
      <w:lang w:eastAsia="en-US"/>
    </w:rPr>
  </w:style>
  <w:style w:type="paragraph" w:customStyle="1" w:styleId="616">
    <w:name w:val="Char Char2 Char Char Char Char1"/>
    <w:basedOn w:val="1"/>
    <w:qFormat/>
    <w:uiPriority w:val="0"/>
    <w:pPr>
      <w:spacing w:after="160" w:line="240" w:lineRule="exact"/>
    </w:pPr>
    <w:rPr>
      <w:rFonts w:ascii="Arial" w:hAnsi="Arial" w:cs="Verdana"/>
      <w:b/>
      <w:lang w:eastAsia="en-US"/>
    </w:rPr>
  </w:style>
  <w:style w:type="paragraph" w:customStyle="1" w:styleId="617">
    <w:name w:val="Char Char Char Char1"/>
    <w:basedOn w:val="1"/>
    <w:qFormat/>
    <w:uiPriority w:val="0"/>
    <w:rPr>
      <w:rFonts w:ascii="Tahoma" w:hAnsi="Tahoma" w:cs="Times New Roman"/>
      <w:kern w:val="2"/>
      <w:szCs w:val="20"/>
    </w:rPr>
  </w:style>
  <w:style w:type="paragraph" w:customStyle="1" w:styleId="618">
    <w:name w:val="无间隔1"/>
    <w:qFormat/>
    <w:uiPriority w:val="0"/>
    <w:pPr>
      <w:widowControl w:val="0"/>
      <w:jc w:val="both"/>
    </w:pPr>
    <w:rPr>
      <w:rFonts w:ascii="Calibri" w:hAnsi="Calibri" w:eastAsia="宋体" w:cs="Times New Roman"/>
      <w:kern w:val="2"/>
      <w:sz w:val="21"/>
      <w:szCs w:val="22"/>
      <w:lang w:val="en-US" w:eastAsia="zh-CN" w:bidi="ar-SA"/>
    </w:rPr>
  </w:style>
  <w:style w:type="paragraph" w:customStyle="1" w:styleId="619">
    <w:name w:val="列出段落3"/>
    <w:basedOn w:val="1"/>
    <w:qFormat/>
    <w:uiPriority w:val="0"/>
    <w:pPr>
      <w:ind w:firstLine="420"/>
    </w:pPr>
    <w:rPr>
      <w:rFonts w:ascii="Calibri" w:hAnsi="Calibri" w:cs="Times New Roman"/>
      <w:kern w:val="2"/>
      <w:sz w:val="21"/>
      <w:szCs w:val="22"/>
    </w:rPr>
  </w:style>
  <w:style w:type="paragraph" w:customStyle="1" w:styleId="620">
    <w:name w:val="Char Char2 Char Char Char Char"/>
    <w:basedOn w:val="1"/>
    <w:qFormat/>
    <w:uiPriority w:val="0"/>
    <w:pPr>
      <w:spacing w:after="160" w:line="240" w:lineRule="exact"/>
    </w:pPr>
    <w:rPr>
      <w:rFonts w:ascii="Arial" w:hAnsi="Arial" w:eastAsia="Times New Roman" w:cs="Verdana"/>
      <w:b/>
      <w:lang w:eastAsia="en-US"/>
    </w:rPr>
  </w:style>
  <w:style w:type="paragraph" w:customStyle="1" w:styleId="621">
    <w:name w:val="Char Char2 Char Char Char"/>
    <w:basedOn w:val="1"/>
    <w:qFormat/>
    <w:uiPriority w:val="0"/>
    <w:pPr>
      <w:spacing w:after="160" w:line="240" w:lineRule="exact"/>
    </w:pPr>
    <w:rPr>
      <w:rFonts w:ascii="Arial" w:hAnsi="Arial" w:eastAsia="Times New Roman" w:cs="Verdana"/>
      <w:b/>
      <w:lang w:eastAsia="en-US"/>
    </w:rPr>
  </w:style>
  <w:style w:type="paragraph" w:customStyle="1" w:styleId="622">
    <w:name w:val="msolistparagraph"/>
    <w:basedOn w:val="1"/>
    <w:qFormat/>
    <w:uiPriority w:val="0"/>
    <w:pPr>
      <w:ind w:firstLine="420"/>
    </w:pPr>
    <w:rPr>
      <w:rFonts w:ascii="Calibri" w:hAnsi="Calibri" w:cs="Times New Roman"/>
      <w:kern w:val="2"/>
      <w:sz w:val="21"/>
      <w:szCs w:val="22"/>
    </w:rPr>
  </w:style>
  <w:style w:type="paragraph" w:customStyle="1" w:styleId="623">
    <w:name w:val="表头 Char Char Char Char"/>
    <w:basedOn w:val="1"/>
    <w:qFormat/>
    <w:uiPriority w:val="0"/>
    <w:rPr>
      <w:rFonts w:ascii="Arial Unicode MS" w:hAnsi="Arial Unicode MS" w:cs="Times New Roman"/>
      <w:b/>
      <w:kern w:val="2"/>
      <w:sz w:val="30"/>
      <w:szCs w:val="30"/>
    </w:rPr>
  </w:style>
  <w:style w:type="paragraph" w:customStyle="1" w:styleId="624">
    <w:name w:val="Char Char Char Char Char Char1 Char"/>
    <w:basedOn w:val="1"/>
    <w:qFormat/>
    <w:uiPriority w:val="0"/>
    <w:rPr>
      <w:rFonts w:cs="Times New Roman"/>
      <w:kern w:val="2"/>
      <w:sz w:val="21"/>
    </w:rPr>
  </w:style>
  <w:style w:type="paragraph" w:customStyle="1" w:styleId="625">
    <w:name w:val="Char Char7 Char1"/>
    <w:basedOn w:val="1"/>
    <w:qFormat/>
    <w:uiPriority w:val="0"/>
    <w:pPr>
      <w:spacing w:after="160" w:line="240" w:lineRule="exact"/>
    </w:pPr>
    <w:rPr>
      <w:rFonts w:ascii="Arial" w:hAnsi="Arial" w:cs="Verdana"/>
      <w:b/>
      <w:lang w:eastAsia="en-US"/>
    </w:rPr>
  </w:style>
  <w:style w:type="paragraph" w:customStyle="1" w:styleId="626">
    <w:name w:val="14"/>
    <w:basedOn w:val="1"/>
    <w:next w:val="14"/>
    <w:qFormat/>
    <w:uiPriority w:val="0"/>
    <w:pPr>
      <w:spacing w:after="120" w:line="480" w:lineRule="exact"/>
      <w:ind w:firstLine="560"/>
    </w:pPr>
    <w:rPr>
      <w:rFonts w:eastAsia="方正书宋简体" w:cs="Times New Roman"/>
      <w:w w:val="90"/>
      <w:kern w:val="2"/>
    </w:rPr>
  </w:style>
  <w:style w:type="paragraph" w:customStyle="1" w:styleId="627">
    <w:name w:val="我的表格文字"/>
    <w:basedOn w:val="1"/>
    <w:qFormat/>
    <w:uiPriority w:val="0"/>
    <w:pPr>
      <w:shd w:val="clear" w:color="auto" w:fill="FFFFFF"/>
      <w:jc w:val="center"/>
    </w:pPr>
    <w:rPr>
      <w:rFonts w:cs="Times New Roman"/>
      <w:kern w:val="2"/>
      <w:sz w:val="21"/>
      <w:szCs w:val="21"/>
    </w:rPr>
  </w:style>
  <w:style w:type="paragraph" w:customStyle="1" w:styleId="628">
    <w:name w:val="纯文本2"/>
    <w:basedOn w:val="1"/>
    <w:qFormat/>
    <w:uiPriority w:val="0"/>
    <w:pPr>
      <w:textAlignment w:val="baseline"/>
    </w:pPr>
    <w:rPr>
      <w:rFonts w:hAnsi="Courier New" w:cs="Times New Roman"/>
      <w:kern w:val="2"/>
      <w:sz w:val="21"/>
      <w:szCs w:val="20"/>
    </w:rPr>
  </w:style>
  <w:style w:type="paragraph" w:customStyle="1" w:styleId="629">
    <w:name w:val="正文4"/>
    <w:qFormat/>
    <w:uiPriority w:val="0"/>
    <w:pPr>
      <w:widowControl w:val="0"/>
      <w:adjustRightInd w:val="0"/>
      <w:spacing w:line="312" w:lineRule="atLeast"/>
      <w:jc w:val="both"/>
      <w:textAlignment w:val="baseline"/>
    </w:pPr>
    <w:rPr>
      <w:rFonts w:ascii="Times New Roman" w:hAnsi="Times New Roman" w:eastAsia="宋体" w:cs="Times New Roman"/>
      <w:lang w:val="en-US" w:eastAsia="zh-CN" w:bidi="ar-SA"/>
    </w:rPr>
  </w:style>
  <w:style w:type="paragraph" w:customStyle="1" w:styleId="630">
    <w:name w:val="无间隔2"/>
    <w:qFormat/>
    <w:uiPriority w:val="0"/>
    <w:pPr>
      <w:widowControl w:val="0"/>
      <w:jc w:val="both"/>
    </w:pPr>
    <w:rPr>
      <w:rFonts w:ascii="Calibri" w:hAnsi="Calibri" w:eastAsia="宋体" w:cs="Times New Roman"/>
      <w:kern w:val="2"/>
      <w:sz w:val="21"/>
      <w:szCs w:val="22"/>
      <w:lang w:val="en-US" w:eastAsia="zh-CN" w:bidi="ar-SA"/>
    </w:rPr>
  </w:style>
  <w:style w:type="paragraph" w:customStyle="1" w:styleId="631">
    <w:name w:val="列出段落4"/>
    <w:basedOn w:val="1"/>
    <w:qFormat/>
    <w:uiPriority w:val="0"/>
    <w:pPr>
      <w:ind w:firstLine="420"/>
    </w:pPr>
    <w:rPr>
      <w:rFonts w:ascii="Calibri" w:hAnsi="Calibri" w:cs="Times New Roman"/>
      <w:kern w:val="2"/>
      <w:sz w:val="21"/>
      <w:szCs w:val="22"/>
    </w:rPr>
  </w:style>
  <w:style w:type="character" w:customStyle="1" w:styleId="632">
    <w:name w:val="style3"/>
    <w:basedOn w:val="62"/>
    <w:qFormat/>
    <w:uiPriority w:val="0"/>
    <w:rPr>
      <w:rFonts w:ascii="仿宋_GB2312" w:hAnsi="Verdana" w:eastAsia="仿宋_GB2312"/>
      <w:color w:val="auto"/>
      <w:sz w:val="28"/>
      <w:szCs w:val="28"/>
      <w:lang w:val="en-US" w:eastAsia="en-US"/>
    </w:rPr>
  </w:style>
  <w:style w:type="character" w:customStyle="1" w:styleId="633">
    <w:name w:val="填表5中 Char Char"/>
    <w:link w:val="634"/>
    <w:qFormat/>
    <w:uiPriority w:val="0"/>
    <w:rPr>
      <w:szCs w:val="21"/>
    </w:rPr>
  </w:style>
  <w:style w:type="paragraph" w:customStyle="1" w:styleId="634">
    <w:name w:val="填表5中"/>
    <w:basedOn w:val="1"/>
    <w:next w:val="1"/>
    <w:link w:val="633"/>
    <w:qFormat/>
    <w:uiPriority w:val="0"/>
    <w:pPr>
      <w:jc w:val="center"/>
    </w:pPr>
    <w:rPr>
      <w:rFonts w:cs="Times New Roman"/>
      <w:sz w:val="20"/>
      <w:szCs w:val="21"/>
      <w:lang w:val="zh-CN"/>
    </w:rPr>
  </w:style>
  <w:style w:type="character" w:customStyle="1" w:styleId="635">
    <w:name w:val="zhenwen141"/>
    <w:qFormat/>
    <w:uiPriority w:val="0"/>
    <w:rPr>
      <w:rFonts w:hint="default" w:ascii="ˎ̥" w:hAnsi="ˎ̥"/>
      <w:sz w:val="21"/>
      <w:szCs w:val="21"/>
    </w:rPr>
  </w:style>
  <w:style w:type="paragraph" w:customStyle="1" w:styleId="636">
    <w:name w:val="标题 4 New"/>
    <w:basedOn w:val="1"/>
    <w:next w:val="1"/>
    <w:qFormat/>
    <w:uiPriority w:val="0"/>
    <w:pPr>
      <w:keepNext/>
      <w:keepLines/>
      <w:spacing w:before="280" w:after="290" w:line="376" w:lineRule="auto"/>
      <w:outlineLvl w:val="3"/>
    </w:pPr>
    <w:rPr>
      <w:rFonts w:ascii="Arial" w:hAnsi="Arial" w:eastAsia="黑体" w:cs="Times New Roman"/>
      <w:b/>
      <w:bCs/>
      <w:kern w:val="2"/>
      <w:szCs w:val="28"/>
    </w:rPr>
  </w:style>
  <w:style w:type="paragraph" w:customStyle="1" w:styleId="637">
    <w:name w:val="Char Char9"/>
    <w:basedOn w:val="1"/>
    <w:qFormat/>
    <w:uiPriority w:val="0"/>
    <w:rPr>
      <w:rFonts w:cs="Times New Roman"/>
      <w:kern w:val="2"/>
    </w:rPr>
  </w:style>
  <w:style w:type="paragraph" w:customStyle="1" w:styleId="638">
    <w:name w:val="样式 (西文) 仿宋_GB2312 (中文) 仿宋_GB2312 二号 加粗 居中 行距: 1.5 倍行距"/>
    <w:basedOn w:val="1"/>
    <w:qFormat/>
    <w:uiPriority w:val="0"/>
    <w:pPr>
      <w:jc w:val="center"/>
    </w:pPr>
    <w:rPr>
      <w:rFonts w:ascii="仿宋_GB2312"/>
      <w:b/>
      <w:bCs/>
      <w:kern w:val="2"/>
      <w:sz w:val="44"/>
      <w:szCs w:val="20"/>
    </w:rPr>
  </w:style>
  <w:style w:type="paragraph" w:customStyle="1" w:styleId="639">
    <w:name w:val="Char Char1 Char Char Char Char Char Char Char Char"/>
    <w:basedOn w:val="1"/>
    <w:qFormat/>
    <w:uiPriority w:val="0"/>
    <w:rPr>
      <w:rFonts w:cs="Times New Roman"/>
      <w:kern w:val="2"/>
      <w:sz w:val="21"/>
    </w:rPr>
  </w:style>
  <w:style w:type="paragraph" w:customStyle="1" w:styleId="640">
    <w:name w:val="正文文本缩进 21"/>
    <w:basedOn w:val="1"/>
    <w:qFormat/>
    <w:uiPriority w:val="0"/>
    <w:pPr>
      <w:spacing w:after="120" w:line="480" w:lineRule="auto"/>
      <w:ind w:left="420" w:leftChars="200"/>
    </w:pPr>
    <w:rPr>
      <w:rFonts w:ascii="Calibri" w:hAnsi="Calibri" w:cs="Times New Roman"/>
      <w:kern w:val="2"/>
      <w:sz w:val="21"/>
    </w:rPr>
  </w:style>
  <w:style w:type="character" w:customStyle="1" w:styleId="641">
    <w:name w:val="页脚 字符"/>
    <w:qFormat/>
    <w:uiPriority w:val="99"/>
    <w:rPr>
      <w:rFonts w:ascii="Calibri" w:hAnsi="Calibri" w:cs="宋体"/>
      <w:kern w:val="2"/>
      <w:sz w:val="18"/>
      <w:szCs w:val="18"/>
    </w:rPr>
  </w:style>
  <w:style w:type="character" w:customStyle="1" w:styleId="642">
    <w:name w:val="A正文 Char"/>
    <w:link w:val="643"/>
    <w:qFormat/>
    <w:uiPriority w:val="0"/>
    <w:rPr>
      <w:kern w:val="2"/>
      <w:sz w:val="24"/>
      <w:szCs w:val="24"/>
    </w:rPr>
  </w:style>
  <w:style w:type="paragraph" w:customStyle="1" w:styleId="643">
    <w:name w:val="A正文"/>
    <w:basedOn w:val="1"/>
    <w:link w:val="642"/>
    <w:qFormat/>
    <w:uiPriority w:val="0"/>
    <w:rPr>
      <w:rFonts w:cs="Times New Roman"/>
      <w:kern w:val="2"/>
    </w:rPr>
  </w:style>
  <w:style w:type="character" w:customStyle="1" w:styleId="644">
    <w:name w:val="列表段落 字符"/>
    <w:link w:val="240"/>
    <w:qFormat/>
    <w:locked/>
    <w:uiPriority w:val="0"/>
    <w:rPr>
      <w:rFonts w:ascii="宋体" w:hAnsi="宋体" w:cs="宋体"/>
      <w:sz w:val="24"/>
      <w:szCs w:val="24"/>
    </w:rPr>
  </w:style>
  <w:style w:type="character" w:customStyle="1" w:styleId="645">
    <w:name w:val="石达文本样式 字符"/>
    <w:link w:val="646"/>
    <w:qFormat/>
    <w:uiPriority w:val="0"/>
    <w:rPr>
      <w:kern w:val="2"/>
      <w:sz w:val="24"/>
      <w:szCs w:val="22"/>
    </w:rPr>
  </w:style>
  <w:style w:type="paragraph" w:customStyle="1" w:styleId="646">
    <w:name w:val="石达文本样式"/>
    <w:basedOn w:val="1"/>
    <w:link w:val="645"/>
    <w:qFormat/>
    <w:uiPriority w:val="0"/>
    <w:rPr>
      <w:rFonts w:cs="Times New Roman"/>
      <w:kern w:val="2"/>
      <w:szCs w:val="22"/>
    </w:rPr>
  </w:style>
  <w:style w:type="paragraph" w:customStyle="1" w:styleId="647">
    <w:name w:val="0yx表格居中"/>
    <w:basedOn w:val="1"/>
    <w:qFormat/>
    <w:uiPriority w:val="0"/>
    <w:pPr>
      <w:autoSpaceDE w:val="0"/>
      <w:autoSpaceDN w:val="0"/>
      <w:spacing w:before="72" w:beforeLines="30" w:after="72" w:afterLines="30"/>
      <w:jc w:val="center"/>
      <w:outlineLvl w:val="6"/>
    </w:pPr>
    <w:rPr>
      <w:b/>
      <w:szCs w:val="21"/>
      <w:lang w:val="zh-CN" w:bidi="zh-CN"/>
    </w:rPr>
  </w:style>
  <w:style w:type="character" w:customStyle="1" w:styleId="648">
    <w:name w:val="XYZ正文 Char"/>
    <w:link w:val="649"/>
    <w:qFormat/>
    <w:uiPriority w:val="0"/>
    <w:rPr>
      <w:kern w:val="2"/>
      <w:sz w:val="24"/>
      <w:szCs w:val="24"/>
    </w:rPr>
  </w:style>
  <w:style w:type="paragraph" w:customStyle="1" w:styleId="649">
    <w:name w:val="XYZ正文"/>
    <w:basedOn w:val="1"/>
    <w:link w:val="648"/>
    <w:qFormat/>
    <w:uiPriority w:val="0"/>
    <w:pPr>
      <w:ind w:left="50" w:leftChars="50" w:right="50" w:rightChars="50"/>
    </w:pPr>
    <w:rPr>
      <w:rFonts w:cs="Times New Roman"/>
      <w:kern w:val="2"/>
    </w:rPr>
  </w:style>
  <w:style w:type="character" w:customStyle="1" w:styleId="650">
    <w:name w:val="0jttd题注 Char"/>
    <w:link w:val="651"/>
    <w:qFormat/>
    <w:locked/>
    <w:uiPriority w:val="0"/>
    <w:rPr>
      <w:sz w:val="21"/>
      <w:szCs w:val="21"/>
    </w:rPr>
  </w:style>
  <w:style w:type="paragraph" w:customStyle="1" w:styleId="651">
    <w:name w:val="0jttd题注"/>
    <w:basedOn w:val="1"/>
    <w:link w:val="650"/>
    <w:qFormat/>
    <w:uiPriority w:val="0"/>
    <w:pPr>
      <w:jc w:val="center"/>
    </w:pPr>
    <w:rPr>
      <w:rFonts w:cs="Times New Roman"/>
      <w:sz w:val="21"/>
      <w:szCs w:val="21"/>
    </w:rPr>
  </w:style>
  <w:style w:type="paragraph" w:customStyle="1" w:styleId="652">
    <w:name w:val="Body text|1"/>
    <w:basedOn w:val="1"/>
    <w:qFormat/>
    <w:uiPriority w:val="0"/>
    <w:rPr>
      <w:color w:val="8292A8"/>
      <w:kern w:val="2"/>
      <w:sz w:val="22"/>
      <w:szCs w:val="22"/>
      <w:lang w:val="zh-TW" w:eastAsia="zh-TW" w:bidi="zh-TW"/>
    </w:rPr>
  </w:style>
  <w:style w:type="paragraph" w:customStyle="1" w:styleId="653">
    <w:name w:val="S-表格文字左齐"/>
    <w:basedOn w:val="1"/>
    <w:qFormat/>
    <w:uiPriority w:val="0"/>
    <w:rPr>
      <w:rFonts w:cs="Times New Roman"/>
      <w:kern w:val="2"/>
      <w:sz w:val="21"/>
      <w:szCs w:val="21"/>
    </w:rPr>
  </w:style>
  <w:style w:type="paragraph" w:customStyle="1" w:styleId="654">
    <w:name w:val="TOC 标题1"/>
    <w:basedOn w:val="3"/>
    <w:next w:val="1"/>
    <w:unhideWhenUsed/>
    <w:qFormat/>
    <w:uiPriority w:val="39"/>
    <w:pPr>
      <w:spacing w:before="240" w:after="0" w:line="259" w:lineRule="auto"/>
      <w:outlineLvl w:val="9"/>
    </w:pPr>
    <w:rPr>
      <w:rFonts w:ascii="等线 Light" w:hAnsi="等线 Light" w:eastAsia="等线 Light"/>
      <w:b w:val="0"/>
      <w:bCs w:val="0"/>
      <w:color w:val="2F5496"/>
      <w:kern w:val="0"/>
      <w:sz w:val="32"/>
      <w:szCs w:val="32"/>
    </w:rPr>
  </w:style>
  <w:style w:type="character" w:styleId="655">
    <w:name w:val="Placeholder Text"/>
    <w:basedOn w:val="62"/>
    <w:unhideWhenUsed/>
    <w:qFormat/>
    <w:uiPriority w:val="99"/>
    <w:rPr>
      <w:rFonts w:ascii="仿宋_GB2312" w:hAnsi="Verdana" w:eastAsia="仿宋_GB2312"/>
      <w:color w:val="666666"/>
      <w:sz w:val="28"/>
      <w:szCs w:val="28"/>
      <w:lang w:val="en-US" w:eastAsia="en-US"/>
    </w:rPr>
  </w:style>
  <w:style w:type="paragraph" w:customStyle="1" w:styleId="656">
    <w:name w:val="0yx表格文字居中"/>
    <w:basedOn w:val="1"/>
    <w:qFormat/>
    <w:uiPriority w:val="0"/>
    <w:pPr>
      <w:overflowPunct w:val="0"/>
      <w:autoSpaceDE w:val="0"/>
      <w:autoSpaceDN w:val="0"/>
      <w:jc w:val="center"/>
    </w:pPr>
    <w:rPr>
      <w:rFonts w:cs="Times New Roman"/>
      <w:sz w:val="21"/>
      <w:szCs w:val="21"/>
    </w:rPr>
  </w:style>
  <w:style w:type="paragraph" w:customStyle="1" w:styleId="657">
    <w:name w:val="0jttd正文"/>
    <w:basedOn w:val="1"/>
    <w:qFormat/>
    <w:uiPriority w:val="0"/>
    <w:pPr>
      <w:overflowPunct w:val="0"/>
      <w:spacing w:before="100" w:beforeAutospacing="1" w:after="100" w:afterAutospacing="1"/>
      <w:ind w:left="120" w:leftChars="50" w:right="120" w:rightChars="50" w:firstLine="480"/>
    </w:pPr>
    <w:rPr>
      <w:rFonts w:cs="Times New Roman"/>
    </w:rPr>
  </w:style>
  <w:style w:type="paragraph" w:styleId="658">
    <w:name w:val="List Paragraph"/>
    <w:basedOn w:val="1"/>
    <w:unhideWhenUsed/>
    <w:qFormat/>
    <w:uiPriority w:val="34"/>
    <w:pPr>
      <w:ind w:firstLine="420"/>
    </w:pPr>
  </w:style>
  <w:style w:type="character" w:customStyle="1" w:styleId="659">
    <w:name w:val="序号2 Char"/>
    <w:link w:val="422"/>
    <w:qFormat/>
    <w:uiPriority w:val="0"/>
    <w:rPr>
      <w:kern w:val="2"/>
      <w:sz w:val="28"/>
      <w:szCs w:val="24"/>
    </w:rPr>
  </w:style>
  <w:style w:type="paragraph" w:customStyle="1" w:styleId="660">
    <w:name w:val="正文 + 宋体"/>
    <w:qFormat/>
    <w:uiPriority w:val="0"/>
    <w:pPr>
      <w:ind w:firstLine="570"/>
    </w:pPr>
    <w:rPr>
      <w:rFonts w:ascii="宋体" w:hAnsi="Times New Roman" w:eastAsia="宋体" w:cs="Times New Roman"/>
      <w:sz w:val="28"/>
      <w:lang w:val="en-US" w:eastAsia="zh-CN" w:bidi="ar-SA"/>
    </w:rPr>
  </w:style>
  <w:style w:type="character" w:customStyle="1" w:styleId="661">
    <w:name w:val="font01"/>
    <w:basedOn w:val="62"/>
    <w:qFormat/>
    <w:uiPriority w:val="0"/>
    <w:rPr>
      <w:rFonts w:hint="eastAsia" w:ascii="宋体" w:hAnsi="宋体" w:eastAsia="宋体"/>
      <w:color w:val="000000"/>
      <w:sz w:val="24"/>
      <w:szCs w:val="24"/>
      <w:u w:val="none"/>
    </w:rPr>
  </w:style>
  <w:style w:type="character" w:customStyle="1" w:styleId="662">
    <w:name w:val="font31"/>
    <w:basedOn w:val="62"/>
    <w:qFormat/>
    <w:uiPriority w:val="0"/>
    <w:rPr>
      <w:rFonts w:hint="eastAsia" w:ascii="宋体" w:hAnsi="宋体" w:eastAsia="宋体"/>
      <w:color w:val="000000"/>
      <w:sz w:val="21"/>
      <w:szCs w:val="21"/>
      <w:u w:val="none"/>
    </w:rPr>
  </w:style>
  <w:style w:type="character" w:customStyle="1" w:styleId="663">
    <w:name w:val="font21"/>
    <w:basedOn w:val="62"/>
    <w:qFormat/>
    <w:uiPriority w:val="0"/>
    <w:rPr>
      <w:rFonts w:hint="eastAsia" w:ascii="宋体" w:hAnsi="宋体" w:eastAsia="宋体"/>
      <w:color w:val="222222"/>
      <w:sz w:val="24"/>
      <w:szCs w:val="24"/>
      <w:u w:val="none"/>
    </w:rPr>
  </w:style>
  <w:style w:type="character" w:customStyle="1" w:styleId="664">
    <w:name w:val="font51"/>
    <w:basedOn w:val="62"/>
    <w:qFormat/>
    <w:uiPriority w:val="0"/>
    <w:rPr>
      <w:rFonts w:hint="eastAsia" w:ascii="宋体" w:hAnsi="宋体" w:eastAsia="宋体"/>
      <w:color w:val="222222"/>
      <w:sz w:val="24"/>
      <w:szCs w:val="24"/>
      <w:u w:val="none"/>
    </w:rPr>
  </w:style>
  <w:style w:type="paragraph" w:customStyle="1" w:styleId="665">
    <w:name w:val="Char21"/>
    <w:basedOn w:val="1"/>
    <w:uiPriority w:val="0"/>
    <w:pPr>
      <w:adjustRightInd/>
      <w:ind w:firstLine="0" w:firstLineChars="0"/>
    </w:pPr>
    <w:rPr>
      <w:rFonts w:ascii="宋体" w:eastAsia="等线" w:cs="Times New Roman"/>
      <w:kern w:val="2"/>
      <w:sz w:val="24"/>
      <w:szCs w:val="21"/>
    </w:rPr>
  </w:style>
  <w:style w:type="character" w:customStyle="1" w:styleId="666">
    <w:name w:val="正文文本首行缩进 字符"/>
    <w:link w:val="58"/>
    <w:uiPriority w:val="0"/>
    <w:rPr>
      <w:spacing w:val="6"/>
      <w:w w:val="92"/>
      <w:kern w:val="24"/>
      <w:sz w:val="26"/>
    </w:rPr>
  </w:style>
  <w:style w:type="character" w:customStyle="1" w:styleId="667">
    <w:name w:val="填表小5中 Char"/>
    <w:link w:val="668"/>
    <w:uiPriority w:val="0"/>
    <w:rPr>
      <w:rFonts w:ascii="宋体"/>
      <w:kern w:val="2"/>
      <w:sz w:val="18"/>
      <w:szCs w:val="18"/>
    </w:rPr>
  </w:style>
  <w:style w:type="paragraph" w:customStyle="1" w:styleId="668">
    <w:name w:val="填表小5中"/>
    <w:basedOn w:val="1"/>
    <w:link w:val="667"/>
    <w:uiPriority w:val="0"/>
    <w:pPr>
      <w:adjustRightInd/>
      <w:snapToGrid/>
      <w:spacing w:line="240" w:lineRule="exact"/>
      <w:ind w:firstLine="0" w:firstLineChars="0"/>
      <w:jc w:val="center"/>
    </w:pPr>
    <w:rPr>
      <w:rFonts w:ascii="宋体" w:cs="Times New Roman"/>
      <w:kern w:val="2"/>
      <w:sz w:val="18"/>
      <w:szCs w:val="18"/>
    </w:rPr>
  </w:style>
  <w:style w:type="character" w:customStyle="1" w:styleId="669">
    <w:name w:val="填表4小中2倍行距 Char Char"/>
    <w:link w:val="670"/>
    <w:uiPriority w:val="0"/>
    <w:rPr>
      <w:rFonts w:ascii="宋体" w:cs="宋体"/>
      <w:kern w:val="2"/>
      <w:sz w:val="24"/>
      <w:szCs w:val="21"/>
    </w:rPr>
  </w:style>
  <w:style w:type="paragraph" w:customStyle="1" w:styleId="670">
    <w:name w:val="填表4小中2倍行距"/>
    <w:basedOn w:val="1"/>
    <w:link w:val="669"/>
    <w:uiPriority w:val="0"/>
    <w:pPr>
      <w:adjustRightInd/>
      <w:snapToGrid/>
      <w:spacing w:line="480" w:lineRule="auto"/>
      <w:ind w:firstLine="0" w:firstLineChars="0"/>
      <w:jc w:val="center"/>
    </w:pPr>
    <w:rPr>
      <w:rFonts w:ascii="宋体"/>
      <w:kern w:val="2"/>
      <w:sz w:val="24"/>
      <w:szCs w:val="21"/>
    </w:rPr>
  </w:style>
  <w:style w:type="character" w:customStyle="1" w:styleId="671">
    <w:name w:val="仿宋四号 Char"/>
    <w:link w:val="672"/>
    <w:uiPriority w:val="0"/>
    <w:rPr>
      <w:rFonts w:ascii="宋体" w:eastAsia="仿宋_GB2312"/>
      <w:snapToGrid w:val="0"/>
      <w:sz w:val="28"/>
      <w:szCs w:val="21"/>
    </w:rPr>
  </w:style>
  <w:style w:type="paragraph" w:customStyle="1" w:styleId="672">
    <w:name w:val="仿宋四号"/>
    <w:basedOn w:val="1"/>
    <w:link w:val="671"/>
    <w:uiPriority w:val="0"/>
    <w:pPr>
      <w:ind w:firstLine="482" w:firstLineChars="0"/>
    </w:pPr>
    <w:rPr>
      <w:rFonts w:ascii="宋体" w:eastAsia="仿宋_GB2312" w:cs="Times New Roman"/>
      <w:snapToGrid w:val="0"/>
      <w:szCs w:val="21"/>
    </w:rPr>
  </w:style>
  <w:style w:type="character" w:customStyle="1" w:styleId="673">
    <w:name w:val="bds_nopic1"/>
    <w:basedOn w:val="62"/>
    <w:uiPriority w:val="0"/>
    <w:rPr>
      <w:sz w:val="24"/>
    </w:rPr>
  </w:style>
  <w:style w:type="character" w:customStyle="1" w:styleId="674">
    <w:name w:val="tpc_content1"/>
    <w:qFormat/>
    <w:uiPriority w:val="0"/>
    <w:rPr>
      <w:sz w:val="20"/>
      <w:szCs w:val="20"/>
    </w:rPr>
  </w:style>
  <w:style w:type="character" w:customStyle="1" w:styleId="675">
    <w:name w:val="首行缩进红 Char"/>
    <w:link w:val="676"/>
    <w:uiPriority w:val="0"/>
    <w:rPr>
      <w:rFonts w:ascii="宋体" w:cs="宋体"/>
      <w:color w:val="FF0000"/>
      <w:kern w:val="2"/>
      <w:sz w:val="28"/>
      <w:szCs w:val="24"/>
    </w:rPr>
  </w:style>
  <w:style w:type="paragraph" w:customStyle="1" w:styleId="676">
    <w:name w:val="首行缩进红"/>
    <w:basedOn w:val="529"/>
    <w:link w:val="675"/>
    <w:uiPriority w:val="0"/>
    <w:pPr>
      <w:adjustRightInd/>
      <w:snapToGrid/>
      <w:ind w:firstLine="0" w:firstLineChars="0"/>
    </w:pPr>
    <w:rPr>
      <w:rFonts w:ascii="宋体" w:cs="宋体"/>
      <w:color w:val="FF0000"/>
      <w:lang w:val="en-US"/>
    </w:rPr>
  </w:style>
  <w:style w:type="character" w:customStyle="1" w:styleId="677">
    <w:name w:val="标题4缩2 Char"/>
    <w:link w:val="678"/>
    <w:uiPriority w:val="0"/>
    <w:rPr>
      <w:rFonts w:ascii="宋体" w:eastAsia="黑体" w:cs="宋体"/>
      <w:b/>
      <w:bCs/>
      <w:kern w:val="2"/>
      <w:sz w:val="28"/>
    </w:rPr>
  </w:style>
  <w:style w:type="paragraph" w:customStyle="1" w:styleId="678">
    <w:name w:val="标题4缩2"/>
    <w:basedOn w:val="1"/>
    <w:next w:val="1"/>
    <w:link w:val="677"/>
    <w:uiPriority w:val="0"/>
    <w:pPr>
      <w:adjustRightInd/>
      <w:ind w:firstLine="562"/>
      <w:outlineLvl w:val="3"/>
    </w:pPr>
    <w:rPr>
      <w:rFonts w:ascii="宋体" w:eastAsia="黑体"/>
      <w:b/>
      <w:bCs/>
      <w:kern w:val="2"/>
      <w:szCs w:val="20"/>
    </w:rPr>
  </w:style>
  <w:style w:type="character" w:customStyle="1" w:styleId="679">
    <w:name w:val="报告表标题 Char"/>
    <w:basedOn w:val="62"/>
    <w:link w:val="680"/>
    <w:uiPriority w:val="0"/>
    <w:rPr>
      <w:rFonts w:ascii="宋体" w:hAnsi="宋体" w:cs="宋体"/>
      <w:sz w:val="24"/>
      <w:szCs w:val="24"/>
    </w:rPr>
  </w:style>
  <w:style w:type="paragraph" w:customStyle="1" w:styleId="680">
    <w:name w:val="报告表标题"/>
    <w:basedOn w:val="1"/>
    <w:link w:val="679"/>
    <w:uiPriority w:val="0"/>
    <w:pPr>
      <w:widowControl/>
      <w:numPr>
        <w:ilvl w:val="0"/>
        <w:numId w:val="2"/>
      </w:numPr>
      <w:tabs>
        <w:tab w:val="left" w:pos="900"/>
        <w:tab w:val="left" w:pos="1049"/>
      </w:tabs>
      <w:adjustRightInd/>
      <w:snapToGrid/>
      <w:spacing w:line="240" w:lineRule="auto"/>
      <w:ind w:firstLine="0" w:firstLineChars="0"/>
      <w:jc w:val="left"/>
    </w:pPr>
    <w:rPr>
      <w:rFonts w:ascii="宋体" w:hAnsi="宋体"/>
      <w:sz w:val="24"/>
    </w:rPr>
  </w:style>
  <w:style w:type="character" w:customStyle="1" w:styleId="681">
    <w:name w:val="bds_nopic2"/>
    <w:basedOn w:val="62"/>
    <w:uiPriority w:val="0"/>
    <w:rPr>
      <w:sz w:val="24"/>
    </w:rPr>
  </w:style>
  <w:style w:type="character" w:customStyle="1" w:styleId="682">
    <w:name w:val="正文红 Char"/>
    <w:link w:val="683"/>
    <w:uiPriority w:val="0"/>
    <w:rPr>
      <w:rFonts w:ascii="宋体"/>
      <w:color w:val="FF0000"/>
      <w:kern w:val="2"/>
      <w:sz w:val="28"/>
    </w:rPr>
  </w:style>
  <w:style w:type="paragraph" w:customStyle="1" w:styleId="683">
    <w:name w:val="正文红"/>
    <w:basedOn w:val="1"/>
    <w:link w:val="682"/>
    <w:uiPriority w:val="0"/>
    <w:pPr>
      <w:adjustRightInd/>
      <w:snapToGrid/>
      <w:ind w:firstLine="0" w:firstLineChars="0"/>
    </w:pPr>
    <w:rPr>
      <w:rFonts w:ascii="宋体" w:cs="Times New Roman"/>
      <w:color w:val="FF0000"/>
      <w:kern w:val="2"/>
      <w:szCs w:val="20"/>
    </w:rPr>
  </w:style>
  <w:style w:type="character" w:customStyle="1" w:styleId="684">
    <w:name w:val="填表4小单倍行距 Char"/>
    <w:link w:val="542"/>
    <w:uiPriority w:val="0"/>
    <w:rPr>
      <w:rFonts w:cs="宋体"/>
      <w:kern w:val="2"/>
      <w:sz w:val="28"/>
    </w:rPr>
  </w:style>
  <w:style w:type="character" w:customStyle="1" w:styleId="685">
    <w:name w:val="仿宋居中 Char"/>
    <w:link w:val="686"/>
    <w:uiPriority w:val="0"/>
    <w:rPr>
      <w:rFonts w:ascii="宋体" w:eastAsia="仿宋_GB2312"/>
      <w:kern w:val="2"/>
      <w:sz w:val="32"/>
      <w:szCs w:val="21"/>
    </w:rPr>
  </w:style>
  <w:style w:type="paragraph" w:customStyle="1" w:styleId="686">
    <w:name w:val="仿宋居中"/>
    <w:basedOn w:val="1"/>
    <w:next w:val="1"/>
    <w:link w:val="685"/>
    <w:uiPriority w:val="0"/>
    <w:pPr>
      <w:adjustRightInd/>
      <w:ind w:firstLine="0" w:firstLineChars="0"/>
      <w:jc w:val="center"/>
    </w:pPr>
    <w:rPr>
      <w:rFonts w:ascii="宋体" w:eastAsia="仿宋_GB2312" w:cs="Times New Roman"/>
      <w:kern w:val="2"/>
      <w:sz w:val="32"/>
      <w:szCs w:val="21"/>
    </w:rPr>
  </w:style>
  <w:style w:type="character" w:customStyle="1" w:styleId="687">
    <w:name w:val="bds_more2"/>
    <w:basedOn w:val="62"/>
    <w:uiPriority w:val="0"/>
    <w:rPr>
      <w:sz w:val="24"/>
    </w:rPr>
  </w:style>
  <w:style w:type="character" w:customStyle="1" w:styleId="688">
    <w:name w:val="仿宋居中宋体 Char"/>
    <w:link w:val="689"/>
    <w:uiPriority w:val="0"/>
    <w:rPr>
      <w:rFonts w:ascii="宋体" w:hAnsi="宋体"/>
      <w:kern w:val="2"/>
      <w:sz w:val="32"/>
      <w:szCs w:val="32"/>
    </w:rPr>
  </w:style>
  <w:style w:type="paragraph" w:customStyle="1" w:styleId="689">
    <w:name w:val="仿宋居中宋体"/>
    <w:basedOn w:val="686"/>
    <w:link w:val="688"/>
    <w:uiPriority w:val="0"/>
    <w:rPr>
      <w:rFonts w:hAnsi="宋体" w:eastAsia="宋体"/>
      <w:szCs w:val="32"/>
    </w:rPr>
  </w:style>
  <w:style w:type="character" w:customStyle="1" w:styleId="690">
    <w:name w:val="hover37"/>
    <w:basedOn w:val="62"/>
    <w:uiPriority w:val="0"/>
    <w:rPr>
      <w:color w:val="6FB3E0"/>
      <w:sz w:val="24"/>
    </w:rPr>
  </w:style>
  <w:style w:type="character" w:customStyle="1" w:styleId="691">
    <w:name w:val="附件封面3 Char"/>
    <w:link w:val="692"/>
    <w:uiPriority w:val="0"/>
    <w:rPr>
      <w:rFonts w:ascii="宋体" w:eastAsia="黑体" w:cs="宋体"/>
      <w:b/>
      <w:bCs/>
      <w:kern w:val="2"/>
      <w:sz w:val="28"/>
    </w:rPr>
  </w:style>
  <w:style w:type="paragraph" w:customStyle="1" w:styleId="692">
    <w:name w:val="附件封面3"/>
    <w:basedOn w:val="1"/>
    <w:next w:val="1"/>
    <w:link w:val="691"/>
    <w:uiPriority w:val="0"/>
    <w:pPr>
      <w:adjustRightInd/>
      <w:ind w:firstLine="562"/>
      <w:jc w:val="left"/>
      <w:outlineLvl w:val="3"/>
    </w:pPr>
    <w:rPr>
      <w:rFonts w:ascii="宋体" w:eastAsia="黑体"/>
      <w:b/>
      <w:bCs/>
      <w:kern w:val="2"/>
      <w:szCs w:val="20"/>
    </w:rPr>
  </w:style>
  <w:style w:type="character" w:customStyle="1" w:styleId="693">
    <w:name w:val="填表4小中红 Char"/>
    <w:link w:val="694"/>
    <w:uiPriority w:val="0"/>
    <w:rPr>
      <w:rFonts w:ascii="宋体" w:cs="宋体"/>
      <w:color w:val="FF0000"/>
      <w:kern w:val="2"/>
      <w:sz w:val="24"/>
    </w:rPr>
  </w:style>
  <w:style w:type="paragraph" w:customStyle="1" w:styleId="694">
    <w:name w:val="填表4小中红"/>
    <w:basedOn w:val="695"/>
    <w:next w:val="695"/>
    <w:link w:val="693"/>
    <w:uiPriority w:val="0"/>
    <w:pPr>
      <w:spacing w:line="240" w:lineRule="auto"/>
    </w:pPr>
    <w:rPr>
      <w:color w:val="FF0000"/>
    </w:rPr>
  </w:style>
  <w:style w:type="paragraph" w:customStyle="1" w:styleId="695">
    <w:name w:val="填表4小中"/>
    <w:basedOn w:val="1"/>
    <w:next w:val="1"/>
    <w:link w:val="714"/>
    <w:uiPriority w:val="0"/>
    <w:pPr>
      <w:adjustRightInd/>
      <w:snapToGrid/>
      <w:spacing w:line="480" w:lineRule="auto"/>
      <w:ind w:firstLine="0" w:firstLineChars="0"/>
      <w:jc w:val="center"/>
    </w:pPr>
    <w:rPr>
      <w:rFonts w:ascii="宋体"/>
      <w:kern w:val="2"/>
      <w:sz w:val="24"/>
      <w:szCs w:val="20"/>
    </w:rPr>
  </w:style>
  <w:style w:type="character" w:customStyle="1" w:styleId="696">
    <w:name w:val="正文加粗 Char"/>
    <w:link w:val="697"/>
    <w:uiPriority w:val="0"/>
    <w:rPr>
      <w:rFonts w:ascii="宋体" w:eastAsia="黑体"/>
      <w:b/>
      <w:kern w:val="2"/>
      <w:sz w:val="28"/>
    </w:rPr>
  </w:style>
  <w:style w:type="paragraph" w:customStyle="1" w:styleId="697">
    <w:name w:val="正文加粗"/>
    <w:basedOn w:val="1"/>
    <w:link w:val="696"/>
    <w:uiPriority w:val="0"/>
    <w:pPr>
      <w:adjustRightInd/>
      <w:ind w:firstLine="0" w:firstLineChars="0"/>
    </w:pPr>
    <w:rPr>
      <w:rFonts w:ascii="宋体" w:eastAsia="黑体" w:cs="Times New Roman"/>
      <w:b/>
      <w:kern w:val="2"/>
      <w:szCs w:val="20"/>
    </w:rPr>
  </w:style>
  <w:style w:type="character" w:customStyle="1" w:styleId="698">
    <w:name w:val="px141"/>
    <w:uiPriority w:val="0"/>
    <w:rPr>
      <w:rFonts w:hint="default" w:ascii="ˎ̥" w:hAnsi="ˎ̥"/>
      <w:sz w:val="21"/>
      <w:szCs w:val="21"/>
    </w:rPr>
  </w:style>
  <w:style w:type="character" w:customStyle="1" w:styleId="699">
    <w:name w:val="正文居中 Char"/>
    <w:link w:val="700"/>
    <w:uiPriority w:val="0"/>
    <w:rPr>
      <w:rFonts w:ascii="宋体"/>
      <w:kern w:val="2"/>
      <w:sz w:val="28"/>
    </w:rPr>
  </w:style>
  <w:style w:type="paragraph" w:customStyle="1" w:styleId="700">
    <w:name w:val="正文居中"/>
    <w:basedOn w:val="1"/>
    <w:link w:val="699"/>
    <w:uiPriority w:val="0"/>
    <w:pPr>
      <w:adjustRightInd/>
      <w:ind w:firstLine="0" w:firstLineChars="0"/>
      <w:jc w:val="center"/>
    </w:pPr>
    <w:rPr>
      <w:rFonts w:ascii="宋体" w:cs="Times New Roman"/>
      <w:kern w:val="2"/>
      <w:szCs w:val="20"/>
    </w:rPr>
  </w:style>
  <w:style w:type="character" w:customStyle="1" w:styleId="701">
    <w:name w:val="bds_more1"/>
    <w:basedOn w:val="62"/>
    <w:uiPriority w:val="0"/>
    <w:rPr>
      <w:sz w:val="24"/>
    </w:rPr>
  </w:style>
  <w:style w:type="character" w:customStyle="1" w:styleId="702">
    <w:name w:val="附件封面4 Char"/>
    <w:basedOn w:val="691"/>
    <w:link w:val="703"/>
    <w:uiPriority w:val="0"/>
    <w:rPr>
      <w:rFonts w:ascii="宋体" w:eastAsia="黑体" w:cs="宋体"/>
      <w:kern w:val="2"/>
      <w:sz w:val="28"/>
    </w:rPr>
  </w:style>
  <w:style w:type="paragraph" w:customStyle="1" w:styleId="703">
    <w:name w:val="附件封面4"/>
    <w:basedOn w:val="692"/>
    <w:next w:val="1"/>
    <w:link w:val="702"/>
    <w:uiPriority w:val="0"/>
    <w:pPr>
      <w:outlineLvl w:val="4"/>
    </w:pPr>
  </w:style>
  <w:style w:type="character" w:customStyle="1" w:styleId="704">
    <w:name w:val="填表5 Char"/>
    <w:link w:val="705"/>
    <w:uiPriority w:val="0"/>
    <w:rPr>
      <w:rFonts w:ascii="宋体"/>
      <w:kern w:val="2"/>
      <w:sz w:val="21"/>
      <w:szCs w:val="21"/>
    </w:rPr>
  </w:style>
  <w:style w:type="paragraph" w:customStyle="1" w:styleId="705">
    <w:name w:val="填表5"/>
    <w:basedOn w:val="1"/>
    <w:next w:val="1"/>
    <w:link w:val="704"/>
    <w:uiPriority w:val="0"/>
    <w:pPr>
      <w:adjustRightInd/>
      <w:snapToGrid/>
      <w:spacing w:line="240" w:lineRule="auto"/>
      <w:ind w:firstLine="0" w:firstLineChars="0"/>
      <w:jc w:val="left"/>
    </w:pPr>
    <w:rPr>
      <w:rFonts w:ascii="宋体" w:cs="Times New Roman"/>
      <w:kern w:val="2"/>
      <w:sz w:val="21"/>
      <w:szCs w:val="21"/>
    </w:rPr>
  </w:style>
  <w:style w:type="character" w:customStyle="1" w:styleId="706">
    <w:name w:val="fontstyle01"/>
    <w:basedOn w:val="62"/>
    <w:uiPriority w:val="0"/>
    <w:rPr>
      <w:rFonts w:hint="eastAsia" w:ascii="宋体" w:hAnsi="宋体" w:eastAsia="宋体"/>
      <w:color w:val="000000"/>
      <w:sz w:val="28"/>
      <w:szCs w:val="28"/>
    </w:rPr>
  </w:style>
  <w:style w:type="character" w:customStyle="1" w:styleId="707">
    <w:name w:val="正文首行缩进 Char1"/>
    <w:basedOn w:val="89"/>
    <w:uiPriority w:val="0"/>
    <w:rPr>
      <w:rFonts w:ascii="宋体"/>
      <w:spacing w:val="20"/>
      <w:kern w:val="2"/>
      <w:sz w:val="28"/>
      <w:szCs w:val="21"/>
      <w:u w:val="single"/>
      <w:lang w:val="en-US" w:eastAsia="zh-CN" w:bidi="ar-SA"/>
    </w:rPr>
  </w:style>
  <w:style w:type="character" w:customStyle="1" w:styleId="708">
    <w:name w:val="填表4小 Char"/>
    <w:link w:val="709"/>
    <w:uiPriority w:val="0"/>
    <w:rPr>
      <w:rFonts w:ascii="宋体"/>
      <w:kern w:val="2"/>
      <w:sz w:val="24"/>
    </w:rPr>
  </w:style>
  <w:style w:type="paragraph" w:customStyle="1" w:styleId="709">
    <w:name w:val="填表4小"/>
    <w:basedOn w:val="1"/>
    <w:next w:val="1"/>
    <w:link w:val="708"/>
    <w:uiPriority w:val="0"/>
    <w:pPr>
      <w:adjustRightInd/>
      <w:spacing w:line="240" w:lineRule="auto"/>
      <w:ind w:firstLine="0" w:firstLineChars="0"/>
    </w:pPr>
    <w:rPr>
      <w:rFonts w:ascii="宋体" w:cs="Times New Roman"/>
      <w:kern w:val="2"/>
      <w:sz w:val="24"/>
      <w:szCs w:val="20"/>
    </w:rPr>
  </w:style>
  <w:style w:type="character" w:customStyle="1" w:styleId="710">
    <w:name w:val="填表4小中单倍行距 Char"/>
    <w:link w:val="543"/>
    <w:uiPriority w:val="0"/>
    <w:rPr>
      <w:rFonts w:cs="宋体"/>
      <w:kern w:val="2"/>
      <w:sz w:val="28"/>
    </w:rPr>
  </w:style>
  <w:style w:type="character" w:customStyle="1" w:styleId="711">
    <w:name w:val="题注 字符"/>
    <w:link w:val="25"/>
    <w:uiPriority w:val="0"/>
    <w:rPr>
      <w:rFonts w:ascii="仿宋_GB2312" w:hAnsi="仿宋_GB2312" w:eastAsia="仿宋_GB2312" w:cs="宋体"/>
      <w:b/>
      <w:bCs/>
      <w:color w:val="000000"/>
      <w:sz w:val="28"/>
      <w:szCs w:val="28"/>
    </w:rPr>
  </w:style>
  <w:style w:type="character" w:customStyle="1" w:styleId="712">
    <w:name w:val="标题3缩2 Char"/>
    <w:link w:val="713"/>
    <w:uiPriority w:val="0"/>
    <w:rPr>
      <w:rFonts w:ascii="宋体" w:eastAsia="黑体" w:cs="宋体"/>
      <w:b/>
      <w:bCs/>
      <w:kern w:val="2"/>
      <w:sz w:val="28"/>
    </w:rPr>
  </w:style>
  <w:style w:type="paragraph" w:customStyle="1" w:styleId="713">
    <w:name w:val="标题3缩2"/>
    <w:basedOn w:val="1"/>
    <w:link w:val="712"/>
    <w:uiPriority w:val="0"/>
    <w:pPr>
      <w:adjustRightInd/>
      <w:ind w:firstLine="562"/>
      <w:outlineLvl w:val="2"/>
    </w:pPr>
    <w:rPr>
      <w:rFonts w:ascii="宋体" w:eastAsia="黑体"/>
      <w:b/>
      <w:bCs/>
      <w:kern w:val="2"/>
      <w:szCs w:val="20"/>
    </w:rPr>
  </w:style>
  <w:style w:type="character" w:customStyle="1" w:styleId="714">
    <w:name w:val="填表4小中 Char"/>
    <w:link w:val="695"/>
    <w:uiPriority w:val="0"/>
    <w:rPr>
      <w:rFonts w:ascii="宋体" w:cs="宋体"/>
      <w:kern w:val="2"/>
      <w:sz w:val="24"/>
    </w:rPr>
  </w:style>
  <w:style w:type="character" w:customStyle="1" w:styleId="715">
    <w:name w:val="bds_more"/>
    <w:basedOn w:val="62"/>
    <w:uiPriority w:val="0"/>
    <w:rPr>
      <w:sz w:val="24"/>
    </w:rPr>
  </w:style>
  <w:style w:type="character" w:customStyle="1" w:styleId="716">
    <w:name w:val="填表4小13磅 Char"/>
    <w:link w:val="717"/>
    <w:uiPriority w:val="0"/>
    <w:rPr>
      <w:rFonts w:ascii="宋体" w:cs="宋体"/>
      <w:kern w:val="2"/>
      <w:sz w:val="24"/>
    </w:rPr>
  </w:style>
  <w:style w:type="paragraph" w:customStyle="1" w:styleId="717">
    <w:name w:val="填表4小13磅"/>
    <w:basedOn w:val="542"/>
    <w:link w:val="716"/>
    <w:qFormat/>
    <w:uiPriority w:val="0"/>
    <w:pPr>
      <w:adjustRightInd/>
      <w:spacing w:line="260" w:lineRule="exact"/>
      <w:ind w:firstLine="0" w:firstLineChars="0"/>
    </w:pPr>
    <w:rPr>
      <w:rFonts w:ascii="宋体"/>
      <w:sz w:val="24"/>
    </w:rPr>
  </w:style>
  <w:style w:type="character" w:customStyle="1" w:styleId="718">
    <w:name w:val="hover38"/>
    <w:basedOn w:val="62"/>
    <w:uiPriority w:val="0"/>
    <w:rPr>
      <w:color w:val="EC7063"/>
      <w:sz w:val="24"/>
    </w:rPr>
  </w:style>
  <w:style w:type="character" w:customStyle="1" w:styleId="719">
    <w:name w:val="首行缩进加粗 Char"/>
    <w:basedOn w:val="62"/>
    <w:link w:val="720"/>
    <w:uiPriority w:val="0"/>
    <w:rPr>
      <w:rFonts w:ascii="宋体" w:eastAsia="黑体" w:cs="宋体"/>
      <w:b/>
      <w:bCs/>
      <w:kern w:val="2"/>
      <w:sz w:val="28"/>
      <w:szCs w:val="21"/>
    </w:rPr>
  </w:style>
  <w:style w:type="paragraph" w:customStyle="1" w:styleId="720">
    <w:name w:val="首行缩进加粗"/>
    <w:basedOn w:val="1"/>
    <w:link w:val="719"/>
    <w:uiPriority w:val="0"/>
    <w:pPr>
      <w:adjustRightInd/>
      <w:ind w:firstLine="561" w:firstLineChars="0"/>
    </w:pPr>
    <w:rPr>
      <w:rFonts w:ascii="宋体" w:eastAsia="黑体"/>
      <w:b/>
      <w:bCs/>
      <w:kern w:val="2"/>
      <w:szCs w:val="21"/>
    </w:rPr>
  </w:style>
  <w:style w:type="character" w:customStyle="1" w:styleId="721">
    <w:name w:val="填表5中 Char"/>
    <w:uiPriority w:val="0"/>
    <w:rPr>
      <w:rFonts w:ascii="宋体" w:eastAsia="宋体"/>
      <w:kern w:val="2"/>
      <w:sz w:val="21"/>
      <w:szCs w:val="21"/>
      <w:lang w:val="en-US" w:eastAsia="zh-CN" w:bidi="ar-SA"/>
    </w:rPr>
  </w:style>
  <w:style w:type="character" w:customStyle="1" w:styleId="722">
    <w:name w:val="bds_nopic"/>
    <w:basedOn w:val="62"/>
    <w:uiPriority w:val="0"/>
    <w:rPr>
      <w:sz w:val="24"/>
    </w:rPr>
  </w:style>
  <w:style w:type="character" w:customStyle="1" w:styleId="723">
    <w:name w:val="填表4小中 Char Char"/>
    <w:uiPriority w:val="0"/>
    <w:rPr>
      <w:rFonts w:ascii="宋体" w:eastAsia="宋体" w:cs="宋体"/>
      <w:kern w:val="2"/>
      <w:sz w:val="24"/>
      <w:lang w:val="en-US" w:eastAsia="zh-CN" w:bidi="ar-SA"/>
    </w:rPr>
  </w:style>
  <w:style w:type="character" w:customStyle="1" w:styleId="724">
    <w:name w:val="正文文本首行缩进 字符1"/>
    <w:basedOn w:val="89"/>
    <w:uiPriority w:val="0"/>
    <w:rPr>
      <w:rFonts w:cs="宋体"/>
      <w:spacing w:val="20"/>
      <w:sz w:val="28"/>
      <w:szCs w:val="24"/>
      <w:u w:val="single"/>
      <w:lang w:val="en-US" w:eastAsia="zh-CN" w:bidi="ar-SA"/>
    </w:rPr>
  </w:style>
  <w:style w:type="paragraph" w:customStyle="1" w:styleId="725">
    <w:name w:val="填表4小红1.5倍行距"/>
    <w:basedOn w:val="709"/>
    <w:uiPriority w:val="0"/>
    <w:pPr>
      <w:snapToGrid/>
      <w:spacing w:line="360" w:lineRule="auto"/>
    </w:pPr>
    <w:rPr>
      <w:color w:val="FF0000"/>
    </w:rPr>
  </w:style>
  <w:style w:type="paragraph" w:customStyle="1" w:styleId="726">
    <w:name w:val="仿宋表头"/>
    <w:basedOn w:val="1"/>
    <w:next w:val="1"/>
    <w:uiPriority w:val="0"/>
    <w:pPr>
      <w:adjustRightInd/>
      <w:spacing w:line="480" w:lineRule="auto"/>
      <w:ind w:firstLine="0" w:firstLineChars="0"/>
      <w:jc w:val="center"/>
    </w:pPr>
    <w:rPr>
      <w:rFonts w:ascii="宋体" w:eastAsia="仿宋_GB2312" w:cs="Times New Roman"/>
      <w:b/>
      <w:kern w:val="2"/>
      <w:szCs w:val="21"/>
    </w:rPr>
  </w:style>
  <w:style w:type="paragraph" w:customStyle="1" w:styleId="727">
    <w:name w:val="填表4小红"/>
    <w:basedOn w:val="709"/>
    <w:next w:val="709"/>
    <w:uiPriority w:val="0"/>
    <w:pPr>
      <w:snapToGrid/>
      <w:spacing w:line="360" w:lineRule="auto"/>
    </w:pPr>
    <w:rPr>
      <w:color w:val="FF0000"/>
      <w:sz w:val="28"/>
    </w:rPr>
  </w:style>
  <w:style w:type="paragraph" w:customStyle="1" w:styleId="728">
    <w:name w:val="55555555555555555555"/>
    <w:basedOn w:val="729"/>
    <w:qFormat/>
    <w:uiPriority w:val="0"/>
    <w:rPr>
      <w:sz w:val="24"/>
      <w:szCs w:val="24"/>
    </w:rPr>
  </w:style>
  <w:style w:type="paragraph" w:customStyle="1" w:styleId="729">
    <w:name w:val="5555555555555"/>
    <w:basedOn w:val="730"/>
    <w:uiPriority w:val="0"/>
    <w:pPr>
      <w:ind w:firstLine="0" w:firstLineChars="0"/>
      <w:jc w:val="center"/>
    </w:pPr>
    <w:rPr>
      <w:b/>
    </w:rPr>
  </w:style>
  <w:style w:type="paragraph" w:customStyle="1" w:styleId="730">
    <w:name w:val="44444444444444444"/>
    <w:basedOn w:val="1"/>
    <w:uiPriority w:val="0"/>
    <w:pPr>
      <w:ind w:firstLine="560"/>
    </w:pPr>
    <w:rPr>
      <w:rFonts w:ascii="宋体" w:hAnsi="宋体" w:eastAsia="等线" w:cs="Times New Roman"/>
      <w:color w:val="000000"/>
      <w:kern w:val="2"/>
      <w:szCs w:val="28"/>
    </w:rPr>
  </w:style>
  <w:style w:type="paragraph" w:customStyle="1" w:styleId="731">
    <w:name w:val="填表4"/>
    <w:basedOn w:val="1"/>
    <w:next w:val="1"/>
    <w:uiPriority w:val="0"/>
    <w:pPr>
      <w:adjustRightInd/>
      <w:spacing w:line="480" w:lineRule="auto"/>
      <w:ind w:firstLine="0" w:firstLineChars="0"/>
    </w:pPr>
    <w:rPr>
      <w:rFonts w:ascii="宋体" w:eastAsia="等线" w:cs="Times New Roman"/>
      <w:kern w:val="2"/>
      <w:szCs w:val="28"/>
    </w:rPr>
  </w:style>
  <w:style w:type="paragraph" w:customStyle="1" w:styleId="732">
    <w:name w:val="封面2"/>
    <w:basedOn w:val="1"/>
    <w:uiPriority w:val="0"/>
    <w:pPr>
      <w:adjustRightInd/>
      <w:snapToGrid/>
      <w:ind w:firstLine="0" w:firstLineChars="0"/>
      <w:jc w:val="center"/>
    </w:pPr>
    <w:rPr>
      <w:rFonts w:ascii="宋体" w:hAnsi="宋体" w:eastAsia="黑体"/>
      <w:b/>
      <w:bCs/>
      <w:kern w:val="3"/>
      <w:sz w:val="52"/>
      <w:szCs w:val="84"/>
    </w:rPr>
  </w:style>
  <w:style w:type="paragraph" w:customStyle="1" w:styleId="733">
    <w:name w:val="填表小5中12磅"/>
    <w:basedOn w:val="1"/>
    <w:uiPriority w:val="0"/>
    <w:pPr>
      <w:adjustRightInd/>
      <w:snapToGrid/>
      <w:spacing w:line="240" w:lineRule="exact"/>
      <w:ind w:firstLine="0" w:firstLineChars="0"/>
      <w:jc w:val="center"/>
    </w:pPr>
    <w:rPr>
      <w:rFonts w:ascii="宋体" w:eastAsia="仿宋_GB2312"/>
      <w:kern w:val="2"/>
      <w:sz w:val="18"/>
      <w:szCs w:val="20"/>
    </w:rPr>
  </w:style>
  <w:style w:type="paragraph" w:customStyle="1" w:styleId="734">
    <w:name w:val="仿宋正文缩进4"/>
    <w:basedOn w:val="735"/>
    <w:qFormat/>
    <w:uiPriority w:val="0"/>
    <w:pPr>
      <w:ind w:firstLine="1280" w:firstLineChars="400"/>
    </w:pPr>
  </w:style>
  <w:style w:type="paragraph" w:customStyle="1" w:styleId="735">
    <w:name w:val="仿宋正文缩进6"/>
    <w:basedOn w:val="1"/>
    <w:uiPriority w:val="0"/>
    <w:pPr>
      <w:ind w:firstLine="1920" w:firstLineChars="600"/>
    </w:pPr>
    <w:rPr>
      <w:rFonts w:ascii="仿宋_GB2312" w:eastAsia="仿宋_GB2312"/>
      <w:snapToGrid w:val="0"/>
      <w:sz w:val="32"/>
      <w:szCs w:val="20"/>
    </w:rPr>
  </w:style>
  <w:style w:type="paragraph" w:customStyle="1" w:styleId="736">
    <w:name w:val="填表5中红"/>
    <w:basedOn w:val="634"/>
    <w:uiPriority w:val="0"/>
    <w:pPr>
      <w:adjustRightInd/>
      <w:snapToGrid/>
      <w:spacing w:line="240" w:lineRule="auto"/>
      <w:ind w:firstLine="0" w:firstLineChars="0"/>
    </w:pPr>
    <w:rPr>
      <w:rFonts w:ascii="宋体" w:eastAsia="等线"/>
      <w:color w:val="FF0000"/>
      <w:kern w:val="2"/>
      <w:sz w:val="21"/>
      <w:lang w:val="en-US"/>
    </w:rPr>
  </w:style>
  <w:style w:type="paragraph" w:customStyle="1" w:styleId="737">
    <w:name w:val="填表4小中鲜绿"/>
    <w:basedOn w:val="695"/>
    <w:qFormat/>
    <w:uiPriority w:val="0"/>
    <w:pPr>
      <w:spacing w:line="360" w:lineRule="auto"/>
    </w:pPr>
    <w:rPr>
      <w:color w:val="00FF00"/>
    </w:rPr>
  </w:style>
  <w:style w:type="paragraph" w:customStyle="1" w:styleId="738">
    <w:name w:val="首行缩进6"/>
    <w:basedOn w:val="1"/>
    <w:uiPriority w:val="0"/>
    <w:pPr>
      <w:adjustRightInd/>
      <w:ind w:firstLine="1644" w:firstLineChars="0"/>
    </w:pPr>
    <w:rPr>
      <w:rFonts w:ascii="宋体" w:eastAsia="等线"/>
      <w:kern w:val="2"/>
      <w:szCs w:val="20"/>
    </w:rPr>
  </w:style>
  <w:style w:type="paragraph" w:customStyle="1" w:styleId="739">
    <w:name w:val="填表4小15磅"/>
    <w:basedOn w:val="542"/>
    <w:uiPriority w:val="0"/>
    <w:pPr>
      <w:adjustRightInd/>
      <w:spacing w:line="300" w:lineRule="exact"/>
      <w:ind w:firstLine="0" w:firstLineChars="0"/>
    </w:pPr>
    <w:rPr>
      <w:rFonts w:ascii="宋体" w:eastAsia="等线"/>
      <w:sz w:val="24"/>
    </w:rPr>
  </w:style>
  <w:style w:type="paragraph" w:customStyle="1" w:styleId="740">
    <w:name w:val="填表5中仿宋"/>
    <w:basedOn w:val="1"/>
    <w:uiPriority w:val="0"/>
    <w:pPr>
      <w:adjustRightInd/>
      <w:ind w:firstLine="0" w:firstLineChars="0"/>
      <w:jc w:val="center"/>
    </w:pPr>
    <w:rPr>
      <w:rFonts w:ascii="仿宋_GB2312" w:eastAsia="仿宋_GB2312" w:cs="Times New Roman"/>
      <w:kern w:val="2"/>
      <w:szCs w:val="21"/>
    </w:rPr>
  </w:style>
  <w:style w:type="paragraph" w:customStyle="1" w:styleId="741">
    <w:name w:val="附件标题"/>
    <w:basedOn w:val="1"/>
    <w:next w:val="700"/>
    <w:uiPriority w:val="0"/>
    <w:pPr>
      <w:adjustRightInd/>
      <w:ind w:firstLine="0" w:firstLineChars="0"/>
      <w:jc w:val="right"/>
      <w:outlineLvl w:val="0"/>
    </w:pPr>
    <w:rPr>
      <w:rFonts w:ascii="宋体" w:eastAsia="等线" w:cs="Times New Roman"/>
      <w:b/>
      <w:kern w:val="2"/>
      <w:sz w:val="32"/>
      <w:szCs w:val="21"/>
    </w:rPr>
  </w:style>
  <w:style w:type="paragraph" w:customStyle="1" w:styleId="742">
    <w:name w:val="填表4小中12磅"/>
    <w:basedOn w:val="543"/>
    <w:uiPriority w:val="0"/>
    <w:pPr>
      <w:adjustRightInd/>
      <w:spacing w:line="240" w:lineRule="exact"/>
      <w:ind w:firstLine="0" w:firstLineChars="0"/>
    </w:pPr>
    <w:rPr>
      <w:rFonts w:ascii="宋体" w:eastAsia="等线" w:cs="Times New Roman"/>
      <w:sz w:val="24"/>
    </w:rPr>
  </w:style>
  <w:style w:type="paragraph" w:customStyle="1" w:styleId="743">
    <w:name w:val="填表5中加粗"/>
    <w:basedOn w:val="634"/>
    <w:next w:val="634"/>
    <w:uiPriority w:val="0"/>
    <w:pPr>
      <w:adjustRightInd/>
      <w:snapToGrid/>
      <w:spacing w:line="240" w:lineRule="auto"/>
      <w:ind w:firstLine="0" w:firstLineChars="0"/>
    </w:pPr>
    <w:rPr>
      <w:rFonts w:ascii="宋体" w:eastAsia="等线"/>
      <w:b/>
      <w:kern w:val="2"/>
      <w:sz w:val="21"/>
      <w:lang w:val="en-US"/>
    </w:rPr>
  </w:style>
  <w:style w:type="paragraph" w:customStyle="1" w:styleId="744">
    <w:name w:val="填表5行距12 磅"/>
    <w:basedOn w:val="705"/>
    <w:uiPriority w:val="0"/>
    <w:rPr>
      <w:rFonts w:cs="宋体"/>
      <w:szCs w:val="20"/>
    </w:rPr>
  </w:style>
  <w:style w:type="paragraph" w:customStyle="1" w:styleId="745">
    <w:name w:val="填表4小红单倍行距"/>
    <w:basedOn w:val="727"/>
    <w:uiPriority w:val="0"/>
    <w:pPr>
      <w:spacing w:line="240" w:lineRule="auto"/>
    </w:pPr>
    <w:rPr>
      <w:rFonts w:cs="宋体"/>
      <w:sz w:val="24"/>
    </w:rPr>
  </w:style>
  <w:style w:type="paragraph" w:customStyle="1" w:styleId="746">
    <w:name w:val="填表5仿宋"/>
    <w:basedOn w:val="1"/>
    <w:uiPriority w:val="0"/>
    <w:pPr>
      <w:adjustRightInd/>
      <w:snapToGrid/>
      <w:spacing w:line="240" w:lineRule="exact"/>
      <w:ind w:firstLine="0" w:firstLineChars="0"/>
      <w:jc w:val="left"/>
    </w:pPr>
    <w:rPr>
      <w:rFonts w:ascii="仿宋_GB2312" w:eastAsia="仿宋_GB2312" w:cs="Times New Roman"/>
      <w:kern w:val="2"/>
      <w:sz w:val="21"/>
      <w:szCs w:val="21"/>
    </w:rPr>
  </w:style>
  <w:style w:type="paragraph" w:customStyle="1" w:styleId="747">
    <w:name w:val="楷体表头"/>
    <w:basedOn w:val="1"/>
    <w:next w:val="1"/>
    <w:uiPriority w:val="0"/>
    <w:pPr>
      <w:adjustRightInd/>
      <w:spacing w:before="340" w:after="330"/>
      <w:ind w:firstLine="0" w:firstLineChars="0"/>
      <w:jc w:val="center"/>
    </w:pPr>
    <w:rPr>
      <w:rFonts w:ascii="宋体" w:eastAsia="楷体_GB2312" w:cs="Times New Roman"/>
      <w:b/>
      <w:kern w:val="2"/>
      <w:sz w:val="48"/>
      <w:szCs w:val="21"/>
    </w:rPr>
  </w:style>
  <w:style w:type="paragraph" w:customStyle="1" w:styleId="748">
    <w:name w:val="著录项2"/>
    <w:basedOn w:val="1"/>
    <w:uiPriority w:val="0"/>
    <w:pPr>
      <w:adjustRightInd/>
      <w:ind w:firstLine="1680" w:firstLineChars="600"/>
      <w:jc w:val="left"/>
    </w:pPr>
    <w:rPr>
      <w:rFonts w:ascii="宋体" w:eastAsia="等线"/>
      <w:kern w:val="2"/>
      <w:szCs w:val="20"/>
    </w:rPr>
  </w:style>
  <w:style w:type="paragraph" w:customStyle="1" w:styleId="749">
    <w:name w:val="正weng"/>
    <w:basedOn w:val="1"/>
    <w:uiPriority w:val="0"/>
    <w:pPr>
      <w:adjustRightInd/>
      <w:snapToGrid/>
    </w:pPr>
    <w:rPr>
      <w:rFonts w:eastAsia="等线" w:cs="Times New Roman"/>
      <w:kern w:val="2"/>
      <w:sz w:val="24"/>
      <w:szCs w:val="22"/>
    </w:rPr>
  </w:style>
  <w:style w:type="paragraph" w:customStyle="1" w:styleId="750">
    <w:name w:val="预案封面落款"/>
    <w:basedOn w:val="751"/>
    <w:uiPriority w:val="0"/>
    <w:pPr>
      <w:ind w:left="1120" w:leftChars="400"/>
    </w:pPr>
    <w:rPr>
      <w:rFonts w:ascii="Times New Roman"/>
      <w:szCs w:val="20"/>
    </w:rPr>
  </w:style>
  <w:style w:type="paragraph" w:customStyle="1" w:styleId="751">
    <w:name w:val="仿宋正文"/>
    <w:basedOn w:val="1"/>
    <w:uiPriority w:val="0"/>
    <w:pPr>
      <w:ind w:firstLine="0" w:firstLineChars="0"/>
    </w:pPr>
    <w:rPr>
      <w:rFonts w:ascii="宋体" w:eastAsia="仿宋_GB2312"/>
      <w:snapToGrid w:val="0"/>
      <w:sz w:val="32"/>
      <w:szCs w:val="21"/>
    </w:rPr>
  </w:style>
  <w:style w:type="paragraph" w:customStyle="1" w:styleId="752">
    <w:name w:val="填表小512磅"/>
    <w:basedOn w:val="753"/>
    <w:uiPriority w:val="0"/>
    <w:pPr>
      <w:spacing w:line="240" w:lineRule="exact"/>
    </w:pPr>
    <w:rPr>
      <w:rFonts w:eastAsia="仿宋_GB2312" w:cs="宋体"/>
      <w:szCs w:val="20"/>
    </w:rPr>
  </w:style>
  <w:style w:type="paragraph" w:customStyle="1" w:styleId="753">
    <w:name w:val="填表小5"/>
    <w:basedOn w:val="1"/>
    <w:qFormat/>
    <w:uiPriority w:val="0"/>
    <w:pPr>
      <w:adjustRightInd/>
      <w:ind w:firstLine="0" w:firstLineChars="0"/>
      <w:jc w:val="left"/>
    </w:pPr>
    <w:rPr>
      <w:rFonts w:ascii="宋体" w:eastAsia="等线" w:cs="Times New Roman"/>
      <w:kern w:val="2"/>
      <w:sz w:val="18"/>
      <w:szCs w:val="18"/>
    </w:rPr>
  </w:style>
  <w:style w:type="paragraph" w:customStyle="1" w:styleId="754">
    <w:name w:val="样式 正文001 + 首行缩进:  2 字符1"/>
    <w:basedOn w:val="1"/>
    <w:uiPriority w:val="0"/>
    <w:pPr>
      <w:adjustRightInd/>
      <w:snapToGrid/>
      <w:spacing w:before="60" w:line="460" w:lineRule="exact"/>
      <w:ind w:firstLine="480"/>
    </w:pPr>
    <w:rPr>
      <w:rFonts w:eastAsia="等线" w:cs="Times New Roman"/>
      <w:kern w:val="2"/>
      <w:sz w:val="24"/>
      <w:szCs w:val="20"/>
    </w:rPr>
  </w:style>
  <w:style w:type="paragraph" w:customStyle="1" w:styleId="755">
    <w:name w:val="标题5缩2"/>
    <w:basedOn w:val="1"/>
    <w:next w:val="1"/>
    <w:uiPriority w:val="0"/>
    <w:pPr>
      <w:adjustRightInd/>
      <w:ind w:firstLine="562"/>
      <w:outlineLvl w:val="4"/>
    </w:pPr>
    <w:rPr>
      <w:rFonts w:ascii="宋体" w:eastAsia="黑体"/>
      <w:b/>
      <w:bCs/>
      <w:kern w:val="2"/>
      <w:szCs w:val="20"/>
    </w:rPr>
  </w:style>
  <w:style w:type="paragraph" w:customStyle="1" w:styleId="756">
    <w:name w:val="填表小5中红"/>
    <w:basedOn w:val="668"/>
    <w:uiPriority w:val="0"/>
    <w:pPr>
      <w:spacing w:line="360" w:lineRule="auto"/>
    </w:pPr>
    <w:rPr>
      <w:color w:val="FF0000"/>
    </w:rPr>
  </w:style>
  <w:style w:type="paragraph" w:customStyle="1" w:styleId="757">
    <w:name w:val="正文25磅"/>
    <w:basedOn w:val="1"/>
    <w:uiPriority w:val="0"/>
    <w:pPr>
      <w:adjustRightInd/>
      <w:spacing w:line="500" w:lineRule="exact"/>
      <w:ind w:firstLine="0" w:firstLineChars="0"/>
    </w:pPr>
    <w:rPr>
      <w:rFonts w:ascii="宋体" w:eastAsia="等线"/>
      <w:kern w:val="2"/>
      <w:szCs w:val="20"/>
    </w:rPr>
  </w:style>
  <w:style w:type="paragraph" w:customStyle="1" w:styleId="758">
    <w:name w:val="附件封面2"/>
    <w:basedOn w:val="1"/>
    <w:next w:val="1"/>
    <w:uiPriority w:val="0"/>
    <w:pPr>
      <w:adjustRightInd/>
      <w:ind w:firstLine="562"/>
      <w:jc w:val="left"/>
      <w:outlineLvl w:val="2"/>
    </w:pPr>
    <w:rPr>
      <w:rFonts w:ascii="宋体" w:eastAsia="黑体"/>
      <w:b/>
      <w:bCs/>
      <w:kern w:val="2"/>
      <w:szCs w:val="20"/>
    </w:rPr>
  </w:style>
  <w:style w:type="paragraph" w:customStyle="1" w:styleId="759">
    <w:name w:val="填表5中2倍行距"/>
    <w:basedOn w:val="634"/>
    <w:uiPriority w:val="0"/>
    <w:pPr>
      <w:adjustRightInd/>
      <w:snapToGrid/>
      <w:spacing w:line="480" w:lineRule="auto"/>
      <w:ind w:firstLine="0" w:firstLineChars="0"/>
    </w:pPr>
    <w:rPr>
      <w:rFonts w:ascii="宋体" w:eastAsia="等线" w:cs="宋体"/>
      <w:kern w:val="2"/>
      <w:sz w:val="21"/>
      <w:szCs w:val="20"/>
      <w:lang w:val="en-US"/>
    </w:rPr>
  </w:style>
  <w:style w:type="paragraph" w:customStyle="1" w:styleId="760">
    <w:name w:val="填表4小中红1.5 倍行距"/>
    <w:basedOn w:val="1"/>
    <w:qFormat/>
    <w:uiPriority w:val="0"/>
    <w:pPr>
      <w:adjustRightInd/>
      <w:snapToGrid/>
      <w:ind w:firstLine="0" w:firstLineChars="0"/>
      <w:jc w:val="center"/>
    </w:pPr>
    <w:rPr>
      <w:rFonts w:ascii="宋体" w:eastAsia="等线"/>
      <w:color w:val="FF0000"/>
      <w:kern w:val="2"/>
      <w:sz w:val="24"/>
      <w:szCs w:val="20"/>
    </w:rPr>
  </w:style>
  <w:style w:type="paragraph" w:customStyle="1" w:styleId="761">
    <w:name w:val="仿宋正文缩进2"/>
    <w:basedOn w:val="1"/>
    <w:uiPriority w:val="0"/>
    <w:pPr>
      <w:adjustRightInd/>
      <w:snapToGrid/>
      <w:ind w:firstLine="561" w:firstLineChars="0"/>
    </w:pPr>
    <w:rPr>
      <w:rFonts w:ascii="宋体" w:eastAsia="仿宋_GB2312"/>
      <w:kern w:val="2"/>
      <w:sz w:val="32"/>
      <w:szCs w:val="20"/>
    </w:rPr>
  </w:style>
  <w:style w:type="paragraph" w:customStyle="1" w:styleId="762">
    <w:name w:val="仿宋项目"/>
    <w:basedOn w:val="1"/>
    <w:uiPriority w:val="0"/>
    <w:pPr>
      <w:tabs>
        <w:tab w:val="left" w:pos="851"/>
      </w:tabs>
      <w:ind w:left="840" w:firstLine="0" w:firstLineChars="0"/>
    </w:pPr>
    <w:rPr>
      <w:rFonts w:ascii="宋体" w:eastAsia="仿宋_GB2312" w:cs="Times New Roman"/>
      <w:snapToGrid w:val="0"/>
      <w:szCs w:val="21"/>
    </w:rPr>
  </w:style>
  <w:style w:type="paragraph" w:customStyle="1" w:styleId="763">
    <w:name w:val="填表4小14磅"/>
    <w:basedOn w:val="542"/>
    <w:uiPriority w:val="0"/>
    <w:pPr>
      <w:adjustRightInd/>
      <w:snapToGrid/>
      <w:spacing w:line="280" w:lineRule="exact"/>
      <w:ind w:firstLine="0" w:firstLineChars="0"/>
    </w:pPr>
    <w:rPr>
      <w:rFonts w:ascii="宋体" w:eastAsia="等线"/>
      <w:sz w:val="24"/>
    </w:rPr>
  </w:style>
  <w:style w:type="paragraph" w:customStyle="1" w:styleId="764">
    <w:name w:val="落款"/>
    <w:basedOn w:val="1"/>
    <w:uiPriority w:val="0"/>
    <w:pPr>
      <w:widowControl/>
      <w:adjustRightInd/>
      <w:ind w:firstLine="0" w:firstLineChars="0"/>
      <w:jc w:val="right"/>
    </w:pPr>
    <w:rPr>
      <w:rFonts w:ascii="宋体" w:hAnsi="宋体" w:eastAsia="等线"/>
      <w:szCs w:val="20"/>
    </w:rPr>
  </w:style>
  <w:style w:type="paragraph" w:customStyle="1" w:styleId="765">
    <w:name w:val="填表4小中红单倍行距"/>
    <w:basedOn w:val="695"/>
    <w:uiPriority w:val="0"/>
    <w:pPr>
      <w:spacing w:line="240" w:lineRule="auto"/>
    </w:pPr>
    <w:rPr>
      <w:color w:val="FF0000"/>
      <w:szCs w:val="28"/>
    </w:rPr>
  </w:style>
  <w:style w:type="paragraph" w:customStyle="1" w:styleId="766">
    <w:name w:val="填表5中行距12磅"/>
    <w:basedOn w:val="634"/>
    <w:uiPriority w:val="0"/>
    <w:pPr>
      <w:adjustRightInd/>
      <w:snapToGrid/>
      <w:spacing w:line="240" w:lineRule="exact"/>
      <w:ind w:firstLine="0" w:firstLineChars="0"/>
    </w:pPr>
    <w:rPr>
      <w:rFonts w:ascii="宋体" w:eastAsia="等线" w:cs="宋体"/>
      <w:kern w:val="2"/>
      <w:sz w:val="21"/>
      <w:szCs w:val="20"/>
      <w:lang w:val="en-US"/>
    </w:rPr>
  </w:style>
  <w:style w:type="paragraph" w:customStyle="1" w:styleId="767">
    <w:name w:val="表头红2"/>
    <w:basedOn w:val="1"/>
    <w:uiPriority w:val="0"/>
    <w:pPr>
      <w:widowControl/>
      <w:adjustRightInd/>
      <w:snapToGrid/>
      <w:spacing w:before="312" w:beforeLines="100" w:after="312" w:afterLines="100" w:line="480" w:lineRule="auto"/>
      <w:ind w:firstLine="0" w:firstLineChars="0"/>
      <w:jc w:val="center"/>
      <w:textAlignment w:val="center"/>
    </w:pPr>
    <w:rPr>
      <w:rFonts w:ascii="宋体" w:eastAsia="黑体"/>
      <w:b/>
      <w:bCs/>
      <w:sz w:val="36"/>
      <w:szCs w:val="20"/>
    </w:rPr>
  </w:style>
  <w:style w:type="paragraph" w:customStyle="1" w:styleId="768">
    <w:name w:val="填表5单倍行距"/>
    <w:basedOn w:val="705"/>
    <w:uiPriority w:val="0"/>
    <w:rPr>
      <w:rFonts w:cs="宋体"/>
      <w:szCs w:val="20"/>
    </w:rPr>
  </w:style>
  <w:style w:type="paragraph" w:customStyle="1" w:styleId="769">
    <w:name w:val="填表5中行距2倍"/>
    <w:basedOn w:val="634"/>
    <w:uiPriority w:val="0"/>
    <w:pPr>
      <w:adjustRightInd/>
      <w:snapToGrid/>
      <w:spacing w:line="480" w:lineRule="auto"/>
      <w:ind w:firstLine="0" w:firstLineChars="0"/>
    </w:pPr>
    <w:rPr>
      <w:rFonts w:ascii="宋体" w:eastAsia="等线" w:cs="宋体"/>
      <w:kern w:val="2"/>
      <w:sz w:val="21"/>
      <w:szCs w:val="20"/>
      <w:lang w:val="en-US"/>
    </w:rPr>
  </w:style>
  <w:style w:type="paragraph" w:customStyle="1" w:styleId="770">
    <w:name w:val="填表4小中1.5倍行距"/>
    <w:basedOn w:val="670"/>
    <w:qFormat/>
    <w:uiPriority w:val="0"/>
    <w:pPr>
      <w:spacing w:line="360" w:lineRule="auto"/>
    </w:pPr>
    <w:rPr>
      <w:szCs w:val="28"/>
    </w:rPr>
  </w:style>
  <w:style w:type="paragraph" w:customStyle="1" w:styleId="771">
    <w:name w:val="填表5行距12磅"/>
    <w:basedOn w:val="705"/>
    <w:uiPriority w:val="0"/>
    <w:rPr>
      <w:rFonts w:cs="宋体"/>
      <w:szCs w:val="20"/>
    </w:rPr>
  </w:style>
  <w:style w:type="paragraph" w:customStyle="1" w:styleId="772">
    <w:name w:val="附件标题白"/>
    <w:basedOn w:val="1"/>
    <w:next w:val="1"/>
    <w:qFormat/>
    <w:uiPriority w:val="0"/>
    <w:pPr>
      <w:adjustRightInd/>
      <w:ind w:firstLine="0" w:firstLineChars="0"/>
      <w:jc w:val="right"/>
    </w:pPr>
    <w:rPr>
      <w:rFonts w:ascii="宋体" w:eastAsia="等线"/>
      <w:b/>
      <w:bCs/>
      <w:color w:val="FFFFFF"/>
      <w:kern w:val="2"/>
      <w:sz w:val="32"/>
      <w:szCs w:val="20"/>
    </w:rPr>
  </w:style>
  <w:style w:type="paragraph" w:customStyle="1" w:styleId="773">
    <w:name w:val="填表4小中13磅"/>
    <w:basedOn w:val="670"/>
    <w:uiPriority w:val="0"/>
    <w:pPr>
      <w:spacing w:line="260" w:lineRule="exact"/>
    </w:pPr>
    <w:rPr>
      <w:szCs w:val="20"/>
    </w:rPr>
  </w:style>
  <w:style w:type="paragraph" w:customStyle="1" w:styleId="774">
    <w:name w:val="默认段落字体 Para Char Char Char Char Char Char Char Char Char1 Char Char Char Char Char Char Char Char Char Char"/>
    <w:basedOn w:val="26"/>
    <w:qFormat/>
    <w:uiPriority w:val="0"/>
    <w:pPr>
      <w:adjustRightInd/>
      <w:snapToGrid/>
      <w:spacing w:line="240" w:lineRule="auto"/>
      <w:ind w:firstLine="0" w:firstLineChars="0"/>
    </w:pPr>
    <w:rPr>
      <w:rFonts w:ascii="黑体" w:hAnsi="Arial" w:eastAsia="等线" w:cs="Verdana"/>
      <w:bCs/>
      <w:kern w:val="0"/>
      <w:sz w:val="24"/>
      <w:szCs w:val="28"/>
      <w:lang w:val="en-US" w:eastAsia="en-US"/>
    </w:rPr>
  </w:style>
  <w:style w:type="paragraph" w:customStyle="1" w:styleId="775">
    <w:name w:val="仿宋落款"/>
    <w:basedOn w:val="1"/>
    <w:uiPriority w:val="0"/>
    <w:pPr>
      <w:adjustRightInd/>
      <w:ind w:firstLine="0" w:firstLineChars="0"/>
      <w:jc w:val="right"/>
    </w:pPr>
    <w:rPr>
      <w:rFonts w:ascii="仿宋_GB2312" w:eastAsia="仿宋_GB2312"/>
      <w:kern w:val="2"/>
      <w:sz w:val="32"/>
      <w:szCs w:val="20"/>
    </w:rPr>
  </w:style>
  <w:style w:type="paragraph" w:customStyle="1" w:styleId="776">
    <w:name w:val="附件封面5"/>
    <w:basedOn w:val="1"/>
    <w:next w:val="1"/>
    <w:uiPriority w:val="0"/>
    <w:pPr>
      <w:adjustRightInd/>
      <w:ind w:firstLine="562"/>
      <w:jc w:val="left"/>
      <w:outlineLvl w:val="5"/>
    </w:pPr>
    <w:rPr>
      <w:rFonts w:ascii="宋体" w:eastAsia="黑体"/>
      <w:b/>
      <w:bCs/>
      <w:kern w:val="2"/>
      <w:szCs w:val="20"/>
    </w:rPr>
  </w:style>
  <w:style w:type="paragraph" w:customStyle="1" w:styleId="777">
    <w:name w:val="表头红1"/>
    <w:basedOn w:val="1"/>
    <w:uiPriority w:val="0"/>
    <w:pPr>
      <w:widowControl/>
      <w:adjustRightInd/>
      <w:spacing w:before="100" w:beforeAutospacing="1" w:after="100" w:afterAutospacing="1"/>
      <w:ind w:firstLine="0" w:firstLineChars="0"/>
      <w:jc w:val="center"/>
      <w:textAlignment w:val="center"/>
    </w:pPr>
    <w:rPr>
      <w:rFonts w:ascii="宋体" w:eastAsia="黑体"/>
      <w:b/>
      <w:bCs/>
      <w:color w:val="FF0000"/>
      <w:szCs w:val="32"/>
    </w:rPr>
  </w:style>
  <w:style w:type="paragraph" w:customStyle="1" w:styleId="778">
    <w:name w:val="预案封面"/>
    <w:basedOn w:val="751"/>
    <w:next w:val="751"/>
    <w:uiPriority w:val="0"/>
    <w:pPr>
      <w:jc w:val="center"/>
    </w:pPr>
    <w:rPr>
      <w:rFonts w:ascii="Times New Roman"/>
      <w:b/>
      <w:sz w:val="36"/>
      <w:szCs w:val="28"/>
    </w:rPr>
  </w:style>
  <w:style w:type="paragraph" w:customStyle="1" w:styleId="779">
    <w:name w:val="44444444444"/>
    <w:basedOn w:val="1"/>
    <w:uiPriority w:val="0"/>
    <w:pPr>
      <w:adjustRightInd/>
      <w:ind w:firstLine="550"/>
    </w:pPr>
    <w:rPr>
      <w:rFonts w:ascii="宋体" w:hAnsi="宋体" w:eastAsia="等线" w:cs="Times New Roman"/>
      <w:kern w:val="2"/>
      <w:szCs w:val="20"/>
    </w:rPr>
  </w:style>
  <w:style w:type="paragraph" w:customStyle="1" w:styleId="780">
    <w:name w:val="填表4小中15磅"/>
    <w:basedOn w:val="543"/>
    <w:uiPriority w:val="0"/>
    <w:pPr>
      <w:adjustRightInd/>
      <w:spacing w:line="300" w:lineRule="exact"/>
      <w:ind w:firstLine="0" w:firstLineChars="0"/>
    </w:pPr>
    <w:rPr>
      <w:rFonts w:ascii="宋体" w:eastAsia="等线" w:cs="Times New Roman"/>
      <w:sz w:val="24"/>
    </w:rPr>
  </w:style>
  <w:style w:type="paragraph" w:customStyle="1" w:styleId="781">
    <w:name w:val="填表4小中14磅"/>
    <w:basedOn w:val="543"/>
    <w:uiPriority w:val="0"/>
    <w:pPr>
      <w:adjustRightInd/>
      <w:spacing w:line="280" w:lineRule="exact"/>
      <w:ind w:firstLine="0" w:firstLineChars="0"/>
    </w:pPr>
    <w:rPr>
      <w:rFonts w:ascii="宋体" w:eastAsia="等线" w:cs="Times New Roman"/>
      <w:sz w:val="24"/>
    </w:rPr>
  </w:style>
  <w:style w:type="paragraph" w:customStyle="1" w:styleId="782">
    <w:name w:val="填表4中"/>
    <w:basedOn w:val="1"/>
    <w:next w:val="1"/>
    <w:uiPriority w:val="0"/>
    <w:pPr>
      <w:adjustRightInd/>
      <w:ind w:firstLine="0" w:firstLineChars="0"/>
      <w:jc w:val="center"/>
    </w:pPr>
    <w:rPr>
      <w:rFonts w:ascii="宋体" w:eastAsia="等线"/>
      <w:kern w:val="2"/>
      <w:szCs w:val="28"/>
    </w:rPr>
  </w:style>
  <w:style w:type="paragraph" w:customStyle="1" w:styleId="783">
    <w:name w:val="著录项标题"/>
    <w:basedOn w:val="1"/>
    <w:uiPriority w:val="0"/>
    <w:pPr>
      <w:widowControl/>
      <w:adjustRightInd/>
      <w:spacing w:before="100" w:beforeAutospacing="1" w:after="100" w:afterAutospacing="1"/>
      <w:ind w:firstLine="0" w:firstLineChars="0"/>
      <w:jc w:val="center"/>
    </w:pPr>
    <w:rPr>
      <w:rFonts w:ascii="宋体" w:hAnsi="宋体" w:eastAsia="等线"/>
      <w:b/>
      <w:bCs/>
      <w:sz w:val="32"/>
      <w:szCs w:val="32"/>
    </w:rPr>
  </w:style>
  <w:style w:type="paragraph" w:customStyle="1" w:styleId="784">
    <w:name w:val="列表段落1"/>
    <w:basedOn w:val="1"/>
    <w:qFormat/>
    <w:uiPriority w:val="34"/>
    <w:pPr>
      <w:adjustRightInd/>
      <w:ind w:firstLine="420"/>
    </w:pPr>
    <w:rPr>
      <w:rFonts w:ascii="宋体" w:eastAsia="等线" w:cs="Times New Roman"/>
      <w:kern w:val="2"/>
      <w:szCs w:val="22"/>
    </w:rPr>
  </w:style>
  <w:style w:type="paragraph" w:customStyle="1" w:styleId="785">
    <w:name w:val="附件标题1"/>
    <w:basedOn w:val="1"/>
    <w:next w:val="1"/>
    <w:uiPriority w:val="0"/>
    <w:pPr>
      <w:adjustRightInd/>
      <w:spacing w:before="340" w:after="330"/>
      <w:ind w:firstLine="0" w:firstLineChars="0"/>
      <w:jc w:val="center"/>
    </w:pPr>
    <w:rPr>
      <w:rFonts w:ascii="楷体_GB2312" w:eastAsia="楷体_GB2312" w:cs="Times New Roman"/>
      <w:b/>
      <w:kern w:val="2"/>
      <w:sz w:val="48"/>
      <w:szCs w:val="48"/>
    </w:rPr>
  </w:style>
  <w:style w:type="paragraph" w:customStyle="1" w:styleId="786">
    <w:name w:val="首行缩进鲜绿"/>
    <w:basedOn w:val="529"/>
    <w:next w:val="529"/>
    <w:uiPriority w:val="0"/>
    <w:pPr>
      <w:adjustRightInd/>
      <w:snapToGrid/>
      <w:ind w:firstLine="0" w:firstLineChars="0"/>
    </w:pPr>
    <w:rPr>
      <w:rFonts w:ascii="宋体" w:eastAsia="等线" w:cs="宋体"/>
      <w:color w:val="00FF00"/>
      <w:lang w:val="en-US"/>
    </w:rPr>
  </w:style>
  <w:style w:type="paragraph" w:customStyle="1" w:styleId="787">
    <w:name w:val="填表小5红"/>
    <w:basedOn w:val="753"/>
    <w:uiPriority w:val="0"/>
    <w:pPr>
      <w:snapToGrid/>
    </w:pPr>
    <w:rPr>
      <w:rFonts w:eastAsia="仿宋_GB2312"/>
      <w:color w:val="FF0000"/>
    </w:rPr>
  </w:style>
  <w:style w:type="paragraph" w:customStyle="1" w:styleId="788">
    <w:name w:val="著录项1"/>
    <w:basedOn w:val="1"/>
    <w:uiPriority w:val="0"/>
    <w:pPr>
      <w:adjustRightInd/>
      <w:ind w:firstLine="0" w:firstLineChars="0"/>
    </w:pPr>
    <w:rPr>
      <w:rFonts w:ascii="宋体" w:eastAsia="等线" w:cs="Times New Roman"/>
      <w:bCs/>
      <w:kern w:val="3"/>
      <w:szCs w:val="30"/>
    </w:rPr>
  </w:style>
  <w:style w:type="paragraph" w:customStyle="1" w:styleId="789">
    <w:name w:val="封面3"/>
    <w:basedOn w:val="1"/>
    <w:uiPriority w:val="0"/>
    <w:pPr>
      <w:adjustRightInd/>
      <w:snapToGrid/>
      <w:ind w:firstLine="0" w:firstLineChars="0"/>
      <w:jc w:val="center"/>
    </w:pPr>
    <w:rPr>
      <w:rFonts w:ascii="宋体" w:eastAsia="等线"/>
      <w:b/>
      <w:kern w:val="2"/>
      <w:sz w:val="32"/>
      <w:szCs w:val="32"/>
    </w:rPr>
  </w:style>
  <w:style w:type="paragraph" w:customStyle="1" w:styleId="790">
    <w:name w:val="附件标题3"/>
    <w:basedOn w:val="1"/>
    <w:next w:val="1"/>
    <w:uiPriority w:val="0"/>
    <w:pPr>
      <w:adjustRightInd/>
      <w:ind w:firstLine="0" w:firstLineChars="0"/>
      <w:jc w:val="left"/>
    </w:pPr>
    <w:rPr>
      <w:rFonts w:ascii="楷体_GB2312" w:eastAsia="楷体_GB2312" w:cs="Times New Roman"/>
      <w:b/>
      <w:kern w:val="2"/>
      <w:szCs w:val="21"/>
    </w:rPr>
  </w:style>
  <w:style w:type="paragraph" w:customStyle="1" w:styleId="791">
    <w:name w:val="44444444444444"/>
    <w:basedOn w:val="1"/>
    <w:qFormat/>
    <w:uiPriority w:val="0"/>
    <w:pPr>
      <w:spacing w:line="520" w:lineRule="atLeast"/>
      <w:ind w:firstLine="480"/>
    </w:pPr>
    <w:rPr>
      <w:rFonts w:ascii="宋体" w:hAnsi="宋体" w:eastAsia="等线" w:cs="Times New Roman"/>
      <w:color w:val="000000"/>
      <w:kern w:val="2"/>
      <w:sz w:val="24"/>
    </w:rPr>
  </w:style>
  <w:style w:type="paragraph" w:customStyle="1" w:styleId="792">
    <w:name w:val="填表5中1.5倍行距"/>
    <w:basedOn w:val="1"/>
    <w:uiPriority w:val="0"/>
    <w:pPr>
      <w:adjustRightInd/>
      <w:snapToGrid/>
      <w:spacing w:line="240" w:lineRule="auto"/>
      <w:ind w:firstLine="0" w:firstLineChars="0"/>
      <w:jc w:val="center"/>
    </w:pPr>
    <w:rPr>
      <w:rFonts w:ascii="宋体" w:eastAsia="等线"/>
      <w:kern w:val="2"/>
      <w:sz w:val="21"/>
      <w:szCs w:val="20"/>
    </w:rPr>
  </w:style>
  <w:style w:type="paragraph" w:customStyle="1" w:styleId="793">
    <w:name w:val="附件标题2"/>
    <w:basedOn w:val="1"/>
    <w:next w:val="1"/>
    <w:uiPriority w:val="0"/>
    <w:pPr>
      <w:adjustRightInd/>
      <w:ind w:firstLine="0" w:firstLineChars="0"/>
      <w:jc w:val="left"/>
    </w:pPr>
    <w:rPr>
      <w:rFonts w:ascii="楷体_GB2312" w:eastAsia="楷体_GB2312" w:cs="Times New Roman"/>
      <w:b/>
      <w:kern w:val="2"/>
      <w:sz w:val="32"/>
      <w:szCs w:val="32"/>
    </w:rPr>
  </w:style>
  <w:style w:type="paragraph" w:customStyle="1" w:styleId="794">
    <w:name w:val="3-3333333333333333333"/>
    <w:basedOn w:val="1"/>
    <w:qFormat/>
    <w:uiPriority w:val="0"/>
    <w:pPr>
      <w:adjustRightInd/>
      <w:snapToGrid/>
      <w:spacing w:line="520" w:lineRule="exact"/>
      <w:ind w:firstLine="0" w:firstLineChars="0"/>
      <w:outlineLvl w:val="2"/>
    </w:pPr>
    <w:rPr>
      <w:rFonts w:ascii="宋体" w:hAnsi="宋体" w:eastAsia="等线" w:cs="Times New Roman"/>
      <w:b/>
      <w:color w:val="000000"/>
      <w:kern w:val="2"/>
      <w:sz w:val="24"/>
    </w:rPr>
  </w:style>
  <w:style w:type="paragraph" w:customStyle="1" w:styleId="795">
    <w:name w:val="前言"/>
    <w:basedOn w:val="1"/>
    <w:next w:val="1"/>
    <w:uiPriority w:val="0"/>
    <w:pPr>
      <w:adjustRightInd/>
      <w:spacing w:before="624" w:beforeLines="200"/>
      <w:ind w:firstLine="0" w:firstLineChars="0"/>
      <w:jc w:val="center"/>
    </w:pPr>
    <w:rPr>
      <w:rFonts w:ascii="宋体" w:eastAsia="等线"/>
      <w:b/>
      <w:kern w:val="2"/>
      <w:sz w:val="36"/>
      <w:szCs w:val="20"/>
    </w:rPr>
  </w:style>
  <w:style w:type="paragraph" w:customStyle="1" w:styleId="796">
    <w:name w:val="文件抬头"/>
    <w:basedOn w:val="1"/>
    <w:next w:val="1"/>
    <w:uiPriority w:val="0"/>
    <w:pPr>
      <w:pBdr>
        <w:bottom w:val="thinThickSmallGap" w:color="auto" w:sz="24" w:space="1"/>
      </w:pBdr>
      <w:adjustRightInd/>
      <w:spacing w:after="720"/>
      <w:ind w:firstLine="0" w:firstLineChars="0"/>
      <w:jc w:val="center"/>
      <w:outlineLvl w:val="1"/>
    </w:pPr>
    <w:rPr>
      <w:rFonts w:ascii="宋体" w:eastAsia="楷体_GB2312" w:cs="Times New Roman"/>
      <w:b/>
      <w:kern w:val="2"/>
      <w:sz w:val="44"/>
      <w:szCs w:val="21"/>
    </w:rPr>
  </w:style>
  <w:style w:type="paragraph" w:customStyle="1" w:styleId="797">
    <w:name w:val="正文居中加粗"/>
    <w:basedOn w:val="1"/>
    <w:uiPriority w:val="0"/>
    <w:pPr>
      <w:adjustRightInd/>
      <w:ind w:firstLine="0" w:firstLineChars="0"/>
      <w:jc w:val="center"/>
    </w:pPr>
    <w:rPr>
      <w:rFonts w:ascii="宋体" w:eastAsia="等线" w:cs="Times New Roman"/>
      <w:b/>
      <w:bCs/>
      <w:kern w:val="2"/>
      <w:sz w:val="24"/>
      <w:szCs w:val="20"/>
    </w:rPr>
  </w:style>
  <w:style w:type="paragraph" w:customStyle="1" w:styleId="798">
    <w:name w:val="正文内容"/>
    <w:basedOn w:val="1"/>
    <w:link w:val="799"/>
    <w:qFormat/>
    <w:uiPriority w:val="0"/>
    <w:pPr>
      <w:adjustRightInd/>
      <w:snapToGrid/>
      <w:ind w:firstLine="560"/>
    </w:pPr>
    <w:rPr>
      <w:rFonts w:eastAsia="仿宋" w:cstheme="minorBidi"/>
      <w:kern w:val="2"/>
    </w:rPr>
  </w:style>
  <w:style w:type="character" w:customStyle="1" w:styleId="799">
    <w:name w:val="正文内容 Char"/>
    <w:link w:val="798"/>
    <w:qFormat/>
    <w:uiPriority w:val="0"/>
    <w:rPr>
      <w:rFonts w:eastAsia="仿宋" w:cstheme="minorBidi"/>
      <w:kern w:val="2"/>
      <w:sz w:val="28"/>
      <w:szCs w:val="24"/>
    </w:rPr>
  </w:style>
  <w:style w:type="character" w:customStyle="1" w:styleId="800">
    <w:name w:val="fn org"/>
    <w:qFormat/>
    <w:uiPriority w:val="0"/>
  </w:style>
  <w:style w:type="paragraph" w:customStyle="1" w:styleId="801">
    <w:name w:val="一级章标题"/>
    <w:basedOn w:val="1"/>
    <w:qFormat/>
    <w:uiPriority w:val="0"/>
    <w:pPr>
      <w:adjustRightInd/>
      <w:snapToGrid/>
      <w:spacing w:before="50" w:beforeLines="50" w:after="50" w:afterLines="50"/>
      <w:ind w:firstLine="0" w:firstLineChars="0"/>
      <w:jc w:val="center"/>
      <w:outlineLvl w:val="0"/>
    </w:pPr>
    <w:rPr>
      <w:rFonts w:ascii="Arial" w:hAnsi="Arial" w:eastAsia="黑体" w:cstheme="minorBidi"/>
      <w:b/>
      <w:kern w:val="2"/>
      <w:sz w:val="36"/>
      <w:szCs w:val="21"/>
    </w:rPr>
  </w:style>
  <w:style w:type="paragraph" w:customStyle="1" w:styleId="802">
    <w:name w:val="二级节标题"/>
    <w:basedOn w:val="1"/>
    <w:qFormat/>
    <w:uiPriority w:val="0"/>
    <w:pPr>
      <w:adjustRightInd/>
      <w:snapToGrid/>
      <w:spacing w:before="50" w:beforeLines="50"/>
      <w:ind w:firstLine="0" w:firstLineChars="0"/>
      <w:outlineLvl w:val="1"/>
    </w:pPr>
    <w:rPr>
      <w:rFonts w:eastAsia="仿宋" w:cstheme="minorBidi"/>
      <w:b/>
      <w:kern w:val="2"/>
      <w:sz w:val="32"/>
    </w:rPr>
  </w:style>
  <w:style w:type="paragraph" w:customStyle="1" w:styleId="803">
    <w:name w:val="图名"/>
    <w:basedOn w:val="1"/>
    <w:qFormat/>
    <w:uiPriority w:val="0"/>
    <w:pPr>
      <w:adjustRightInd/>
      <w:snapToGrid/>
      <w:spacing w:after="50" w:afterLines="50"/>
      <w:ind w:firstLine="0" w:firstLineChars="0"/>
      <w:jc w:val="center"/>
    </w:pPr>
    <w:rPr>
      <w:rFonts w:hint="eastAsia" w:eastAsia="仿宋" w:cstheme="minorBidi"/>
      <w:b/>
      <w:bCs/>
      <w:kern w:val="2"/>
      <w:sz w:val="24"/>
      <w:szCs w:val="22"/>
    </w:rPr>
  </w:style>
  <w:style w:type="paragraph" w:customStyle="1" w:styleId="804">
    <w:name w:val="附件子标题"/>
    <w:basedOn w:val="1"/>
    <w:qFormat/>
    <w:uiPriority w:val="0"/>
    <w:pPr>
      <w:adjustRightInd/>
      <w:snapToGrid/>
      <w:ind w:firstLine="0" w:firstLineChars="0"/>
      <w:jc w:val="center"/>
      <w:outlineLvl w:val="2"/>
    </w:pPr>
    <w:rPr>
      <w:rFonts w:hint="eastAsia" w:eastAsia="仿宋" w:cstheme="minorBidi"/>
      <w:b/>
      <w:bCs/>
      <w:kern w:val="2"/>
    </w:rPr>
  </w:style>
  <w:style w:type="paragraph" w:customStyle="1" w:styleId="805">
    <w:name w:val="附件小标题"/>
    <w:basedOn w:val="1"/>
    <w:qFormat/>
    <w:uiPriority w:val="0"/>
    <w:pPr>
      <w:adjustRightInd/>
      <w:snapToGrid/>
      <w:ind w:firstLine="0" w:firstLineChars="0"/>
      <w:jc w:val="center"/>
    </w:pPr>
    <w:rPr>
      <w:rFonts w:hint="eastAsia" w:eastAsia="仿宋" w:cstheme="minorBidi"/>
      <w:b/>
      <w:bCs/>
      <w:kern w:val="2"/>
    </w:rPr>
  </w:style>
  <w:style w:type="paragraph" w:customStyle="1" w:styleId="806">
    <w:name w:val="附件附图"/>
    <w:basedOn w:val="1"/>
    <w:qFormat/>
    <w:uiPriority w:val="0"/>
    <w:pPr>
      <w:adjustRightInd/>
      <w:snapToGrid/>
      <w:spacing w:line="240" w:lineRule="auto"/>
      <w:ind w:firstLine="0" w:firstLineChars="0"/>
      <w:jc w:val="center"/>
    </w:pPr>
    <w:rPr>
      <w:rFonts w:hint="eastAsia" w:eastAsia="仿宋" w:cstheme="minorBidi"/>
      <w:kern w:val="2"/>
    </w:rPr>
  </w:style>
  <w:style w:type="paragraph" w:customStyle="1" w:styleId="807">
    <w:name w:val="附件附表"/>
    <w:basedOn w:val="1"/>
    <w:qFormat/>
    <w:uiPriority w:val="0"/>
    <w:pPr>
      <w:adjustRightInd/>
      <w:snapToGrid/>
      <w:spacing w:line="240" w:lineRule="auto"/>
      <w:ind w:firstLine="0" w:firstLineChars="0"/>
      <w:jc w:val="center"/>
    </w:pPr>
    <w:rPr>
      <w:rFonts w:hint="eastAsia" w:eastAsia="仿宋" w:cstheme="minorBidi"/>
      <w:kern w:val="2"/>
      <w:sz w:val="24"/>
    </w:rPr>
  </w:style>
  <w:style w:type="paragraph" w:customStyle="1" w:styleId="808">
    <w:name w:val="三级子标题"/>
    <w:basedOn w:val="1"/>
    <w:qFormat/>
    <w:uiPriority w:val="0"/>
    <w:pPr>
      <w:adjustRightInd/>
      <w:snapToGrid/>
      <w:ind w:firstLine="562"/>
      <w:outlineLvl w:val="2"/>
    </w:pPr>
    <w:rPr>
      <w:rFonts w:hint="eastAsia" w:eastAsia="仿宋" w:cstheme="minorBidi"/>
      <w:b/>
      <w:bCs/>
      <w:kern w:val="2"/>
    </w:rPr>
  </w:style>
  <w:style w:type="paragraph" w:customStyle="1" w:styleId="809">
    <w:name w:val="text"/>
    <w:basedOn w:val="1"/>
    <w:qFormat/>
    <w:uiPriority w:val="0"/>
    <w:pPr>
      <w:adjustRightInd/>
      <w:snapToGrid/>
      <w:ind w:firstLine="420"/>
    </w:pPr>
    <w:rPr>
      <w:rFonts w:eastAsia="仿宋_GB2312" w:cstheme="minorBidi"/>
      <w:kern w:val="2"/>
      <w:sz w:val="24"/>
      <w:szCs w:val="20"/>
    </w:rPr>
  </w:style>
  <w:style w:type="paragraph" w:customStyle="1" w:styleId="810">
    <w:name w:val="附件节标题"/>
    <w:basedOn w:val="1"/>
    <w:qFormat/>
    <w:uiPriority w:val="0"/>
    <w:pPr>
      <w:adjustRightInd/>
      <w:snapToGrid/>
      <w:spacing w:before="1850" w:beforeLines="1850"/>
      <w:ind w:firstLine="0" w:firstLineChars="0"/>
      <w:jc w:val="center"/>
      <w:outlineLvl w:val="1"/>
    </w:pPr>
    <w:rPr>
      <w:rFonts w:hint="eastAsia" w:eastAsia="仿宋" w:cstheme="minorBidi"/>
      <w:b/>
      <w:kern w:val="2"/>
      <w:sz w:val="32"/>
    </w:rPr>
  </w:style>
  <w:style w:type="paragraph" w:customStyle="1" w:styleId="811">
    <w:name w:val="WPSOffice手动目录 1"/>
    <w:qFormat/>
    <w:uiPriority w:val="0"/>
    <w:rPr>
      <w:rFonts w:ascii="Times New Roman" w:hAnsi="Times New Roman" w:eastAsia="宋体" w:cs="Times New Roman"/>
      <w:lang w:val="en-US" w:eastAsia="zh-CN" w:bidi="ar-SA"/>
    </w:rPr>
  </w:style>
  <w:style w:type="paragraph" w:customStyle="1" w:styleId="81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813">
    <w:name w:val="WPSOffice手动目录 3"/>
    <w:qFormat/>
    <w:uiPriority w:val="0"/>
    <w:pPr>
      <w:ind w:left="400" w:leftChars="400"/>
    </w:pPr>
    <w:rPr>
      <w:rFonts w:ascii="Times New Roman" w:hAnsi="Times New Roman" w:eastAsia="宋体" w:cs="Times New Roman"/>
      <w:lang w:val="en-US" w:eastAsia="zh-CN" w:bidi="ar-SA"/>
    </w:rPr>
  </w:style>
  <w:style w:type="paragraph" w:customStyle="1" w:styleId="814">
    <w:name w:val="Table Text"/>
    <w:basedOn w:val="1"/>
    <w:semiHidden/>
    <w:qFormat/>
    <w:uiPriority w:val="0"/>
    <w:pPr>
      <w:adjustRightInd/>
      <w:snapToGrid/>
      <w:spacing w:line="240" w:lineRule="auto"/>
      <w:ind w:firstLine="0" w:firstLineChars="0"/>
    </w:pPr>
    <w:rPr>
      <w:rFonts w:ascii="宋体" w:hAnsi="宋体"/>
      <w:kern w:val="2"/>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5" Type="http://schemas.openxmlformats.org/officeDocument/2006/relationships/fontTable" Target="fontTable.xml"/><Relationship Id="rId74" Type="http://schemas.openxmlformats.org/officeDocument/2006/relationships/customXml" Target="../customXml/item2.xml"/><Relationship Id="rId73" Type="http://schemas.openxmlformats.org/officeDocument/2006/relationships/numbering" Target="numbering.xml"/><Relationship Id="rId72" Type="http://schemas.openxmlformats.org/officeDocument/2006/relationships/customXml" Target="../customXml/item1.xml"/><Relationship Id="rId71" Type="http://schemas.microsoft.com/office/2007/relationships/hdphoto" Target="media/image55.wdp"/><Relationship Id="rId70" Type="http://schemas.openxmlformats.org/officeDocument/2006/relationships/image" Target="media/image54.png"/><Relationship Id="rId7" Type="http://schemas.openxmlformats.org/officeDocument/2006/relationships/header" Target="header3.xml"/><Relationship Id="rId69" Type="http://schemas.microsoft.com/office/2007/relationships/hdphoto" Target="media/image53.wdp"/><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jpeg"/><Relationship Id="rId63" Type="http://schemas.openxmlformats.org/officeDocument/2006/relationships/image" Target="media/image47.wmf"/><Relationship Id="rId62" Type="http://schemas.openxmlformats.org/officeDocument/2006/relationships/oleObject" Target="embeddings/oleObject2.bin"/><Relationship Id="rId61" Type="http://schemas.openxmlformats.org/officeDocument/2006/relationships/image" Target="media/image46.wmf"/><Relationship Id="rId60" Type="http://schemas.openxmlformats.org/officeDocument/2006/relationships/oleObject" Target="embeddings/oleObject1.bin"/><Relationship Id="rId6" Type="http://schemas.openxmlformats.org/officeDocument/2006/relationships/header" Target="header2.xml"/><Relationship Id="rId59" Type="http://schemas.openxmlformats.org/officeDocument/2006/relationships/image" Target="media/image45.pn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jpeg"/><Relationship Id="rId53" Type="http://schemas.openxmlformats.org/officeDocument/2006/relationships/image" Target="media/image39.pn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header" Target="header1.xml"/><Relationship Id="rId49" Type="http://schemas.openxmlformats.org/officeDocument/2006/relationships/image" Target="media/image35.jpeg"/><Relationship Id="rId48" Type="http://schemas.openxmlformats.org/officeDocument/2006/relationships/image" Target="media/image34.pn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jpeg"/><Relationship Id="rId42" Type="http://schemas.openxmlformats.org/officeDocument/2006/relationships/image" Target="media/image28.pn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endnotes" Target="endnotes.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jpe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jpeg"/><Relationship Id="rId27" Type="http://schemas.openxmlformats.org/officeDocument/2006/relationships/image" Target="media/image13.png"/><Relationship Id="rId26" Type="http://schemas.openxmlformats.org/officeDocument/2006/relationships/image" Target="media/image12.jpeg"/><Relationship Id="rId25" Type="http://schemas.openxmlformats.org/officeDocument/2006/relationships/image" Target="media/image11.png"/><Relationship Id="rId24" Type="http://schemas.openxmlformats.org/officeDocument/2006/relationships/image" Target="media/image10.jpe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png"/><Relationship Id="rId15" Type="http://schemas.openxmlformats.org/officeDocument/2006/relationships/image" Target="media/image1.jpeg"/><Relationship Id="rId14" Type="http://schemas.openxmlformats.org/officeDocument/2006/relationships/theme" Target="theme/theme1.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4FA90B9-726A-49CA-B7B2-FA798E3FCAD4}">
  <ds:schemaRefs/>
</ds:datastoreItem>
</file>

<file path=docProps/app.xml><?xml version="1.0" encoding="utf-8"?>
<Properties xmlns="http://schemas.openxmlformats.org/officeDocument/2006/extended-properties" xmlns:vt="http://schemas.openxmlformats.org/officeDocument/2006/docPropsVTypes">
  <Template>Normal</Template>
  <Pages>104</Pages>
  <Words>11184</Words>
  <Characters>13004</Characters>
  <Lines>1479</Lines>
  <Paragraphs>1431</Paragraphs>
  <TotalTime>143</TotalTime>
  <ScaleCrop>false</ScaleCrop>
  <LinksUpToDate>false</LinksUpToDate>
  <CharactersWithSpaces>13183</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2025-02-17T07:12:00Z</dcterms:created>
  <dc:creator>Uranus Qian</dc:creator>
  <cp:lastModifiedBy>王树连</cp:lastModifiedBy>
  <cp:lastPrinted>2025-03-06T08:38:00Z</cp:lastPrinted>
  <dcterms:modified xsi:type="dcterms:W3CDTF">2025-11-28T06:24:14Z</dcterms:modified>
  <cp:revision>164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6893592A1BD1436D98430562514F4593_12</vt:lpwstr>
  </property>
  <property fmtid="{D5CDD505-2E9C-101B-9397-08002B2CF9AE}" pid="4" name="KSOTemplateDocerSaveRecord">
    <vt:lpwstr>eyJoZGlkIjoiNTEyZjY5OTNlZjU0NjlmNjM2MDZmNjJkMmZjMjE0OGIiLCJ1c2VySWQiOiIyODQ4NDkwMDQifQ==</vt:lpwstr>
  </property>
</Properties>
</file>